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3F3F" w14:textId="5C9E0E39" w:rsidR="003A6DAE" w:rsidRPr="000E4461" w:rsidRDefault="00D75BF6" w:rsidP="000E4461">
      <w:pPr>
        <w:spacing w:line="360" w:lineRule="auto"/>
        <w:jc w:val="both"/>
        <w:rPr>
          <w:rFonts w:ascii="Times New Roman" w:hAnsi="Times New Roman" w:cs="Times New Roman"/>
          <w:b/>
          <w:bCs/>
          <w:color w:val="000000" w:themeColor="text1"/>
          <w:sz w:val="28"/>
          <w:szCs w:val="28"/>
        </w:rPr>
      </w:pPr>
      <w:r w:rsidRPr="000E4461">
        <w:rPr>
          <w:rFonts w:ascii="Times New Roman" w:hAnsi="Times New Roman" w:cs="Times New Roman"/>
          <w:b/>
          <w:bCs/>
          <w:color w:val="000000" w:themeColor="text1"/>
          <w:sz w:val="28"/>
          <w:szCs w:val="28"/>
        </w:rPr>
        <w:t>The arrival of highly skilled immigrants spurred a rise in Toronto's rental rates.</w:t>
      </w:r>
    </w:p>
    <w:p w14:paraId="36949093" w14:textId="7C7B3882" w:rsidR="000E4461" w:rsidRPr="000E4461" w:rsidRDefault="000E4461" w:rsidP="000E4461">
      <w:pPr>
        <w:spacing w:line="360" w:lineRule="auto"/>
        <w:jc w:val="both"/>
        <w:rPr>
          <w:rFonts w:ascii="Times New Roman" w:hAnsi="Times New Roman" w:cs="Times New Roman"/>
          <w:b/>
          <w:bCs/>
          <w:color w:val="000000" w:themeColor="text1"/>
          <w:sz w:val="28"/>
          <w:szCs w:val="28"/>
        </w:rPr>
      </w:pPr>
      <w:proofErr w:type="spellStart"/>
      <w:r w:rsidRPr="000E4461">
        <w:rPr>
          <w:rFonts w:ascii="Times New Roman" w:hAnsi="Times New Roman" w:cs="Times New Roman"/>
          <w:b/>
          <w:bCs/>
          <w:sz w:val="28"/>
          <w:szCs w:val="28"/>
        </w:rPr>
        <w:t>Visalakshi</w:t>
      </w:r>
      <w:proofErr w:type="spellEnd"/>
      <w:r w:rsidRPr="000E4461">
        <w:rPr>
          <w:rFonts w:ascii="Times New Roman" w:hAnsi="Times New Roman" w:cs="Times New Roman"/>
          <w:b/>
          <w:bCs/>
          <w:sz w:val="28"/>
          <w:szCs w:val="28"/>
        </w:rPr>
        <w:t xml:space="preserve"> </w:t>
      </w:r>
      <w:proofErr w:type="spellStart"/>
      <w:r w:rsidRPr="000E4461">
        <w:rPr>
          <w:rFonts w:ascii="Times New Roman" w:hAnsi="Times New Roman" w:cs="Times New Roman"/>
          <w:b/>
          <w:bCs/>
          <w:sz w:val="28"/>
          <w:szCs w:val="28"/>
        </w:rPr>
        <w:t>Shanmugasundaram</w:t>
      </w:r>
      <w:proofErr w:type="spellEnd"/>
    </w:p>
    <w:p w14:paraId="6DC3E6CF" w14:textId="2E170210" w:rsidR="001B1977" w:rsidRPr="000E4461" w:rsidRDefault="001B1977" w:rsidP="000E4461">
      <w:pPr>
        <w:spacing w:line="360" w:lineRule="auto"/>
        <w:jc w:val="both"/>
        <w:rPr>
          <w:rFonts w:ascii="Times New Roman" w:hAnsi="Times New Roman" w:cs="Times New Roman"/>
          <w:color w:val="191919"/>
          <w:sz w:val="28"/>
          <w:szCs w:val="28"/>
          <w:shd w:val="clear" w:color="auto" w:fill="FFFFFF"/>
        </w:rPr>
      </w:pPr>
      <w:r w:rsidRPr="000E4461">
        <w:rPr>
          <w:rFonts w:ascii="Times New Roman" w:hAnsi="Times New Roman" w:cs="Times New Roman"/>
          <w:color w:val="191919"/>
          <w:sz w:val="28"/>
          <w:szCs w:val="28"/>
          <w:shd w:val="clear" w:color="auto" w:fill="FFFFFF"/>
        </w:rPr>
        <w:t>According to year-end data from Urbanation, a Toronto-based real estate research organization, and Rentals.ca, Canadians faced an average yearly rent increase of 10.9 percent in 2022, with another five percent increase anticipated for 2023. Toronto ranked second in terms of most expensive monthly rent</w:t>
      </w:r>
      <w:r w:rsidR="00164493" w:rsidRPr="000E4461">
        <w:rPr>
          <w:rFonts w:ascii="Times New Roman" w:hAnsi="Times New Roman" w:cs="Times New Roman"/>
          <w:color w:val="191919"/>
          <w:sz w:val="28"/>
          <w:szCs w:val="28"/>
          <w:shd w:val="clear" w:color="auto" w:fill="FFFFFF"/>
        </w:rPr>
        <w:t xml:space="preserve"> in Canada only next to Vancouver </w:t>
      </w:r>
      <w:r w:rsidRPr="000E4461">
        <w:rPr>
          <w:rFonts w:ascii="Times New Roman" w:hAnsi="Times New Roman" w:cs="Times New Roman"/>
          <w:color w:val="191919"/>
          <w:sz w:val="28"/>
          <w:szCs w:val="28"/>
          <w:shd w:val="clear" w:color="auto" w:fill="FFFFFF"/>
        </w:rPr>
        <w:t>with a 21.3 percent ($2,457) year-over-year increase for a one-bedroom unit and an 18.1 percent ($3,215) increase for a two-bedroom home.[1]</w:t>
      </w:r>
      <w:r w:rsidR="00A97B41" w:rsidRPr="000E4461">
        <w:rPr>
          <w:rFonts w:ascii="Times New Roman" w:hAnsi="Times New Roman" w:cs="Times New Roman"/>
          <w:color w:val="191919"/>
          <w:sz w:val="28"/>
          <w:szCs w:val="28"/>
          <w:shd w:val="clear" w:color="auto" w:fill="FFFFFF"/>
        </w:rPr>
        <w:t xml:space="preserve">. Despite studies and real estate experts blaming a lack of </w:t>
      </w:r>
      <w:r w:rsidR="00F84F9F" w:rsidRPr="000E4461">
        <w:rPr>
          <w:rFonts w:ascii="Times New Roman" w:hAnsi="Times New Roman" w:cs="Times New Roman"/>
          <w:color w:val="191919"/>
          <w:sz w:val="28"/>
          <w:szCs w:val="28"/>
          <w:shd w:val="clear" w:color="auto" w:fill="FFFFFF"/>
        </w:rPr>
        <w:t>availability, housing</w:t>
      </w:r>
      <w:r w:rsidR="00A97B41" w:rsidRPr="000E4461">
        <w:rPr>
          <w:rFonts w:ascii="Times New Roman" w:hAnsi="Times New Roman" w:cs="Times New Roman"/>
          <w:color w:val="191919"/>
          <w:sz w:val="28"/>
          <w:szCs w:val="28"/>
          <w:shd w:val="clear" w:color="auto" w:fill="FFFFFF"/>
        </w:rPr>
        <w:t xml:space="preserve"> costs, </w:t>
      </w:r>
      <w:r w:rsidR="007A7875" w:rsidRPr="000E4461">
        <w:rPr>
          <w:rFonts w:ascii="Times New Roman" w:hAnsi="Times New Roman" w:cs="Times New Roman"/>
          <w:color w:val="191919"/>
          <w:sz w:val="28"/>
          <w:szCs w:val="28"/>
          <w:shd w:val="clear" w:color="auto" w:fill="FFFFFF"/>
        </w:rPr>
        <w:t xml:space="preserve">rising interest rates </w:t>
      </w:r>
      <w:r w:rsidR="00A97B41" w:rsidRPr="000E4461">
        <w:rPr>
          <w:rFonts w:ascii="Times New Roman" w:hAnsi="Times New Roman" w:cs="Times New Roman"/>
          <w:color w:val="191919"/>
          <w:sz w:val="28"/>
          <w:szCs w:val="28"/>
          <w:shd w:val="clear" w:color="auto" w:fill="FFFFFF"/>
        </w:rPr>
        <w:t xml:space="preserve">and immigration, the data tells a different story. Table 1 displays the total number of listed units as well as leasing information. If demand is high and rentals are affordable, these units have been rented. This is because landlords look for prospective renters who are willing to accept their </w:t>
      </w:r>
      <w:r w:rsidR="00F84F9F" w:rsidRPr="000E4461">
        <w:rPr>
          <w:rFonts w:ascii="Times New Roman" w:hAnsi="Times New Roman" w:cs="Times New Roman"/>
          <w:color w:val="191919"/>
          <w:sz w:val="28"/>
          <w:szCs w:val="28"/>
          <w:shd w:val="clear" w:color="auto" w:fill="FFFFFF"/>
        </w:rPr>
        <w:t>terms and the quoted price.</w:t>
      </w:r>
    </w:p>
    <w:tbl>
      <w:tblPr>
        <w:tblStyle w:val="GridTable5Dark-Accent3"/>
        <w:tblpPr w:leftFromText="180" w:rightFromText="180" w:vertAnchor="text" w:horzAnchor="margin" w:tblpY="657"/>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3"/>
        <w:gridCol w:w="783"/>
        <w:gridCol w:w="809"/>
        <w:gridCol w:w="741"/>
        <w:gridCol w:w="791"/>
        <w:gridCol w:w="898"/>
        <w:gridCol w:w="810"/>
        <w:gridCol w:w="900"/>
        <w:gridCol w:w="900"/>
        <w:gridCol w:w="900"/>
        <w:gridCol w:w="900"/>
        <w:gridCol w:w="1080"/>
      </w:tblGrid>
      <w:tr w:rsidR="00F84F9F" w:rsidRPr="000E4461" w14:paraId="76FFEB62" w14:textId="77777777" w:rsidTr="00853FB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13" w:type="dxa"/>
            <w:vMerge w:val="restart"/>
            <w:tcBorders>
              <w:top w:val="none" w:sz="0" w:space="0" w:color="auto"/>
              <w:left w:val="none" w:sz="0" w:space="0" w:color="auto"/>
              <w:right w:val="none" w:sz="0" w:space="0" w:color="auto"/>
            </w:tcBorders>
            <w:shd w:val="clear" w:color="auto" w:fill="D9D9D9" w:themeFill="background1" w:themeFillShade="D9"/>
            <w:vAlign w:val="center"/>
            <w:hideMark/>
          </w:tcPr>
          <w:p w14:paraId="6AA4055B" w14:textId="77777777" w:rsidR="00F84F9F" w:rsidRPr="000E4461" w:rsidRDefault="00F84F9F" w:rsidP="000E4461">
            <w:pPr>
              <w:spacing w:line="360" w:lineRule="auto"/>
              <w:jc w:val="center"/>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TRREB Area</w:t>
            </w:r>
          </w:p>
        </w:tc>
        <w:tc>
          <w:tcPr>
            <w:tcW w:w="783" w:type="dxa"/>
            <w:vMerge w:val="restart"/>
            <w:tcBorders>
              <w:top w:val="none" w:sz="0" w:space="0" w:color="auto"/>
              <w:left w:val="none" w:sz="0" w:space="0" w:color="auto"/>
              <w:right w:val="none" w:sz="0" w:space="0" w:color="auto"/>
            </w:tcBorders>
            <w:shd w:val="clear" w:color="auto" w:fill="D9D9D9" w:themeFill="background1" w:themeFillShade="D9"/>
            <w:vAlign w:val="center"/>
            <w:hideMark/>
          </w:tcPr>
          <w:p w14:paraId="316E594A" w14:textId="77777777" w:rsidR="00F84F9F" w:rsidRPr="000E4461" w:rsidRDefault="00F84F9F" w:rsidP="000E446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Year</w:t>
            </w:r>
          </w:p>
        </w:tc>
        <w:tc>
          <w:tcPr>
            <w:tcW w:w="1550" w:type="dxa"/>
            <w:gridSpan w:val="2"/>
            <w:tcBorders>
              <w:top w:val="none" w:sz="0" w:space="0" w:color="auto"/>
              <w:left w:val="none" w:sz="0" w:space="0" w:color="auto"/>
              <w:right w:val="none" w:sz="0" w:space="0" w:color="auto"/>
            </w:tcBorders>
            <w:shd w:val="clear" w:color="auto" w:fill="D9D9D9" w:themeFill="background1" w:themeFillShade="D9"/>
            <w:vAlign w:val="center"/>
            <w:hideMark/>
          </w:tcPr>
          <w:p w14:paraId="71642E91" w14:textId="77777777" w:rsidR="00F84F9F" w:rsidRPr="000E4461" w:rsidRDefault="00F84F9F" w:rsidP="000E44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All Apartments</w:t>
            </w:r>
          </w:p>
        </w:tc>
        <w:tc>
          <w:tcPr>
            <w:tcW w:w="1689" w:type="dxa"/>
            <w:gridSpan w:val="2"/>
            <w:tcBorders>
              <w:top w:val="none" w:sz="0" w:space="0" w:color="auto"/>
              <w:left w:val="none" w:sz="0" w:space="0" w:color="auto"/>
              <w:right w:val="none" w:sz="0" w:space="0" w:color="auto"/>
            </w:tcBorders>
            <w:shd w:val="clear" w:color="auto" w:fill="D9D9D9" w:themeFill="background1" w:themeFillShade="D9"/>
            <w:vAlign w:val="center"/>
            <w:hideMark/>
          </w:tcPr>
          <w:p w14:paraId="2B5B63D8" w14:textId="77777777" w:rsidR="00F84F9F" w:rsidRPr="000E4461" w:rsidRDefault="00F84F9F" w:rsidP="000E44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Bachelor</w:t>
            </w:r>
          </w:p>
        </w:tc>
        <w:tc>
          <w:tcPr>
            <w:tcW w:w="1710" w:type="dxa"/>
            <w:gridSpan w:val="2"/>
            <w:tcBorders>
              <w:top w:val="none" w:sz="0" w:space="0" w:color="auto"/>
              <w:left w:val="none" w:sz="0" w:space="0" w:color="auto"/>
              <w:right w:val="none" w:sz="0" w:space="0" w:color="auto"/>
            </w:tcBorders>
            <w:shd w:val="clear" w:color="auto" w:fill="D9D9D9" w:themeFill="background1" w:themeFillShade="D9"/>
            <w:vAlign w:val="center"/>
            <w:hideMark/>
          </w:tcPr>
          <w:p w14:paraId="6C120FFC" w14:textId="77777777" w:rsidR="00F84F9F" w:rsidRPr="000E4461" w:rsidRDefault="00F84F9F" w:rsidP="000E44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One-Bedroom</w:t>
            </w:r>
          </w:p>
        </w:tc>
        <w:tc>
          <w:tcPr>
            <w:tcW w:w="1800" w:type="dxa"/>
            <w:gridSpan w:val="2"/>
            <w:tcBorders>
              <w:top w:val="none" w:sz="0" w:space="0" w:color="auto"/>
              <w:left w:val="none" w:sz="0" w:space="0" w:color="auto"/>
              <w:right w:val="none" w:sz="0" w:space="0" w:color="auto"/>
            </w:tcBorders>
            <w:shd w:val="clear" w:color="auto" w:fill="D9D9D9" w:themeFill="background1" w:themeFillShade="D9"/>
            <w:vAlign w:val="center"/>
            <w:hideMark/>
          </w:tcPr>
          <w:p w14:paraId="0BFC316F" w14:textId="77777777" w:rsidR="00F84F9F" w:rsidRPr="000E4461" w:rsidRDefault="00F84F9F" w:rsidP="000E44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Two-Bedroom</w:t>
            </w:r>
          </w:p>
        </w:tc>
        <w:tc>
          <w:tcPr>
            <w:tcW w:w="1980" w:type="dxa"/>
            <w:gridSpan w:val="2"/>
            <w:tcBorders>
              <w:top w:val="none" w:sz="0" w:space="0" w:color="auto"/>
              <w:left w:val="none" w:sz="0" w:space="0" w:color="auto"/>
              <w:right w:val="none" w:sz="0" w:space="0" w:color="auto"/>
            </w:tcBorders>
            <w:shd w:val="clear" w:color="auto" w:fill="D9D9D9" w:themeFill="background1" w:themeFillShade="D9"/>
            <w:vAlign w:val="center"/>
            <w:hideMark/>
          </w:tcPr>
          <w:p w14:paraId="65011E9A" w14:textId="77777777" w:rsidR="00F84F9F" w:rsidRPr="000E4461" w:rsidRDefault="00F84F9F" w:rsidP="000E44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Three Bedroom</w:t>
            </w:r>
          </w:p>
        </w:tc>
      </w:tr>
      <w:tr w:rsidR="00853FBB" w:rsidRPr="000E4461" w14:paraId="0DEF74F8" w14:textId="77777777" w:rsidTr="00853FB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013" w:type="dxa"/>
            <w:vMerge/>
            <w:tcBorders>
              <w:left w:val="none" w:sz="0" w:space="0" w:color="auto"/>
            </w:tcBorders>
            <w:shd w:val="clear" w:color="auto" w:fill="D9D9D9" w:themeFill="background1" w:themeFillShade="D9"/>
            <w:hideMark/>
          </w:tcPr>
          <w:p w14:paraId="52F60EF4" w14:textId="77777777" w:rsidR="00F84F9F" w:rsidRPr="000E4461" w:rsidRDefault="00F84F9F" w:rsidP="000E4461">
            <w:pPr>
              <w:spacing w:line="360" w:lineRule="auto"/>
              <w:jc w:val="both"/>
              <w:rPr>
                <w:rFonts w:ascii="Times New Roman" w:eastAsia="Times New Roman" w:hAnsi="Times New Roman" w:cs="Times New Roman"/>
                <w:color w:val="000000" w:themeColor="text1"/>
              </w:rPr>
            </w:pPr>
          </w:p>
        </w:tc>
        <w:tc>
          <w:tcPr>
            <w:tcW w:w="783" w:type="dxa"/>
            <w:vMerge/>
            <w:shd w:val="clear" w:color="auto" w:fill="D9D9D9" w:themeFill="background1" w:themeFillShade="D9"/>
            <w:hideMark/>
          </w:tcPr>
          <w:p w14:paraId="44A88653"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809" w:type="dxa"/>
            <w:shd w:val="clear" w:color="auto" w:fill="D9D9D9" w:themeFill="background1" w:themeFillShade="D9"/>
            <w:hideMark/>
          </w:tcPr>
          <w:p w14:paraId="1035F645"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Total Listed</w:t>
            </w:r>
          </w:p>
        </w:tc>
        <w:tc>
          <w:tcPr>
            <w:tcW w:w="741" w:type="dxa"/>
            <w:shd w:val="clear" w:color="auto" w:fill="D9D9D9" w:themeFill="background1" w:themeFillShade="D9"/>
            <w:hideMark/>
          </w:tcPr>
          <w:p w14:paraId="01357FED"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Total Leased</w:t>
            </w:r>
          </w:p>
        </w:tc>
        <w:tc>
          <w:tcPr>
            <w:tcW w:w="791" w:type="dxa"/>
            <w:shd w:val="clear" w:color="auto" w:fill="D9D9D9" w:themeFill="background1" w:themeFillShade="D9"/>
            <w:hideMark/>
          </w:tcPr>
          <w:p w14:paraId="7C7945D1"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Leased</w:t>
            </w:r>
          </w:p>
        </w:tc>
        <w:tc>
          <w:tcPr>
            <w:tcW w:w="898" w:type="dxa"/>
            <w:shd w:val="clear" w:color="auto" w:fill="D9D9D9" w:themeFill="background1" w:themeFillShade="D9"/>
            <w:hideMark/>
          </w:tcPr>
          <w:p w14:paraId="69B2FCD2" w14:textId="77777777" w:rsidR="005329C9"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Avg.</w:t>
            </w:r>
          </w:p>
          <w:p w14:paraId="53784EE6" w14:textId="0E157EED"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Lease Rate</w:t>
            </w:r>
          </w:p>
        </w:tc>
        <w:tc>
          <w:tcPr>
            <w:tcW w:w="810" w:type="dxa"/>
            <w:shd w:val="clear" w:color="auto" w:fill="D9D9D9" w:themeFill="background1" w:themeFillShade="D9"/>
            <w:hideMark/>
          </w:tcPr>
          <w:p w14:paraId="4977A931"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Leased</w:t>
            </w:r>
          </w:p>
        </w:tc>
        <w:tc>
          <w:tcPr>
            <w:tcW w:w="900" w:type="dxa"/>
            <w:shd w:val="clear" w:color="auto" w:fill="D9D9D9" w:themeFill="background1" w:themeFillShade="D9"/>
            <w:hideMark/>
          </w:tcPr>
          <w:p w14:paraId="1BBF22EF" w14:textId="77777777" w:rsidR="005329C9"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Avg.</w:t>
            </w:r>
          </w:p>
          <w:p w14:paraId="0EA29C43" w14:textId="132208FA"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Lease Rate</w:t>
            </w:r>
          </w:p>
        </w:tc>
        <w:tc>
          <w:tcPr>
            <w:tcW w:w="900" w:type="dxa"/>
            <w:shd w:val="clear" w:color="auto" w:fill="D9D9D9" w:themeFill="background1" w:themeFillShade="D9"/>
            <w:hideMark/>
          </w:tcPr>
          <w:p w14:paraId="0F51798E"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Leased</w:t>
            </w:r>
          </w:p>
        </w:tc>
        <w:tc>
          <w:tcPr>
            <w:tcW w:w="900" w:type="dxa"/>
            <w:shd w:val="clear" w:color="auto" w:fill="D9D9D9" w:themeFill="background1" w:themeFillShade="D9"/>
            <w:hideMark/>
          </w:tcPr>
          <w:p w14:paraId="43B0ED70"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Avg. Leased Rate</w:t>
            </w:r>
          </w:p>
        </w:tc>
        <w:tc>
          <w:tcPr>
            <w:tcW w:w="900" w:type="dxa"/>
            <w:shd w:val="clear" w:color="auto" w:fill="D9D9D9" w:themeFill="background1" w:themeFillShade="D9"/>
            <w:hideMark/>
          </w:tcPr>
          <w:p w14:paraId="7591CC02"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Leased</w:t>
            </w:r>
          </w:p>
        </w:tc>
        <w:tc>
          <w:tcPr>
            <w:tcW w:w="1080" w:type="dxa"/>
            <w:shd w:val="clear" w:color="auto" w:fill="D9D9D9" w:themeFill="background1" w:themeFillShade="D9"/>
            <w:hideMark/>
          </w:tcPr>
          <w:p w14:paraId="754C5F43" w14:textId="77777777" w:rsidR="00F84F9F" w:rsidRPr="000E4461" w:rsidRDefault="00F84F9F" w:rsidP="000E446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Avg. Lease Rate</w:t>
            </w:r>
          </w:p>
        </w:tc>
      </w:tr>
      <w:tr w:rsidR="005329C9" w:rsidRPr="000E4461" w14:paraId="2250C51A" w14:textId="77777777" w:rsidTr="00853FBB">
        <w:trPr>
          <w:trHeight w:val="282"/>
        </w:trPr>
        <w:tc>
          <w:tcPr>
            <w:cnfStyle w:val="001000000000" w:firstRow="0" w:lastRow="0" w:firstColumn="1" w:lastColumn="0" w:oddVBand="0" w:evenVBand="0" w:oddHBand="0" w:evenHBand="0" w:firstRowFirstColumn="0" w:firstRowLastColumn="0" w:lastRowFirstColumn="0" w:lastRowLastColumn="0"/>
            <w:tcW w:w="1013" w:type="dxa"/>
            <w:vMerge w:val="restart"/>
            <w:tcBorders>
              <w:left w:val="none" w:sz="0" w:space="0" w:color="auto"/>
            </w:tcBorders>
            <w:shd w:val="clear" w:color="auto" w:fill="D9D9D9" w:themeFill="background1" w:themeFillShade="D9"/>
            <w:hideMark/>
          </w:tcPr>
          <w:p w14:paraId="366709AA" w14:textId="77777777" w:rsidR="00F84F9F" w:rsidRPr="000E4461" w:rsidRDefault="00F84F9F" w:rsidP="000E4461">
            <w:pPr>
              <w:spacing w:line="360" w:lineRule="auto"/>
              <w:jc w:val="center"/>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Toronto West</w:t>
            </w:r>
          </w:p>
        </w:tc>
        <w:tc>
          <w:tcPr>
            <w:tcW w:w="783" w:type="dxa"/>
            <w:vAlign w:val="center"/>
            <w:hideMark/>
          </w:tcPr>
          <w:p w14:paraId="29EA81BF"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2022</w:t>
            </w:r>
          </w:p>
        </w:tc>
        <w:tc>
          <w:tcPr>
            <w:tcW w:w="809" w:type="dxa"/>
            <w:vAlign w:val="center"/>
            <w:hideMark/>
          </w:tcPr>
          <w:p w14:paraId="24803EB3"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1811</w:t>
            </w:r>
          </w:p>
        </w:tc>
        <w:tc>
          <w:tcPr>
            <w:tcW w:w="741" w:type="dxa"/>
            <w:vAlign w:val="center"/>
            <w:hideMark/>
          </w:tcPr>
          <w:p w14:paraId="66F22959"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981</w:t>
            </w:r>
          </w:p>
        </w:tc>
        <w:tc>
          <w:tcPr>
            <w:tcW w:w="791" w:type="dxa"/>
            <w:vAlign w:val="center"/>
            <w:hideMark/>
          </w:tcPr>
          <w:p w14:paraId="732930BE"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12</w:t>
            </w:r>
          </w:p>
        </w:tc>
        <w:tc>
          <w:tcPr>
            <w:tcW w:w="898" w:type="dxa"/>
            <w:vAlign w:val="center"/>
            <w:hideMark/>
          </w:tcPr>
          <w:p w14:paraId="0E3FDB11"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$1,829</w:t>
            </w:r>
          </w:p>
        </w:tc>
        <w:tc>
          <w:tcPr>
            <w:tcW w:w="810" w:type="dxa"/>
            <w:vAlign w:val="center"/>
            <w:hideMark/>
          </w:tcPr>
          <w:p w14:paraId="42C3E056"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523</w:t>
            </w:r>
          </w:p>
        </w:tc>
        <w:tc>
          <w:tcPr>
            <w:tcW w:w="900" w:type="dxa"/>
            <w:vAlign w:val="center"/>
            <w:hideMark/>
          </w:tcPr>
          <w:p w14:paraId="6F820FD1"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$2,452</w:t>
            </w:r>
          </w:p>
        </w:tc>
        <w:tc>
          <w:tcPr>
            <w:tcW w:w="900" w:type="dxa"/>
            <w:vAlign w:val="center"/>
            <w:hideMark/>
          </w:tcPr>
          <w:p w14:paraId="6BA5B730"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405</w:t>
            </w:r>
          </w:p>
        </w:tc>
        <w:tc>
          <w:tcPr>
            <w:tcW w:w="900" w:type="dxa"/>
            <w:vAlign w:val="center"/>
            <w:hideMark/>
          </w:tcPr>
          <w:p w14:paraId="4F71ACCA"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$3,008</w:t>
            </w:r>
          </w:p>
        </w:tc>
        <w:tc>
          <w:tcPr>
            <w:tcW w:w="900" w:type="dxa"/>
            <w:vAlign w:val="center"/>
            <w:hideMark/>
          </w:tcPr>
          <w:p w14:paraId="56FEA111"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41</w:t>
            </w:r>
          </w:p>
        </w:tc>
        <w:tc>
          <w:tcPr>
            <w:tcW w:w="1080" w:type="dxa"/>
            <w:vAlign w:val="center"/>
            <w:hideMark/>
          </w:tcPr>
          <w:p w14:paraId="0175E14C"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$3,531</w:t>
            </w:r>
          </w:p>
        </w:tc>
      </w:tr>
      <w:tr w:rsidR="00853FBB" w:rsidRPr="000E4461" w14:paraId="3A5A98F0" w14:textId="77777777" w:rsidTr="00853FBB">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013" w:type="dxa"/>
            <w:vMerge/>
            <w:tcBorders>
              <w:left w:val="none" w:sz="0" w:space="0" w:color="auto"/>
            </w:tcBorders>
            <w:shd w:val="clear" w:color="auto" w:fill="D9D9D9" w:themeFill="background1" w:themeFillShade="D9"/>
            <w:hideMark/>
          </w:tcPr>
          <w:p w14:paraId="0FA63B89" w14:textId="77777777" w:rsidR="00F84F9F" w:rsidRPr="000E4461" w:rsidRDefault="00F84F9F" w:rsidP="000E4461">
            <w:pPr>
              <w:spacing w:line="360" w:lineRule="auto"/>
              <w:jc w:val="center"/>
              <w:rPr>
                <w:rFonts w:ascii="Times New Roman" w:eastAsia="Times New Roman" w:hAnsi="Times New Roman" w:cs="Times New Roman"/>
                <w:color w:val="000000" w:themeColor="text1"/>
              </w:rPr>
            </w:pPr>
          </w:p>
        </w:tc>
        <w:tc>
          <w:tcPr>
            <w:tcW w:w="783" w:type="dxa"/>
            <w:shd w:val="clear" w:color="auto" w:fill="F7CAAC" w:themeFill="accent2" w:themeFillTint="66"/>
            <w:vAlign w:val="center"/>
            <w:hideMark/>
          </w:tcPr>
          <w:p w14:paraId="7746A183"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2014</w:t>
            </w:r>
          </w:p>
        </w:tc>
        <w:tc>
          <w:tcPr>
            <w:tcW w:w="809" w:type="dxa"/>
            <w:shd w:val="clear" w:color="auto" w:fill="F7CAAC" w:themeFill="accent2" w:themeFillTint="66"/>
            <w:vAlign w:val="center"/>
            <w:hideMark/>
          </w:tcPr>
          <w:p w14:paraId="6BAF239F"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873</w:t>
            </w:r>
          </w:p>
        </w:tc>
        <w:tc>
          <w:tcPr>
            <w:tcW w:w="741" w:type="dxa"/>
            <w:shd w:val="clear" w:color="auto" w:fill="F7CAAC" w:themeFill="accent2" w:themeFillTint="66"/>
            <w:vAlign w:val="center"/>
            <w:hideMark/>
          </w:tcPr>
          <w:p w14:paraId="38F68B1D"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420</w:t>
            </w:r>
          </w:p>
        </w:tc>
        <w:tc>
          <w:tcPr>
            <w:tcW w:w="791" w:type="dxa"/>
            <w:shd w:val="clear" w:color="auto" w:fill="F7CAAC" w:themeFill="accent2" w:themeFillTint="66"/>
            <w:vAlign w:val="center"/>
            <w:hideMark/>
          </w:tcPr>
          <w:p w14:paraId="6543B737"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w:t>
            </w:r>
          </w:p>
        </w:tc>
        <w:tc>
          <w:tcPr>
            <w:tcW w:w="898" w:type="dxa"/>
            <w:shd w:val="clear" w:color="auto" w:fill="F7CAAC" w:themeFill="accent2" w:themeFillTint="66"/>
            <w:vAlign w:val="center"/>
            <w:hideMark/>
          </w:tcPr>
          <w:p w14:paraId="71D8B775"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$850</w:t>
            </w:r>
          </w:p>
        </w:tc>
        <w:tc>
          <w:tcPr>
            <w:tcW w:w="810" w:type="dxa"/>
            <w:shd w:val="clear" w:color="auto" w:fill="F7CAAC" w:themeFill="accent2" w:themeFillTint="66"/>
            <w:vAlign w:val="center"/>
            <w:hideMark/>
          </w:tcPr>
          <w:p w14:paraId="2202F4B9"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222</w:t>
            </w:r>
          </w:p>
        </w:tc>
        <w:tc>
          <w:tcPr>
            <w:tcW w:w="900" w:type="dxa"/>
            <w:shd w:val="clear" w:color="auto" w:fill="F7CAAC" w:themeFill="accent2" w:themeFillTint="66"/>
            <w:vAlign w:val="center"/>
            <w:hideMark/>
          </w:tcPr>
          <w:p w14:paraId="6673225D"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$1,521</w:t>
            </w:r>
          </w:p>
        </w:tc>
        <w:tc>
          <w:tcPr>
            <w:tcW w:w="900" w:type="dxa"/>
            <w:shd w:val="clear" w:color="auto" w:fill="F7CAAC" w:themeFill="accent2" w:themeFillTint="66"/>
            <w:vAlign w:val="center"/>
            <w:hideMark/>
          </w:tcPr>
          <w:p w14:paraId="69FA3CB9"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183</w:t>
            </w:r>
          </w:p>
        </w:tc>
        <w:tc>
          <w:tcPr>
            <w:tcW w:w="900" w:type="dxa"/>
            <w:shd w:val="clear" w:color="auto" w:fill="F7CAAC" w:themeFill="accent2" w:themeFillTint="66"/>
            <w:vAlign w:val="center"/>
            <w:hideMark/>
          </w:tcPr>
          <w:p w14:paraId="3FF87779"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$2,103</w:t>
            </w:r>
          </w:p>
        </w:tc>
        <w:tc>
          <w:tcPr>
            <w:tcW w:w="900" w:type="dxa"/>
            <w:shd w:val="clear" w:color="auto" w:fill="F7CAAC" w:themeFill="accent2" w:themeFillTint="66"/>
            <w:vAlign w:val="center"/>
            <w:hideMark/>
          </w:tcPr>
          <w:p w14:paraId="3A0C36DF"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14</w:t>
            </w:r>
          </w:p>
        </w:tc>
        <w:tc>
          <w:tcPr>
            <w:tcW w:w="1080" w:type="dxa"/>
            <w:shd w:val="clear" w:color="auto" w:fill="F7CAAC" w:themeFill="accent2" w:themeFillTint="66"/>
            <w:vAlign w:val="center"/>
            <w:hideMark/>
          </w:tcPr>
          <w:p w14:paraId="01A1E1A8"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$2,186</w:t>
            </w:r>
          </w:p>
        </w:tc>
      </w:tr>
      <w:tr w:rsidR="005329C9" w:rsidRPr="000E4461" w14:paraId="51E02292" w14:textId="77777777" w:rsidTr="00853FBB">
        <w:trPr>
          <w:trHeight w:val="445"/>
        </w:trPr>
        <w:tc>
          <w:tcPr>
            <w:cnfStyle w:val="001000000000" w:firstRow="0" w:lastRow="0" w:firstColumn="1" w:lastColumn="0" w:oddVBand="0" w:evenVBand="0" w:oddHBand="0" w:evenHBand="0" w:firstRowFirstColumn="0" w:firstRowLastColumn="0" w:lastRowFirstColumn="0" w:lastRowLastColumn="0"/>
            <w:tcW w:w="1013" w:type="dxa"/>
            <w:vMerge w:val="restart"/>
            <w:tcBorders>
              <w:left w:val="none" w:sz="0" w:space="0" w:color="auto"/>
            </w:tcBorders>
            <w:shd w:val="clear" w:color="auto" w:fill="D9D9D9" w:themeFill="background1" w:themeFillShade="D9"/>
            <w:hideMark/>
          </w:tcPr>
          <w:p w14:paraId="40A9FDCA" w14:textId="77777777" w:rsidR="00F84F9F" w:rsidRPr="000E4461" w:rsidRDefault="00F84F9F" w:rsidP="000E4461">
            <w:pPr>
              <w:spacing w:line="360" w:lineRule="auto"/>
              <w:jc w:val="center"/>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Toronto Central</w:t>
            </w:r>
          </w:p>
        </w:tc>
        <w:tc>
          <w:tcPr>
            <w:tcW w:w="783" w:type="dxa"/>
            <w:vAlign w:val="center"/>
            <w:hideMark/>
          </w:tcPr>
          <w:p w14:paraId="547A0214"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2,022</w:t>
            </w:r>
          </w:p>
        </w:tc>
        <w:tc>
          <w:tcPr>
            <w:tcW w:w="809" w:type="dxa"/>
            <w:vAlign w:val="center"/>
            <w:hideMark/>
          </w:tcPr>
          <w:p w14:paraId="67AE8EFB"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8,855</w:t>
            </w:r>
          </w:p>
        </w:tc>
        <w:tc>
          <w:tcPr>
            <w:tcW w:w="741" w:type="dxa"/>
            <w:vAlign w:val="center"/>
            <w:hideMark/>
          </w:tcPr>
          <w:p w14:paraId="2EB02B98"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5,108</w:t>
            </w:r>
          </w:p>
        </w:tc>
        <w:tc>
          <w:tcPr>
            <w:tcW w:w="791" w:type="dxa"/>
            <w:vAlign w:val="center"/>
            <w:hideMark/>
          </w:tcPr>
          <w:p w14:paraId="37853C16"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293</w:t>
            </w:r>
          </w:p>
        </w:tc>
        <w:tc>
          <w:tcPr>
            <w:tcW w:w="898" w:type="dxa"/>
            <w:vAlign w:val="center"/>
            <w:hideMark/>
          </w:tcPr>
          <w:p w14:paraId="0D5EF7FB"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$2,113</w:t>
            </w:r>
          </w:p>
        </w:tc>
        <w:tc>
          <w:tcPr>
            <w:tcW w:w="810" w:type="dxa"/>
            <w:vAlign w:val="center"/>
            <w:hideMark/>
          </w:tcPr>
          <w:p w14:paraId="0F5BFF73"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3,045</w:t>
            </w:r>
          </w:p>
        </w:tc>
        <w:tc>
          <w:tcPr>
            <w:tcW w:w="900" w:type="dxa"/>
            <w:vAlign w:val="center"/>
            <w:hideMark/>
          </w:tcPr>
          <w:p w14:paraId="57639925"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$2,566</w:t>
            </w:r>
          </w:p>
        </w:tc>
        <w:tc>
          <w:tcPr>
            <w:tcW w:w="900" w:type="dxa"/>
            <w:vAlign w:val="center"/>
            <w:hideMark/>
          </w:tcPr>
          <w:p w14:paraId="22F70D64"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1,627</w:t>
            </w:r>
          </w:p>
        </w:tc>
        <w:tc>
          <w:tcPr>
            <w:tcW w:w="900" w:type="dxa"/>
            <w:vAlign w:val="center"/>
            <w:hideMark/>
          </w:tcPr>
          <w:p w14:paraId="7AC96CD9"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$3,455</w:t>
            </w:r>
          </w:p>
        </w:tc>
        <w:tc>
          <w:tcPr>
            <w:tcW w:w="900" w:type="dxa"/>
            <w:vAlign w:val="center"/>
            <w:hideMark/>
          </w:tcPr>
          <w:p w14:paraId="1C61B187"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143</w:t>
            </w:r>
          </w:p>
        </w:tc>
        <w:tc>
          <w:tcPr>
            <w:tcW w:w="1080" w:type="dxa"/>
            <w:vAlign w:val="center"/>
            <w:hideMark/>
          </w:tcPr>
          <w:p w14:paraId="6AE442B6"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$5,047</w:t>
            </w:r>
          </w:p>
        </w:tc>
      </w:tr>
      <w:tr w:rsidR="00853FBB" w:rsidRPr="000E4461" w14:paraId="022264D1" w14:textId="77777777" w:rsidTr="00853FB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13" w:type="dxa"/>
            <w:vMerge/>
            <w:tcBorders>
              <w:left w:val="none" w:sz="0" w:space="0" w:color="auto"/>
            </w:tcBorders>
            <w:shd w:val="clear" w:color="auto" w:fill="D9D9D9" w:themeFill="background1" w:themeFillShade="D9"/>
            <w:hideMark/>
          </w:tcPr>
          <w:p w14:paraId="1E9B2EF5" w14:textId="77777777" w:rsidR="00F84F9F" w:rsidRPr="000E4461" w:rsidRDefault="00F84F9F" w:rsidP="000E4461">
            <w:pPr>
              <w:spacing w:line="360" w:lineRule="auto"/>
              <w:jc w:val="center"/>
              <w:rPr>
                <w:rFonts w:ascii="Times New Roman" w:eastAsia="Times New Roman" w:hAnsi="Times New Roman" w:cs="Times New Roman"/>
                <w:color w:val="000000" w:themeColor="text1"/>
              </w:rPr>
            </w:pPr>
          </w:p>
        </w:tc>
        <w:tc>
          <w:tcPr>
            <w:tcW w:w="783" w:type="dxa"/>
            <w:shd w:val="clear" w:color="auto" w:fill="F7CAAC" w:themeFill="accent2" w:themeFillTint="66"/>
            <w:vAlign w:val="center"/>
            <w:hideMark/>
          </w:tcPr>
          <w:p w14:paraId="42652068"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2,014</w:t>
            </w:r>
          </w:p>
        </w:tc>
        <w:tc>
          <w:tcPr>
            <w:tcW w:w="809" w:type="dxa"/>
            <w:shd w:val="clear" w:color="auto" w:fill="F7CAAC" w:themeFill="accent2" w:themeFillTint="66"/>
            <w:vAlign w:val="center"/>
            <w:hideMark/>
          </w:tcPr>
          <w:p w14:paraId="3C99007C"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7,028</w:t>
            </w:r>
          </w:p>
        </w:tc>
        <w:tc>
          <w:tcPr>
            <w:tcW w:w="741" w:type="dxa"/>
            <w:shd w:val="clear" w:color="auto" w:fill="F7CAAC" w:themeFill="accent2" w:themeFillTint="66"/>
            <w:vAlign w:val="center"/>
            <w:hideMark/>
          </w:tcPr>
          <w:p w14:paraId="54B4728E"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3,272</w:t>
            </w:r>
          </w:p>
        </w:tc>
        <w:tc>
          <w:tcPr>
            <w:tcW w:w="791" w:type="dxa"/>
            <w:shd w:val="clear" w:color="auto" w:fill="F7CAAC" w:themeFill="accent2" w:themeFillTint="66"/>
            <w:vAlign w:val="center"/>
            <w:hideMark/>
          </w:tcPr>
          <w:p w14:paraId="299BA5CD"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101</w:t>
            </w:r>
          </w:p>
        </w:tc>
        <w:tc>
          <w:tcPr>
            <w:tcW w:w="898" w:type="dxa"/>
            <w:shd w:val="clear" w:color="auto" w:fill="F7CAAC" w:themeFill="accent2" w:themeFillTint="66"/>
            <w:vAlign w:val="center"/>
            <w:hideMark/>
          </w:tcPr>
          <w:p w14:paraId="533478BF" w14:textId="320E996A" w:rsidR="00F84F9F" w:rsidRPr="000E4461" w:rsidRDefault="00853FBB"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w:t>
            </w:r>
            <w:r w:rsidR="00F84F9F" w:rsidRPr="000E4461">
              <w:rPr>
                <w:rFonts w:ascii="Times New Roman" w:eastAsia="Times New Roman" w:hAnsi="Times New Roman" w:cs="Times New Roman"/>
                <w:color w:val="000000" w:themeColor="text1"/>
              </w:rPr>
              <w:t>1,351</w:t>
            </w:r>
          </w:p>
        </w:tc>
        <w:tc>
          <w:tcPr>
            <w:tcW w:w="810" w:type="dxa"/>
            <w:shd w:val="clear" w:color="auto" w:fill="F7CAAC" w:themeFill="accent2" w:themeFillTint="66"/>
            <w:vAlign w:val="center"/>
            <w:hideMark/>
          </w:tcPr>
          <w:p w14:paraId="1F0917F9"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2,049</w:t>
            </w:r>
          </w:p>
        </w:tc>
        <w:tc>
          <w:tcPr>
            <w:tcW w:w="900" w:type="dxa"/>
            <w:shd w:val="clear" w:color="auto" w:fill="F7CAAC" w:themeFill="accent2" w:themeFillTint="66"/>
            <w:vAlign w:val="center"/>
            <w:hideMark/>
          </w:tcPr>
          <w:p w14:paraId="3AE9641A" w14:textId="74BE8F0C" w:rsidR="00F84F9F" w:rsidRPr="000E4461" w:rsidRDefault="00853FBB"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w:t>
            </w:r>
            <w:r w:rsidR="00F84F9F" w:rsidRPr="000E4461">
              <w:rPr>
                <w:rFonts w:ascii="Times New Roman" w:eastAsia="Times New Roman" w:hAnsi="Times New Roman" w:cs="Times New Roman"/>
                <w:color w:val="000000" w:themeColor="text1"/>
              </w:rPr>
              <w:t>1,681</w:t>
            </w:r>
          </w:p>
        </w:tc>
        <w:tc>
          <w:tcPr>
            <w:tcW w:w="900" w:type="dxa"/>
            <w:shd w:val="clear" w:color="auto" w:fill="F7CAAC" w:themeFill="accent2" w:themeFillTint="66"/>
            <w:vAlign w:val="center"/>
            <w:hideMark/>
          </w:tcPr>
          <w:p w14:paraId="26B21F93"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1,077</w:t>
            </w:r>
          </w:p>
        </w:tc>
        <w:tc>
          <w:tcPr>
            <w:tcW w:w="900" w:type="dxa"/>
            <w:shd w:val="clear" w:color="auto" w:fill="F7CAAC" w:themeFill="accent2" w:themeFillTint="66"/>
            <w:vAlign w:val="center"/>
            <w:hideMark/>
          </w:tcPr>
          <w:p w14:paraId="1A7213FC" w14:textId="1191958E" w:rsidR="00F84F9F" w:rsidRPr="000E4461" w:rsidRDefault="00853FBB"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w:t>
            </w:r>
            <w:r w:rsidR="00F84F9F" w:rsidRPr="000E4461">
              <w:rPr>
                <w:rFonts w:ascii="Times New Roman" w:eastAsia="Times New Roman" w:hAnsi="Times New Roman" w:cs="Times New Roman"/>
                <w:color w:val="000000" w:themeColor="text1"/>
              </w:rPr>
              <w:t>2,415</w:t>
            </w:r>
          </w:p>
        </w:tc>
        <w:tc>
          <w:tcPr>
            <w:tcW w:w="900" w:type="dxa"/>
            <w:shd w:val="clear" w:color="auto" w:fill="F7CAAC" w:themeFill="accent2" w:themeFillTint="66"/>
            <w:vAlign w:val="center"/>
            <w:hideMark/>
          </w:tcPr>
          <w:p w14:paraId="25756C43"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45</w:t>
            </w:r>
          </w:p>
        </w:tc>
        <w:tc>
          <w:tcPr>
            <w:tcW w:w="1080" w:type="dxa"/>
            <w:shd w:val="clear" w:color="auto" w:fill="F7CAAC" w:themeFill="accent2" w:themeFillTint="66"/>
            <w:vAlign w:val="center"/>
            <w:hideMark/>
          </w:tcPr>
          <w:p w14:paraId="24C70548" w14:textId="4D82C029" w:rsidR="00F84F9F" w:rsidRPr="000E4461" w:rsidRDefault="00853FBB"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w:t>
            </w:r>
            <w:r w:rsidR="00F84F9F" w:rsidRPr="000E4461">
              <w:rPr>
                <w:rFonts w:ascii="Times New Roman" w:eastAsia="Times New Roman" w:hAnsi="Times New Roman" w:cs="Times New Roman"/>
                <w:color w:val="000000" w:themeColor="text1"/>
              </w:rPr>
              <w:t>3,315</w:t>
            </w:r>
          </w:p>
        </w:tc>
      </w:tr>
      <w:tr w:rsidR="005329C9" w:rsidRPr="000E4461" w14:paraId="51A294AD" w14:textId="77777777" w:rsidTr="00853FBB">
        <w:trPr>
          <w:trHeight w:val="405"/>
        </w:trPr>
        <w:tc>
          <w:tcPr>
            <w:cnfStyle w:val="001000000000" w:firstRow="0" w:lastRow="0" w:firstColumn="1" w:lastColumn="0" w:oddVBand="0" w:evenVBand="0" w:oddHBand="0" w:evenHBand="0" w:firstRowFirstColumn="0" w:firstRowLastColumn="0" w:lastRowFirstColumn="0" w:lastRowLastColumn="0"/>
            <w:tcW w:w="1013" w:type="dxa"/>
            <w:vMerge w:val="restart"/>
            <w:tcBorders>
              <w:left w:val="none" w:sz="0" w:space="0" w:color="auto"/>
            </w:tcBorders>
            <w:shd w:val="clear" w:color="auto" w:fill="D9D9D9" w:themeFill="background1" w:themeFillShade="D9"/>
            <w:hideMark/>
          </w:tcPr>
          <w:p w14:paraId="7C82483D" w14:textId="77777777" w:rsidR="00F84F9F" w:rsidRPr="000E4461" w:rsidRDefault="00F84F9F" w:rsidP="000E4461">
            <w:pPr>
              <w:spacing w:line="360" w:lineRule="auto"/>
              <w:jc w:val="center"/>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Toronto East</w:t>
            </w:r>
          </w:p>
        </w:tc>
        <w:tc>
          <w:tcPr>
            <w:tcW w:w="783" w:type="dxa"/>
            <w:vAlign w:val="center"/>
            <w:hideMark/>
          </w:tcPr>
          <w:p w14:paraId="2D1A53B6"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2,022</w:t>
            </w:r>
          </w:p>
        </w:tc>
        <w:tc>
          <w:tcPr>
            <w:tcW w:w="809" w:type="dxa"/>
            <w:vAlign w:val="center"/>
            <w:hideMark/>
          </w:tcPr>
          <w:p w14:paraId="660A27C9"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741</w:t>
            </w:r>
          </w:p>
        </w:tc>
        <w:tc>
          <w:tcPr>
            <w:tcW w:w="741" w:type="dxa"/>
            <w:vAlign w:val="center"/>
            <w:hideMark/>
          </w:tcPr>
          <w:p w14:paraId="2EA52C7A"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480</w:t>
            </w:r>
          </w:p>
        </w:tc>
        <w:tc>
          <w:tcPr>
            <w:tcW w:w="791" w:type="dxa"/>
            <w:vAlign w:val="center"/>
            <w:hideMark/>
          </w:tcPr>
          <w:p w14:paraId="11A811B9"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13</w:t>
            </w:r>
          </w:p>
        </w:tc>
        <w:tc>
          <w:tcPr>
            <w:tcW w:w="898" w:type="dxa"/>
            <w:vAlign w:val="center"/>
            <w:hideMark/>
          </w:tcPr>
          <w:p w14:paraId="77BCB208"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$1,904</w:t>
            </w:r>
          </w:p>
        </w:tc>
        <w:tc>
          <w:tcPr>
            <w:tcW w:w="810" w:type="dxa"/>
            <w:vAlign w:val="center"/>
            <w:hideMark/>
          </w:tcPr>
          <w:p w14:paraId="1D06D638"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270</w:t>
            </w:r>
          </w:p>
        </w:tc>
        <w:tc>
          <w:tcPr>
            <w:tcW w:w="900" w:type="dxa"/>
            <w:vAlign w:val="center"/>
            <w:hideMark/>
          </w:tcPr>
          <w:p w14:paraId="2A54D8D1"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$2,291</w:t>
            </w:r>
          </w:p>
        </w:tc>
        <w:tc>
          <w:tcPr>
            <w:tcW w:w="900" w:type="dxa"/>
            <w:vAlign w:val="center"/>
            <w:hideMark/>
          </w:tcPr>
          <w:p w14:paraId="140EA5CA"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174</w:t>
            </w:r>
          </w:p>
        </w:tc>
        <w:tc>
          <w:tcPr>
            <w:tcW w:w="900" w:type="dxa"/>
            <w:vAlign w:val="center"/>
            <w:hideMark/>
          </w:tcPr>
          <w:p w14:paraId="10FB0463"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$2,800</w:t>
            </w:r>
          </w:p>
        </w:tc>
        <w:tc>
          <w:tcPr>
            <w:tcW w:w="900" w:type="dxa"/>
            <w:vAlign w:val="center"/>
            <w:hideMark/>
          </w:tcPr>
          <w:p w14:paraId="08E400D1"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23</w:t>
            </w:r>
          </w:p>
        </w:tc>
        <w:tc>
          <w:tcPr>
            <w:tcW w:w="1080" w:type="dxa"/>
            <w:vAlign w:val="center"/>
            <w:hideMark/>
          </w:tcPr>
          <w:p w14:paraId="2E0003E8" w14:textId="77777777" w:rsidR="00F84F9F" w:rsidRPr="000E4461" w:rsidRDefault="00F84F9F" w:rsidP="000E4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$3,223</w:t>
            </w:r>
          </w:p>
        </w:tc>
      </w:tr>
      <w:tr w:rsidR="00853FBB" w:rsidRPr="000E4461" w14:paraId="4B751E00" w14:textId="77777777" w:rsidTr="00853FB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13" w:type="dxa"/>
            <w:vMerge/>
            <w:tcBorders>
              <w:left w:val="none" w:sz="0" w:space="0" w:color="auto"/>
              <w:bottom w:val="none" w:sz="0" w:space="0" w:color="auto"/>
            </w:tcBorders>
            <w:shd w:val="clear" w:color="auto" w:fill="D9D9D9" w:themeFill="background1" w:themeFillShade="D9"/>
            <w:hideMark/>
          </w:tcPr>
          <w:p w14:paraId="652E8FEE" w14:textId="77777777" w:rsidR="00F84F9F" w:rsidRPr="000E4461" w:rsidRDefault="00F84F9F" w:rsidP="000E4461">
            <w:pPr>
              <w:spacing w:line="360" w:lineRule="auto"/>
              <w:jc w:val="both"/>
              <w:rPr>
                <w:rFonts w:ascii="Times New Roman" w:eastAsia="Times New Roman" w:hAnsi="Times New Roman" w:cs="Times New Roman"/>
                <w:color w:val="000000" w:themeColor="text1"/>
                <w:sz w:val="28"/>
                <w:szCs w:val="28"/>
              </w:rPr>
            </w:pPr>
          </w:p>
        </w:tc>
        <w:tc>
          <w:tcPr>
            <w:tcW w:w="783" w:type="dxa"/>
            <w:shd w:val="clear" w:color="auto" w:fill="F7CAAC" w:themeFill="accent2" w:themeFillTint="66"/>
            <w:vAlign w:val="center"/>
            <w:hideMark/>
          </w:tcPr>
          <w:p w14:paraId="46548A8E"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2,014</w:t>
            </w:r>
          </w:p>
        </w:tc>
        <w:tc>
          <w:tcPr>
            <w:tcW w:w="809" w:type="dxa"/>
            <w:shd w:val="clear" w:color="auto" w:fill="F7CAAC" w:themeFill="accent2" w:themeFillTint="66"/>
            <w:vAlign w:val="center"/>
            <w:hideMark/>
          </w:tcPr>
          <w:p w14:paraId="34545569"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478</w:t>
            </w:r>
          </w:p>
        </w:tc>
        <w:tc>
          <w:tcPr>
            <w:tcW w:w="741" w:type="dxa"/>
            <w:shd w:val="clear" w:color="auto" w:fill="F7CAAC" w:themeFill="accent2" w:themeFillTint="66"/>
            <w:vAlign w:val="center"/>
            <w:hideMark/>
          </w:tcPr>
          <w:p w14:paraId="225D5F3C"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250</w:t>
            </w:r>
          </w:p>
        </w:tc>
        <w:tc>
          <w:tcPr>
            <w:tcW w:w="791" w:type="dxa"/>
            <w:shd w:val="clear" w:color="auto" w:fill="F7CAAC" w:themeFill="accent2" w:themeFillTint="66"/>
            <w:vAlign w:val="center"/>
            <w:hideMark/>
          </w:tcPr>
          <w:p w14:paraId="731B3C36"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5</w:t>
            </w:r>
          </w:p>
        </w:tc>
        <w:tc>
          <w:tcPr>
            <w:tcW w:w="898" w:type="dxa"/>
            <w:shd w:val="clear" w:color="auto" w:fill="F7CAAC" w:themeFill="accent2" w:themeFillTint="66"/>
            <w:vAlign w:val="center"/>
            <w:hideMark/>
          </w:tcPr>
          <w:p w14:paraId="76E1E564" w14:textId="2CC80C6E" w:rsidR="00F84F9F" w:rsidRPr="000E4461" w:rsidRDefault="00853FBB"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w:t>
            </w:r>
            <w:r w:rsidR="00F84F9F" w:rsidRPr="000E4461">
              <w:rPr>
                <w:rFonts w:ascii="Times New Roman" w:eastAsia="Times New Roman" w:hAnsi="Times New Roman" w:cs="Times New Roman"/>
                <w:color w:val="000000" w:themeColor="text1"/>
              </w:rPr>
              <w:t>995</w:t>
            </w:r>
          </w:p>
        </w:tc>
        <w:tc>
          <w:tcPr>
            <w:tcW w:w="810" w:type="dxa"/>
            <w:shd w:val="clear" w:color="auto" w:fill="F7CAAC" w:themeFill="accent2" w:themeFillTint="66"/>
            <w:vAlign w:val="center"/>
            <w:hideMark/>
          </w:tcPr>
          <w:p w14:paraId="532A1E3F"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134</w:t>
            </w:r>
          </w:p>
        </w:tc>
        <w:tc>
          <w:tcPr>
            <w:tcW w:w="900" w:type="dxa"/>
            <w:shd w:val="clear" w:color="auto" w:fill="F7CAAC" w:themeFill="accent2" w:themeFillTint="66"/>
            <w:vAlign w:val="center"/>
            <w:hideMark/>
          </w:tcPr>
          <w:p w14:paraId="11D7268A"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1,403</w:t>
            </w:r>
          </w:p>
        </w:tc>
        <w:tc>
          <w:tcPr>
            <w:tcW w:w="900" w:type="dxa"/>
            <w:shd w:val="clear" w:color="auto" w:fill="F7CAAC" w:themeFill="accent2" w:themeFillTint="66"/>
            <w:vAlign w:val="center"/>
            <w:hideMark/>
          </w:tcPr>
          <w:p w14:paraId="05EE32D6"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102</w:t>
            </w:r>
          </w:p>
        </w:tc>
        <w:tc>
          <w:tcPr>
            <w:tcW w:w="900" w:type="dxa"/>
            <w:shd w:val="clear" w:color="auto" w:fill="F7CAAC" w:themeFill="accent2" w:themeFillTint="66"/>
            <w:vAlign w:val="center"/>
            <w:hideMark/>
          </w:tcPr>
          <w:p w14:paraId="1E20DFC9" w14:textId="192327E7" w:rsidR="00F84F9F" w:rsidRPr="000E4461" w:rsidRDefault="00853FBB"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w:t>
            </w:r>
            <w:r w:rsidR="00F84F9F" w:rsidRPr="000E4461">
              <w:rPr>
                <w:rFonts w:ascii="Times New Roman" w:eastAsia="Times New Roman" w:hAnsi="Times New Roman" w:cs="Times New Roman"/>
                <w:color w:val="000000" w:themeColor="text1"/>
              </w:rPr>
              <w:t>1,637</w:t>
            </w:r>
          </w:p>
        </w:tc>
        <w:tc>
          <w:tcPr>
            <w:tcW w:w="900" w:type="dxa"/>
            <w:shd w:val="clear" w:color="auto" w:fill="F7CAAC" w:themeFill="accent2" w:themeFillTint="66"/>
            <w:vAlign w:val="center"/>
            <w:hideMark/>
          </w:tcPr>
          <w:p w14:paraId="6E35E3A7" w14:textId="77777777" w:rsidR="00F84F9F" w:rsidRPr="000E4461" w:rsidRDefault="00F84F9F"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9</w:t>
            </w:r>
          </w:p>
        </w:tc>
        <w:tc>
          <w:tcPr>
            <w:tcW w:w="1080" w:type="dxa"/>
            <w:shd w:val="clear" w:color="auto" w:fill="F7CAAC" w:themeFill="accent2" w:themeFillTint="66"/>
            <w:vAlign w:val="center"/>
            <w:hideMark/>
          </w:tcPr>
          <w:p w14:paraId="246B825E" w14:textId="2C12C807" w:rsidR="00F84F9F" w:rsidRPr="000E4461" w:rsidRDefault="00853FBB" w:rsidP="000E44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E4461">
              <w:rPr>
                <w:rFonts w:ascii="Times New Roman" w:eastAsia="Times New Roman" w:hAnsi="Times New Roman" w:cs="Times New Roman"/>
                <w:color w:val="000000" w:themeColor="text1"/>
              </w:rPr>
              <w:t>$</w:t>
            </w:r>
            <w:r w:rsidR="00F84F9F" w:rsidRPr="000E4461">
              <w:rPr>
                <w:rFonts w:ascii="Times New Roman" w:eastAsia="Times New Roman" w:hAnsi="Times New Roman" w:cs="Times New Roman"/>
                <w:color w:val="000000" w:themeColor="text1"/>
              </w:rPr>
              <w:t>1,802</w:t>
            </w:r>
          </w:p>
        </w:tc>
      </w:tr>
    </w:tbl>
    <w:p w14:paraId="606FB52E" w14:textId="1E5DC5B8" w:rsidR="00F84F9F" w:rsidRPr="000E4461" w:rsidRDefault="00F84F9F" w:rsidP="000E4461">
      <w:pPr>
        <w:spacing w:line="360" w:lineRule="auto"/>
        <w:jc w:val="both"/>
        <w:rPr>
          <w:rFonts w:ascii="Times New Roman" w:hAnsi="Times New Roman" w:cs="Times New Roman"/>
          <w:color w:val="191919"/>
          <w:shd w:val="clear" w:color="auto" w:fill="FFFFFF"/>
        </w:rPr>
      </w:pPr>
      <w:r w:rsidRPr="000E4461">
        <w:rPr>
          <w:rFonts w:ascii="Times New Roman" w:hAnsi="Times New Roman" w:cs="Times New Roman"/>
          <w:b/>
          <w:bCs/>
          <w:color w:val="191919"/>
          <w:shd w:val="clear" w:color="auto" w:fill="FFFFFF"/>
        </w:rPr>
        <w:t>Table 1 Rental rates in Toronto in 2014 and 2022 (Data Source TRREB 2014 and 2022 Quarter 4 rental reports)</w:t>
      </w:r>
    </w:p>
    <w:p w14:paraId="2C1B1EA2" w14:textId="771D3175" w:rsidR="00A9586F" w:rsidRPr="000E4461" w:rsidRDefault="00F84F9F" w:rsidP="000E4461">
      <w:pPr>
        <w:spacing w:line="360" w:lineRule="auto"/>
        <w:jc w:val="both"/>
        <w:rPr>
          <w:rFonts w:ascii="Times New Roman" w:hAnsi="Times New Roman" w:cs="Times New Roman"/>
          <w:color w:val="191919"/>
          <w:sz w:val="28"/>
          <w:szCs w:val="28"/>
          <w:shd w:val="clear" w:color="auto" w:fill="FFFFFF"/>
        </w:rPr>
      </w:pPr>
      <w:r w:rsidRPr="000E4461">
        <w:rPr>
          <w:rFonts w:ascii="Times New Roman" w:hAnsi="Times New Roman" w:cs="Times New Roman"/>
          <w:color w:val="191919"/>
          <w:sz w:val="28"/>
          <w:szCs w:val="28"/>
          <w:shd w:val="clear" w:color="auto" w:fill="FFFFFF"/>
        </w:rPr>
        <w:t xml:space="preserve">Landlords are becoming </w:t>
      </w:r>
      <w:r w:rsidR="000E4461" w:rsidRPr="000E4461">
        <w:rPr>
          <w:rFonts w:ascii="Times New Roman" w:hAnsi="Times New Roman" w:cs="Times New Roman"/>
          <w:color w:val="191919"/>
          <w:sz w:val="28"/>
          <w:szCs w:val="28"/>
          <w:shd w:val="clear" w:color="auto" w:fill="FFFFFF"/>
        </w:rPr>
        <w:t>choosier</w:t>
      </w:r>
      <w:r w:rsidRPr="000E4461">
        <w:rPr>
          <w:rFonts w:ascii="Times New Roman" w:hAnsi="Times New Roman" w:cs="Times New Roman"/>
          <w:color w:val="191919"/>
          <w:sz w:val="28"/>
          <w:szCs w:val="28"/>
          <w:shd w:val="clear" w:color="auto" w:fill="FFFFFF"/>
        </w:rPr>
        <w:t>, causing some renters to rush for available rentals, and even super-qualified candidates are having difficulty competing with other extremely qualified applicants. The lower-income individuals are having a hard time.</w:t>
      </w:r>
      <w:r w:rsidR="0073442B" w:rsidRPr="000E4461">
        <w:rPr>
          <w:rFonts w:ascii="Times New Roman" w:hAnsi="Times New Roman" w:cs="Times New Roman"/>
          <w:color w:val="191919"/>
          <w:sz w:val="28"/>
          <w:szCs w:val="28"/>
          <w:shd w:val="clear" w:color="auto" w:fill="FFFFFF"/>
        </w:rPr>
        <w:t>[2]</w:t>
      </w:r>
    </w:p>
    <w:p w14:paraId="24546015" w14:textId="0E202BB8" w:rsidR="00EF3291" w:rsidRPr="000E4461" w:rsidRDefault="00EF3291" w:rsidP="000E4461">
      <w:pPr>
        <w:spacing w:line="360" w:lineRule="auto"/>
        <w:jc w:val="both"/>
        <w:rPr>
          <w:rFonts w:ascii="Times New Roman" w:hAnsi="Times New Roman" w:cs="Times New Roman"/>
          <w:b/>
          <w:bCs/>
          <w:color w:val="000000" w:themeColor="text1"/>
          <w:sz w:val="28"/>
          <w:szCs w:val="28"/>
        </w:rPr>
      </w:pPr>
      <w:r w:rsidRPr="000E4461">
        <w:rPr>
          <w:rFonts w:ascii="Times New Roman" w:hAnsi="Times New Roman" w:cs="Times New Roman"/>
          <w:b/>
          <w:bCs/>
          <w:color w:val="000000" w:themeColor="text1"/>
          <w:sz w:val="28"/>
          <w:szCs w:val="28"/>
        </w:rPr>
        <w:lastRenderedPageBreak/>
        <w:t>High-skilled Workers</w:t>
      </w:r>
    </w:p>
    <w:p w14:paraId="79DCC4F2" w14:textId="3F3D0E24" w:rsidR="0073442B" w:rsidRPr="000E4461" w:rsidRDefault="0073442B"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According to the Census 2021, Toronto is the home to 1,286,140 immigrants or 46.6 percent of the population [3]. And this increased by 1.1% in the year 2022 as per the data available in Simply Analytics, a web-based analytics application. The record number of new immigrants admitted to Canada from 2016 to 2021 is driving the country's demographic increase.[4]. People come as immigrants to Canada in either of 4 categories:[5]</w:t>
      </w:r>
    </w:p>
    <w:p w14:paraId="257C8109" w14:textId="77777777" w:rsidR="0073442B" w:rsidRPr="000E4461" w:rsidRDefault="0073442B" w:rsidP="000E4461">
      <w:pPr>
        <w:shd w:val="clear" w:color="auto" w:fill="FFFFFF"/>
        <w:spacing w:after="0" w:line="360" w:lineRule="auto"/>
        <w:jc w:val="both"/>
        <w:outlineLvl w:val="1"/>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1.Economic Immigrant</w:t>
      </w:r>
    </w:p>
    <w:p w14:paraId="346EF955" w14:textId="77777777" w:rsidR="0073442B" w:rsidRPr="000E4461" w:rsidRDefault="0073442B" w:rsidP="000E4461">
      <w:pPr>
        <w:shd w:val="clear" w:color="auto" w:fill="FFFFFF"/>
        <w:spacing w:after="0" w:line="360" w:lineRule="auto"/>
        <w:jc w:val="both"/>
        <w:outlineLvl w:val="1"/>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2.Family Sponsorship</w:t>
      </w:r>
    </w:p>
    <w:p w14:paraId="205FFB29" w14:textId="77777777" w:rsidR="0073442B" w:rsidRPr="000E4461" w:rsidRDefault="0073442B" w:rsidP="000E4461">
      <w:pPr>
        <w:shd w:val="clear" w:color="auto" w:fill="FFFFFF"/>
        <w:spacing w:after="0" w:line="360" w:lineRule="auto"/>
        <w:jc w:val="both"/>
        <w:outlineLvl w:val="1"/>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3. Refugee</w:t>
      </w:r>
    </w:p>
    <w:p w14:paraId="1D332019" w14:textId="77777777" w:rsidR="0073442B" w:rsidRPr="000E4461" w:rsidRDefault="0073442B" w:rsidP="000E4461">
      <w:pPr>
        <w:shd w:val="clear" w:color="auto" w:fill="FFFFFF"/>
        <w:spacing w:after="0" w:line="360" w:lineRule="auto"/>
        <w:jc w:val="both"/>
        <w:outlineLvl w:val="1"/>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4. Other programs which are not included in the above categories</w:t>
      </w:r>
    </w:p>
    <w:p w14:paraId="4D632E81" w14:textId="1FF22DA5" w:rsidR="0073442B" w:rsidRPr="000E4461" w:rsidRDefault="0073442B"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 xml:space="preserve">However, an evaluation study by IRCC revealed that Express Entry principal applicants generally outperform their non-Express Entry counterparts. </w:t>
      </w:r>
      <w:r w:rsidR="000E4461" w:rsidRPr="000E4461">
        <w:rPr>
          <w:rFonts w:ascii="Times New Roman" w:hAnsi="Times New Roman" w:cs="Times New Roman"/>
          <w:color w:val="000000" w:themeColor="text1"/>
          <w:sz w:val="28"/>
          <w:szCs w:val="28"/>
        </w:rPr>
        <w:t>95%</w:t>
      </w:r>
      <w:r w:rsidRPr="000E4461">
        <w:rPr>
          <w:rFonts w:ascii="Times New Roman" w:hAnsi="Times New Roman" w:cs="Times New Roman"/>
          <w:color w:val="000000" w:themeColor="text1"/>
          <w:sz w:val="28"/>
          <w:szCs w:val="28"/>
        </w:rPr>
        <w:t xml:space="preserve"> of Express Entry principal applicants have become established economically, and the incidence of employment is high across the four immigration categories.[</w:t>
      </w:r>
      <w:r w:rsidR="00D571FF" w:rsidRPr="000E4461">
        <w:rPr>
          <w:rFonts w:ascii="Times New Roman" w:hAnsi="Times New Roman" w:cs="Times New Roman"/>
          <w:color w:val="000000" w:themeColor="text1"/>
          <w:sz w:val="28"/>
          <w:szCs w:val="28"/>
        </w:rPr>
        <w:t>6</w:t>
      </w:r>
      <w:r w:rsidRPr="000E4461">
        <w:rPr>
          <w:rFonts w:ascii="Times New Roman" w:hAnsi="Times New Roman" w:cs="Times New Roman"/>
          <w:color w:val="000000" w:themeColor="text1"/>
          <w:sz w:val="28"/>
          <w:szCs w:val="28"/>
        </w:rPr>
        <w:t>]</w:t>
      </w:r>
      <w:r w:rsidR="00164493" w:rsidRPr="000E4461">
        <w:rPr>
          <w:rFonts w:ascii="Times New Roman" w:hAnsi="Times New Roman" w:cs="Times New Roman"/>
          <w:color w:val="000000" w:themeColor="text1"/>
          <w:sz w:val="28"/>
          <w:szCs w:val="28"/>
        </w:rPr>
        <w:t>. This needs further study.</w:t>
      </w:r>
    </w:p>
    <w:p w14:paraId="17394A65" w14:textId="27088F71" w:rsidR="00EF3291" w:rsidRPr="000E4461" w:rsidRDefault="00EF3291"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In January 2015, Express Entry was introduced to manage the application process for some of Canada's economic immigration programs, including Federal Skilled Worker Programs, Federal Skilled Trades Programs, Canadian Experience Classes, and Provincial Nominee Programs. Because they are chosen using a point system and have the necessary skills and education for their intended occupation, their employment rate is high. Since the Covid epidemic, many immigrants have settled in cities, and many are computer professionals (see Table</w:t>
      </w:r>
      <w:r w:rsidR="00853FBB" w:rsidRPr="000E4461">
        <w:rPr>
          <w:rFonts w:ascii="Times New Roman" w:hAnsi="Times New Roman" w:cs="Times New Roman"/>
          <w:color w:val="000000" w:themeColor="text1"/>
          <w:sz w:val="28"/>
          <w:szCs w:val="28"/>
        </w:rPr>
        <w:t>2) who</w:t>
      </w:r>
      <w:r w:rsidRPr="000E4461">
        <w:rPr>
          <w:rFonts w:ascii="Times New Roman" w:hAnsi="Times New Roman" w:cs="Times New Roman"/>
          <w:color w:val="000000" w:themeColor="text1"/>
          <w:sz w:val="28"/>
          <w:szCs w:val="28"/>
        </w:rPr>
        <w:t xml:space="preserve"> work from home. If they come as a family, they rent an apartment with at least two bedrooms to set up their home office. This increased demand for apartments is causing rental prices to rise. These highly qualified immigrants prefer condos over large residences in the suburbs because they have shorter commutes and easier access to amenities. In addition, most condos come with some basic appliances</w:t>
      </w:r>
      <w:r w:rsidR="00853FBB" w:rsidRPr="000E4461">
        <w:rPr>
          <w:rFonts w:ascii="Times New Roman" w:hAnsi="Times New Roman" w:cs="Times New Roman"/>
          <w:color w:val="000000" w:themeColor="text1"/>
          <w:sz w:val="28"/>
          <w:szCs w:val="28"/>
        </w:rPr>
        <w:t>.</w:t>
      </w:r>
    </w:p>
    <w:p w14:paraId="5F00AC2A" w14:textId="68BA7B77" w:rsidR="00A9586F" w:rsidRPr="000E4461" w:rsidRDefault="00EF3291" w:rsidP="000E4461">
      <w:pPr>
        <w:spacing w:line="360" w:lineRule="auto"/>
        <w:jc w:val="both"/>
        <w:rPr>
          <w:rFonts w:ascii="Times New Roman" w:eastAsia="Times New Roman" w:hAnsi="Times New Roman" w:cs="Times New Roman"/>
          <w:b/>
          <w:bCs/>
          <w:sz w:val="28"/>
          <w:szCs w:val="28"/>
        </w:rPr>
      </w:pPr>
      <w:r w:rsidRPr="000E4461">
        <w:rPr>
          <w:rFonts w:ascii="Times New Roman" w:eastAsia="Times New Roman" w:hAnsi="Times New Roman" w:cs="Times New Roman"/>
          <w:b/>
          <w:bCs/>
          <w:sz w:val="28"/>
          <w:szCs w:val="28"/>
        </w:rPr>
        <w:lastRenderedPageBreak/>
        <w:t xml:space="preserve">Top 10 Express Entry Immigrants' Profession with NOC code from 2015 -2022 ( </w:t>
      </w:r>
      <w:hyperlink r:id="rId5" w:history="1">
        <w:r w:rsidRPr="000E4461">
          <w:rPr>
            <w:rStyle w:val="Hyperlink"/>
            <w:rFonts w:ascii="Times New Roman" w:eastAsia="Times New Roman" w:hAnsi="Times New Roman" w:cs="Times New Roman"/>
            <w:b/>
            <w:bCs/>
            <w:sz w:val="28"/>
            <w:szCs w:val="28"/>
          </w:rPr>
          <w:t>Data source: IRCC</w:t>
        </w:r>
      </w:hyperlink>
      <w:r w:rsidRPr="000E4461">
        <w:rPr>
          <w:rFonts w:ascii="Times New Roman" w:eastAsia="Times New Roman" w:hAnsi="Times New Roman" w:cs="Times New Roman"/>
          <w:b/>
          <w:bCs/>
          <w:sz w:val="28"/>
          <w:szCs w:val="28"/>
        </w:rPr>
        <w:t>)</w:t>
      </w:r>
    </w:p>
    <w:tbl>
      <w:tblPr>
        <w:tblW w:w="10227" w:type="dxa"/>
        <w:tblLook w:val="04A0" w:firstRow="1" w:lastRow="0" w:firstColumn="1" w:lastColumn="0" w:noHBand="0" w:noVBand="1"/>
      </w:tblPr>
      <w:tblGrid>
        <w:gridCol w:w="990"/>
        <w:gridCol w:w="2515"/>
        <w:gridCol w:w="810"/>
        <w:gridCol w:w="720"/>
        <w:gridCol w:w="720"/>
        <w:gridCol w:w="656"/>
        <w:gridCol w:w="694"/>
        <w:gridCol w:w="766"/>
        <w:gridCol w:w="766"/>
        <w:gridCol w:w="718"/>
        <w:gridCol w:w="872"/>
      </w:tblGrid>
      <w:tr w:rsidR="00EF3291" w:rsidRPr="000E4461" w14:paraId="3F3A2B79" w14:textId="77777777" w:rsidTr="00EF3291">
        <w:trPr>
          <w:trHeight w:val="398"/>
        </w:trPr>
        <w:tc>
          <w:tcPr>
            <w:tcW w:w="990"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hideMark/>
          </w:tcPr>
          <w:p w14:paraId="4AC4385E"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 </w:t>
            </w:r>
          </w:p>
        </w:tc>
        <w:tc>
          <w:tcPr>
            <w:tcW w:w="2515"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64B35420" w14:textId="77777777" w:rsidR="00EF3291" w:rsidRPr="000E4461" w:rsidRDefault="00EF3291" w:rsidP="000E4461">
            <w:pPr>
              <w:spacing w:after="0" w:line="360" w:lineRule="auto"/>
              <w:rPr>
                <w:rFonts w:ascii="Times New Roman" w:eastAsia="Times New Roman" w:hAnsi="Times New Roman" w:cs="Times New Roman"/>
                <w:b/>
                <w:bCs/>
              </w:rPr>
            </w:pPr>
            <w:r w:rsidRPr="000E4461">
              <w:rPr>
                <w:rFonts w:ascii="Times New Roman" w:eastAsia="Times New Roman" w:hAnsi="Times New Roman" w:cs="Times New Roman"/>
                <w:b/>
                <w:bCs/>
              </w:rPr>
              <w:t>Top 10 Express Entry Immigrants' Profession</w:t>
            </w:r>
          </w:p>
        </w:tc>
        <w:tc>
          <w:tcPr>
            <w:tcW w:w="810"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4EAF31A1"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2015</w:t>
            </w:r>
          </w:p>
        </w:tc>
        <w:tc>
          <w:tcPr>
            <w:tcW w:w="720"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320FDDCF"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2016</w:t>
            </w:r>
          </w:p>
        </w:tc>
        <w:tc>
          <w:tcPr>
            <w:tcW w:w="720"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25BD0C64"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2017</w:t>
            </w:r>
          </w:p>
        </w:tc>
        <w:tc>
          <w:tcPr>
            <w:tcW w:w="656"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60912906"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2018</w:t>
            </w:r>
          </w:p>
        </w:tc>
        <w:tc>
          <w:tcPr>
            <w:tcW w:w="694"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3BDFBD12"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2019</w:t>
            </w:r>
          </w:p>
        </w:tc>
        <w:tc>
          <w:tcPr>
            <w:tcW w:w="766"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116538FA"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2020</w:t>
            </w:r>
          </w:p>
        </w:tc>
        <w:tc>
          <w:tcPr>
            <w:tcW w:w="766"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734795B3"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2021</w:t>
            </w:r>
          </w:p>
        </w:tc>
        <w:tc>
          <w:tcPr>
            <w:tcW w:w="718"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1C46EDCA"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2022</w:t>
            </w:r>
          </w:p>
        </w:tc>
        <w:tc>
          <w:tcPr>
            <w:tcW w:w="872"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681D184D"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Total</w:t>
            </w:r>
          </w:p>
        </w:tc>
      </w:tr>
      <w:tr w:rsidR="00EF3291" w:rsidRPr="000E4461" w14:paraId="213BFE96" w14:textId="77777777" w:rsidTr="00EF3291">
        <w:trPr>
          <w:trHeight w:val="598"/>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5A29135"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1</w:t>
            </w:r>
          </w:p>
        </w:tc>
        <w:tc>
          <w:tcPr>
            <w:tcW w:w="2515" w:type="dxa"/>
            <w:tcBorders>
              <w:top w:val="nil"/>
              <w:left w:val="nil"/>
              <w:bottom w:val="single" w:sz="4" w:space="0" w:color="auto"/>
              <w:right w:val="single" w:sz="4" w:space="0" w:color="auto"/>
            </w:tcBorders>
            <w:shd w:val="clear" w:color="auto" w:fill="F2F2F2" w:themeFill="background1" w:themeFillShade="F2"/>
            <w:vAlign w:val="bottom"/>
            <w:hideMark/>
          </w:tcPr>
          <w:p w14:paraId="38A96656"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2174 - Computer programmers and interactive media developers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55C7C10A"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80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6B4587A1"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190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65711403"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1245</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3E199FEA"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1110</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7818B244"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1275</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667BC7DF"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2120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35AFA8E1"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2655</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2EEE84A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555</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0F649886"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9230</w:t>
            </w:r>
          </w:p>
        </w:tc>
      </w:tr>
      <w:tr w:rsidR="00EF3291" w:rsidRPr="000E4461" w14:paraId="6C3C2C3B" w14:textId="77777777" w:rsidTr="00EF3291">
        <w:trPr>
          <w:trHeight w:val="299"/>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5A272EC"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2</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141F8494"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6311 - Food service supervisors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182DE820"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42EDC9B"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80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04D1FD01"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435</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06E3C8E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465</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6B9F594D"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560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5B31C3D3"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1690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1F326260"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5810</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6AF4C5DA"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150</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4B573940"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9210</w:t>
            </w:r>
          </w:p>
        </w:tc>
      </w:tr>
      <w:tr w:rsidR="00EF3291" w:rsidRPr="000E4461" w14:paraId="6F7C1985" w14:textId="77777777" w:rsidTr="00EF3291">
        <w:trPr>
          <w:trHeight w:val="299"/>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B79C76C"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3</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69E45AF7"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2171 - Information systems analysts and consultants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7882A2A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105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46A7A4B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205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28678AB4"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1120</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2740DD08"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970</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7E6C33E0"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1095</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180F0C84"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1725</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145FEC6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2080</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3EFD446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605</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1536B9A1"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7905</w:t>
            </w:r>
          </w:p>
        </w:tc>
      </w:tr>
      <w:tr w:rsidR="00EF3291" w:rsidRPr="000E4461" w14:paraId="148D1111" w14:textId="77777777" w:rsidTr="00EF3291">
        <w:trPr>
          <w:trHeight w:val="299"/>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6EC00D3"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4</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26E85BB9"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2173 - Software engineers and designers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3B137D1B"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60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75B357C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145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7C3BB832"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915</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1A1651E0"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735</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654FADA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840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3CC5D11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1540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0BF3F92A"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2275</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29AA7981"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835</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0C041B04"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7345</w:t>
            </w:r>
          </w:p>
        </w:tc>
      </w:tr>
      <w:tr w:rsidR="00EF3291" w:rsidRPr="000E4461" w14:paraId="6A70E24C" w14:textId="77777777" w:rsidTr="00EF3291">
        <w:trPr>
          <w:trHeight w:val="299"/>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2D47DE4"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5</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2CEE3699"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1241 - Administrative assistants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49B149D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16AF881"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50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6FCC2B33"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620</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06A2488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655</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1AC52668"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635</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185F2293"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1410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14BE1D20"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2860</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5C6FFF2F"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140</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4F9D8E82"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6390</w:t>
            </w:r>
          </w:p>
        </w:tc>
      </w:tr>
      <w:tr w:rsidR="00EF3291" w:rsidRPr="000E4461" w14:paraId="0DBC300E" w14:textId="77777777" w:rsidTr="00EF3291">
        <w:trPr>
          <w:trHeight w:val="299"/>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7A66BFC"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6</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16894504"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2282 - User support technicians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2B297336"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7035A06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65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54577BB0"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550</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3B30FAE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470</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61168CAB"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475</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391F55A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1075</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0226108F"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2035</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0956017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190</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4382D899"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4880</w:t>
            </w:r>
          </w:p>
        </w:tc>
      </w:tr>
      <w:tr w:rsidR="00EF3291" w:rsidRPr="000E4461" w14:paraId="715DF4CC" w14:textId="77777777" w:rsidTr="00EF3291">
        <w:trPr>
          <w:trHeight w:val="299"/>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78C4269"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7</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2ADC67E6"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6211 - Retail sales supervisors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648AAD68"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72B5A3B"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45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15314F0B"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305</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1FB22906"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265</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10DC7E5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300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75E84538"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785</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6AB45F3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2185</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24B5B426"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65</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69CCD03F"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3965</w:t>
            </w:r>
          </w:p>
        </w:tc>
      </w:tr>
      <w:tr w:rsidR="00EF3291" w:rsidRPr="000E4461" w14:paraId="638A9D7A" w14:textId="77777777" w:rsidTr="00EF3291">
        <w:trPr>
          <w:trHeight w:val="299"/>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C85363D"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8</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5D7E8D03"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1215 - Supervisors, supply chain, tracking and scheduling co-ordination occupations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5AF4978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74664EBD"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100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13E79F0D"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370</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37CD68E6"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290</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5E3E1BB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345</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0FBA255B"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750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7337E0C8"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1670</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41B758D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90</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31D8C1AB"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3640</w:t>
            </w:r>
          </w:p>
        </w:tc>
      </w:tr>
      <w:tr w:rsidR="00EF3291" w:rsidRPr="000E4461" w14:paraId="6DCDF917" w14:textId="77777777" w:rsidTr="00EF3291">
        <w:trPr>
          <w:trHeight w:val="643"/>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7C841C9"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9</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3890AE83"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1221 - Administrative officers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2183A00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519FB8A3"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70</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777B1B9B"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435</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48DEF3B5"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420</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2C383DE6"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430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04AB5D8D"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780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3D30982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1380</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0C49F746"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105</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0C9FE983"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3640</w:t>
            </w:r>
          </w:p>
        </w:tc>
      </w:tr>
      <w:tr w:rsidR="00EF3291" w:rsidRPr="000E4461" w14:paraId="1DDC6DC0" w14:textId="77777777" w:rsidTr="00EF3291">
        <w:trPr>
          <w:trHeight w:val="299"/>
        </w:trPr>
        <w:tc>
          <w:tcPr>
            <w:tcW w:w="99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1D9D188" w14:textId="77777777" w:rsidR="00EF3291" w:rsidRPr="000E4461" w:rsidRDefault="00EF3291" w:rsidP="000E4461">
            <w:pPr>
              <w:spacing w:after="0" w:line="240" w:lineRule="auto"/>
              <w:jc w:val="center"/>
              <w:rPr>
                <w:rFonts w:ascii="Times New Roman" w:eastAsia="Times New Roman" w:hAnsi="Times New Roman" w:cs="Times New Roman"/>
              </w:rPr>
            </w:pPr>
            <w:r w:rsidRPr="000E4461">
              <w:rPr>
                <w:rFonts w:ascii="Times New Roman" w:eastAsia="Times New Roman" w:hAnsi="Times New Roman" w:cs="Times New Roman"/>
              </w:rPr>
              <w:t>10</w:t>
            </w:r>
          </w:p>
        </w:tc>
        <w:tc>
          <w:tcPr>
            <w:tcW w:w="2515" w:type="dxa"/>
            <w:tcBorders>
              <w:top w:val="nil"/>
              <w:left w:val="nil"/>
              <w:bottom w:val="single" w:sz="4" w:space="0" w:color="auto"/>
              <w:right w:val="single" w:sz="4" w:space="0" w:color="auto"/>
            </w:tcBorders>
            <w:shd w:val="clear" w:color="auto" w:fill="F2F2F2" w:themeFill="background1" w:themeFillShade="F2"/>
            <w:noWrap/>
            <w:vAlign w:val="bottom"/>
            <w:hideMark/>
          </w:tcPr>
          <w:p w14:paraId="6C4810B7" w14:textId="77777777" w:rsidR="00EF3291" w:rsidRPr="000E4461" w:rsidRDefault="00EF3291" w:rsidP="000E4461">
            <w:pPr>
              <w:spacing w:after="0" w:line="240" w:lineRule="auto"/>
              <w:rPr>
                <w:rFonts w:ascii="Times New Roman" w:eastAsia="Times New Roman" w:hAnsi="Times New Roman" w:cs="Times New Roman"/>
              </w:rPr>
            </w:pPr>
            <w:r w:rsidRPr="000E4461">
              <w:rPr>
                <w:rFonts w:ascii="Times New Roman" w:eastAsia="Times New Roman" w:hAnsi="Times New Roman" w:cs="Times New Roman"/>
              </w:rPr>
              <w:t>1123 - Professional occupations in advertising, marketing and public relations</w:t>
            </w:r>
          </w:p>
        </w:tc>
        <w:tc>
          <w:tcPr>
            <w:tcW w:w="810" w:type="dxa"/>
            <w:tcBorders>
              <w:top w:val="nil"/>
              <w:left w:val="nil"/>
              <w:bottom w:val="single" w:sz="4" w:space="0" w:color="auto"/>
              <w:right w:val="single" w:sz="4" w:space="0" w:color="auto"/>
            </w:tcBorders>
            <w:shd w:val="clear" w:color="auto" w:fill="F2F2F2" w:themeFill="background1" w:themeFillShade="F2"/>
            <w:noWrap/>
            <w:vAlign w:val="bottom"/>
            <w:hideMark/>
          </w:tcPr>
          <w:p w14:paraId="23B6332B"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1FD5C7AC"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95</w:t>
            </w:r>
          </w:p>
        </w:tc>
        <w:tc>
          <w:tcPr>
            <w:tcW w:w="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6759DD2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390</w:t>
            </w:r>
          </w:p>
        </w:tc>
        <w:tc>
          <w:tcPr>
            <w:tcW w:w="656" w:type="dxa"/>
            <w:tcBorders>
              <w:top w:val="nil"/>
              <w:left w:val="nil"/>
              <w:bottom w:val="single" w:sz="4" w:space="0" w:color="auto"/>
              <w:right w:val="single" w:sz="4" w:space="0" w:color="auto"/>
            </w:tcBorders>
            <w:shd w:val="clear" w:color="auto" w:fill="F2F2F2" w:themeFill="background1" w:themeFillShade="F2"/>
            <w:noWrap/>
            <w:vAlign w:val="bottom"/>
            <w:hideMark/>
          </w:tcPr>
          <w:p w14:paraId="7D865943"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380</w:t>
            </w:r>
          </w:p>
        </w:tc>
        <w:tc>
          <w:tcPr>
            <w:tcW w:w="694" w:type="dxa"/>
            <w:tcBorders>
              <w:top w:val="nil"/>
              <w:left w:val="nil"/>
              <w:bottom w:val="single" w:sz="4" w:space="0" w:color="auto"/>
              <w:right w:val="single" w:sz="4" w:space="0" w:color="auto"/>
            </w:tcBorders>
            <w:shd w:val="clear" w:color="auto" w:fill="F2F2F2" w:themeFill="background1" w:themeFillShade="F2"/>
            <w:noWrap/>
            <w:vAlign w:val="bottom"/>
            <w:hideMark/>
          </w:tcPr>
          <w:p w14:paraId="261B6AB5"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380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04D975E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620</w:t>
            </w:r>
          </w:p>
        </w:tc>
        <w:tc>
          <w:tcPr>
            <w:tcW w:w="766" w:type="dxa"/>
            <w:tcBorders>
              <w:top w:val="nil"/>
              <w:left w:val="nil"/>
              <w:bottom w:val="single" w:sz="4" w:space="0" w:color="auto"/>
              <w:right w:val="single" w:sz="4" w:space="0" w:color="auto"/>
            </w:tcBorders>
            <w:shd w:val="clear" w:color="auto" w:fill="F2F2F2" w:themeFill="background1" w:themeFillShade="F2"/>
            <w:noWrap/>
            <w:vAlign w:val="bottom"/>
            <w:hideMark/>
          </w:tcPr>
          <w:p w14:paraId="258CD1B9"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730</w:t>
            </w:r>
          </w:p>
        </w:tc>
        <w:tc>
          <w:tcPr>
            <w:tcW w:w="718" w:type="dxa"/>
            <w:tcBorders>
              <w:top w:val="nil"/>
              <w:left w:val="nil"/>
              <w:bottom w:val="single" w:sz="4" w:space="0" w:color="auto"/>
              <w:right w:val="single" w:sz="4" w:space="0" w:color="auto"/>
            </w:tcBorders>
            <w:shd w:val="clear" w:color="auto" w:fill="F2F2F2" w:themeFill="background1" w:themeFillShade="F2"/>
            <w:noWrap/>
            <w:vAlign w:val="bottom"/>
            <w:hideMark/>
          </w:tcPr>
          <w:p w14:paraId="26565F87" w14:textId="77777777" w:rsidR="00EF3291" w:rsidRPr="000E4461" w:rsidRDefault="00EF3291" w:rsidP="000E4461">
            <w:pPr>
              <w:spacing w:after="0" w:line="360" w:lineRule="auto"/>
              <w:jc w:val="both"/>
              <w:rPr>
                <w:rFonts w:ascii="Times New Roman" w:eastAsia="Times New Roman" w:hAnsi="Times New Roman" w:cs="Times New Roman"/>
              </w:rPr>
            </w:pPr>
            <w:r w:rsidRPr="000E4461">
              <w:rPr>
                <w:rFonts w:ascii="Times New Roman" w:eastAsia="Times New Roman" w:hAnsi="Times New Roman" w:cs="Times New Roman"/>
              </w:rPr>
              <w:t>220</w:t>
            </w:r>
          </w:p>
        </w:tc>
        <w:tc>
          <w:tcPr>
            <w:tcW w:w="872" w:type="dxa"/>
            <w:tcBorders>
              <w:top w:val="nil"/>
              <w:left w:val="nil"/>
              <w:bottom w:val="single" w:sz="4" w:space="0" w:color="auto"/>
              <w:right w:val="single" w:sz="4" w:space="0" w:color="auto"/>
            </w:tcBorders>
            <w:shd w:val="clear" w:color="auto" w:fill="F2F2F2" w:themeFill="background1" w:themeFillShade="F2"/>
            <w:noWrap/>
            <w:vAlign w:val="bottom"/>
            <w:hideMark/>
          </w:tcPr>
          <w:p w14:paraId="5A9B9628"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2840</w:t>
            </w:r>
          </w:p>
        </w:tc>
      </w:tr>
      <w:tr w:rsidR="00EF3291" w:rsidRPr="000E4461" w14:paraId="33E6692A" w14:textId="77777777" w:rsidTr="00EF3291">
        <w:trPr>
          <w:trHeight w:val="431"/>
        </w:trPr>
        <w:tc>
          <w:tcPr>
            <w:tcW w:w="990" w:type="dxa"/>
            <w:tcBorders>
              <w:top w:val="nil"/>
              <w:left w:val="single" w:sz="4" w:space="0" w:color="auto"/>
              <w:bottom w:val="single" w:sz="4" w:space="0" w:color="auto"/>
              <w:right w:val="single" w:sz="4" w:space="0" w:color="auto"/>
            </w:tcBorders>
            <w:shd w:val="clear" w:color="auto" w:fill="F4B083" w:themeFill="accent2" w:themeFillTint="99"/>
            <w:noWrap/>
            <w:vAlign w:val="center"/>
            <w:hideMark/>
          </w:tcPr>
          <w:p w14:paraId="2C6B23D6"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 </w:t>
            </w:r>
          </w:p>
        </w:tc>
        <w:tc>
          <w:tcPr>
            <w:tcW w:w="2515" w:type="dxa"/>
            <w:tcBorders>
              <w:top w:val="nil"/>
              <w:left w:val="nil"/>
              <w:bottom w:val="single" w:sz="4" w:space="0" w:color="auto"/>
              <w:right w:val="single" w:sz="4" w:space="0" w:color="auto"/>
            </w:tcBorders>
            <w:shd w:val="clear" w:color="auto" w:fill="F4B083" w:themeFill="accent2" w:themeFillTint="99"/>
            <w:noWrap/>
            <w:vAlign w:val="center"/>
            <w:hideMark/>
          </w:tcPr>
          <w:p w14:paraId="254A8E5A" w14:textId="4376F5C4"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 </w:t>
            </w:r>
            <w:r w:rsidR="005329C9" w:rsidRPr="000E4461">
              <w:rPr>
                <w:rFonts w:ascii="Times New Roman" w:eastAsia="Times New Roman" w:hAnsi="Times New Roman" w:cs="Times New Roman"/>
                <w:b/>
                <w:bCs/>
              </w:rPr>
              <w:t>Total</w:t>
            </w:r>
          </w:p>
        </w:tc>
        <w:tc>
          <w:tcPr>
            <w:tcW w:w="810" w:type="dxa"/>
            <w:tcBorders>
              <w:top w:val="nil"/>
              <w:left w:val="nil"/>
              <w:bottom w:val="single" w:sz="4" w:space="0" w:color="auto"/>
              <w:right w:val="single" w:sz="4" w:space="0" w:color="auto"/>
            </w:tcBorders>
            <w:shd w:val="clear" w:color="auto" w:fill="F4B083" w:themeFill="accent2" w:themeFillTint="99"/>
            <w:noWrap/>
            <w:vAlign w:val="center"/>
            <w:hideMark/>
          </w:tcPr>
          <w:p w14:paraId="3843E2B8"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390</w:t>
            </w:r>
          </w:p>
        </w:tc>
        <w:tc>
          <w:tcPr>
            <w:tcW w:w="720" w:type="dxa"/>
            <w:tcBorders>
              <w:top w:val="nil"/>
              <w:left w:val="nil"/>
              <w:bottom w:val="single" w:sz="4" w:space="0" w:color="auto"/>
              <w:right w:val="single" w:sz="4" w:space="0" w:color="auto"/>
            </w:tcBorders>
            <w:shd w:val="clear" w:color="auto" w:fill="F4B083" w:themeFill="accent2" w:themeFillTint="99"/>
            <w:noWrap/>
            <w:vAlign w:val="center"/>
            <w:hideMark/>
          </w:tcPr>
          <w:p w14:paraId="1F5D8663"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1045</w:t>
            </w:r>
          </w:p>
        </w:tc>
        <w:tc>
          <w:tcPr>
            <w:tcW w:w="720" w:type="dxa"/>
            <w:tcBorders>
              <w:top w:val="nil"/>
              <w:left w:val="nil"/>
              <w:bottom w:val="single" w:sz="4" w:space="0" w:color="auto"/>
              <w:right w:val="single" w:sz="4" w:space="0" w:color="auto"/>
            </w:tcBorders>
            <w:shd w:val="clear" w:color="auto" w:fill="F4B083" w:themeFill="accent2" w:themeFillTint="99"/>
            <w:noWrap/>
            <w:vAlign w:val="center"/>
            <w:hideMark/>
          </w:tcPr>
          <w:p w14:paraId="61F939C3"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6385</w:t>
            </w:r>
          </w:p>
        </w:tc>
        <w:tc>
          <w:tcPr>
            <w:tcW w:w="656" w:type="dxa"/>
            <w:tcBorders>
              <w:top w:val="nil"/>
              <w:left w:val="nil"/>
              <w:bottom w:val="single" w:sz="4" w:space="0" w:color="auto"/>
              <w:right w:val="single" w:sz="4" w:space="0" w:color="auto"/>
            </w:tcBorders>
            <w:shd w:val="clear" w:color="auto" w:fill="F4B083" w:themeFill="accent2" w:themeFillTint="99"/>
            <w:noWrap/>
            <w:vAlign w:val="center"/>
            <w:hideMark/>
          </w:tcPr>
          <w:p w14:paraId="3129D7B7"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5760</w:t>
            </w:r>
          </w:p>
        </w:tc>
        <w:tc>
          <w:tcPr>
            <w:tcW w:w="694" w:type="dxa"/>
            <w:tcBorders>
              <w:top w:val="nil"/>
              <w:left w:val="nil"/>
              <w:bottom w:val="single" w:sz="4" w:space="0" w:color="auto"/>
              <w:right w:val="single" w:sz="4" w:space="0" w:color="auto"/>
            </w:tcBorders>
            <w:shd w:val="clear" w:color="auto" w:fill="F4B083" w:themeFill="accent2" w:themeFillTint="99"/>
            <w:noWrap/>
            <w:vAlign w:val="center"/>
            <w:hideMark/>
          </w:tcPr>
          <w:p w14:paraId="2D455435"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6335</w:t>
            </w:r>
          </w:p>
        </w:tc>
        <w:tc>
          <w:tcPr>
            <w:tcW w:w="766" w:type="dxa"/>
            <w:tcBorders>
              <w:top w:val="nil"/>
              <w:left w:val="nil"/>
              <w:bottom w:val="single" w:sz="4" w:space="0" w:color="auto"/>
              <w:right w:val="single" w:sz="4" w:space="0" w:color="auto"/>
            </w:tcBorders>
            <w:shd w:val="clear" w:color="auto" w:fill="F4B083" w:themeFill="accent2" w:themeFillTint="99"/>
            <w:noWrap/>
            <w:vAlign w:val="center"/>
            <w:hideMark/>
          </w:tcPr>
          <w:p w14:paraId="57BC4F18"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12495</w:t>
            </w:r>
          </w:p>
        </w:tc>
        <w:tc>
          <w:tcPr>
            <w:tcW w:w="766" w:type="dxa"/>
            <w:tcBorders>
              <w:top w:val="nil"/>
              <w:left w:val="nil"/>
              <w:bottom w:val="single" w:sz="4" w:space="0" w:color="auto"/>
              <w:right w:val="single" w:sz="4" w:space="0" w:color="auto"/>
            </w:tcBorders>
            <w:shd w:val="clear" w:color="auto" w:fill="F4B083" w:themeFill="accent2" w:themeFillTint="99"/>
            <w:noWrap/>
            <w:vAlign w:val="center"/>
            <w:hideMark/>
          </w:tcPr>
          <w:p w14:paraId="6E331D63"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23680</w:t>
            </w:r>
          </w:p>
        </w:tc>
        <w:tc>
          <w:tcPr>
            <w:tcW w:w="718" w:type="dxa"/>
            <w:tcBorders>
              <w:top w:val="nil"/>
              <w:left w:val="nil"/>
              <w:bottom w:val="single" w:sz="4" w:space="0" w:color="auto"/>
              <w:right w:val="single" w:sz="4" w:space="0" w:color="auto"/>
            </w:tcBorders>
            <w:shd w:val="clear" w:color="auto" w:fill="F4B083" w:themeFill="accent2" w:themeFillTint="99"/>
            <w:noWrap/>
            <w:vAlign w:val="center"/>
            <w:hideMark/>
          </w:tcPr>
          <w:p w14:paraId="39FB5EB8"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2955</w:t>
            </w:r>
          </w:p>
        </w:tc>
        <w:tc>
          <w:tcPr>
            <w:tcW w:w="872" w:type="dxa"/>
            <w:tcBorders>
              <w:top w:val="nil"/>
              <w:left w:val="nil"/>
              <w:bottom w:val="single" w:sz="4" w:space="0" w:color="auto"/>
              <w:right w:val="single" w:sz="4" w:space="0" w:color="auto"/>
            </w:tcBorders>
            <w:shd w:val="clear" w:color="auto" w:fill="F4B083" w:themeFill="accent2" w:themeFillTint="99"/>
            <w:noWrap/>
            <w:vAlign w:val="center"/>
            <w:hideMark/>
          </w:tcPr>
          <w:p w14:paraId="7B6D8724" w14:textId="77777777" w:rsidR="00EF3291" w:rsidRPr="000E4461" w:rsidRDefault="00EF3291" w:rsidP="000E4461">
            <w:pPr>
              <w:spacing w:after="0" w:line="360" w:lineRule="auto"/>
              <w:jc w:val="both"/>
              <w:rPr>
                <w:rFonts w:ascii="Times New Roman" w:eastAsia="Times New Roman" w:hAnsi="Times New Roman" w:cs="Times New Roman"/>
                <w:b/>
                <w:bCs/>
              </w:rPr>
            </w:pPr>
            <w:r w:rsidRPr="000E4461">
              <w:rPr>
                <w:rFonts w:ascii="Times New Roman" w:eastAsia="Times New Roman" w:hAnsi="Times New Roman" w:cs="Times New Roman"/>
                <w:b/>
                <w:bCs/>
              </w:rPr>
              <w:t>59045</w:t>
            </w:r>
          </w:p>
        </w:tc>
      </w:tr>
    </w:tbl>
    <w:p w14:paraId="0A250F2F" w14:textId="77777777" w:rsidR="00EF3291" w:rsidRPr="000E4461" w:rsidRDefault="00EF3291" w:rsidP="000E4461">
      <w:pPr>
        <w:spacing w:after="0" w:line="360" w:lineRule="auto"/>
        <w:jc w:val="both"/>
        <w:rPr>
          <w:rFonts w:ascii="Times New Roman" w:eastAsia="Times New Roman" w:hAnsi="Times New Roman" w:cs="Times New Roman"/>
          <w:b/>
          <w:bCs/>
          <w:sz w:val="28"/>
          <w:szCs w:val="28"/>
        </w:rPr>
      </w:pPr>
    </w:p>
    <w:p w14:paraId="218D0601" w14:textId="4A73263F" w:rsidR="00946DAA" w:rsidRPr="000E4461" w:rsidRDefault="003A6DAE" w:rsidP="000E4461">
      <w:pPr>
        <w:spacing w:line="360" w:lineRule="auto"/>
        <w:rPr>
          <w:rFonts w:ascii="Times New Roman" w:hAnsi="Times New Roman" w:cs="Times New Roman"/>
          <w:color w:val="000000" w:themeColor="text1"/>
          <w:sz w:val="28"/>
          <w:szCs w:val="28"/>
        </w:rPr>
      </w:pPr>
      <w:r w:rsidRPr="000E4461">
        <w:rPr>
          <w:rFonts w:ascii="Times New Roman" w:hAnsi="Times New Roman" w:cs="Times New Roman"/>
          <w:sz w:val="28"/>
          <w:szCs w:val="28"/>
        </w:rPr>
        <w:t xml:space="preserve">             </w:t>
      </w:r>
      <w:r w:rsidR="00946DAA" w:rsidRPr="000E4461">
        <w:rPr>
          <w:rFonts w:ascii="Times New Roman" w:hAnsi="Times New Roman" w:cs="Times New Roman"/>
          <w:color w:val="000000" w:themeColor="text1"/>
          <w:sz w:val="28"/>
          <w:szCs w:val="28"/>
        </w:rPr>
        <w:t xml:space="preserve">From 2015 to the end of 2022, the rental rated escalated approximately 1.5-2.0 times, especially bachelor apartments doubled the rates as per TRREB 2014 and 2004 fourth Quarter </w:t>
      </w:r>
      <w:r w:rsidR="000E4461" w:rsidRPr="000E4461">
        <w:rPr>
          <w:rFonts w:ascii="Times New Roman" w:hAnsi="Times New Roman" w:cs="Times New Roman"/>
          <w:color w:val="000000" w:themeColor="text1"/>
          <w:sz w:val="28"/>
          <w:szCs w:val="28"/>
        </w:rPr>
        <w:t>reports [</w:t>
      </w:r>
      <w:r w:rsidR="00D571FF" w:rsidRPr="000E4461">
        <w:rPr>
          <w:rFonts w:ascii="Times New Roman" w:hAnsi="Times New Roman" w:cs="Times New Roman"/>
          <w:color w:val="000000" w:themeColor="text1"/>
          <w:sz w:val="28"/>
          <w:szCs w:val="28"/>
        </w:rPr>
        <w:t>7]</w:t>
      </w:r>
      <w:r w:rsidR="00946DAA" w:rsidRPr="000E4461">
        <w:rPr>
          <w:rFonts w:ascii="Times New Roman" w:hAnsi="Times New Roman" w:cs="Times New Roman"/>
          <w:color w:val="000000" w:themeColor="text1"/>
          <w:sz w:val="28"/>
          <w:szCs w:val="28"/>
        </w:rPr>
        <w:t xml:space="preserve">. </w:t>
      </w:r>
      <w:r w:rsidR="000E4461" w:rsidRPr="000E4461">
        <w:rPr>
          <w:rFonts w:ascii="Times New Roman" w:hAnsi="Times New Roman" w:cs="Times New Roman"/>
          <w:color w:val="000000" w:themeColor="text1"/>
          <w:sz w:val="28"/>
          <w:szCs w:val="28"/>
        </w:rPr>
        <w:t>So,</w:t>
      </w:r>
      <w:r w:rsidR="009A29DD" w:rsidRPr="000E4461">
        <w:rPr>
          <w:rFonts w:ascii="Times New Roman" w:hAnsi="Times New Roman" w:cs="Times New Roman"/>
          <w:color w:val="000000" w:themeColor="text1"/>
          <w:sz w:val="28"/>
          <w:szCs w:val="28"/>
        </w:rPr>
        <w:t xml:space="preserve"> if the Average Household expenditure spent on Rent is analyzed, we can see if there </w:t>
      </w:r>
      <w:r w:rsidR="00C74F83" w:rsidRPr="000E4461">
        <w:rPr>
          <w:rFonts w:ascii="Times New Roman" w:hAnsi="Times New Roman" w:cs="Times New Roman"/>
          <w:color w:val="000000" w:themeColor="text1"/>
          <w:sz w:val="28"/>
          <w:szCs w:val="28"/>
        </w:rPr>
        <w:t>are traces of high rent, where these immigrants live.</w:t>
      </w:r>
      <w:r w:rsidR="00D571FF" w:rsidRPr="000E4461">
        <w:rPr>
          <w:rFonts w:ascii="Times New Roman" w:hAnsi="Times New Roman" w:cs="Times New Roman"/>
          <w:color w:val="000000" w:themeColor="text1"/>
          <w:sz w:val="28"/>
          <w:szCs w:val="28"/>
        </w:rPr>
        <w:t xml:space="preserve"> </w:t>
      </w:r>
      <w:r w:rsidR="00C74F83" w:rsidRPr="000E4461">
        <w:rPr>
          <w:rFonts w:ascii="Times New Roman" w:hAnsi="Times New Roman" w:cs="Times New Roman"/>
          <w:color w:val="000000" w:themeColor="text1"/>
          <w:sz w:val="28"/>
          <w:szCs w:val="28"/>
        </w:rPr>
        <w:t>Later we can analyze further with variables like</w:t>
      </w:r>
      <w:r w:rsidR="004A5A62" w:rsidRPr="000E4461">
        <w:rPr>
          <w:rFonts w:ascii="Times New Roman" w:hAnsi="Times New Roman" w:cs="Times New Roman"/>
          <w:color w:val="000000" w:themeColor="text1"/>
          <w:sz w:val="28"/>
          <w:szCs w:val="28"/>
        </w:rPr>
        <w:t xml:space="preserve"> recent</w:t>
      </w:r>
      <w:r w:rsidR="00C74F83" w:rsidRPr="000E4461">
        <w:rPr>
          <w:rFonts w:ascii="Times New Roman" w:hAnsi="Times New Roman" w:cs="Times New Roman"/>
          <w:color w:val="000000" w:themeColor="text1"/>
          <w:sz w:val="28"/>
          <w:szCs w:val="28"/>
        </w:rPr>
        <w:t xml:space="preserve"> immigration percentage, their occupation</w:t>
      </w:r>
      <w:r w:rsidR="004A5A62" w:rsidRPr="000E4461">
        <w:rPr>
          <w:rFonts w:ascii="Times New Roman" w:hAnsi="Times New Roman" w:cs="Times New Roman"/>
          <w:color w:val="000000" w:themeColor="text1"/>
          <w:sz w:val="28"/>
          <w:szCs w:val="28"/>
        </w:rPr>
        <w:t xml:space="preserve">, their place of dwelling and </w:t>
      </w:r>
      <w:r w:rsidR="00C74F83" w:rsidRPr="000E4461">
        <w:rPr>
          <w:rFonts w:ascii="Times New Roman" w:hAnsi="Times New Roman" w:cs="Times New Roman"/>
          <w:color w:val="000000" w:themeColor="text1"/>
          <w:sz w:val="28"/>
          <w:szCs w:val="28"/>
        </w:rPr>
        <w:t xml:space="preserve">so on. </w:t>
      </w:r>
    </w:p>
    <w:p w14:paraId="129D6A48" w14:textId="77777777" w:rsidR="000E4461" w:rsidRDefault="000E4461" w:rsidP="000E4461">
      <w:pPr>
        <w:spacing w:line="360" w:lineRule="auto"/>
        <w:jc w:val="both"/>
        <w:rPr>
          <w:rFonts w:ascii="Times New Roman" w:hAnsi="Times New Roman" w:cs="Times New Roman"/>
          <w:b/>
          <w:bCs/>
          <w:color w:val="000000" w:themeColor="text1"/>
          <w:sz w:val="28"/>
          <w:szCs w:val="28"/>
        </w:rPr>
      </w:pPr>
    </w:p>
    <w:p w14:paraId="5FD50774" w14:textId="3E8F1820" w:rsidR="00D571FF" w:rsidRPr="000E4461" w:rsidRDefault="00D571FF" w:rsidP="000E4461">
      <w:pPr>
        <w:spacing w:line="360" w:lineRule="auto"/>
        <w:jc w:val="both"/>
        <w:rPr>
          <w:rFonts w:ascii="Times New Roman" w:hAnsi="Times New Roman" w:cs="Times New Roman"/>
          <w:b/>
          <w:bCs/>
          <w:color w:val="000000" w:themeColor="text1"/>
          <w:sz w:val="28"/>
          <w:szCs w:val="28"/>
        </w:rPr>
      </w:pPr>
      <w:r w:rsidRPr="000E4461">
        <w:rPr>
          <w:rFonts w:ascii="Times New Roman" w:hAnsi="Times New Roman" w:cs="Times New Roman"/>
          <w:b/>
          <w:bCs/>
          <w:color w:val="000000" w:themeColor="text1"/>
          <w:sz w:val="28"/>
          <w:szCs w:val="28"/>
        </w:rPr>
        <w:lastRenderedPageBreak/>
        <w:t>Hypothesis:</w:t>
      </w:r>
    </w:p>
    <w:p w14:paraId="6DB4D7CC" w14:textId="77777777" w:rsidR="00A44D46" w:rsidRPr="000E4461" w:rsidRDefault="00A44D46" w:rsidP="000E4461">
      <w:pPr>
        <w:pStyle w:val="NormalWeb"/>
        <w:spacing w:before="0" w:beforeAutospacing="0" w:after="0" w:afterAutospacing="0" w:line="360" w:lineRule="auto"/>
        <w:rPr>
          <w:color w:val="0E101A"/>
          <w:sz w:val="28"/>
          <w:szCs w:val="28"/>
        </w:rPr>
      </w:pPr>
      <w:r w:rsidRPr="000E4461">
        <w:rPr>
          <w:b/>
          <w:bCs/>
          <w:color w:val="0E101A"/>
          <w:sz w:val="28"/>
          <w:szCs w:val="28"/>
        </w:rPr>
        <w:t>Null hypothesis</w:t>
      </w:r>
      <w:r w:rsidRPr="000E4461">
        <w:rPr>
          <w:color w:val="0E101A"/>
          <w:sz w:val="28"/>
          <w:szCs w:val="28"/>
        </w:rPr>
        <w:t>: Reduced supply and </w:t>
      </w:r>
      <w:r w:rsidRPr="000E4461">
        <w:rPr>
          <w:rStyle w:val="Emphasis"/>
          <w:i w:val="0"/>
          <w:iCs w:val="0"/>
          <w:color w:val="0E101A"/>
          <w:sz w:val="28"/>
          <w:szCs w:val="28"/>
        </w:rPr>
        <w:t>increased demand from immigration</w:t>
      </w:r>
      <w:r w:rsidRPr="000E4461">
        <w:rPr>
          <w:color w:val="0E101A"/>
          <w:sz w:val="28"/>
          <w:szCs w:val="28"/>
        </w:rPr>
        <w:t> escalated the Toronto rental prices.</w:t>
      </w:r>
    </w:p>
    <w:p w14:paraId="4DC79EED" w14:textId="77777777" w:rsidR="00A44D46" w:rsidRPr="000E4461" w:rsidRDefault="00A44D46" w:rsidP="000E4461">
      <w:pPr>
        <w:pStyle w:val="NormalWeb"/>
        <w:spacing w:before="0" w:beforeAutospacing="0" w:after="0" w:afterAutospacing="0" w:line="360" w:lineRule="auto"/>
        <w:rPr>
          <w:color w:val="0E101A"/>
          <w:sz w:val="28"/>
          <w:szCs w:val="28"/>
        </w:rPr>
      </w:pPr>
      <w:r w:rsidRPr="000E4461">
        <w:rPr>
          <w:b/>
          <w:bCs/>
          <w:color w:val="0E101A"/>
          <w:sz w:val="28"/>
          <w:szCs w:val="28"/>
        </w:rPr>
        <w:t>Alternate hypothesis:</w:t>
      </w:r>
      <w:r w:rsidRPr="000E4461">
        <w:rPr>
          <w:color w:val="0E101A"/>
          <w:sz w:val="28"/>
          <w:szCs w:val="28"/>
        </w:rPr>
        <w:t xml:space="preserve"> High-skilled immigrant preferences and opportune landlords increased Toronto rentals.</w:t>
      </w:r>
    </w:p>
    <w:p w14:paraId="7E28C0A3" w14:textId="4FBE3012" w:rsidR="00A44D46" w:rsidRPr="000E4461" w:rsidRDefault="00A44D46" w:rsidP="000E4461">
      <w:pPr>
        <w:pStyle w:val="NormalWeb"/>
        <w:spacing w:before="0" w:beforeAutospacing="0" w:after="0" w:afterAutospacing="0" w:line="360" w:lineRule="auto"/>
        <w:rPr>
          <w:color w:val="0E101A"/>
          <w:sz w:val="28"/>
          <w:szCs w:val="28"/>
        </w:rPr>
      </w:pPr>
      <w:r w:rsidRPr="000E4461">
        <w:rPr>
          <w:b/>
          <w:bCs/>
          <w:color w:val="0E101A"/>
          <w:sz w:val="28"/>
          <w:szCs w:val="28"/>
        </w:rPr>
        <w:t>Key variable:</w:t>
      </w:r>
      <w:r w:rsidRPr="000E4461">
        <w:rPr>
          <w:color w:val="0E101A"/>
          <w:sz w:val="28"/>
          <w:szCs w:val="28"/>
        </w:rPr>
        <w:t xml:space="preserve"> Average household expenditure on </w:t>
      </w:r>
      <w:r w:rsidR="00853FBB" w:rsidRPr="000E4461">
        <w:rPr>
          <w:color w:val="0E101A"/>
          <w:sz w:val="28"/>
          <w:szCs w:val="28"/>
        </w:rPr>
        <w:t>rent (</w:t>
      </w:r>
      <w:r w:rsidRPr="000E4461">
        <w:rPr>
          <w:color w:val="0E101A"/>
          <w:sz w:val="28"/>
          <w:szCs w:val="28"/>
        </w:rPr>
        <w:t xml:space="preserve">Dissemination </w:t>
      </w:r>
      <w:r w:rsidR="00853FBB" w:rsidRPr="000E4461">
        <w:rPr>
          <w:color w:val="0E101A"/>
          <w:sz w:val="28"/>
          <w:szCs w:val="28"/>
        </w:rPr>
        <w:t xml:space="preserve">area </w:t>
      </w:r>
      <w:r w:rsidRPr="000E4461">
        <w:rPr>
          <w:color w:val="0E101A"/>
          <w:sz w:val="28"/>
          <w:szCs w:val="28"/>
        </w:rPr>
        <w:t>level – The city of Toronto; data source: Simply Analytics)</w:t>
      </w:r>
    </w:p>
    <w:p w14:paraId="331975F2" w14:textId="77777777" w:rsidR="00A44D46" w:rsidRPr="000E4461" w:rsidRDefault="00A44D46" w:rsidP="000E4461">
      <w:pPr>
        <w:pStyle w:val="NormalWeb"/>
        <w:spacing w:before="0" w:beforeAutospacing="0" w:after="0" w:afterAutospacing="0" w:line="360" w:lineRule="auto"/>
        <w:rPr>
          <w:color w:val="0E101A"/>
          <w:sz w:val="28"/>
          <w:szCs w:val="28"/>
        </w:rPr>
      </w:pPr>
    </w:p>
    <w:p w14:paraId="7C73258C" w14:textId="6228D051" w:rsidR="00A44D46" w:rsidRPr="000E4461" w:rsidRDefault="00A44D46" w:rsidP="000E4461">
      <w:pPr>
        <w:pStyle w:val="NormalWeb"/>
        <w:spacing w:before="0" w:beforeAutospacing="0" w:after="0" w:afterAutospacing="0" w:line="360" w:lineRule="auto"/>
        <w:rPr>
          <w:color w:val="0E101A"/>
          <w:sz w:val="28"/>
          <w:szCs w:val="28"/>
        </w:rPr>
      </w:pPr>
      <w:r w:rsidRPr="000E4461">
        <w:rPr>
          <w:color w:val="0E101A"/>
          <w:sz w:val="28"/>
          <w:szCs w:val="28"/>
        </w:rPr>
        <w:t xml:space="preserve">Firstly, the dependent variable </w:t>
      </w:r>
      <w:r w:rsidR="00853FBB" w:rsidRPr="000E4461">
        <w:rPr>
          <w:color w:val="0E101A"/>
          <w:sz w:val="28"/>
          <w:szCs w:val="28"/>
        </w:rPr>
        <w:t>must</w:t>
      </w:r>
      <w:r w:rsidRPr="000E4461">
        <w:rPr>
          <w:color w:val="0E101A"/>
          <w:sz w:val="28"/>
          <w:szCs w:val="28"/>
        </w:rPr>
        <w:t xml:space="preserve"> be analyzed if there is any pattern. For this purpose, Moran’s I Spatial Autocorrelation test was conducted using ArcGIS on the dependent variable.</w:t>
      </w:r>
    </w:p>
    <w:p w14:paraId="444A3292" w14:textId="2C5CC3C5" w:rsidR="00C74F83" w:rsidRPr="000E4461" w:rsidRDefault="00A44D46"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 xml:space="preserve">      </w:t>
      </w:r>
      <w:r w:rsidR="00C74F83" w:rsidRPr="000E4461">
        <w:rPr>
          <w:rFonts w:ascii="Times New Roman" w:hAnsi="Times New Roman" w:cs="Times New Roman"/>
          <w:noProof/>
          <w:sz w:val="28"/>
          <w:szCs w:val="28"/>
        </w:rPr>
        <w:drawing>
          <wp:inline distT="0" distB="0" distL="0" distR="0" wp14:anchorId="31E7CA41" wp14:editId="0933A8CF">
            <wp:extent cx="5303520" cy="4621882"/>
            <wp:effectExtent l="0" t="0" r="0" b="762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6"/>
                    <a:stretch>
                      <a:fillRect/>
                    </a:stretch>
                  </pic:blipFill>
                  <pic:spPr>
                    <a:xfrm>
                      <a:off x="0" y="0"/>
                      <a:ext cx="5309769" cy="4627327"/>
                    </a:xfrm>
                    <a:prstGeom prst="rect">
                      <a:avLst/>
                    </a:prstGeom>
                  </pic:spPr>
                </pic:pic>
              </a:graphicData>
            </a:graphic>
          </wp:inline>
        </w:drawing>
      </w:r>
    </w:p>
    <w:p w14:paraId="6A85497B" w14:textId="1B141E6E" w:rsidR="00CE77F2" w:rsidRPr="000E4461" w:rsidRDefault="00C74F83"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lastRenderedPageBreak/>
        <w:t xml:space="preserve">The result came with the </w:t>
      </w:r>
      <w:r w:rsidR="005329C9" w:rsidRPr="000E4461">
        <w:rPr>
          <w:rFonts w:ascii="Times New Roman" w:hAnsi="Times New Roman" w:cs="Times New Roman"/>
          <w:color w:val="000000" w:themeColor="text1"/>
          <w:sz w:val="28"/>
          <w:szCs w:val="28"/>
        </w:rPr>
        <w:t>likelihood</w:t>
      </w:r>
      <w:r w:rsidRPr="000E4461">
        <w:rPr>
          <w:rFonts w:ascii="Times New Roman" w:hAnsi="Times New Roman" w:cs="Times New Roman"/>
          <w:color w:val="000000" w:themeColor="text1"/>
          <w:sz w:val="28"/>
          <w:szCs w:val="28"/>
        </w:rPr>
        <w:t xml:space="preserve"> of clustering with a</w:t>
      </w:r>
      <w:r w:rsidR="00CE77F2" w:rsidRPr="000E4461">
        <w:rPr>
          <w:rFonts w:ascii="Times New Roman" w:hAnsi="Times New Roman" w:cs="Times New Roman"/>
          <w:color w:val="000000" w:themeColor="text1"/>
          <w:sz w:val="28"/>
          <w:szCs w:val="28"/>
        </w:rPr>
        <w:t xml:space="preserve"> Moran’s</w:t>
      </w:r>
      <w:r w:rsidRPr="000E4461">
        <w:rPr>
          <w:rFonts w:ascii="Times New Roman" w:hAnsi="Times New Roman" w:cs="Times New Roman"/>
          <w:color w:val="000000" w:themeColor="text1"/>
          <w:sz w:val="28"/>
          <w:szCs w:val="28"/>
        </w:rPr>
        <w:t xml:space="preserve"> index of 0.5</w:t>
      </w:r>
      <w:r w:rsidR="00CE77F2" w:rsidRPr="000E4461">
        <w:rPr>
          <w:rFonts w:ascii="Times New Roman" w:hAnsi="Times New Roman" w:cs="Times New Roman"/>
          <w:color w:val="000000" w:themeColor="text1"/>
          <w:sz w:val="28"/>
          <w:szCs w:val="28"/>
        </w:rPr>
        <w:t xml:space="preserve">. The P value is less than 0.05 and the z-score is positive with greater chances of rejecting the null hypothesis. </w:t>
      </w:r>
      <w:r w:rsidR="005329C9" w:rsidRPr="000E4461">
        <w:rPr>
          <w:rFonts w:ascii="Times New Roman" w:hAnsi="Times New Roman" w:cs="Times New Roman"/>
          <w:color w:val="000000" w:themeColor="text1"/>
          <w:sz w:val="28"/>
          <w:szCs w:val="28"/>
        </w:rPr>
        <w:t>However,</w:t>
      </w:r>
      <w:r w:rsidR="00CE77F2" w:rsidRPr="000E4461">
        <w:rPr>
          <w:rFonts w:ascii="Times New Roman" w:hAnsi="Times New Roman" w:cs="Times New Roman"/>
          <w:color w:val="000000" w:themeColor="text1"/>
          <w:sz w:val="28"/>
          <w:szCs w:val="28"/>
        </w:rPr>
        <w:t xml:space="preserve"> it needs further analysis.</w:t>
      </w:r>
    </w:p>
    <w:p w14:paraId="1B6017DA" w14:textId="507FD6BE" w:rsidR="00CE77F2" w:rsidRPr="000E4461" w:rsidRDefault="00CE77F2" w:rsidP="000E4461">
      <w:pPr>
        <w:spacing w:line="360" w:lineRule="auto"/>
        <w:jc w:val="both"/>
        <w:rPr>
          <w:rFonts w:ascii="Times New Roman" w:hAnsi="Times New Roman" w:cs="Times New Roman"/>
          <w:color w:val="000000" w:themeColor="text1"/>
          <w:sz w:val="28"/>
          <w:szCs w:val="28"/>
        </w:rPr>
      </w:pPr>
    </w:p>
    <w:p w14:paraId="14E318ED" w14:textId="6C0987D3" w:rsidR="00C74F83" w:rsidRPr="000E4461" w:rsidRDefault="00A44D46"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noProof/>
          <w:sz w:val="28"/>
          <w:szCs w:val="28"/>
        </w:rPr>
        <w:t xml:space="preserve">                  </w:t>
      </w:r>
      <w:r w:rsidR="00C74F83" w:rsidRPr="000E4461">
        <w:rPr>
          <w:rFonts w:ascii="Times New Roman" w:hAnsi="Times New Roman" w:cs="Times New Roman"/>
          <w:noProof/>
          <w:sz w:val="28"/>
          <w:szCs w:val="28"/>
        </w:rPr>
        <w:drawing>
          <wp:inline distT="0" distB="0" distL="0" distR="0" wp14:anchorId="1D2CB678" wp14:editId="1674EC16">
            <wp:extent cx="2827020" cy="2059557"/>
            <wp:effectExtent l="0" t="0" r="0" b="0"/>
            <wp:docPr id="2" name="Picture 2"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with medium confidence"/>
                    <pic:cNvPicPr/>
                  </pic:nvPicPr>
                  <pic:blipFill>
                    <a:blip r:embed="rId7"/>
                    <a:stretch>
                      <a:fillRect/>
                    </a:stretch>
                  </pic:blipFill>
                  <pic:spPr>
                    <a:xfrm>
                      <a:off x="0" y="0"/>
                      <a:ext cx="2843054" cy="2071238"/>
                    </a:xfrm>
                    <a:prstGeom prst="rect">
                      <a:avLst/>
                    </a:prstGeom>
                  </pic:spPr>
                </pic:pic>
              </a:graphicData>
            </a:graphic>
          </wp:inline>
        </w:drawing>
      </w:r>
    </w:p>
    <w:p w14:paraId="1492781D" w14:textId="13D70FE3" w:rsidR="00BB4775" w:rsidRPr="000E4461" w:rsidRDefault="005329C9" w:rsidP="000E4461">
      <w:pPr>
        <w:spacing w:line="360" w:lineRule="auto"/>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To analyze the pattern spatially</w:t>
      </w:r>
      <w:r w:rsidR="00853FBB" w:rsidRPr="000E4461">
        <w:rPr>
          <w:rFonts w:ascii="Times New Roman" w:hAnsi="Times New Roman" w:cs="Times New Roman"/>
          <w:color w:val="000000" w:themeColor="text1"/>
          <w:sz w:val="28"/>
          <w:szCs w:val="28"/>
        </w:rPr>
        <w:t>,</w:t>
      </w:r>
      <w:r w:rsidRPr="000E4461">
        <w:rPr>
          <w:rFonts w:ascii="Times New Roman" w:hAnsi="Times New Roman" w:cs="Times New Roman"/>
          <w:color w:val="000000" w:themeColor="text1"/>
          <w:sz w:val="28"/>
          <w:szCs w:val="28"/>
        </w:rPr>
        <w:t xml:space="preserve"> Cluster and Outlier Analysis (</w:t>
      </w:r>
      <w:proofErr w:type="spellStart"/>
      <w:r w:rsidRPr="000E4461">
        <w:rPr>
          <w:rFonts w:ascii="Times New Roman" w:hAnsi="Times New Roman" w:cs="Times New Roman"/>
          <w:color w:val="000000" w:themeColor="text1"/>
          <w:sz w:val="28"/>
          <w:szCs w:val="28"/>
        </w:rPr>
        <w:t>Anselin</w:t>
      </w:r>
      <w:proofErr w:type="spellEnd"/>
      <w:r w:rsidRPr="000E4461">
        <w:rPr>
          <w:rFonts w:ascii="Times New Roman" w:hAnsi="Times New Roman" w:cs="Times New Roman"/>
          <w:color w:val="000000" w:themeColor="text1"/>
          <w:sz w:val="28"/>
          <w:szCs w:val="28"/>
        </w:rPr>
        <w:t xml:space="preserve"> Moran I) was conducted</w:t>
      </w:r>
      <w:r w:rsidR="003A1566" w:rsidRPr="000E4461">
        <w:rPr>
          <w:rFonts w:ascii="Times New Roman" w:hAnsi="Times New Roman" w:cs="Times New Roman"/>
          <w:color w:val="000000" w:themeColor="text1"/>
          <w:sz w:val="28"/>
          <w:szCs w:val="28"/>
        </w:rPr>
        <w:t xml:space="preserve"> on the variable at the 3702 Dissemination Areas of the city of </w:t>
      </w:r>
      <w:r w:rsidR="005669F5" w:rsidRPr="000E4461">
        <w:rPr>
          <w:rFonts w:ascii="Times New Roman" w:hAnsi="Times New Roman" w:cs="Times New Roman"/>
          <w:color w:val="000000" w:themeColor="text1"/>
          <w:sz w:val="28"/>
          <w:szCs w:val="28"/>
        </w:rPr>
        <w:t>Toronto.</w:t>
      </w:r>
      <w:r w:rsidRPr="000E4461">
        <w:rPr>
          <w:rFonts w:ascii="Times New Roman" w:hAnsi="Times New Roman" w:cs="Times New Roman"/>
          <w:color w:val="000000" w:themeColor="text1"/>
          <w:sz w:val="28"/>
          <w:szCs w:val="28"/>
        </w:rPr>
        <w:t xml:space="preserve"> It is evident that there is some clustering.     </w:t>
      </w:r>
      <w:r w:rsidR="00BB4775" w:rsidRPr="000E4461">
        <w:rPr>
          <w:rFonts w:ascii="Times New Roman" w:hAnsi="Times New Roman" w:cs="Times New Roman"/>
          <w:noProof/>
          <w:color w:val="000000" w:themeColor="text1"/>
          <w:sz w:val="28"/>
          <w:szCs w:val="28"/>
        </w:rPr>
        <w:drawing>
          <wp:inline distT="0" distB="0" distL="0" distR="0" wp14:anchorId="103FC7EA" wp14:editId="76ACFFE0">
            <wp:extent cx="4751070" cy="3055318"/>
            <wp:effectExtent l="19050" t="19050" r="11430" b="12065"/>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8"/>
                    <a:stretch>
                      <a:fillRect/>
                    </a:stretch>
                  </pic:blipFill>
                  <pic:spPr>
                    <a:xfrm>
                      <a:off x="0" y="0"/>
                      <a:ext cx="4764334" cy="3063848"/>
                    </a:xfrm>
                    <a:prstGeom prst="rect">
                      <a:avLst/>
                    </a:prstGeom>
                    <a:ln w="3175">
                      <a:solidFill>
                        <a:schemeClr val="tx1"/>
                      </a:solidFill>
                    </a:ln>
                  </pic:spPr>
                </pic:pic>
              </a:graphicData>
            </a:graphic>
          </wp:inline>
        </w:drawing>
      </w:r>
    </w:p>
    <w:p w14:paraId="17862A8D" w14:textId="5BD318E1" w:rsidR="00503A1A" w:rsidRPr="000E4461" w:rsidRDefault="003203E0"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 xml:space="preserve">As expected, the old Toronto is an expensive area to lease like cabbage town, University and </w:t>
      </w:r>
      <w:proofErr w:type="spellStart"/>
      <w:r w:rsidRPr="000E4461">
        <w:rPr>
          <w:rFonts w:ascii="Times New Roman" w:hAnsi="Times New Roman" w:cs="Times New Roman"/>
          <w:color w:val="000000" w:themeColor="text1"/>
          <w:sz w:val="28"/>
          <w:szCs w:val="28"/>
        </w:rPr>
        <w:t>neighbourhoods</w:t>
      </w:r>
      <w:proofErr w:type="spellEnd"/>
      <w:r w:rsidRPr="000E4461">
        <w:rPr>
          <w:rFonts w:ascii="Times New Roman" w:hAnsi="Times New Roman" w:cs="Times New Roman"/>
          <w:color w:val="000000" w:themeColor="text1"/>
          <w:sz w:val="28"/>
          <w:szCs w:val="28"/>
        </w:rPr>
        <w:t xml:space="preserve"> in Downtown Toronto and they came in the high-high area. The nearby </w:t>
      </w:r>
      <w:r w:rsidRPr="000E4461">
        <w:rPr>
          <w:rFonts w:ascii="Times New Roman" w:hAnsi="Times New Roman" w:cs="Times New Roman"/>
          <w:color w:val="000000" w:themeColor="text1"/>
          <w:sz w:val="28"/>
          <w:szCs w:val="28"/>
        </w:rPr>
        <w:lastRenderedPageBreak/>
        <w:t xml:space="preserve">Bayfront Islands waterfront area came as an outlier. This is a developing </w:t>
      </w:r>
      <w:proofErr w:type="spellStart"/>
      <w:r w:rsidRPr="000E4461">
        <w:rPr>
          <w:rFonts w:ascii="Times New Roman" w:hAnsi="Times New Roman" w:cs="Times New Roman"/>
          <w:color w:val="000000" w:themeColor="text1"/>
          <w:sz w:val="28"/>
          <w:szCs w:val="28"/>
        </w:rPr>
        <w:t>neighbourhood</w:t>
      </w:r>
      <w:proofErr w:type="spellEnd"/>
      <w:r w:rsidRPr="000E4461">
        <w:rPr>
          <w:rFonts w:ascii="Times New Roman" w:hAnsi="Times New Roman" w:cs="Times New Roman"/>
          <w:color w:val="000000" w:themeColor="text1"/>
          <w:sz w:val="28"/>
          <w:szCs w:val="28"/>
        </w:rPr>
        <w:t xml:space="preserve"> which includes Villiers Island, so the rents are still in the transition stage. Besides Downtown, some </w:t>
      </w:r>
      <w:proofErr w:type="spellStart"/>
      <w:r w:rsidRPr="000E4461">
        <w:rPr>
          <w:rFonts w:ascii="Times New Roman" w:hAnsi="Times New Roman" w:cs="Times New Roman"/>
          <w:color w:val="000000" w:themeColor="text1"/>
          <w:sz w:val="28"/>
          <w:szCs w:val="28"/>
        </w:rPr>
        <w:t>neighbourhoods</w:t>
      </w:r>
      <w:proofErr w:type="spellEnd"/>
      <w:r w:rsidRPr="000E4461">
        <w:rPr>
          <w:rFonts w:ascii="Times New Roman" w:hAnsi="Times New Roman" w:cs="Times New Roman"/>
          <w:color w:val="000000" w:themeColor="text1"/>
          <w:sz w:val="28"/>
          <w:szCs w:val="28"/>
        </w:rPr>
        <w:t xml:space="preserve"> like Lansing-Westgate, in the North York area </w:t>
      </w:r>
      <w:r w:rsidR="00CA4789" w:rsidRPr="000E4461">
        <w:rPr>
          <w:rFonts w:ascii="Times New Roman" w:hAnsi="Times New Roman" w:cs="Times New Roman"/>
          <w:color w:val="000000" w:themeColor="text1"/>
          <w:sz w:val="28"/>
          <w:szCs w:val="28"/>
        </w:rPr>
        <w:t xml:space="preserve">came as </w:t>
      </w:r>
      <w:r w:rsidRPr="000E4461">
        <w:rPr>
          <w:rFonts w:ascii="Times New Roman" w:hAnsi="Times New Roman" w:cs="Times New Roman"/>
          <w:color w:val="000000" w:themeColor="text1"/>
          <w:sz w:val="28"/>
          <w:szCs w:val="28"/>
        </w:rPr>
        <w:t xml:space="preserve">a high-high zone. This Neighbourhood is like a hotspot for the high-skilled new immigrants, and the rents are high. The older settlements like Scarborough and Markham where the </w:t>
      </w:r>
      <w:proofErr w:type="spellStart"/>
      <w:r w:rsidRPr="000E4461">
        <w:rPr>
          <w:rFonts w:ascii="Times New Roman" w:hAnsi="Times New Roman" w:cs="Times New Roman"/>
          <w:color w:val="000000" w:themeColor="text1"/>
          <w:sz w:val="28"/>
          <w:szCs w:val="28"/>
        </w:rPr>
        <w:t>Srilankan</w:t>
      </w:r>
      <w:proofErr w:type="spellEnd"/>
      <w:r w:rsidRPr="000E4461">
        <w:rPr>
          <w:rFonts w:ascii="Times New Roman" w:hAnsi="Times New Roman" w:cs="Times New Roman"/>
          <w:color w:val="000000" w:themeColor="text1"/>
          <w:sz w:val="28"/>
          <w:szCs w:val="28"/>
        </w:rPr>
        <w:t xml:space="preserve"> refugees settled between the mid-1950s and 1980s are in the low-low zone. However, the </w:t>
      </w:r>
      <w:proofErr w:type="spellStart"/>
      <w:r w:rsidRPr="000E4461">
        <w:rPr>
          <w:rFonts w:ascii="Times New Roman" w:hAnsi="Times New Roman" w:cs="Times New Roman"/>
          <w:color w:val="000000" w:themeColor="text1"/>
          <w:sz w:val="28"/>
          <w:szCs w:val="28"/>
        </w:rPr>
        <w:t>neighbourhoods</w:t>
      </w:r>
      <w:proofErr w:type="spellEnd"/>
      <w:r w:rsidRPr="000E4461">
        <w:rPr>
          <w:rFonts w:ascii="Times New Roman" w:hAnsi="Times New Roman" w:cs="Times New Roman"/>
          <w:color w:val="000000" w:themeColor="text1"/>
          <w:sz w:val="28"/>
          <w:szCs w:val="28"/>
        </w:rPr>
        <w:t xml:space="preserve"> like </w:t>
      </w:r>
      <w:proofErr w:type="spellStart"/>
      <w:r w:rsidRPr="000E4461">
        <w:rPr>
          <w:rFonts w:ascii="Times New Roman" w:hAnsi="Times New Roman" w:cs="Times New Roman"/>
          <w:color w:val="000000" w:themeColor="text1"/>
          <w:sz w:val="28"/>
          <w:szCs w:val="28"/>
        </w:rPr>
        <w:t>Bendale</w:t>
      </w:r>
      <w:proofErr w:type="spellEnd"/>
      <w:r w:rsidRPr="000E4461">
        <w:rPr>
          <w:rFonts w:ascii="Times New Roman" w:hAnsi="Times New Roman" w:cs="Times New Roman"/>
          <w:color w:val="000000" w:themeColor="text1"/>
          <w:sz w:val="28"/>
          <w:szCs w:val="28"/>
        </w:rPr>
        <w:t xml:space="preserve">, Guildwood and Agincourt came as high-rent outliers in low-low zones. The northwest area like Humber </w:t>
      </w:r>
      <w:proofErr w:type="spellStart"/>
      <w:r w:rsidRPr="000E4461">
        <w:rPr>
          <w:rFonts w:ascii="Times New Roman" w:hAnsi="Times New Roman" w:cs="Times New Roman"/>
          <w:color w:val="000000" w:themeColor="text1"/>
          <w:sz w:val="28"/>
          <w:szCs w:val="28"/>
        </w:rPr>
        <w:t>neighbourhoods</w:t>
      </w:r>
      <w:proofErr w:type="spellEnd"/>
      <w:r w:rsidRPr="000E4461">
        <w:rPr>
          <w:rFonts w:ascii="Times New Roman" w:hAnsi="Times New Roman" w:cs="Times New Roman"/>
          <w:color w:val="000000" w:themeColor="text1"/>
          <w:sz w:val="28"/>
          <w:szCs w:val="28"/>
        </w:rPr>
        <w:t xml:space="preserve">, </w:t>
      </w:r>
      <w:proofErr w:type="spellStart"/>
      <w:r w:rsidRPr="000E4461">
        <w:rPr>
          <w:rFonts w:ascii="Times New Roman" w:hAnsi="Times New Roman" w:cs="Times New Roman"/>
          <w:color w:val="000000" w:themeColor="text1"/>
          <w:sz w:val="28"/>
          <w:szCs w:val="28"/>
        </w:rPr>
        <w:t>Rexdale</w:t>
      </w:r>
      <w:proofErr w:type="spellEnd"/>
      <w:r w:rsidRPr="000E4461">
        <w:rPr>
          <w:rFonts w:ascii="Times New Roman" w:hAnsi="Times New Roman" w:cs="Times New Roman"/>
          <w:color w:val="000000" w:themeColor="text1"/>
          <w:sz w:val="28"/>
          <w:szCs w:val="28"/>
        </w:rPr>
        <w:t xml:space="preserve"> and Kipling didn’t show any patterns, and they came as outliers. But the West-Minster </w:t>
      </w:r>
      <w:proofErr w:type="spellStart"/>
      <w:r w:rsidRPr="000E4461">
        <w:rPr>
          <w:rFonts w:ascii="Times New Roman" w:hAnsi="Times New Roman" w:cs="Times New Roman"/>
          <w:color w:val="000000" w:themeColor="text1"/>
          <w:sz w:val="28"/>
          <w:szCs w:val="28"/>
        </w:rPr>
        <w:t>neighbourhood</w:t>
      </w:r>
      <w:proofErr w:type="spellEnd"/>
      <w:r w:rsidRPr="000E4461">
        <w:rPr>
          <w:rFonts w:ascii="Times New Roman" w:hAnsi="Times New Roman" w:cs="Times New Roman"/>
          <w:color w:val="000000" w:themeColor="text1"/>
          <w:sz w:val="28"/>
          <w:szCs w:val="28"/>
        </w:rPr>
        <w:t xml:space="preserve"> came as a low-high </w:t>
      </w:r>
      <w:proofErr w:type="spellStart"/>
      <w:r w:rsidRPr="000E4461">
        <w:rPr>
          <w:rFonts w:ascii="Times New Roman" w:hAnsi="Times New Roman" w:cs="Times New Roman"/>
          <w:color w:val="000000" w:themeColor="text1"/>
          <w:sz w:val="28"/>
          <w:szCs w:val="28"/>
        </w:rPr>
        <w:t>neighbourhood</w:t>
      </w:r>
      <w:proofErr w:type="spellEnd"/>
      <w:r w:rsidRPr="000E4461">
        <w:rPr>
          <w:rFonts w:ascii="Times New Roman" w:hAnsi="Times New Roman" w:cs="Times New Roman"/>
          <w:color w:val="000000" w:themeColor="text1"/>
          <w:sz w:val="28"/>
          <w:szCs w:val="28"/>
        </w:rPr>
        <w:t xml:space="preserve">. </w:t>
      </w:r>
      <w:r w:rsidR="005329C9" w:rsidRPr="000E4461">
        <w:rPr>
          <w:rFonts w:ascii="Times New Roman" w:hAnsi="Times New Roman" w:cs="Times New Roman"/>
          <w:color w:val="000000" w:themeColor="text1"/>
          <w:sz w:val="28"/>
          <w:szCs w:val="28"/>
        </w:rPr>
        <w:t>This study demands further insight into the current market. As of now</w:t>
      </w:r>
      <w:r w:rsidR="003A1566" w:rsidRPr="000E4461">
        <w:rPr>
          <w:rFonts w:ascii="Times New Roman" w:hAnsi="Times New Roman" w:cs="Times New Roman"/>
          <w:color w:val="000000" w:themeColor="text1"/>
          <w:sz w:val="28"/>
          <w:szCs w:val="28"/>
        </w:rPr>
        <w:t>,</w:t>
      </w:r>
      <w:r w:rsidR="005329C9" w:rsidRPr="000E4461">
        <w:rPr>
          <w:rFonts w:ascii="Times New Roman" w:hAnsi="Times New Roman" w:cs="Times New Roman"/>
          <w:color w:val="000000" w:themeColor="text1"/>
          <w:sz w:val="28"/>
          <w:szCs w:val="28"/>
        </w:rPr>
        <w:t xml:space="preserve"> a dataset with around 60 to 80 variables have been prepared</w:t>
      </w:r>
      <w:r w:rsidR="003A1566" w:rsidRPr="000E4461">
        <w:rPr>
          <w:rFonts w:ascii="Times New Roman" w:hAnsi="Times New Roman" w:cs="Times New Roman"/>
          <w:color w:val="000000" w:themeColor="text1"/>
          <w:sz w:val="28"/>
          <w:szCs w:val="28"/>
        </w:rPr>
        <w:t xml:space="preserve">; </w:t>
      </w:r>
      <w:r w:rsidR="005329C9" w:rsidRPr="000E4461">
        <w:rPr>
          <w:rFonts w:ascii="Times New Roman" w:hAnsi="Times New Roman" w:cs="Times New Roman"/>
          <w:color w:val="000000" w:themeColor="text1"/>
          <w:sz w:val="28"/>
          <w:szCs w:val="28"/>
        </w:rPr>
        <w:t xml:space="preserve">which can further be </w:t>
      </w:r>
      <w:r w:rsidR="003A1566" w:rsidRPr="000E4461">
        <w:rPr>
          <w:rFonts w:ascii="Times New Roman" w:hAnsi="Times New Roman" w:cs="Times New Roman"/>
          <w:color w:val="000000" w:themeColor="text1"/>
          <w:sz w:val="28"/>
          <w:szCs w:val="28"/>
        </w:rPr>
        <w:t>studied,</w:t>
      </w:r>
      <w:r w:rsidR="005329C9" w:rsidRPr="000E4461">
        <w:rPr>
          <w:rFonts w:ascii="Times New Roman" w:hAnsi="Times New Roman" w:cs="Times New Roman"/>
          <w:color w:val="000000" w:themeColor="text1"/>
          <w:sz w:val="28"/>
          <w:szCs w:val="28"/>
        </w:rPr>
        <w:t xml:space="preserve"> and suitable variables can be selected for the </w:t>
      </w:r>
      <w:r w:rsidR="000E4461">
        <w:rPr>
          <w:rFonts w:ascii="Times New Roman" w:hAnsi="Times New Roman" w:cs="Times New Roman"/>
          <w:color w:val="000000" w:themeColor="text1"/>
          <w:sz w:val="28"/>
          <w:szCs w:val="28"/>
        </w:rPr>
        <w:t xml:space="preserve">market </w:t>
      </w:r>
      <w:r w:rsidR="005329C9" w:rsidRPr="000E4461">
        <w:rPr>
          <w:rFonts w:ascii="Times New Roman" w:hAnsi="Times New Roman" w:cs="Times New Roman"/>
          <w:color w:val="000000" w:themeColor="text1"/>
          <w:sz w:val="28"/>
          <w:szCs w:val="28"/>
        </w:rPr>
        <w:t>segmentation process.</w:t>
      </w:r>
    </w:p>
    <w:p w14:paraId="04A2BDEE" w14:textId="679073EE" w:rsidR="00503A1A" w:rsidRPr="000E4461" w:rsidRDefault="005329C9" w:rsidP="000E4461">
      <w:pPr>
        <w:spacing w:line="360" w:lineRule="auto"/>
        <w:jc w:val="both"/>
        <w:rPr>
          <w:rFonts w:ascii="Times New Roman" w:hAnsi="Times New Roman" w:cs="Times New Roman"/>
          <w:b/>
          <w:bCs/>
          <w:color w:val="000000" w:themeColor="text1"/>
          <w:sz w:val="28"/>
          <w:szCs w:val="28"/>
        </w:rPr>
      </w:pPr>
      <w:r w:rsidRPr="000E4461">
        <w:rPr>
          <w:rFonts w:ascii="Times New Roman" w:hAnsi="Times New Roman" w:cs="Times New Roman"/>
          <w:b/>
          <w:bCs/>
          <w:color w:val="000000" w:themeColor="text1"/>
          <w:sz w:val="28"/>
          <w:szCs w:val="28"/>
        </w:rPr>
        <w:t>References:</w:t>
      </w:r>
    </w:p>
    <w:p w14:paraId="04340330" w14:textId="4AEBED23" w:rsidR="00853FBB" w:rsidRPr="000E4461" w:rsidRDefault="00853FBB"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 xml:space="preserve">[1] </w:t>
      </w:r>
      <w:hyperlink r:id="rId9" w:history="1">
        <w:r w:rsidRPr="000E4461">
          <w:rPr>
            <w:rStyle w:val="Hyperlink"/>
            <w:rFonts w:ascii="Times New Roman" w:hAnsi="Times New Roman" w:cs="Times New Roman"/>
            <w:sz w:val="28"/>
            <w:szCs w:val="28"/>
          </w:rPr>
          <w:t>https://financialpost.com/real-estate/average-rent-increased-10-9-per-cent-2022</w:t>
        </w:r>
      </w:hyperlink>
    </w:p>
    <w:p w14:paraId="2BBC64ED" w14:textId="2DE96A3C" w:rsidR="00853FBB" w:rsidRPr="000E4461" w:rsidRDefault="00853FBB"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[2] Prices are rising in Toronto’s rental market again - and so is the competition. (May,2022). The Toronto Star (Online) Toronto star article. (Source: TMU library)</w:t>
      </w:r>
    </w:p>
    <w:p w14:paraId="49A3441C" w14:textId="7E7F7EDE" w:rsidR="00853FBB" w:rsidRPr="000E4461" w:rsidRDefault="00853FBB"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 xml:space="preserve">[3] </w:t>
      </w:r>
      <w:hyperlink r:id="rId10" w:history="1">
        <w:r w:rsidRPr="000E4461">
          <w:rPr>
            <w:rStyle w:val="Hyperlink"/>
            <w:rFonts w:ascii="Times New Roman" w:hAnsi="Times New Roman" w:cs="Times New Roman"/>
            <w:sz w:val="28"/>
            <w:szCs w:val="28"/>
          </w:rPr>
          <w:t>https://www.toronto.ca/wp-content/uploads/2022/11/8f69-2021-Census-Backgrounder-Immigration-Ethnoracial-Mobility-Migration-Religion-FINAL.pdf</w:t>
        </w:r>
      </w:hyperlink>
    </w:p>
    <w:p w14:paraId="1778B620" w14:textId="0AC3B3C0" w:rsidR="00853FBB" w:rsidRPr="000E4461" w:rsidRDefault="00853FBB"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 xml:space="preserve">[4] </w:t>
      </w:r>
      <w:hyperlink r:id="rId11" w:history="1">
        <w:r w:rsidRPr="000E4461">
          <w:rPr>
            <w:rStyle w:val="Hyperlink"/>
            <w:rFonts w:ascii="Times New Roman" w:hAnsi="Times New Roman" w:cs="Times New Roman"/>
            <w:sz w:val="28"/>
            <w:szCs w:val="28"/>
          </w:rPr>
          <w:t>https://www150.statcan.gc.ca/n1/daily-quotidien/221026/dq221026a-eng.htm</w:t>
        </w:r>
      </w:hyperlink>
    </w:p>
    <w:p w14:paraId="6E9D4CD2" w14:textId="6CB28A64" w:rsidR="00853FBB" w:rsidRPr="000E4461" w:rsidRDefault="00853FBB" w:rsidP="000E4461">
      <w:pPr>
        <w:spacing w:line="360" w:lineRule="auto"/>
        <w:jc w:val="both"/>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[5]</w:t>
      </w:r>
      <w:hyperlink r:id="rId12" w:history="1">
        <w:r w:rsidR="003A1566" w:rsidRPr="000E4461">
          <w:rPr>
            <w:rStyle w:val="Hyperlink"/>
            <w:rFonts w:ascii="Times New Roman" w:hAnsi="Times New Roman" w:cs="Times New Roman"/>
            <w:sz w:val="28"/>
            <w:szCs w:val="28"/>
          </w:rPr>
          <w:t>https://www23.statcan.gc.ca/imdb/p3VD.pl?Function=getVD&amp;TVD=323293&amp;CVD=323294&amp;CLV=0&amp;MLV=4&amp;D=1</w:t>
        </w:r>
      </w:hyperlink>
    </w:p>
    <w:p w14:paraId="2185E055" w14:textId="3A8F2346" w:rsidR="00853FBB" w:rsidRPr="000E4461" w:rsidRDefault="00853FBB" w:rsidP="000E4461">
      <w:pPr>
        <w:spacing w:line="360" w:lineRule="auto"/>
        <w:rPr>
          <w:rFonts w:ascii="Times New Roman" w:hAnsi="Times New Roman" w:cs="Times New Roman"/>
          <w:color w:val="000000" w:themeColor="text1"/>
          <w:sz w:val="28"/>
          <w:szCs w:val="28"/>
        </w:rPr>
      </w:pPr>
      <w:r w:rsidRPr="000E4461">
        <w:rPr>
          <w:rFonts w:ascii="Times New Roman" w:hAnsi="Times New Roman" w:cs="Times New Roman"/>
          <w:color w:val="000000" w:themeColor="text1"/>
          <w:sz w:val="28"/>
          <w:szCs w:val="28"/>
        </w:rPr>
        <w:t>[</w:t>
      </w:r>
      <w:r w:rsidR="003A1566" w:rsidRPr="000E4461">
        <w:rPr>
          <w:rFonts w:ascii="Times New Roman" w:hAnsi="Times New Roman" w:cs="Times New Roman"/>
          <w:color w:val="000000" w:themeColor="text1"/>
          <w:sz w:val="28"/>
          <w:szCs w:val="28"/>
        </w:rPr>
        <w:t xml:space="preserve">6] </w:t>
      </w:r>
      <w:hyperlink r:id="rId13" w:history="1">
        <w:r w:rsidR="003A1566" w:rsidRPr="000E4461">
          <w:rPr>
            <w:rStyle w:val="Hyperlink"/>
            <w:rFonts w:ascii="Times New Roman" w:hAnsi="Times New Roman" w:cs="Times New Roman"/>
            <w:sz w:val="28"/>
            <w:szCs w:val="28"/>
          </w:rPr>
          <w:t>https://www.canada.ca/en/immigration-refugees-citizenship/corporate/reports-statistics/evaluations/eval-express-entry-economic-outcomes-system-management.html</w:t>
        </w:r>
      </w:hyperlink>
    </w:p>
    <w:sectPr w:rsidR="00853FBB" w:rsidRPr="000E4461" w:rsidSect="005329C9">
      <w:pgSz w:w="12240" w:h="15840"/>
      <w:pgMar w:top="1170" w:right="90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C2"/>
    <w:rsid w:val="000A0539"/>
    <w:rsid w:val="000A7CC8"/>
    <w:rsid w:val="000E4461"/>
    <w:rsid w:val="00164493"/>
    <w:rsid w:val="001B1977"/>
    <w:rsid w:val="00211FA5"/>
    <w:rsid w:val="00225450"/>
    <w:rsid w:val="00247800"/>
    <w:rsid w:val="003203E0"/>
    <w:rsid w:val="003406B6"/>
    <w:rsid w:val="00360007"/>
    <w:rsid w:val="003A1566"/>
    <w:rsid w:val="003A6DAE"/>
    <w:rsid w:val="004373C0"/>
    <w:rsid w:val="0048712F"/>
    <w:rsid w:val="004A5A62"/>
    <w:rsid w:val="004E10C9"/>
    <w:rsid w:val="00503A1A"/>
    <w:rsid w:val="005329C9"/>
    <w:rsid w:val="005669F5"/>
    <w:rsid w:val="00591439"/>
    <w:rsid w:val="0065282E"/>
    <w:rsid w:val="006959D1"/>
    <w:rsid w:val="006B0658"/>
    <w:rsid w:val="0073442B"/>
    <w:rsid w:val="007A7875"/>
    <w:rsid w:val="0083138D"/>
    <w:rsid w:val="00853FBB"/>
    <w:rsid w:val="00864CDC"/>
    <w:rsid w:val="008947C1"/>
    <w:rsid w:val="008B7216"/>
    <w:rsid w:val="008C5B8F"/>
    <w:rsid w:val="00910357"/>
    <w:rsid w:val="0093733B"/>
    <w:rsid w:val="00946DAA"/>
    <w:rsid w:val="009A29DD"/>
    <w:rsid w:val="00A44D46"/>
    <w:rsid w:val="00A55E54"/>
    <w:rsid w:val="00A9586F"/>
    <w:rsid w:val="00A97B41"/>
    <w:rsid w:val="00AD4561"/>
    <w:rsid w:val="00AE78F8"/>
    <w:rsid w:val="00B04835"/>
    <w:rsid w:val="00B64CDF"/>
    <w:rsid w:val="00BB4775"/>
    <w:rsid w:val="00BF399F"/>
    <w:rsid w:val="00C725AB"/>
    <w:rsid w:val="00C74F83"/>
    <w:rsid w:val="00C92E76"/>
    <w:rsid w:val="00C9775D"/>
    <w:rsid w:val="00CA4789"/>
    <w:rsid w:val="00CA5BC2"/>
    <w:rsid w:val="00CB6FE5"/>
    <w:rsid w:val="00CE77F2"/>
    <w:rsid w:val="00D571FF"/>
    <w:rsid w:val="00D73452"/>
    <w:rsid w:val="00D75BF6"/>
    <w:rsid w:val="00EE6DEF"/>
    <w:rsid w:val="00EF3291"/>
    <w:rsid w:val="00F1722E"/>
    <w:rsid w:val="00F708BB"/>
    <w:rsid w:val="00F8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ABEA"/>
  <w15:chartTrackingRefBased/>
  <w15:docId w15:val="{17650684-0462-4BD1-AE60-0C72B170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7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12F"/>
    <w:rPr>
      <w:rFonts w:ascii="Times New Roman" w:eastAsia="Times New Roman" w:hAnsi="Times New Roman" w:cs="Times New Roman"/>
      <w:b/>
      <w:bCs/>
      <w:sz w:val="36"/>
      <w:szCs w:val="36"/>
    </w:rPr>
  </w:style>
  <w:style w:type="character" w:customStyle="1" w:styleId="hgkelc">
    <w:name w:val="hgkelc"/>
    <w:basedOn w:val="DefaultParagraphFont"/>
    <w:rsid w:val="008C5B8F"/>
  </w:style>
  <w:style w:type="character" w:customStyle="1" w:styleId="kx21rb">
    <w:name w:val="kx21rb"/>
    <w:basedOn w:val="DefaultParagraphFont"/>
    <w:rsid w:val="008C5B8F"/>
  </w:style>
  <w:style w:type="character" w:styleId="Hyperlink">
    <w:name w:val="Hyperlink"/>
    <w:basedOn w:val="DefaultParagraphFont"/>
    <w:uiPriority w:val="99"/>
    <w:unhideWhenUsed/>
    <w:rsid w:val="006959D1"/>
    <w:rPr>
      <w:color w:val="0563C1" w:themeColor="hyperlink"/>
      <w:u w:val="single"/>
    </w:rPr>
  </w:style>
  <w:style w:type="character" w:styleId="UnresolvedMention">
    <w:name w:val="Unresolved Mention"/>
    <w:basedOn w:val="DefaultParagraphFont"/>
    <w:uiPriority w:val="99"/>
    <w:semiHidden/>
    <w:unhideWhenUsed/>
    <w:rsid w:val="006959D1"/>
    <w:rPr>
      <w:color w:val="605E5C"/>
      <w:shd w:val="clear" w:color="auto" w:fill="E1DFDD"/>
    </w:rPr>
  </w:style>
  <w:style w:type="table" w:styleId="GridTable5Dark-Accent3">
    <w:name w:val="Grid Table 5 Dark Accent 3"/>
    <w:basedOn w:val="TableNormal"/>
    <w:uiPriority w:val="50"/>
    <w:rsid w:val="00946D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1B1977"/>
    <w:rPr>
      <w:color w:val="954F72" w:themeColor="followedHyperlink"/>
      <w:u w:val="single"/>
    </w:rPr>
  </w:style>
  <w:style w:type="character" w:styleId="Emphasis">
    <w:name w:val="Emphasis"/>
    <w:basedOn w:val="DefaultParagraphFont"/>
    <w:uiPriority w:val="20"/>
    <w:qFormat/>
    <w:rsid w:val="001B1977"/>
    <w:rPr>
      <w:i/>
      <w:iCs/>
    </w:rPr>
  </w:style>
  <w:style w:type="paragraph" w:styleId="NormalWeb">
    <w:name w:val="Normal (Web)"/>
    <w:basedOn w:val="Normal"/>
    <w:uiPriority w:val="99"/>
    <w:semiHidden/>
    <w:unhideWhenUsed/>
    <w:rsid w:val="00A44D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329C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0692">
      <w:bodyDiv w:val="1"/>
      <w:marLeft w:val="0"/>
      <w:marRight w:val="0"/>
      <w:marTop w:val="0"/>
      <w:marBottom w:val="0"/>
      <w:divBdr>
        <w:top w:val="none" w:sz="0" w:space="0" w:color="auto"/>
        <w:left w:val="none" w:sz="0" w:space="0" w:color="auto"/>
        <w:bottom w:val="none" w:sz="0" w:space="0" w:color="auto"/>
        <w:right w:val="none" w:sz="0" w:space="0" w:color="auto"/>
      </w:divBdr>
    </w:div>
    <w:div w:id="479228921">
      <w:bodyDiv w:val="1"/>
      <w:marLeft w:val="0"/>
      <w:marRight w:val="0"/>
      <w:marTop w:val="0"/>
      <w:marBottom w:val="0"/>
      <w:divBdr>
        <w:top w:val="none" w:sz="0" w:space="0" w:color="auto"/>
        <w:left w:val="none" w:sz="0" w:space="0" w:color="auto"/>
        <w:bottom w:val="none" w:sz="0" w:space="0" w:color="auto"/>
        <w:right w:val="none" w:sz="0" w:space="0" w:color="auto"/>
      </w:divBdr>
    </w:div>
    <w:div w:id="533157089">
      <w:bodyDiv w:val="1"/>
      <w:marLeft w:val="0"/>
      <w:marRight w:val="0"/>
      <w:marTop w:val="0"/>
      <w:marBottom w:val="0"/>
      <w:divBdr>
        <w:top w:val="none" w:sz="0" w:space="0" w:color="auto"/>
        <w:left w:val="none" w:sz="0" w:space="0" w:color="auto"/>
        <w:bottom w:val="none" w:sz="0" w:space="0" w:color="auto"/>
        <w:right w:val="none" w:sz="0" w:space="0" w:color="auto"/>
      </w:divBdr>
      <w:divsChild>
        <w:div w:id="1683166237">
          <w:marLeft w:val="225"/>
          <w:marRight w:val="0"/>
          <w:marTop w:val="0"/>
          <w:marBottom w:val="345"/>
          <w:divBdr>
            <w:top w:val="single" w:sz="6" w:space="0" w:color="8E8E8E"/>
            <w:left w:val="single" w:sz="6" w:space="0" w:color="8E8E8E"/>
            <w:bottom w:val="single" w:sz="6" w:space="0" w:color="8E8E8E"/>
            <w:right w:val="single" w:sz="6" w:space="0" w:color="8E8E8E"/>
          </w:divBdr>
          <w:divsChild>
            <w:div w:id="2056006525">
              <w:marLeft w:val="0"/>
              <w:marRight w:val="0"/>
              <w:marTop w:val="0"/>
              <w:marBottom w:val="0"/>
              <w:divBdr>
                <w:top w:val="none" w:sz="0" w:space="8" w:color="8E8E8E"/>
                <w:left w:val="none" w:sz="0" w:space="11" w:color="8E8E8E"/>
                <w:bottom w:val="single" w:sz="6" w:space="8" w:color="8E8E8E"/>
                <w:right w:val="none" w:sz="0" w:space="11" w:color="8E8E8E"/>
              </w:divBdr>
            </w:div>
            <w:div w:id="15511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986">
      <w:bodyDiv w:val="1"/>
      <w:marLeft w:val="0"/>
      <w:marRight w:val="0"/>
      <w:marTop w:val="0"/>
      <w:marBottom w:val="0"/>
      <w:divBdr>
        <w:top w:val="none" w:sz="0" w:space="0" w:color="auto"/>
        <w:left w:val="none" w:sz="0" w:space="0" w:color="auto"/>
        <w:bottom w:val="none" w:sz="0" w:space="0" w:color="auto"/>
        <w:right w:val="none" w:sz="0" w:space="0" w:color="auto"/>
      </w:divBdr>
    </w:div>
    <w:div w:id="815797685">
      <w:bodyDiv w:val="1"/>
      <w:marLeft w:val="0"/>
      <w:marRight w:val="0"/>
      <w:marTop w:val="0"/>
      <w:marBottom w:val="0"/>
      <w:divBdr>
        <w:top w:val="none" w:sz="0" w:space="0" w:color="auto"/>
        <w:left w:val="none" w:sz="0" w:space="0" w:color="auto"/>
        <w:bottom w:val="none" w:sz="0" w:space="0" w:color="auto"/>
        <w:right w:val="none" w:sz="0" w:space="0" w:color="auto"/>
      </w:divBdr>
    </w:div>
    <w:div w:id="1288318134">
      <w:bodyDiv w:val="1"/>
      <w:marLeft w:val="0"/>
      <w:marRight w:val="0"/>
      <w:marTop w:val="0"/>
      <w:marBottom w:val="0"/>
      <w:divBdr>
        <w:top w:val="none" w:sz="0" w:space="0" w:color="auto"/>
        <w:left w:val="none" w:sz="0" w:space="0" w:color="auto"/>
        <w:bottom w:val="none" w:sz="0" w:space="0" w:color="auto"/>
        <w:right w:val="none" w:sz="0" w:space="0" w:color="auto"/>
      </w:divBdr>
    </w:div>
    <w:div w:id="1492600307">
      <w:bodyDiv w:val="1"/>
      <w:marLeft w:val="0"/>
      <w:marRight w:val="0"/>
      <w:marTop w:val="0"/>
      <w:marBottom w:val="0"/>
      <w:divBdr>
        <w:top w:val="none" w:sz="0" w:space="0" w:color="auto"/>
        <w:left w:val="none" w:sz="0" w:space="0" w:color="auto"/>
        <w:bottom w:val="none" w:sz="0" w:space="0" w:color="auto"/>
        <w:right w:val="none" w:sz="0" w:space="0" w:color="auto"/>
      </w:divBdr>
    </w:div>
    <w:div w:id="1500972025">
      <w:bodyDiv w:val="1"/>
      <w:marLeft w:val="0"/>
      <w:marRight w:val="0"/>
      <w:marTop w:val="0"/>
      <w:marBottom w:val="0"/>
      <w:divBdr>
        <w:top w:val="none" w:sz="0" w:space="0" w:color="auto"/>
        <w:left w:val="none" w:sz="0" w:space="0" w:color="auto"/>
        <w:bottom w:val="none" w:sz="0" w:space="0" w:color="auto"/>
        <w:right w:val="none" w:sz="0" w:space="0" w:color="auto"/>
      </w:divBdr>
    </w:div>
    <w:div w:id="1548294653">
      <w:bodyDiv w:val="1"/>
      <w:marLeft w:val="0"/>
      <w:marRight w:val="0"/>
      <w:marTop w:val="0"/>
      <w:marBottom w:val="0"/>
      <w:divBdr>
        <w:top w:val="none" w:sz="0" w:space="0" w:color="auto"/>
        <w:left w:val="none" w:sz="0" w:space="0" w:color="auto"/>
        <w:bottom w:val="none" w:sz="0" w:space="0" w:color="auto"/>
        <w:right w:val="none" w:sz="0" w:space="0" w:color="auto"/>
      </w:divBdr>
    </w:div>
    <w:div w:id="1809205325">
      <w:bodyDiv w:val="1"/>
      <w:marLeft w:val="0"/>
      <w:marRight w:val="0"/>
      <w:marTop w:val="0"/>
      <w:marBottom w:val="0"/>
      <w:divBdr>
        <w:top w:val="none" w:sz="0" w:space="0" w:color="auto"/>
        <w:left w:val="none" w:sz="0" w:space="0" w:color="auto"/>
        <w:bottom w:val="none" w:sz="0" w:space="0" w:color="auto"/>
        <w:right w:val="none" w:sz="0" w:space="0" w:color="auto"/>
      </w:divBdr>
      <w:divsChild>
        <w:div w:id="410543379">
          <w:marLeft w:val="0"/>
          <w:marRight w:val="0"/>
          <w:marTop w:val="0"/>
          <w:marBottom w:val="0"/>
          <w:divBdr>
            <w:top w:val="none" w:sz="0" w:space="0" w:color="auto"/>
            <w:left w:val="none" w:sz="0" w:space="0" w:color="auto"/>
            <w:bottom w:val="none" w:sz="0" w:space="0" w:color="auto"/>
            <w:right w:val="none" w:sz="0" w:space="0" w:color="auto"/>
          </w:divBdr>
          <w:divsChild>
            <w:div w:id="1337730712">
              <w:marLeft w:val="0"/>
              <w:marRight w:val="0"/>
              <w:marTop w:val="180"/>
              <w:marBottom w:val="180"/>
              <w:divBdr>
                <w:top w:val="none" w:sz="0" w:space="0" w:color="auto"/>
                <w:left w:val="none" w:sz="0" w:space="0" w:color="auto"/>
                <w:bottom w:val="none" w:sz="0" w:space="0" w:color="auto"/>
                <w:right w:val="none" w:sz="0" w:space="0" w:color="auto"/>
              </w:divBdr>
            </w:div>
          </w:divsChild>
        </w:div>
        <w:div w:id="1732189379">
          <w:marLeft w:val="0"/>
          <w:marRight w:val="0"/>
          <w:marTop w:val="0"/>
          <w:marBottom w:val="0"/>
          <w:divBdr>
            <w:top w:val="none" w:sz="0" w:space="0" w:color="auto"/>
            <w:left w:val="none" w:sz="0" w:space="0" w:color="auto"/>
            <w:bottom w:val="none" w:sz="0" w:space="0" w:color="auto"/>
            <w:right w:val="none" w:sz="0" w:space="0" w:color="auto"/>
          </w:divBdr>
          <w:divsChild>
            <w:div w:id="1810708260">
              <w:marLeft w:val="0"/>
              <w:marRight w:val="0"/>
              <w:marTop w:val="0"/>
              <w:marBottom w:val="0"/>
              <w:divBdr>
                <w:top w:val="none" w:sz="0" w:space="0" w:color="auto"/>
                <w:left w:val="none" w:sz="0" w:space="0" w:color="auto"/>
                <w:bottom w:val="none" w:sz="0" w:space="0" w:color="auto"/>
                <w:right w:val="none" w:sz="0" w:space="0" w:color="auto"/>
              </w:divBdr>
              <w:divsChild>
                <w:div w:id="1463115005">
                  <w:marLeft w:val="0"/>
                  <w:marRight w:val="0"/>
                  <w:marTop w:val="0"/>
                  <w:marBottom w:val="0"/>
                  <w:divBdr>
                    <w:top w:val="none" w:sz="0" w:space="0" w:color="auto"/>
                    <w:left w:val="none" w:sz="0" w:space="0" w:color="auto"/>
                    <w:bottom w:val="none" w:sz="0" w:space="0" w:color="auto"/>
                    <w:right w:val="none" w:sz="0" w:space="0" w:color="auto"/>
                  </w:divBdr>
                  <w:divsChild>
                    <w:div w:id="300572381">
                      <w:marLeft w:val="0"/>
                      <w:marRight w:val="0"/>
                      <w:marTop w:val="0"/>
                      <w:marBottom w:val="0"/>
                      <w:divBdr>
                        <w:top w:val="none" w:sz="0" w:space="0" w:color="auto"/>
                        <w:left w:val="none" w:sz="0" w:space="0" w:color="auto"/>
                        <w:bottom w:val="none" w:sz="0" w:space="0" w:color="auto"/>
                        <w:right w:val="none" w:sz="0" w:space="0" w:color="auto"/>
                      </w:divBdr>
                      <w:divsChild>
                        <w:div w:id="318776753">
                          <w:marLeft w:val="0"/>
                          <w:marRight w:val="0"/>
                          <w:marTop w:val="0"/>
                          <w:marBottom w:val="0"/>
                          <w:divBdr>
                            <w:top w:val="none" w:sz="0" w:space="0" w:color="auto"/>
                            <w:left w:val="none" w:sz="0" w:space="0" w:color="auto"/>
                            <w:bottom w:val="none" w:sz="0" w:space="0" w:color="auto"/>
                            <w:right w:val="none" w:sz="0" w:space="0" w:color="auto"/>
                          </w:divBdr>
                          <w:divsChild>
                            <w:div w:id="5994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14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nada.ca/en/immigration-refugees-citizenship/corporate/reports-statistics/evaluations/eval-express-entry-economic-outcomes-system-management.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23.statcan.gc.ca/imdb/p3VD.pl?Function=getVD&amp;TVD=323293&amp;CVD=323294&amp;CLV=0&amp;MLV=4&amp;D=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150.statcan.gc.ca/n1/daily-quotidien/221026/dq221026a-eng.htm" TargetMode="External"/><Relationship Id="rId5" Type="http://schemas.openxmlformats.org/officeDocument/2006/relationships/hyperlink" Target="https://data.ontario.ca/dataset/7b3152eb-879a-4545-b5f9-fb52dc42cf65" TargetMode="External"/><Relationship Id="rId15" Type="http://schemas.openxmlformats.org/officeDocument/2006/relationships/theme" Target="theme/theme1.xml"/><Relationship Id="rId10" Type="http://schemas.openxmlformats.org/officeDocument/2006/relationships/hyperlink" Target="https://www.toronto.ca/wp-content/uploads/2022/11/8f69-2021-Census-Backgrounder-Immigration-Ethnoracial-Mobility-Migration-Religion-FINAL.pdf" TargetMode="External"/><Relationship Id="rId4" Type="http://schemas.openxmlformats.org/officeDocument/2006/relationships/webSettings" Target="webSettings.xml"/><Relationship Id="rId9" Type="http://schemas.openxmlformats.org/officeDocument/2006/relationships/hyperlink" Target="https://financialpost.com/real-estate/average-rent-increased-10-9-per-cent-20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0468-EAAD-46B5-AE1C-0525D060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6</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Visalakshi Shanmugasundaram</dc:creator>
  <cp:keywords/>
  <dc:description/>
  <cp:lastModifiedBy>VISALAKSHI SHANMUGASUNDARAM</cp:lastModifiedBy>
  <cp:revision>15</cp:revision>
  <dcterms:created xsi:type="dcterms:W3CDTF">2023-02-14T04:27:00Z</dcterms:created>
  <dcterms:modified xsi:type="dcterms:W3CDTF">2023-02-28T16:09:00Z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2023-02-14T04:27:27Z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e913cbba-9595-473c-ab7f-8ecf91e05fd9</vt:lpwstr>
  </property>
  <property fmtid="{D5CDD505-2E9C-101B-9397-08002B2CF9AE}" pid="7" name="MSIP_Label_defa4170-0d19-0005-0004-bc88714345d2_ActionId">
    <vt:lpwstr>7703f8bf-a165-4db0-9463-d692fb5a5471</vt:lpwstr>
  </property>
  <property fmtid="{D5CDD505-2E9C-101B-9397-08002B2CF9AE}" pid="8" name="MSIP_Label_defa4170-0d19-0005-0004-bc88714345d2_ContentBits">
    <vt:lpwstr>0</vt:lpwstr>
  </property>
</Properties>
</file>