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460" w:line="264" w:lineRule="auto"/>
        <w:rPr>
          <w:color w:val="53565a"/>
          <w:sz w:val="48"/>
          <w:szCs w:val="48"/>
        </w:rPr>
      </w:pPr>
      <w:bookmarkStart w:colFirst="0" w:colLast="0" w:name="_6zohd1xh3vfd" w:id="0"/>
      <w:bookmarkEnd w:id="0"/>
      <w:r w:rsidDel="00000000" w:rsidR="00000000" w:rsidRPr="00000000">
        <w:rPr>
          <w:color w:val="53565a"/>
          <w:sz w:val="48"/>
          <w:szCs w:val="48"/>
          <w:rtl w:val="0"/>
        </w:rPr>
        <w:t xml:space="preserve">Volvo Group – the third quarter 2022</w:t>
      </w:r>
    </w:p>
    <w:p w:rsidR="00000000" w:rsidDel="00000000" w:rsidP="00000000" w:rsidRDefault="00000000" w:rsidRPr="00000000" w14:paraId="00000002">
      <w:pPr>
        <w:shd w:fill="ffffff" w:val="clear"/>
        <w:spacing w:before="460" w:line="360" w:lineRule="auto"/>
        <w:rPr>
          <w:color w:val="a7a8a9"/>
          <w:sz w:val="24"/>
          <w:szCs w:val="24"/>
        </w:rPr>
      </w:pPr>
      <w:r w:rsidDel="00000000" w:rsidR="00000000" w:rsidRPr="00000000">
        <w:rPr>
          <w:color w:val="a7a8a9"/>
          <w:sz w:val="24"/>
          <w:szCs w:val="24"/>
          <w:rtl w:val="0"/>
        </w:rPr>
        <w:t xml:space="preserve">2022-10-20</w:t>
      </w:r>
    </w:p>
    <w:p w:rsidR="00000000" w:rsidDel="00000000" w:rsidP="00000000" w:rsidRDefault="00000000" w:rsidRPr="00000000" w14:paraId="00000003">
      <w:pPr>
        <w:shd w:fill="ffffff" w:val="clear"/>
        <w:spacing w:before="760" w:line="360" w:lineRule="auto"/>
        <w:rPr>
          <w:color w:val="53565a"/>
          <w:sz w:val="24"/>
          <w:szCs w:val="24"/>
        </w:rPr>
      </w:pPr>
      <w:r w:rsidDel="00000000" w:rsidR="00000000" w:rsidRPr="00000000">
        <w:rPr>
          <w:color w:val="53565a"/>
          <w:sz w:val="24"/>
          <w:szCs w:val="24"/>
          <w:rtl w:val="0"/>
        </w:rPr>
        <w:t xml:space="preserve">“In Q3 2022, the Volvo Group’s strong growth continued. We increased our net sales by 35% to SEK 114.9 billion with a good development both in the sales of vehicles and in the service business. The adjusted operating income rose to SEK 11.9 billion (9.4) with an adjusted operating margin of 10.3% (11.0). A reduction in working capital contributed to a strong operating cash flow of SEK 14.6 billion (-5.7) in Industrial Operations. Return on capital employed improved to 27.4% (25.6),” says Martin Lundstedt, President and CEO.</w:t>
      </w:r>
    </w:p>
    <w:p w:rsidR="00000000" w:rsidDel="00000000" w:rsidP="00000000" w:rsidRDefault="00000000" w:rsidRPr="00000000" w14:paraId="00000004">
      <w:pPr>
        <w:shd w:fill="ffffff" w:val="clear"/>
        <w:spacing w:before="460" w:lineRule="auto"/>
        <w:rPr>
          <w:color w:val="53565a"/>
          <w:sz w:val="24"/>
          <w:szCs w:val="24"/>
        </w:rPr>
      </w:pPr>
      <w:r w:rsidDel="00000000" w:rsidR="00000000" w:rsidRPr="00000000">
        <w:rPr>
          <w:color w:val="53565a"/>
          <w:sz w:val="24"/>
          <w:szCs w:val="24"/>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pBdr>
          <w:top w:color="auto" w:space="3" w:sz="0" w:val="none"/>
          <w:bottom w:color="auto" w:space="2" w:sz="0" w:val="none"/>
        </w:pBdr>
        <w:spacing w:after="0" w:afterAutospacing="0" w:before="300" w:line="360" w:lineRule="auto"/>
        <w:ind w:left="500" w:right="-220" w:hanging="360"/>
      </w:pPr>
      <w:r w:rsidDel="00000000" w:rsidR="00000000" w:rsidRPr="00000000">
        <w:rPr>
          <w:color w:val="53565a"/>
          <w:sz w:val="24"/>
          <w:szCs w:val="24"/>
          <w:rtl w:val="0"/>
        </w:rPr>
        <w:t xml:space="preserve">In Q3 2022, net sales increased by 35% to SEK 114.9 billion (85.3). Adjusted for currency movements the increase was 21%.</w:t>
      </w:r>
    </w:p>
    <w:p w:rsidR="00000000" w:rsidDel="00000000" w:rsidP="00000000" w:rsidRDefault="00000000" w:rsidRPr="00000000" w14:paraId="00000006">
      <w:pPr>
        <w:numPr>
          <w:ilvl w:val="0"/>
          <w:numId w:val="1"/>
        </w:numPr>
        <w:pBdr>
          <w:top w:color="auto" w:space="3" w:sz="0" w:val="none"/>
          <w:bottom w:color="auto" w:space="2" w:sz="0" w:val="none"/>
        </w:pBdr>
        <w:spacing w:after="0" w:afterAutospacing="0" w:before="0" w:beforeAutospacing="0" w:line="360" w:lineRule="auto"/>
        <w:ind w:left="500" w:right="-220" w:hanging="360"/>
      </w:pPr>
      <w:r w:rsidDel="00000000" w:rsidR="00000000" w:rsidRPr="00000000">
        <w:rPr>
          <w:color w:val="53565a"/>
          <w:sz w:val="24"/>
          <w:szCs w:val="24"/>
          <w:rtl w:val="0"/>
        </w:rPr>
        <w:t xml:space="preserve">Both adjusted and reported operating income amounted to SEK 11,869 M (9,403), corresponding to an operating margin of 10.3% (11.0).</w:t>
      </w:r>
    </w:p>
    <w:p w:rsidR="00000000" w:rsidDel="00000000" w:rsidP="00000000" w:rsidRDefault="00000000" w:rsidRPr="00000000" w14:paraId="00000007">
      <w:pPr>
        <w:numPr>
          <w:ilvl w:val="0"/>
          <w:numId w:val="1"/>
        </w:numPr>
        <w:pBdr>
          <w:top w:color="auto" w:space="3" w:sz="0" w:val="none"/>
          <w:bottom w:color="auto" w:space="2" w:sz="0" w:val="none"/>
        </w:pBdr>
        <w:spacing w:after="0" w:afterAutospacing="0" w:before="0" w:beforeAutospacing="0" w:line="360" w:lineRule="auto"/>
        <w:ind w:left="500" w:right="-220" w:hanging="360"/>
      </w:pPr>
      <w:r w:rsidDel="00000000" w:rsidR="00000000" w:rsidRPr="00000000">
        <w:rPr>
          <w:color w:val="53565a"/>
          <w:sz w:val="24"/>
          <w:szCs w:val="24"/>
          <w:rtl w:val="0"/>
        </w:rPr>
        <w:t xml:space="preserve">Currency movements had a positive impact on operating income of SEK 2,417 M.</w:t>
      </w:r>
    </w:p>
    <w:p w:rsidR="00000000" w:rsidDel="00000000" w:rsidP="00000000" w:rsidRDefault="00000000" w:rsidRPr="00000000" w14:paraId="00000008">
      <w:pPr>
        <w:numPr>
          <w:ilvl w:val="0"/>
          <w:numId w:val="1"/>
        </w:numPr>
        <w:pBdr>
          <w:top w:color="auto" w:space="3" w:sz="0" w:val="none"/>
          <w:bottom w:color="auto" w:space="2" w:sz="0" w:val="none"/>
        </w:pBdr>
        <w:spacing w:after="0" w:afterAutospacing="0" w:before="0" w:beforeAutospacing="0" w:line="360" w:lineRule="auto"/>
        <w:ind w:left="500" w:right="-220" w:hanging="360"/>
      </w:pPr>
      <w:r w:rsidDel="00000000" w:rsidR="00000000" w:rsidRPr="00000000">
        <w:rPr>
          <w:color w:val="53565a"/>
          <w:sz w:val="24"/>
          <w:szCs w:val="24"/>
          <w:rtl w:val="0"/>
        </w:rPr>
        <w:t xml:space="preserve">Earnings per share amounted to SEK 4.24 (3.47).</w:t>
      </w:r>
    </w:p>
    <w:p w:rsidR="00000000" w:rsidDel="00000000" w:rsidP="00000000" w:rsidRDefault="00000000" w:rsidRPr="00000000" w14:paraId="00000009">
      <w:pPr>
        <w:numPr>
          <w:ilvl w:val="0"/>
          <w:numId w:val="1"/>
        </w:numPr>
        <w:pBdr>
          <w:top w:color="auto" w:space="3" w:sz="0" w:val="none"/>
          <w:bottom w:color="auto" w:space="2" w:sz="0" w:val="none"/>
        </w:pBdr>
        <w:spacing w:after="0" w:afterAutospacing="0" w:before="0" w:beforeAutospacing="0" w:line="360" w:lineRule="auto"/>
        <w:ind w:left="500" w:right="-220" w:hanging="360"/>
      </w:pPr>
      <w:r w:rsidDel="00000000" w:rsidR="00000000" w:rsidRPr="00000000">
        <w:rPr>
          <w:color w:val="53565a"/>
          <w:sz w:val="24"/>
          <w:szCs w:val="24"/>
          <w:rtl w:val="0"/>
        </w:rPr>
        <w:t xml:space="preserve">Operating cash flow in Industrial Operations amounted to SEK 14,611 M (-5,735).</w:t>
      </w:r>
    </w:p>
    <w:p w:rsidR="00000000" w:rsidDel="00000000" w:rsidP="00000000" w:rsidRDefault="00000000" w:rsidRPr="00000000" w14:paraId="0000000A">
      <w:pPr>
        <w:numPr>
          <w:ilvl w:val="0"/>
          <w:numId w:val="1"/>
        </w:numPr>
        <w:pBdr>
          <w:top w:color="auto" w:space="3" w:sz="0" w:val="none"/>
          <w:bottom w:color="auto" w:space="2" w:sz="0" w:val="none"/>
        </w:pBdr>
        <w:spacing w:after="0" w:afterAutospacing="0" w:before="0" w:beforeAutospacing="0" w:line="360" w:lineRule="auto"/>
        <w:ind w:left="500" w:right="-220" w:hanging="360"/>
      </w:pPr>
      <w:r w:rsidDel="00000000" w:rsidR="00000000" w:rsidRPr="00000000">
        <w:rPr>
          <w:color w:val="53565a"/>
          <w:sz w:val="24"/>
          <w:szCs w:val="24"/>
          <w:rtl w:val="0"/>
        </w:rPr>
        <w:t xml:space="preserve">Return on capital employed in Industrial Operations amounted to 27.4% (25.6).</w:t>
      </w:r>
    </w:p>
    <w:p w:rsidR="00000000" w:rsidDel="00000000" w:rsidP="00000000" w:rsidRDefault="00000000" w:rsidRPr="00000000" w14:paraId="0000000B">
      <w:pPr>
        <w:numPr>
          <w:ilvl w:val="0"/>
          <w:numId w:val="1"/>
        </w:numPr>
        <w:pBdr>
          <w:top w:color="auto" w:space="3" w:sz="0" w:val="none"/>
          <w:bottom w:color="auto" w:space="2" w:sz="0" w:val="none"/>
        </w:pBdr>
        <w:spacing w:after="300" w:before="0" w:beforeAutospacing="0" w:line="360" w:lineRule="auto"/>
        <w:ind w:left="500" w:right="-220" w:hanging="360"/>
      </w:pPr>
      <w:r w:rsidDel="00000000" w:rsidR="00000000" w:rsidRPr="00000000">
        <w:rPr>
          <w:color w:val="53565a"/>
          <w:sz w:val="24"/>
          <w:szCs w:val="24"/>
          <w:rtl w:val="0"/>
        </w:rPr>
        <w:t xml:space="preserve">Series production of heavy-duty, 44-tonne electric trucks started.</w:t>
      </w:r>
    </w:p>
    <w:p w:rsidR="00000000" w:rsidDel="00000000" w:rsidP="00000000" w:rsidRDefault="00000000" w:rsidRPr="00000000" w14:paraId="0000000C">
      <w:pPr>
        <w:pBdr>
          <w:top w:color="auto" w:space="3" w:sz="0" w:val="none"/>
          <w:bottom w:color="auto" w:space="2" w:sz="0" w:val="none"/>
        </w:pBdr>
        <w:shd w:fill="ffffff" w:val="clear"/>
        <w:spacing w:after="300" w:before="300" w:line="360" w:lineRule="auto"/>
        <w:ind w:left="-220" w:right="-220" w:firstLine="0"/>
        <w:rPr>
          <w:color w:val="53565a"/>
          <w:sz w:val="24"/>
          <w:szCs w:val="24"/>
        </w:rPr>
      </w:pPr>
      <w:r w:rsidDel="00000000" w:rsidR="00000000" w:rsidRPr="00000000">
        <w:rPr>
          <w:color w:val="53565a"/>
          <w:sz w:val="24"/>
          <w:szCs w:val="24"/>
          <w:rtl w:val="0"/>
        </w:rPr>
        <w:t xml:space="preserve"> </w:t>
      </w:r>
    </w:p>
    <w:p w:rsidR="00000000" w:rsidDel="00000000" w:rsidP="00000000" w:rsidRDefault="00000000" w:rsidRPr="00000000" w14:paraId="0000000D">
      <w:pPr>
        <w:pBdr>
          <w:top w:color="auto" w:space="3" w:sz="0" w:val="none"/>
          <w:bottom w:color="auto" w:space="2" w:sz="0" w:val="none"/>
        </w:pBdr>
        <w:shd w:fill="ffffff" w:val="clear"/>
        <w:spacing w:after="300" w:before="300" w:line="360" w:lineRule="auto"/>
        <w:ind w:left="-220" w:right="-220" w:firstLine="0"/>
        <w:rPr>
          <w:color w:val="53565a"/>
          <w:sz w:val="24"/>
          <w:szCs w:val="24"/>
        </w:rPr>
      </w:pPr>
      <w:r w:rsidDel="00000000" w:rsidR="00000000" w:rsidRPr="00000000">
        <w:rPr>
          <w:color w:val="53565a"/>
          <w:sz w:val="24"/>
          <w:szCs w:val="24"/>
          <w:rtl w:val="0"/>
        </w:rPr>
        <w:t xml:space="preserve">Press and Analyst Conference Call. An on-line presentation of the report, followed by a question and answer session will be webcast starting at 09.00 CET.</w:t>
      </w:r>
    </w:p>
    <w:p w:rsidR="00000000" w:rsidDel="00000000" w:rsidP="00000000" w:rsidRDefault="00000000" w:rsidRPr="00000000" w14:paraId="0000000E">
      <w:pPr>
        <w:pBdr>
          <w:top w:color="auto" w:space="3" w:sz="0" w:val="none"/>
          <w:bottom w:color="auto" w:space="2" w:sz="0" w:val="none"/>
        </w:pBdr>
        <w:shd w:fill="ffffff" w:val="clear"/>
        <w:spacing w:after="300" w:before="300" w:line="360" w:lineRule="auto"/>
        <w:ind w:left="-220" w:right="-220" w:firstLine="0"/>
        <w:rPr>
          <w:color w:val="004fbc"/>
          <w:sz w:val="24"/>
          <w:szCs w:val="24"/>
        </w:rPr>
      </w:pPr>
      <w:r w:rsidDel="00000000" w:rsidR="00000000" w:rsidRPr="00000000">
        <w:rPr>
          <w:color w:val="53565a"/>
          <w:sz w:val="24"/>
          <w:szCs w:val="24"/>
          <w:rtl w:val="0"/>
        </w:rPr>
        <w:t xml:space="preserve">More information, including an interview with CEO Martin Lundstedt, is available on </w:t>
      </w:r>
      <w:hyperlink r:id="rId7">
        <w:r w:rsidDel="00000000" w:rsidR="00000000" w:rsidRPr="00000000">
          <w:rPr>
            <w:color w:val="004fbc"/>
            <w:sz w:val="24"/>
            <w:szCs w:val="24"/>
            <w:rtl w:val="0"/>
          </w:rPr>
          <w:t xml:space="preserve">https://www.volvogroup.com/en/investors.html</w:t>
        </w:r>
      </w:hyperlink>
      <w:r w:rsidDel="00000000" w:rsidR="00000000" w:rsidRPr="00000000">
        <w:rPr>
          <w:rtl w:val="0"/>
        </w:rPr>
      </w:r>
    </w:p>
    <w:p w:rsidR="00000000" w:rsidDel="00000000" w:rsidP="00000000" w:rsidRDefault="00000000" w:rsidRPr="00000000" w14:paraId="0000000F">
      <w:pPr>
        <w:pBdr>
          <w:top w:color="auto" w:space="3" w:sz="0" w:val="none"/>
          <w:bottom w:color="auto" w:space="2" w:sz="0" w:val="none"/>
        </w:pBdr>
        <w:shd w:fill="ffffff" w:val="clear"/>
        <w:spacing w:after="300" w:before="300" w:line="360" w:lineRule="auto"/>
        <w:ind w:left="-220" w:right="-220" w:firstLine="0"/>
        <w:rPr>
          <w:color w:val="53565a"/>
          <w:sz w:val="24"/>
          <w:szCs w:val="24"/>
        </w:rPr>
      </w:pPr>
      <w:r w:rsidDel="00000000" w:rsidR="00000000" w:rsidRPr="00000000">
        <w:rPr>
          <w:color w:val="53565a"/>
          <w:sz w:val="24"/>
          <w:szCs w:val="24"/>
          <w:rtl w:val="0"/>
        </w:rPr>
        <w:t xml:space="preserve">This information is information that AB Volvo (publ) is obliged to make public pursuant to the EU Market Abuse Regulation and the Securities Markets Act. The information was submitted for publication, through the agency of the contact person set out above, at 07.20 CEST on October 20, 2022.</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356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volvogroup.com/en/inves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