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Cs/>
          <w:i/>
          <w:i/>
          <w:iCs/>
          <w:sz w:val="40"/>
          <w:szCs w:val="40"/>
          <w:u w:val="single"/>
        </w:rPr>
      </w:pPr>
      <w:r>
        <w:rPr>
          <w:b/>
          <w:bCs/>
          <w:i/>
          <w:iCs/>
          <w:sz w:val="40"/>
          <w:szCs w:val="40"/>
          <w:u w:val="single"/>
        </w:rPr>
        <w:t>Links</w:t>
      </w:r>
    </w:p>
    <w:tbl>
      <w:tblPr>
        <w:tblStyle w:val="TableGrid"/>
        <w:tblW w:w="936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117"/>
        <w:gridCol w:w="1244"/>
      </w:tblGrid>
      <w:tr>
        <w:trPr>
          <w:trHeight w:val="736" w:hRule="atLeast"/>
        </w:trPr>
        <w:tc>
          <w:tcPr>
            <w:tcW w:w="811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2"/>
                <w:szCs w:val="22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IN" w:eastAsia="en-US" w:bidi="ar-SA"/>
              </w:rPr>
              <w:t>[1]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IN" w:eastAsia="en-US" w:bidi="ar-SA"/>
              </w:rPr>
              <w:t>Idicula, S. M. (2024). Review on Sanskrit Sandhi Splitting using Deep Learning Techniques. Journal of Information Technology, 6(2), 136-152.</w:t>
            </w:r>
          </w:p>
        </w:tc>
        <w:tc>
          <w:tcPr>
            <w:tcW w:w="124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rFonts w:eastAsia="Calibri" w:cs=""/>
                <w:b/>
                <w:bCs/>
                <w:kern w:val="2"/>
                <w:sz w:val="22"/>
                <w:szCs w:val="22"/>
                <w:lang w:val="en-IN" w:eastAsia="en-US" w:bidi="ar-SA"/>
              </w:rPr>
              <w:t>https://irojournals.com/itdw/article/pdf/6/2/3.pdf</w:t>
            </w:r>
          </w:p>
        </w:tc>
      </w:tr>
      <w:tr>
        <w:trPr>
          <w:trHeight w:val="736" w:hRule="atLeast"/>
        </w:trPr>
        <w:tc>
          <w:tcPr>
            <w:tcW w:w="811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2"/>
                <w:szCs w:val="22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IN" w:eastAsia="en-US" w:bidi="ar-SA"/>
              </w:rPr>
              <w:t>[2]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IN" w:eastAsia="en-US" w:bidi="ar-SA"/>
              </w:rPr>
              <w:t>Ali, I., Presti, L. L., Spano, I., &amp; La Cascia, M. (2025). ABBIE: Attention-Based BI-Encoders for Predicting Where to Split Compound Sanskrit Words. ICAART, 2, 334-344.</w:t>
            </w:r>
          </w:p>
        </w:tc>
        <w:tc>
          <w:tcPr>
            <w:tcW w:w="124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IN" w:eastAsia="en-US" w:bidi="ar-SA"/>
              </w:rPr>
              <w:t>https://www.scitepress.org/Papers/2025/131553/131553.pdf</w:t>
            </w:r>
          </w:p>
        </w:tc>
      </w:tr>
      <w:tr>
        <w:trPr>
          <w:trHeight w:val="736" w:hRule="atLeast"/>
        </w:trPr>
        <w:tc>
          <w:tcPr>
            <w:tcW w:w="811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2"/>
                <w:szCs w:val="22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IN" w:eastAsia="en-US" w:bidi="ar-SA"/>
              </w:rPr>
              <w:t>[3]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IN" w:eastAsia="en-US" w:bidi="ar-SA"/>
              </w:rPr>
              <w:t>Nehrdich, S., Hellwig, O., &amp; Keutzer, K. (2024). One model is all you need: ByT5-Sanskrit, a unified model for Sanskrit NLP tasks. arXiv preprint arXiv:2409.13920.</w:t>
            </w:r>
          </w:p>
        </w:tc>
        <w:tc>
          <w:tcPr>
            <w:tcW w:w="124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IN" w:eastAsia="en-US" w:bidi="ar-SA"/>
              </w:rPr>
              <w:t>https://arxiv.org/pdf/2409.13920</w:t>
            </w:r>
          </w:p>
        </w:tc>
      </w:tr>
      <w:tr>
        <w:trPr>
          <w:trHeight w:val="736" w:hRule="atLeast"/>
        </w:trPr>
        <w:tc>
          <w:tcPr>
            <w:tcW w:w="811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2"/>
                <w:szCs w:val="22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IN" w:eastAsia="en-US" w:bidi="ar-SA"/>
              </w:rPr>
              <w:t>[4]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2"/>
                <w:szCs w:val="22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IN" w:eastAsia="en-US" w:bidi="ar-SA"/>
              </w:rPr>
              <w:t>Sandhan, J., Agarwal, A., Behera, L., Sandhan, T., &amp; Goyal, P. (2023). Sanskritshala: A neural sanskrit nlp toolkit with web-based interface for pedagogical and annotation purposes. arXiv preprint arXiv:2302.09527.</w:t>
            </w:r>
          </w:p>
        </w:tc>
        <w:tc>
          <w:tcPr>
            <w:tcW w:w="124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IN" w:eastAsia="en-US" w:bidi="ar-SA"/>
              </w:rPr>
              <w:t>https://arxiv.org/pdf/2302.09527</w:t>
            </w:r>
          </w:p>
        </w:tc>
      </w:tr>
      <w:tr>
        <w:trPr>
          <w:trHeight w:val="697" w:hRule="atLeast"/>
        </w:trPr>
        <w:tc>
          <w:tcPr>
            <w:tcW w:w="811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2"/>
                <w:szCs w:val="22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IN" w:eastAsia="en-US" w:bidi="ar-SA"/>
              </w:rPr>
              <w:t>[5]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IN" w:eastAsia="en-US" w:bidi="ar-SA"/>
              </w:rPr>
              <w:t>Maheshwari, A., Singh, N., Krishna, A., &amp; Ramakrishnan, G. (2022). A benchmark and dataset for post-OCR text correction in Sanskrit. arXiv preprint arXiv:2211.07980.</w:t>
            </w:r>
          </w:p>
        </w:tc>
        <w:tc>
          <w:tcPr>
            <w:tcW w:w="124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IN" w:eastAsia="en-US" w:bidi="ar-SA"/>
              </w:rPr>
              <w:t>https://arxiv.org/pdf/2211.07980</w:t>
            </w:r>
          </w:p>
        </w:tc>
      </w:tr>
      <w:tr>
        <w:trPr>
          <w:trHeight w:val="736" w:hRule="atLeast"/>
        </w:trPr>
        <w:tc>
          <w:tcPr>
            <w:tcW w:w="811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2"/>
                <w:szCs w:val="22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IN" w:eastAsia="en-US" w:bidi="ar-SA"/>
              </w:rPr>
              <w:t>[6]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IN" w:eastAsia="en-US" w:bidi="ar-SA"/>
              </w:rPr>
              <w:t>Pradeep, A., &amp; Mamidi, R. (2025). Sandarśana: A Survey on Sanskrit Computational Linguistics and Digital Infrastructure for Sanskrit. ACM Computing Surveys, 57(10), 1-38.</w:t>
            </w:r>
          </w:p>
        </w:tc>
        <w:tc>
          <w:tcPr>
            <w:tcW w:w="124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IN" w:eastAsia="en-US" w:bidi="ar-SA"/>
              </w:rPr>
              <w:t>https://dl.acm.org/doi/epdf/10.1145/3729530</w:t>
            </w:r>
          </w:p>
        </w:tc>
      </w:tr>
      <w:tr>
        <w:trPr>
          <w:trHeight w:val="736" w:hRule="atLeast"/>
        </w:trPr>
        <w:tc>
          <w:tcPr>
            <w:tcW w:w="811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2"/>
                <w:szCs w:val="22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IN" w:eastAsia="en-US" w:bidi="ar-SA"/>
              </w:rPr>
              <w:t>[7]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2"/>
                <w:szCs w:val="22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IN" w:eastAsia="en-US" w:bidi="ar-SA"/>
              </w:rPr>
              <w:t>Kulkarni, A., Goyal, P., Kumar, S., &amp; Shrawar, K. (2024). Error patterns in Sanskrit morphological processing. arXiv. doi.org</w:t>
            </w:r>
          </w:p>
        </w:tc>
        <w:tc>
          <w:tcPr>
            <w:tcW w:w="124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736" w:hRule="atLeast"/>
        </w:trPr>
        <w:tc>
          <w:tcPr>
            <w:tcW w:w="811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2"/>
                <w:szCs w:val="22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IN" w:eastAsia="en-US" w:bidi="ar-SA"/>
              </w:rPr>
              <w:t>[8]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2"/>
                <w:szCs w:val="22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IN" w:eastAsia="en-US" w:bidi="ar-SA"/>
              </w:rPr>
              <w:t>Hu, J., et al. (2023). How Well Do LLMs Handle Morphologically Rich Languages?</w:t>
            </w:r>
          </w:p>
        </w:tc>
        <w:tc>
          <w:tcPr>
            <w:tcW w:w="124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736" w:hRule="atLeast"/>
        </w:trPr>
        <w:tc>
          <w:tcPr>
            <w:tcW w:w="811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2"/>
                <w:szCs w:val="22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IN" w:eastAsia="en-US" w:bidi="ar-SA"/>
              </w:rPr>
              <w:t>[9]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IN" w:eastAsia="en-US" w:bidi="ar-SA"/>
              </w:rPr>
              <w:t>Chang, L., et al. (2024). Evaluating Multilingual LLMs on Low-Resource Classical Languages.</w:t>
            </w:r>
          </w:p>
        </w:tc>
        <w:tc>
          <w:tcPr>
            <w:tcW w:w="124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/>
            </w:pPr>
            <w:r>
              <w:rPr>
                <w:rFonts w:eastAsia="Calibri" w:cs=""/>
                <w:kern w:val="2"/>
                <w:sz w:val="22"/>
                <w:szCs w:val="22"/>
                <w:lang w:val="en-IN" w:eastAsia="en-US" w:bidi="ar-SA"/>
              </w:rPr>
              <w:t>https://www.sciencedirect.com/science/article/pii/S2949719124000724</w:t>
            </w:r>
          </w:p>
        </w:tc>
      </w:tr>
      <w:tr>
        <w:trPr>
          <w:trHeight w:val="736" w:hRule="atLeast"/>
        </w:trPr>
        <w:tc>
          <w:tcPr>
            <w:tcW w:w="811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2"/>
                <w:szCs w:val="22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IN" w:eastAsia="en-US" w:bidi="ar-SA"/>
              </w:rPr>
              <w:t>[10]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IN" w:eastAsia="en-US" w:bidi="ar-SA"/>
              </w:rPr>
              <w:t>Kulkarni, A. (2024). Integrating Paninian Grammar with Neural Models.</w:t>
            </w:r>
          </w:p>
        </w:tc>
        <w:tc>
          <w:tcPr>
            <w:tcW w:w="124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736" w:hRule="atLeast"/>
        </w:trPr>
        <w:tc>
          <w:tcPr>
            <w:tcW w:w="811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2"/>
                <w:szCs w:val="22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IN" w:eastAsia="en-US" w:bidi="ar-SA"/>
              </w:rPr>
              <w:t>[11]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2"/>
                <w:szCs w:val="22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IN" w:eastAsia="en-US" w:bidi="ar-SA"/>
              </w:rPr>
              <w:t>Tandra, S., et al. (2023). Building Linguistic Resources for Sanskrit NLP.</w:t>
            </w:r>
          </w:p>
        </w:tc>
        <w:tc>
          <w:tcPr>
            <w:tcW w:w="124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736" w:hRule="atLeast"/>
        </w:trPr>
        <w:tc>
          <w:tcPr>
            <w:tcW w:w="811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2"/>
                <w:szCs w:val="22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IN" w:eastAsia="en-US" w:bidi="ar-SA"/>
              </w:rPr>
              <w:t>[12]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IN" w:eastAsia="en-US" w:bidi="ar-SA"/>
              </w:rPr>
              <w:t>Reddy, R., et al. (2023). Sequence Modeling Challenges in MRLs.</w:t>
            </w:r>
          </w:p>
        </w:tc>
        <w:tc>
          <w:tcPr>
            <w:tcW w:w="124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736" w:hRule="atLeast"/>
        </w:trPr>
        <w:tc>
          <w:tcPr>
            <w:tcW w:w="811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2"/>
                <w:szCs w:val="22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IN" w:eastAsia="en-US" w:bidi="ar-SA"/>
              </w:rPr>
              <w:t>[13]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IN" w:eastAsia="en-US" w:bidi="ar-SA"/>
              </w:rPr>
              <w:t>Sharma &amp; Nirkhe (2024). Rule-Guided Neural Models for Sanskrit Word Segmentation.</w:t>
            </w:r>
          </w:p>
        </w:tc>
        <w:tc>
          <w:tcPr>
            <w:tcW w:w="124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697" w:hRule="atLeast"/>
        </w:trPr>
        <w:tc>
          <w:tcPr>
            <w:tcW w:w="811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2"/>
                <w:szCs w:val="22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IN" w:eastAsia="en-US" w:bidi="ar-SA"/>
              </w:rPr>
              <w:t>[14]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IN" w:eastAsia="en-US" w:bidi="ar-SA"/>
              </w:rPr>
              <w:t>Feng, Y., et al. (2023). Beyond Accuracy: Error Analysis Frameworks for NLP.</w:t>
            </w:r>
          </w:p>
        </w:tc>
        <w:tc>
          <w:tcPr>
            <w:tcW w:w="124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736" w:hRule="atLeast"/>
        </w:trPr>
        <w:tc>
          <w:tcPr>
            <w:tcW w:w="811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2"/>
                <w:szCs w:val="22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IN" w:eastAsia="en-US" w:bidi="ar-SA"/>
              </w:rPr>
              <w:t>[15]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IN" w:eastAsia="en-US" w:bidi="ar-SA"/>
              </w:rPr>
              <w:t>Maheshwari et al. (2024). LEVOS: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IN" w:eastAsia="en-US" w:bidi="ar-SA"/>
              </w:rPr>
              <w:t>Leveraging Vocabulary Overlap for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IN" w:eastAsia="en-US" w:bidi="ar-SA"/>
              </w:rPr>
              <w:t>Sanskrit Lexicon Generation.</w:t>
            </w:r>
          </w:p>
        </w:tc>
        <w:tc>
          <w:tcPr>
            <w:tcW w:w="124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IN" w:eastAsia="en-US" w:bidi="ar-SA"/>
              </w:rPr>
              <w:t>https://aclanthology.org/2025.bea-1.20.pdf</w:t>
            </w:r>
          </w:p>
        </w:tc>
      </w:tr>
    </w:tbl>
    <w:p>
      <w:pPr>
        <w:pStyle w:val="Normal"/>
        <w:spacing w:before="0" w:after="160"/>
        <w:rPr>
          <w:sz w:val="22"/>
          <w:szCs w:val="22"/>
        </w:rPr>
      </w:pPr>
      <w:r>
        <w:rPr>
          <w:sz w:val="22"/>
          <w:szCs w:val="22"/>
        </w:rPr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9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c03a6"/>
    <w:pPr>
      <w:widowControl/>
      <w:suppressAutoHyphens w:val="true"/>
      <w:bidi w:val="0"/>
      <w:spacing w:lineRule="auto" w:line="276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4"/>
      <w:szCs w:val="24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7c03a6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03a6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03a6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03a6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03a6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03a6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03a6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03a6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03a6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7c03a6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7c03a6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7c03a6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7c03a6"/>
    <w:rPr>
      <w:rFonts w:eastAsia="" w:cs="" w:cstheme="majorBidi" w:eastAsiaTheme="majorEastAsia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7c03a6"/>
    <w:rPr>
      <w:rFonts w:eastAsia="" w:cs="" w:cstheme="majorBidi" w:eastAsiaTheme="majorEastAsia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7c03a6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7c03a6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7c03a6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7c03a6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7c03a6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7c03a6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7c03a6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7c03a6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7c03a6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7c03a6"/>
    <w:rPr>
      <w:b/>
      <w:bCs/>
      <w:smallCaps/>
      <w:color w:themeColor="accent1" w:themeShade="bf" w:val="2F5496"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7c03a6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03a6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03a6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7c03a6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7c03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7c03a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GridLight">
    <w:name w:val="Grid Table Light"/>
    <w:basedOn w:val="TableNormal"/>
    <w:uiPriority w:val="40"/>
    <w:rsid w:val="007c03a6"/>
    <w:pPr>
      <w:spacing w:after="0" w:line="240" w:lineRule="auto"/>
    </w:pPr>
    <w:tblPr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</w:style>
  <w:style w:type="table" w:styleId="PlainTable1">
    <w:name w:val="Plain Table 1"/>
    <w:basedOn w:val="TableNormal"/>
    <w:uiPriority w:val="41"/>
    <w:rsid w:val="007c03a6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double" w:color="BFBFBF" w:themeColor="background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7c03a6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single" w:color="7F7F7F" w:themeColor="text1" w:sz="4" w:space="0"/>
          <w:right w:val="single" w:color="7F7F7F" w:themeColor="text1" w:sz="4" w:space="0"/>
        </w:tcBorders>
      </w:tcPr>
    </w:tblStylePr>
    <w:tblStylePr w:type="band2Vert">
      <w:tblPr/>
      <w:tcPr>
        <w:tcBorders>
          <w:left w:val="single" w:color="7F7F7F" w:themeColor="text1" w:sz="4" w:space="0"/>
          <w:right w:val="single" w:color="7F7F7F" w:themeColor="text1" w:sz="4" w:space="0"/>
        </w:tcBorders>
      </w:tcPr>
    </w:tblStylePr>
    <w:tblStylePr w:type="band1Horz">
      <w:tblPr/>
      <w:tcPr>
        <w:tcBorders>
          <w:top w:val="single" w:color="7F7F7F" w:themeColor="text1" w:sz="4" w:space="0"/>
          <w:bottom w:val="single" w:color="7F7F7F" w:themeColor="text1" w:sz="4" w:space="0"/>
        </w:tcBorders>
      </w:tcPr>
    </w:tblStylePr>
  </w:style>
  <w:style w:type="table" w:styleId="PlainTable3">
    <w:name w:val="Plain Table 3"/>
    <w:basedOn w:val="TableNormal"/>
    <w:uiPriority w:val="43"/>
    <w:rsid w:val="007c03a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7c03a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7c03a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7F7F7F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7F7F7F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7F7F7F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7F7F7F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1276</TotalTime>
  <Application>LibreOffice/24.2.7.2$Linux_X86_64 LibreOffice_project/420$Build-2</Application>
  <AppVersion>15.0000</AppVersion>
  <Pages>2</Pages>
  <Words>277</Words>
  <Characters>1944</Characters>
  <CharactersWithSpaces>2180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2026-02-08T16:05:00Z</dcterms:created>
  <dc:creator>Abhiram A S</dc:creator>
  <dc:description/>
  <dc:language>en-US</dc:language>
  <cp:lastModifiedBy/>
  <dcterms:modified xsi:type="dcterms:W3CDTF">2026-02-19T12:45:00Z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