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1B2C" w14:textId="7EA71319" w:rsidR="00984F2B" w:rsidRPr="00384F04" w:rsidRDefault="00000000">
      <w:pPr>
        <w:pStyle w:val="Heading1"/>
        <w:rPr>
          <w:rFonts w:ascii="Palatino Linotype" w:hAnsi="Palatino Linotype"/>
          <w:sz w:val="22"/>
          <w:szCs w:val="22"/>
        </w:rPr>
      </w:pPr>
      <w:r w:rsidRPr="00384F04">
        <w:rPr>
          <w:rFonts w:ascii="Palatino Linotype" w:hAnsi="Palatino Linotype"/>
          <w:sz w:val="22"/>
          <w:szCs w:val="22"/>
        </w:rPr>
        <w:t xml:space="preserve">Why Registration in Every Boarding State is </w:t>
      </w:r>
      <w:r w:rsidR="00214D62">
        <w:rPr>
          <w:rFonts w:ascii="Palatino Linotype" w:hAnsi="Palatino Linotype"/>
          <w:sz w:val="22"/>
          <w:szCs w:val="22"/>
        </w:rPr>
        <w:t>required ?</w:t>
      </w:r>
    </w:p>
    <w:p w14:paraId="3EA24F49" w14:textId="6A949F3D" w:rsidR="00984F2B" w:rsidRPr="00384F04" w:rsidRDefault="00000000">
      <w:pPr>
        <w:spacing w:before="80" w:after="80"/>
        <w:jc w:val="both"/>
        <w:rPr>
          <w:rFonts w:ascii="Palatino Linotype" w:hAnsi="Palatino Linotype"/>
        </w:rPr>
      </w:pPr>
      <w:r w:rsidRPr="00384F04">
        <w:rPr>
          <w:rFonts w:ascii="Palatino Linotype" w:hAnsi="Palatino Linotype"/>
        </w:rPr>
        <w:t>It arises from the combined operation of five provisions of the CGST/IGST Acts. We set out each link in the chain below.</w:t>
      </w:r>
    </w:p>
    <w:p w14:paraId="73C8775D" w14:textId="77777777" w:rsidR="00984F2B" w:rsidRPr="00384F04" w:rsidRDefault="00984F2B">
      <w:pPr>
        <w:spacing w:before="60" w:after="60"/>
        <w:rPr>
          <w:rFonts w:ascii="Palatino Linotype" w:hAnsi="Palatino Linoty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F2B" w:rsidRPr="00384F04" w14:paraId="21FB096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C980E70" w14:textId="28AB71F2" w:rsidR="00984F2B" w:rsidRPr="00384F04" w:rsidRDefault="00000000">
            <w:pPr>
              <w:spacing w:before="60" w:after="80"/>
              <w:rPr>
                <w:rFonts w:ascii="Palatino Linotype" w:hAnsi="Palatino Linotype"/>
              </w:rPr>
            </w:pPr>
            <w:r w:rsidRPr="00384F04">
              <w:rPr>
                <w:rFonts w:ascii="Palatino Linotype" w:hAnsi="Palatino Linotype"/>
                <w:b/>
                <w:bCs/>
                <w:color w:val="1F4E79"/>
              </w:rPr>
              <w:t xml:space="preserve">1: Section 9(5) CGST Act </w:t>
            </w:r>
            <w:r w:rsidR="00384F04">
              <w:rPr>
                <w:rFonts w:ascii="Palatino Linotype" w:hAnsi="Palatino Linotype"/>
                <w:b/>
                <w:bCs/>
                <w:color w:val="1F4E79"/>
              </w:rPr>
              <w:t>-</w:t>
            </w:r>
            <w:r w:rsidRPr="00384F04">
              <w:rPr>
                <w:rFonts w:ascii="Palatino Linotype" w:hAnsi="Palatino Linotype"/>
                <w:b/>
                <w:bCs/>
                <w:color w:val="1F4E79"/>
              </w:rPr>
              <w:t xml:space="preserve"> The ECO Becomes the Deemed Supplier</w:t>
            </w:r>
          </w:p>
          <w:p w14:paraId="206ECEDB"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9(5) of the CGST Act states, in relevant part:</w:t>
            </w:r>
          </w:p>
          <w:p w14:paraId="56027E40" w14:textId="77777777" w:rsidR="00984F2B" w:rsidRPr="00384F04" w:rsidRDefault="00984F2B">
            <w:pPr>
              <w:spacing w:before="60" w:after="60"/>
              <w:rPr>
                <w:rFonts w:ascii="Palatino Linotype" w:hAnsi="Palatino Linotype"/>
              </w:rPr>
            </w:pPr>
          </w:p>
          <w:p w14:paraId="38B23D29" w14:textId="77777777" w:rsidR="00984F2B" w:rsidRPr="00384F04" w:rsidRDefault="00000000">
            <w:pPr>
              <w:pBdr>
                <w:left w:val="thick" w:sz="12" w:space="0" w:color="2E75B6"/>
              </w:pBdr>
              <w:spacing w:before="80" w:after="80"/>
              <w:ind w:left="720" w:right="720"/>
              <w:rPr>
                <w:rFonts w:ascii="Palatino Linotype" w:hAnsi="Palatino Linotype"/>
              </w:rPr>
            </w:pPr>
            <w:r w:rsidRPr="00384F04">
              <w:rPr>
                <w:rFonts w:ascii="Palatino Linotype" w:eastAsia="Courier New" w:hAnsi="Palatino Linotype" w:cs="Courier New"/>
                <w:i/>
                <w:iCs/>
                <w:color w:val="333333"/>
              </w:rPr>
              <w:t>"...all the provisions of this Act shall apply to such electronic commerce operator as if he is the supplier liable for paying the tax in relation to the supply of such services."</w:t>
            </w:r>
          </w:p>
          <w:p w14:paraId="28E1148E" w14:textId="77777777" w:rsidR="00984F2B" w:rsidRPr="00384F04" w:rsidRDefault="00984F2B">
            <w:pPr>
              <w:spacing w:before="60" w:after="60"/>
              <w:rPr>
                <w:rFonts w:ascii="Palatino Linotype" w:hAnsi="Palatino Linotype"/>
              </w:rPr>
            </w:pPr>
          </w:p>
          <w:p w14:paraId="5DDE4A13" w14:textId="77777777" w:rsidR="00984F2B" w:rsidRPr="00384F04" w:rsidRDefault="00000000">
            <w:pPr>
              <w:spacing w:before="80" w:after="80"/>
              <w:jc w:val="both"/>
              <w:rPr>
                <w:rFonts w:ascii="Palatino Linotype" w:hAnsi="Palatino Linotype"/>
              </w:rPr>
            </w:pPr>
            <w:r w:rsidRPr="00384F04">
              <w:rPr>
                <w:rFonts w:ascii="Palatino Linotype" w:hAnsi="Palatino Linotype"/>
              </w:rPr>
              <w:t>This provision was activated by Notification No. 17/2017-Central Tax (Rate) dated 28 June 2017, which specifically listed passenger transportation services (radio-taxi, motor cab, maxi cab, motorcycle) as services to which Section 9(5) applies.</w:t>
            </w:r>
          </w:p>
          <w:p w14:paraId="33CCA779" w14:textId="77777777" w:rsidR="00984F2B" w:rsidRPr="00384F04" w:rsidRDefault="00984F2B">
            <w:pPr>
              <w:spacing w:before="60" w:after="60"/>
              <w:rPr>
                <w:rFonts w:ascii="Palatino Linotype" w:hAnsi="Palatino Linotype"/>
              </w:rPr>
            </w:pPr>
          </w:p>
          <w:p w14:paraId="4D41AE5D" w14:textId="15FC03ED" w:rsidR="00984F2B" w:rsidRPr="00384F04" w:rsidRDefault="00000000">
            <w:pPr>
              <w:spacing w:before="80" w:after="80"/>
              <w:jc w:val="both"/>
              <w:rPr>
                <w:rFonts w:ascii="Palatino Linotype" w:hAnsi="Palatino Linotype"/>
              </w:rPr>
            </w:pPr>
            <w:r w:rsidRPr="00384F04">
              <w:rPr>
                <w:rFonts w:ascii="Palatino Linotype" w:hAnsi="Palatino Linotype"/>
              </w:rPr>
              <w:t xml:space="preserve">The critical phrase is "all the provisions of this Act shall apply." This is not limited to the tax payment obligation </w:t>
            </w:r>
            <w:r w:rsidR="00384F04">
              <w:rPr>
                <w:rFonts w:ascii="Palatino Linotype" w:hAnsi="Palatino Linotype"/>
              </w:rPr>
              <w:t>-</w:t>
            </w:r>
            <w:r w:rsidRPr="00384F04">
              <w:rPr>
                <w:rFonts w:ascii="Palatino Linotype" w:hAnsi="Palatino Linotype"/>
              </w:rPr>
              <w:t xml:space="preserve"> it extends to every provision of the Act, including:</w:t>
            </w:r>
          </w:p>
          <w:p w14:paraId="6BCB04B8" w14:textId="3458D2E2"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Section 22 </w:t>
            </w:r>
            <w:r w:rsidR="00384F04">
              <w:rPr>
                <w:rFonts w:ascii="Palatino Linotype" w:hAnsi="Palatino Linotype"/>
              </w:rPr>
              <w:t>-</w:t>
            </w:r>
            <w:r w:rsidRPr="00384F04">
              <w:rPr>
                <w:rFonts w:ascii="Palatino Linotype" w:hAnsi="Palatino Linotype"/>
              </w:rPr>
              <w:t xml:space="preserve"> Registration obligation</w:t>
            </w:r>
          </w:p>
          <w:p w14:paraId="6680E600" w14:textId="42A1F710"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Section 25 </w:t>
            </w:r>
            <w:r w:rsidR="00384F04">
              <w:rPr>
                <w:rFonts w:ascii="Palatino Linotype" w:hAnsi="Palatino Linotype"/>
              </w:rPr>
              <w:t>-</w:t>
            </w:r>
            <w:r w:rsidRPr="00384F04">
              <w:rPr>
                <w:rFonts w:ascii="Palatino Linotype" w:hAnsi="Palatino Linotype"/>
              </w:rPr>
              <w:t xml:space="preserve"> State-wise registration</w:t>
            </w:r>
          </w:p>
          <w:p w14:paraId="7A048210" w14:textId="5DAA0BB4"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Section 31 </w:t>
            </w:r>
            <w:r w:rsidR="00384F04">
              <w:rPr>
                <w:rFonts w:ascii="Palatino Linotype" w:hAnsi="Palatino Linotype"/>
              </w:rPr>
              <w:t>-</w:t>
            </w:r>
            <w:r w:rsidRPr="00384F04">
              <w:rPr>
                <w:rFonts w:ascii="Palatino Linotype" w:hAnsi="Palatino Linotype"/>
              </w:rPr>
              <w:t xml:space="preserve"> Invoice issuance</w:t>
            </w:r>
          </w:p>
          <w:p w14:paraId="19FE8784" w14:textId="2F8BC48D"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Section 37/39 </w:t>
            </w:r>
            <w:r w:rsidR="00384F04">
              <w:rPr>
                <w:rFonts w:ascii="Palatino Linotype" w:hAnsi="Palatino Linotype"/>
              </w:rPr>
              <w:t>-</w:t>
            </w:r>
            <w:r w:rsidRPr="00384F04">
              <w:rPr>
                <w:rFonts w:ascii="Palatino Linotype" w:hAnsi="Palatino Linotype"/>
              </w:rPr>
              <w:t xml:space="preserve"> Return filing obligations</w:t>
            </w:r>
          </w:p>
          <w:p w14:paraId="54A1956A" w14:textId="77777777" w:rsidR="00984F2B" w:rsidRPr="00384F04" w:rsidRDefault="00984F2B">
            <w:pPr>
              <w:spacing w:before="60" w:after="60"/>
              <w:rPr>
                <w:rFonts w:ascii="Palatino Linotype" w:hAnsi="Palatino Linotype"/>
              </w:rPr>
            </w:pPr>
          </w:p>
          <w:p w14:paraId="55EDE1C4"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5(5) of the IGST Act contains identical language and extends the same consequences to inter-state rides. Accordingly, whether a ride is wholly within one state or crosses a state border, the aggregator is the deemed supplier for all purposes.</w:t>
            </w:r>
          </w:p>
        </w:tc>
      </w:tr>
    </w:tbl>
    <w:p w14:paraId="36A3744E" w14:textId="77777777" w:rsidR="00984F2B" w:rsidRPr="00384F04" w:rsidRDefault="00984F2B">
      <w:pPr>
        <w:spacing w:before="60" w:after="60"/>
        <w:rPr>
          <w:rFonts w:ascii="Palatino Linotype" w:hAnsi="Palatino Linoty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F2B" w:rsidRPr="00384F04" w14:paraId="78EB612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37B1924D" w14:textId="3E2C37C0" w:rsidR="00984F2B" w:rsidRPr="00384F04" w:rsidRDefault="00000000">
            <w:pPr>
              <w:spacing w:before="60" w:after="80"/>
              <w:rPr>
                <w:rFonts w:ascii="Palatino Linotype" w:hAnsi="Palatino Linotype"/>
              </w:rPr>
            </w:pPr>
            <w:r w:rsidRPr="00384F04">
              <w:rPr>
                <w:rFonts w:ascii="Palatino Linotype" w:hAnsi="Palatino Linotype"/>
                <w:b/>
                <w:bCs/>
                <w:color w:val="1F4E79"/>
              </w:rPr>
              <w:t xml:space="preserve">2: Section 22(1) CGST Act </w:t>
            </w:r>
            <w:r w:rsidR="00384F04">
              <w:rPr>
                <w:rFonts w:ascii="Palatino Linotype" w:hAnsi="Palatino Linotype"/>
                <w:b/>
                <w:bCs/>
                <w:color w:val="1F4E79"/>
              </w:rPr>
              <w:t>-</w:t>
            </w:r>
            <w:r w:rsidRPr="00384F04">
              <w:rPr>
                <w:rFonts w:ascii="Palatino Linotype" w:hAnsi="Palatino Linotype"/>
                <w:b/>
                <w:bCs/>
                <w:color w:val="1F4E79"/>
              </w:rPr>
              <w:t xml:space="preserve"> Registration Required in Every State of Supply</w:t>
            </w:r>
          </w:p>
          <w:p w14:paraId="32467621"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22(1) of the CGST Act provides:</w:t>
            </w:r>
          </w:p>
          <w:p w14:paraId="542EA7E1" w14:textId="77777777" w:rsidR="00984F2B" w:rsidRPr="00384F04" w:rsidRDefault="00984F2B">
            <w:pPr>
              <w:spacing w:before="60" w:after="60"/>
              <w:rPr>
                <w:rFonts w:ascii="Palatino Linotype" w:hAnsi="Palatino Linotype"/>
              </w:rPr>
            </w:pPr>
          </w:p>
          <w:p w14:paraId="1CEB3F0D" w14:textId="77777777" w:rsidR="00984F2B" w:rsidRPr="00384F04" w:rsidRDefault="00000000">
            <w:pPr>
              <w:pBdr>
                <w:left w:val="thick" w:sz="12" w:space="0" w:color="2E75B6"/>
              </w:pBdr>
              <w:spacing w:before="80" w:after="80"/>
              <w:ind w:left="720" w:right="720"/>
              <w:rPr>
                <w:rFonts w:ascii="Palatino Linotype" w:hAnsi="Palatino Linotype"/>
              </w:rPr>
            </w:pPr>
            <w:r w:rsidRPr="00384F04">
              <w:rPr>
                <w:rFonts w:ascii="Palatino Linotype" w:eastAsia="Courier New" w:hAnsi="Palatino Linotype" w:cs="Courier New"/>
                <w:i/>
                <w:iCs/>
                <w:color w:val="333333"/>
              </w:rPr>
              <w:t>"Every supplier shall be liable to be registered under this Act in the State or Union territory...from where he makes a taxable supply of goods or services or both..."</w:t>
            </w:r>
          </w:p>
          <w:p w14:paraId="07DEA72C" w14:textId="77777777" w:rsidR="00984F2B" w:rsidRPr="00384F04" w:rsidRDefault="00984F2B">
            <w:pPr>
              <w:spacing w:before="60" w:after="60"/>
              <w:rPr>
                <w:rFonts w:ascii="Palatino Linotype" w:hAnsi="Palatino Linotype"/>
              </w:rPr>
            </w:pPr>
          </w:p>
          <w:p w14:paraId="03C00779" w14:textId="1CD259C0" w:rsidR="00984F2B" w:rsidRPr="00384F04" w:rsidRDefault="00000000">
            <w:pPr>
              <w:spacing w:before="80" w:after="80"/>
              <w:jc w:val="both"/>
              <w:rPr>
                <w:rFonts w:ascii="Palatino Linotype" w:hAnsi="Palatino Linotype"/>
              </w:rPr>
            </w:pPr>
            <w:r w:rsidRPr="00384F04">
              <w:rPr>
                <w:rFonts w:ascii="Palatino Linotype" w:hAnsi="Palatino Linotype"/>
              </w:rPr>
              <w:t xml:space="preserve">Since the aggregator is the "supplier" by virtue of Step 1, Section 22(1) requires it to register in every state from which it makes a taxable supply. The question then is: which state is the </w:t>
            </w:r>
            <w:r w:rsidRPr="00384F04">
              <w:rPr>
                <w:rFonts w:ascii="Palatino Linotype" w:hAnsi="Palatino Linotype"/>
              </w:rPr>
              <w:lastRenderedPageBreak/>
              <w:t>state of supply for a cab ride? The answer is provided by Section 12(9) of the IGST Act (</w:t>
            </w:r>
            <w:r w:rsidR="00384F04">
              <w:rPr>
                <w:rFonts w:ascii="Palatino Linotype" w:hAnsi="Palatino Linotype"/>
              </w:rPr>
              <w:t>Point</w:t>
            </w:r>
            <w:r w:rsidRPr="00384F04">
              <w:rPr>
                <w:rFonts w:ascii="Palatino Linotype" w:hAnsi="Palatino Linotype"/>
              </w:rPr>
              <w:t xml:space="preserve"> 3 below).</w:t>
            </w:r>
          </w:p>
        </w:tc>
      </w:tr>
    </w:tbl>
    <w:p w14:paraId="78FC12B3" w14:textId="77777777" w:rsidR="00984F2B" w:rsidRPr="00384F04" w:rsidRDefault="00984F2B">
      <w:pPr>
        <w:spacing w:before="60" w:after="60"/>
        <w:rPr>
          <w:rFonts w:ascii="Palatino Linotype" w:hAnsi="Palatino Linoty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F2B" w:rsidRPr="00384F04" w14:paraId="685E296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796659EE" w14:textId="22CCFFF2" w:rsidR="00984F2B" w:rsidRPr="00384F04" w:rsidRDefault="00000000">
            <w:pPr>
              <w:spacing w:before="60" w:after="80"/>
              <w:rPr>
                <w:rFonts w:ascii="Palatino Linotype" w:hAnsi="Palatino Linotype"/>
              </w:rPr>
            </w:pPr>
            <w:r w:rsidRPr="00384F04">
              <w:rPr>
                <w:rFonts w:ascii="Palatino Linotype" w:hAnsi="Palatino Linotype"/>
                <w:b/>
                <w:bCs/>
                <w:color w:val="1F4E79"/>
              </w:rPr>
              <w:t xml:space="preserve">3: Section 12(9) IGST Act </w:t>
            </w:r>
            <w:r w:rsidR="00384F04">
              <w:rPr>
                <w:rFonts w:ascii="Palatino Linotype" w:hAnsi="Palatino Linotype"/>
                <w:b/>
                <w:bCs/>
                <w:color w:val="1F4E79"/>
              </w:rPr>
              <w:t>-</w:t>
            </w:r>
            <w:r w:rsidRPr="00384F04">
              <w:rPr>
                <w:rFonts w:ascii="Palatino Linotype" w:hAnsi="Palatino Linotype"/>
                <w:b/>
                <w:bCs/>
                <w:color w:val="1F4E79"/>
              </w:rPr>
              <w:t xml:space="preserve"> The Boarding State is the Place of Supply</w:t>
            </w:r>
          </w:p>
          <w:p w14:paraId="6694F7DE"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12(9) of the IGST Act determines the place of supply for passenger transportation:</w:t>
            </w:r>
          </w:p>
          <w:p w14:paraId="7BF5FBF3" w14:textId="77777777" w:rsidR="00984F2B" w:rsidRPr="00384F04" w:rsidRDefault="00984F2B">
            <w:pPr>
              <w:spacing w:before="60" w:after="60"/>
              <w:rPr>
                <w:rFonts w:ascii="Palatino Linotype" w:hAnsi="Palatino Linotype"/>
              </w:rPr>
            </w:pPr>
          </w:p>
          <w:p w14:paraId="26CFA698" w14:textId="77777777" w:rsidR="00984F2B" w:rsidRPr="00384F04" w:rsidRDefault="00000000">
            <w:pPr>
              <w:pBdr>
                <w:left w:val="thick" w:sz="12" w:space="0" w:color="2E75B6"/>
              </w:pBdr>
              <w:spacing w:before="80" w:after="80"/>
              <w:ind w:left="720" w:right="720"/>
              <w:rPr>
                <w:rFonts w:ascii="Palatino Linotype" w:hAnsi="Palatino Linotype"/>
              </w:rPr>
            </w:pPr>
            <w:r w:rsidRPr="00384F04">
              <w:rPr>
                <w:rFonts w:ascii="Palatino Linotype" w:eastAsia="Courier New" w:hAnsi="Palatino Linotype" w:cs="Courier New"/>
                <w:i/>
                <w:iCs/>
                <w:color w:val="333333"/>
              </w:rPr>
              <w:t>"The place of supply of passenger transportation service to a person other than a registered person shall be the place where the passenger embarks on the conveyance for a continuous journey."</w:t>
            </w:r>
          </w:p>
          <w:p w14:paraId="0736DEBA" w14:textId="77777777" w:rsidR="00984F2B" w:rsidRPr="00384F04" w:rsidRDefault="00984F2B">
            <w:pPr>
              <w:spacing w:before="60" w:after="60"/>
              <w:rPr>
                <w:rFonts w:ascii="Palatino Linotype" w:hAnsi="Palatino Linotype"/>
              </w:rPr>
            </w:pPr>
          </w:p>
          <w:p w14:paraId="5F0B4050" w14:textId="77777777" w:rsidR="00984F2B" w:rsidRPr="00384F04" w:rsidRDefault="00000000">
            <w:pPr>
              <w:spacing w:before="80" w:after="80"/>
              <w:jc w:val="both"/>
              <w:rPr>
                <w:rFonts w:ascii="Palatino Linotype" w:hAnsi="Palatino Linotype"/>
              </w:rPr>
            </w:pPr>
            <w:r w:rsidRPr="00384F04">
              <w:rPr>
                <w:rFonts w:ascii="Palatino Linotype" w:hAnsi="Palatino Linotype"/>
              </w:rPr>
              <w:t>A cab passenger is ordinarily an unregistered person. Accordingly:</w:t>
            </w:r>
          </w:p>
          <w:p w14:paraId="4DAF267C" w14:textId="3127CD90"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A passenger boarding in Tamil Nadu </w:t>
            </w:r>
            <w:r w:rsidR="00384F04">
              <w:rPr>
                <w:rFonts w:ascii="Palatino Linotype" w:hAnsi="Palatino Linotype"/>
              </w:rPr>
              <w:t>-</w:t>
            </w:r>
            <w:r w:rsidRPr="00384F04">
              <w:rPr>
                <w:rFonts w:ascii="Palatino Linotype" w:hAnsi="Palatino Linotype"/>
              </w:rPr>
              <w:t xml:space="preserve"> place of supply is Tamil Nadu</w:t>
            </w:r>
          </w:p>
          <w:p w14:paraId="536452B0" w14:textId="010B8EA3"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A passenger boarding in Maharashtra </w:t>
            </w:r>
            <w:r w:rsidR="00384F04">
              <w:rPr>
                <w:rFonts w:ascii="Palatino Linotype" w:hAnsi="Palatino Linotype"/>
              </w:rPr>
              <w:t>-</w:t>
            </w:r>
            <w:r w:rsidRPr="00384F04">
              <w:rPr>
                <w:rFonts w:ascii="Palatino Linotype" w:hAnsi="Palatino Linotype"/>
              </w:rPr>
              <w:t xml:space="preserve"> place of supply is Maharashtra</w:t>
            </w:r>
          </w:p>
          <w:p w14:paraId="4AC51C81" w14:textId="45554119" w:rsidR="00984F2B" w:rsidRPr="00384F04" w:rsidRDefault="00000000">
            <w:pPr>
              <w:pStyle w:val="ListParagraph"/>
              <w:numPr>
                <w:ilvl w:val="0"/>
                <w:numId w:val="2"/>
              </w:numPr>
              <w:spacing w:before="60" w:after="60"/>
              <w:rPr>
                <w:rFonts w:ascii="Palatino Linotype" w:hAnsi="Palatino Linotype"/>
              </w:rPr>
            </w:pPr>
            <w:r w:rsidRPr="00384F04">
              <w:rPr>
                <w:rFonts w:ascii="Palatino Linotype" w:hAnsi="Palatino Linotype"/>
              </w:rPr>
              <w:t xml:space="preserve">A passenger boarding in Delhi </w:t>
            </w:r>
            <w:r w:rsidR="00384F04">
              <w:rPr>
                <w:rFonts w:ascii="Palatino Linotype" w:hAnsi="Palatino Linotype"/>
              </w:rPr>
              <w:t>-</w:t>
            </w:r>
            <w:r w:rsidRPr="00384F04">
              <w:rPr>
                <w:rFonts w:ascii="Palatino Linotype" w:hAnsi="Palatino Linotype"/>
              </w:rPr>
              <w:t xml:space="preserve"> place of supply is Delhi</w:t>
            </w:r>
          </w:p>
          <w:p w14:paraId="06E3504B" w14:textId="77777777" w:rsidR="00984F2B" w:rsidRPr="00384F04" w:rsidRDefault="00984F2B">
            <w:pPr>
              <w:spacing w:before="60" w:after="60"/>
              <w:rPr>
                <w:rFonts w:ascii="Palatino Linotype" w:hAnsi="Palatino Linotype"/>
              </w:rPr>
            </w:pPr>
          </w:p>
          <w:p w14:paraId="598BEF0A" w14:textId="77777777" w:rsidR="00984F2B" w:rsidRPr="00384F04" w:rsidRDefault="00000000">
            <w:pPr>
              <w:spacing w:before="80" w:after="80"/>
              <w:jc w:val="both"/>
              <w:rPr>
                <w:rFonts w:ascii="Palatino Linotype" w:hAnsi="Palatino Linotype"/>
              </w:rPr>
            </w:pPr>
            <w:r w:rsidRPr="00384F04">
              <w:rPr>
                <w:rFonts w:ascii="Palatino Linotype" w:hAnsi="Palatino Linotype"/>
              </w:rPr>
              <w:t>This means that every boarding state is a state from which the aggregator makes a taxable supply. Combined with Section 22(1), it means the aggregator must register in every such state.</w:t>
            </w:r>
          </w:p>
        </w:tc>
      </w:tr>
    </w:tbl>
    <w:p w14:paraId="7F6714ED" w14:textId="77777777" w:rsidR="00984F2B" w:rsidRPr="00384F04" w:rsidRDefault="00984F2B">
      <w:pPr>
        <w:spacing w:before="60" w:after="60"/>
        <w:rPr>
          <w:rFonts w:ascii="Palatino Linotype" w:hAnsi="Palatino Linoty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F2B" w:rsidRPr="00384F04" w14:paraId="3CFB147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309AD75D" w14:textId="43FB5FCE" w:rsidR="00984F2B" w:rsidRPr="00384F04" w:rsidRDefault="00000000">
            <w:pPr>
              <w:spacing w:before="60" w:after="80"/>
              <w:rPr>
                <w:rFonts w:ascii="Palatino Linotype" w:hAnsi="Palatino Linotype"/>
              </w:rPr>
            </w:pPr>
            <w:r w:rsidRPr="00384F04">
              <w:rPr>
                <w:rFonts w:ascii="Palatino Linotype" w:hAnsi="Palatino Linotype"/>
                <w:b/>
                <w:bCs/>
                <w:color w:val="1F4E79"/>
              </w:rPr>
              <w:t xml:space="preserve">4: Section 24(x) CGST Act </w:t>
            </w:r>
            <w:r w:rsidR="00384F04">
              <w:rPr>
                <w:rFonts w:ascii="Palatino Linotype" w:hAnsi="Palatino Linotype"/>
                <w:b/>
                <w:bCs/>
                <w:color w:val="1F4E79"/>
              </w:rPr>
              <w:t>-</w:t>
            </w:r>
            <w:r w:rsidRPr="00384F04">
              <w:rPr>
                <w:rFonts w:ascii="Palatino Linotype" w:hAnsi="Palatino Linotype"/>
                <w:b/>
                <w:bCs/>
                <w:color w:val="1F4E79"/>
              </w:rPr>
              <w:t xml:space="preserve"> No Threshold, Registration is Immediate</w:t>
            </w:r>
          </w:p>
          <w:p w14:paraId="3F44C9A6"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22(1) would normally apply only after an entity's aggregate turnover exceeds Rs. 20 lakhs. However, Section 24(x) overrides this entirely:</w:t>
            </w:r>
          </w:p>
          <w:p w14:paraId="4CF8CE5B" w14:textId="77777777" w:rsidR="00984F2B" w:rsidRPr="00384F04" w:rsidRDefault="00984F2B">
            <w:pPr>
              <w:spacing w:before="60" w:after="60"/>
              <w:rPr>
                <w:rFonts w:ascii="Palatino Linotype" w:hAnsi="Palatino Linotype"/>
              </w:rPr>
            </w:pPr>
          </w:p>
          <w:p w14:paraId="001145DD" w14:textId="77777777" w:rsidR="00984F2B" w:rsidRPr="00384F04" w:rsidRDefault="00000000">
            <w:pPr>
              <w:pBdr>
                <w:left w:val="thick" w:sz="12" w:space="0" w:color="2E75B6"/>
              </w:pBdr>
              <w:spacing w:before="80" w:after="80"/>
              <w:ind w:left="720" w:right="720"/>
              <w:rPr>
                <w:rFonts w:ascii="Palatino Linotype" w:hAnsi="Palatino Linotype"/>
              </w:rPr>
            </w:pPr>
            <w:r w:rsidRPr="00384F04">
              <w:rPr>
                <w:rFonts w:ascii="Palatino Linotype" w:eastAsia="Courier New" w:hAnsi="Palatino Linotype" w:cs="Courier New"/>
                <w:i/>
                <w:iCs/>
                <w:color w:val="333333"/>
              </w:rPr>
              <w:t>"Notwithstanding anything contained in sub-section (1) of section 22, the following categories of persons shall be required to be registered under this Act, namely: (x) every electronic commerce operator."</w:t>
            </w:r>
          </w:p>
          <w:p w14:paraId="31B1E9BB" w14:textId="77777777" w:rsidR="00984F2B" w:rsidRPr="00384F04" w:rsidRDefault="00984F2B">
            <w:pPr>
              <w:spacing w:before="60" w:after="60"/>
              <w:rPr>
                <w:rFonts w:ascii="Palatino Linotype" w:hAnsi="Palatino Linotype"/>
              </w:rPr>
            </w:pPr>
          </w:p>
          <w:p w14:paraId="1160787D" w14:textId="77777777" w:rsidR="00984F2B" w:rsidRPr="00384F04" w:rsidRDefault="00000000">
            <w:pPr>
              <w:spacing w:before="80" w:after="80"/>
              <w:jc w:val="both"/>
              <w:rPr>
                <w:rFonts w:ascii="Palatino Linotype" w:hAnsi="Palatino Linotype"/>
              </w:rPr>
            </w:pPr>
            <w:r w:rsidRPr="00384F04">
              <w:rPr>
                <w:rFonts w:ascii="Palatino Linotype" w:hAnsi="Palatino Linotype"/>
              </w:rPr>
              <w:t>The effect of the phrase "notwithstanding anything contained in sub-section (1) of section 22" is that the threshold limit is simply not available to an ECO. An aggregator must register in a state the moment it facilitates the first ride from that state. There is no minimum revenue requirement and no grace period.</w:t>
            </w:r>
          </w:p>
        </w:tc>
      </w:tr>
    </w:tbl>
    <w:p w14:paraId="074C4CBC" w14:textId="77777777" w:rsidR="00984F2B" w:rsidRDefault="00984F2B">
      <w:pPr>
        <w:spacing w:before="60" w:after="60"/>
        <w:rPr>
          <w:rFonts w:ascii="Palatino Linotype" w:hAnsi="Palatino Linotype"/>
        </w:rPr>
      </w:pPr>
    </w:p>
    <w:p w14:paraId="09CBB284" w14:textId="77777777" w:rsidR="00384F04" w:rsidRPr="00384F04" w:rsidRDefault="00384F04">
      <w:pPr>
        <w:spacing w:before="60" w:after="60"/>
        <w:rPr>
          <w:rFonts w:ascii="Palatino Linotype" w:hAnsi="Palatino Linoty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F2B" w:rsidRPr="00384F04" w14:paraId="518EFE9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15286A51" w14:textId="4E96E4FC" w:rsidR="00984F2B" w:rsidRPr="00384F04" w:rsidRDefault="00000000">
            <w:pPr>
              <w:spacing w:before="60" w:after="80"/>
              <w:rPr>
                <w:rFonts w:ascii="Palatino Linotype" w:hAnsi="Palatino Linotype"/>
              </w:rPr>
            </w:pPr>
            <w:r w:rsidRPr="00384F04">
              <w:rPr>
                <w:rFonts w:ascii="Palatino Linotype" w:hAnsi="Palatino Linotype"/>
                <w:b/>
                <w:bCs/>
                <w:color w:val="1F4E79"/>
              </w:rPr>
              <w:lastRenderedPageBreak/>
              <w:t xml:space="preserve">5: Section 25(1) CGST Act </w:t>
            </w:r>
            <w:r w:rsidR="00384F04">
              <w:rPr>
                <w:rFonts w:ascii="Palatino Linotype" w:hAnsi="Palatino Linotype"/>
                <w:b/>
                <w:bCs/>
                <w:color w:val="1F4E79"/>
              </w:rPr>
              <w:t>-</w:t>
            </w:r>
            <w:r w:rsidRPr="00384F04">
              <w:rPr>
                <w:rFonts w:ascii="Palatino Linotype" w:hAnsi="Palatino Linotype"/>
                <w:b/>
                <w:bCs/>
                <w:color w:val="1F4E79"/>
              </w:rPr>
              <w:t xml:space="preserve"> Registration is State-wise, Not National</w:t>
            </w:r>
          </w:p>
          <w:p w14:paraId="4A836ABC" w14:textId="77777777" w:rsidR="00984F2B" w:rsidRPr="00384F04" w:rsidRDefault="00000000">
            <w:pPr>
              <w:spacing w:before="80" w:after="80"/>
              <w:jc w:val="both"/>
              <w:rPr>
                <w:rFonts w:ascii="Palatino Linotype" w:hAnsi="Palatino Linotype"/>
              </w:rPr>
            </w:pPr>
            <w:r w:rsidRPr="00384F04">
              <w:rPr>
                <w:rFonts w:ascii="Palatino Linotype" w:hAnsi="Palatino Linotype"/>
              </w:rPr>
              <w:t>Section 25(1) of the CGST Act states:</w:t>
            </w:r>
          </w:p>
          <w:p w14:paraId="2EA288D0" w14:textId="77777777" w:rsidR="00984F2B" w:rsidRPr="00384F04" w:rsidRDefault="00984F2B">
            <w:pPr>
              <w:spacing w:before="60" w:after="60"/>
              <w:rPr>
                <w:rFonts w:ascii="Palatino Linotype" w:hAnsi="Palatino Linotype"/>
              </w:rPr>
            </w:pPr>
          </w:p>
          <w:p w14:paraId="2C675739" w14:textId="77777777" w:rsidR="00984F2B" w:rsidRPr="00384F04" w:rsidRDefault="00000000">
            <w:pPr>
              <w:pBdr>
                <w:left w:val="thick" w:sz="12" w:space="0" w:color="2E75B6"/>
              </w:pBdr>
              <w:spacing w:before="80" w:after="80"/>
              <w:ind w:left="720" w:right="720"/>
              <w:rPr>
                <w:rFonts w:ascii="Palatino Linotype" w:hAnsi="Palatino Linotype"/>
              </w:rPr>
            </w:pPr>
            <w:r w:rsidRPr="00384F04">
              <w:rPr>
                <w:rFonts w:ascii="Palatino Linotype" w:eastAsia="Courier New" w:hAnsi="Palatino Linotype" w:cs="Courier New"/>
                <w:i/>
                <w:iCs/>
                <w:color w:val="333333"/>
              </w:rPr>
              <w:t>"Every person who is liable to be registered under section 22 or section 24 shall apply for registration in every such State or Union territory in which he is so liable, within thirty days from the date on which he becomes liable to registration..."</w:t>
            </w:r>
          </w:p>
          <w:p w14:paraId="138A0060" w14:textId="77777777" w:rsidR="00984F2B" w:rsidRPr="00384F04" w:rsidRDefault="00984F2B">
            <w:pPr>
              <w:spacing w:before="60" w:after="60"/>
              <w:rPr>
                <w:rFonts w:ascii="Palatino Linotype" w:hAnsi="Palatino Linotype"/>
              </w:rPr>
            </w:pPr>
          </w:p>
          <w:p w14:paraId="25553996" w14:textId="66085A5D" w:rsidR="00984F2B" w:rsidRPr="00384F04" w:rsidRDefault="00000000">
            <w:pPr>
              <w:spacing w:before="80" w:after="80"/>
              <w:jc w:val="both"/>
              <w:rPr>
                <w:rFonts w:ascii="Palatino Linotype" w:hAnsi="Palatino Linotype"/>
              </w:rPr>
            </w:pPr>
            <w:r w:rsidRPr="00384F04">
              <w:rPr>
                <w:rFonts w:ascii="Palatino Linotype" w:hAnsi="Palatino Linotype"/>
              </w:rPr>
              <w:t>The words "in every such State or Union territory" make plain that registration is not a single, national exercise. Each state is a separate jurisdiction requiring a separate application and a separate GSTIN. An aggregator operating across, say, 20 states must hold 20 separate GSTINs.</w:t>
            </w:r>
          </w:p>
        </w:tc>
      </w:tr>
    </w:tbl>
    <w:p w14:paraId="7F1C7B3E" w14:textId="659E68A6" w:rsidR="00984F2B" w:rsidRPr="00384F04" w:rsidRDefault="00000000">
      <w:pPr>
        <w:pStyle w:val="Heading1"/>
        <w:rPr>
          <w:rFonts w:ascii="Palatino Linotype" w:hAnsi="Palatino Linotype"/>
          <w:sz w:val="22"/>
          <w:szCs w:val="22"/>
        </w:rPr>
      </w:pPr>
      <w:r w:rsidRPr="00384F04">
        <w:rPr>
          <w:rFonts w:ascii="Palatino Linotype" w:hAnsi="Palatino Linotype"/>
          <w:sz w:val="22"/>
          <w:szCs w:val="22"/>
        </w:rPr>
        <w:t>4. Why a Single GSTIN Cannot Work</w:t>
      </w:r>
    </w:p>
    <w:p w14:paraId="02B10545" w14:textId="4683F2EE" w:rsidR="00984F2B" w:rsidRPr="00384F04" w:rsidRDefault="00214D62">
      <w:pPr>
        <w:spacing w:before="80" w:after="80"/>
        <w:jc w:val="both"/>
        <w:rPr>
          <w:rFonts w:ascii="Palatino Linotype" w:hAnsi="Palatino Linotype"/>
        </w:rPr>
      </w:pPr>
      <w:r>
        <w:rPr>
          <w:rFonts w:ascii="Palatino Linotype" w:hAnsi="Palatino Linotype"/>
        </w:rPr>
        <w:t>A</w:t>
      </w:r>
      <w:r w:rsidRPr="00384F04">
        <w:rPr>
          <w:rFonts w:ascii="Palatino Linotype" w:hAnsi="Palatino Linotype"/>
        </w:rPr>
        <w:t>ggregators have taken the position that their head-office state GSTIN is sufficient for pan-India compliance. This position is legally untenable. Consider the following example:</w:t>
      </w:r>
    </w:p>
    <w:p w14:paraId="5C23D266" w14:textId="77777777" w:rsidR="00984F2B" w:rsidRPr="00384F04" w:rsidRDefault="00984F2B">
      <w:pPr>
        <w:spacing w:before="60" w:after="60"/>
        <w:rPr>
          <w:rFonts w:ascii="Palatino Linotype" w:hAnsi="Palatino Linotype"/>
        </w:rPr>
      </w:pPr>
    </w:p>
    <w:p w14:paraId="6BEA1C41" w14:textId="42EDFF57" w:rsidR="00984F2B" w:rsidRPr="00384F04" w:rsidRDefault="00000000" w:rsidP="00214D62">
      <w:pPr>
        <w:spacing w:before="80" w:after="80"/>
        <w:jc w:val="both"/>
        <w:rPr>
          <w:rFonts w:ascii="Palatino Linotype" w:hAnsi="Palatino Linotype"/>
        </w:rPr>
      </w:pPr>
      <w:r w:rsidRPr="00384F04">
        <w:rPr>
          <w:rFonts w:ascii="Palatino Linotype" w:hAnsi="Palatino Linotype"/>
        </w:rPr>
        <w:t xml:space="preserve">Suppose an aggregator holds only a Karnataka GSTIN and a ride originates in Mumbai (Maharashtra). The invoice would have to show the aggregator's location as Karnataka, but the place of supply as Maharashtra. These are different states </w:t>
      </w:r>
      <w:r w:rsidR="00384F04">
        <w:rPr>
          <w:rFonts w:ascii="Palatino Linotype" w:hAnsi="Palatino Linotype"/>
        </w:rPr>
        <w:t>-</w:t>
      </w:r>
      <w:r w:rsidRPr="00384F04">
        <w:rPr>
          <w:rFonts w:ascii="Palatino Linotype" w:hAnsi="Palatino Linotype"/>
        </w:rPr>
        <w:t xml:space="preserve"> making it an inter-state supply (IGST). However, IGST flows to the Central Government, not to Maharashtra. Maharashtra receives no revenue from the ride. This violates the foundational principle of GST as a destination-based tax</w:t>
      </w:r>
      <w:r w:rsidR="00214D62">
        <w:rPr>
          <w:rFonts w:ascii="Palatino Linotype" w:hAnsi="Palatino Linotype"/>
        </w:rPr>
        <w:t>.</w:t>
      </w:r>
      <w:r w:rsidRPr="00384F04">
        <w:rPr>
          <w:rFonts w:ascii="Palatino Linotype" w:hAnsi="Palatino Linotype"/>
        </w:rPr>
        <w:t xml:space="preserve"> </w:t>
      </w:r>
    </w:p>
    <w:p w14:paraId="339BA2DA" w14:textId="4C74AAD0" w:rsidR="00984F2B" w:rsidRPr="00384F04" w:rsidRDefault="00214D62">
      <w:pPr>
        <w:pStyle w:val="Heading1"/>
        <w:rPr>
          <w:rFonts w:ascii="Palatino Linotype" w:hAnsi="Palatino Linotype"/>
          <w:sz w:val="22"/>
          <w:szCs w:val="22"/>
        </w:rPr>
      </w:pPr>
      <w:r>
        <w:rPr>
          <w:rFonts w:ascii="Palatino Linotype" w:hAnsi="Palatino Linotype"/>
          <w:sz w:val="22"/>
          <w:szCs w:val="22"/>
        </w:rPr>
        <w:t>5</w:t>
      </w:r>
      <w:r w:rsidRPr="00384F04">
        <w:rPr>
          <w:rFonts w:ascii="Palatino Linotype" w:hAnsi="Palatino Linotype"/>
          <w:sz w:val="22"/>
          <w:szCs w:val="22"/>
        </w:rPr>
        <w:t>. Our Conclusion</w:t>
      </w:r>
    </w:p>
    <w:p w14:paraId="575F0B66" w14:textId="77777777" w:rsidR="00984F2B" w:rsidRPr="00384F04" w:rsidRDefault="00000000">
      <w:pPr>
        <w:pStyle w:val="ListParagraph"/>
        <w:numPr>
          <w:ilvl w:val="0"/>
          <w:numId w:val="3"/>
        </w:numPr>
        <w:spacing w:before="80" w:after="80"/>
        <w:rPr>
          <w:rFonts w:ascii="Palatino Linotype" w:hAnsi="Palatino Linotype"/>
        </w:rPr>
      </w:pPr>
      <w:r w:rsidRPr="00384F04">
        <w:rPr>
          <w:rFonts w:ascii="Palatino Linotype" w:hAnsi="Palatino Linotype"/>
        </w:rPr>
        <w:t>A cab aggregator (electronic commerce operator) is the deemed supplier under Section 9(5) of the CGST Act and Section 5(5) of the IGST Act for all passenger transportation services facilitated through its platform.</w:t>
      </w:r>
    </w:p>
    <w:p w14:paraId="74452E67" w14:textId="77777777" w:rsidR="00984F2B" w:rsidRPr="00384F04" w:rsidRDefault="00000000">
      <w:pPr>
        <w:pStyle w:val="ListParagraph"/>
        <w:numPr>
          <w:ilvl w:val="0"/>
          <w:numId w:val="3"/>
        </w:numPr>
        <w:spacing w:before="80" w:after="80"/>
        <w:rPr>
          <w:rFonts w:ascii="Palatino Linotype" w:hAnsi="Palatino Linotype"/>
        </w:rPr>
      </w:pPr>
      <w:r w:rsidRPr="00384F04">
        <w:rPr>
          <w:rFonts w:ascii="Palatino Linotype" w:hAnsi="Palatino Linotype"/>
        </w:rPr>
        <w:t>This deemed supplier status triggers all registration obligations under the CGST Act, including Sections 22(1), 24(x), and 25(1).</w:t>
      </w:r>
    </w:p>
    <w:p w14:paraId="1D122A45" w14:textId="77777777" w:rsidR="00984F2B" w:rsidRPr="00384F04" w:rsidRDefault="00000000">
      <w:pPr>
        <w:pStyle w:val="ListParagraph"/>
        <w:numPr>
          <w:ilvl w:val="0"/>
          <w:numId w:val="3"/>
        </w:numPr>
        <w:spacing w:before="80" w:after="80"/>
        <w:rPr>
          <w:rFonts w:ascii="Palatino Linotype" w:hAnsi="Palatino Linotype"/>
        </w:rPr>
      </w:pPr>
      <w:r w:rsidRPr="00384F04">
        <w:rPr>
          <w:rFonts w:ascii="Palatino Linotype" w:hAnsi="Palatino Linotype"/>
        </w:rPr>
        <w:t>By operation of Section 12(9) of the IGST Act, the place of supply is the state in which the passenger boards the cab. Each boarding state is therefore a state from which the aggregator makes a taxable supply.</w:t>
      </w:r>
    </w:p>
    <w:p w14:paraId="5CEC4E7D" w14:textId="77777777" w:rsidR="00984F2B" w:rsidRPr="00384F04" w:rsidRDefault="00000000">
      <w:pPr>
        <w:pStyle w:val="ListParagraph"/>
        <w:numPr>
          <w:ilvl w:val="0"/>
          <w:numId w:val="3"/>
        </w:numPr>
        <w:spacing w:before="80" w:after="80"/>
        <w:rPr>
          <w:rFonts w:ascii="Palatino Linotype" w:hAnsi="Palatino Linotype"/>
        </w:rPr>
      </w:pPr>
      <w:r w:rsidRPr="00384F04">
        <w:rPr>
          <w:rFonts w:ascii="Palatino Linotype" w:hAnsi="Palatino Linotype"/>
        </w:rPr>
        <w:t>Section 24(x) removes the turnover threshold entirely for ECOs. Registration in a new boarding state becomes mandatory within 30 days of the first ride from that state, regardless of revenue.</w:t>
      </w:r>
    </w:p>
    <w:p w14:paraId="708BFECE" w14:textId="77777777" w:rsidR="00984F2B" w:rsidRPr="00384F04" w:rsidRDefault="00000000">
      <w:pPr>
        <w:pStyle w:val="ListParagraph"/>
        <w:numPr>
          <w:ilvl w:val="0"/>
          <w:numId w:val="3"/>
        </w:numPr>
        <w:spacing w:before="80" w:after="80"/>
        <w:rPr>
          <w:rFonts w:ascii="Palatino Linotype" w:hAnsi="Palatino Linotype"/>
        </w:rPr>
      </w:pPr>
      <w:r w:rsidRPr="00384F04">
        <w:rPr>
          <w:rFonts w:ascii="Palatino Linotype" w:hAnsi="Palatino Linotype"/>
        </w:rPr>
        <w:t>Section 25(1) requires registration to be obtained separately in each state or union territory of liability. A single national GSTIN does not satisfy this requirement.</w:t>
      </w:r>
    </w:p>
    <w:p w14:paraId="45BB062B" w14:textId="32C9C8C0" w:rsidR="00984F2B" w:rsidRPr="00384F04" w:rsidRDefault="00984F2B" w:rsidP="00214D62">
      <w:pPr>
        <w:pStyle w:val="ListParagraph"/>
        <w:spacing w:before="80" w:after="80"/>
        <w:ind w:left="720"/>
        <w:rPr>
          <w:rFonts w:ascii="Palatino Linotype" w:hAnsi="Palatino Linotype"/>
        </w:rPr>
      </w:pPr>
    </w:p>
    <w:sectPr w:rsidR="00984F2B" w:rsidRPr="00384F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7434"/>
    <w:multiLevelType w:val="hybridMultilevel"/>
    <w:tmpl w:val="40AE9FDC"/>
    <w:lvl w:ilvl="0" w:tplc="45183FA6">
      <w:start w:val="1"/>
      <w:numFmt w:val="bullet"/>
      <w:lvlText w:val="●"/>
      <w:lvlJc w:val="left"/>
      <w:pPr>
        <w:ind w:left="720" w:hanging="360"/>
      </w:pPr>
    </w:lvl>
    <w:lvl w:ilvl="1" w:tplc="17D4727E">
      <w:start w:val="1"/>
      <w:numFmt w:val="bullet"/>
      <w:lvlText w:val="○"/>
      <w:lvlJc w:val="left"/>
      <w:pPr>
        <w:ind w:left="1440" w:hanging="360"/>
      </w:pPr>
    </w:lvl>
    <w:lvl w:ilvl="2" w:tplc="D43EE04A">
      <w:start w:val="1"/>
      <w:numFmt w:val="bullet"/>
      <w:lvlText w:val="■"/>
      <w:lvlJc w:val="left"/>
      <w:pPr>
        <w:ind w:left="2160" w:hanging="360"/>
      </w:pPr>
    </w:lvl>
    <w:lvl w:ilvl="3" w:tplc="0D6E8528">
      <w:start w:val="1"/>
      <w:numFmt w:val="bullet"/>
      <w:lvlText w:val="●"/>
      <w:lvlJc w:val="left"/>
      <w:pPr>
        <w:ind w:left="2880" w:hanging="360"/>
      </w:pPr>
    </w:lvl>
    <w:lvl w:ilvl="4" w:tplc="E4A655E2">
      <w:start w:val="1"/>
      <w:numFmt w:val="bullet"/>
      <w:lvlText w:val="○"/>
      <w:lvlJc w:val="left"/>
      <w:pPr>
        <w:ind w:left="3600" w:hanging="360"/>
      </w:pPr>
    </w:lvl>
    <w:lvl w:ilvl="5" w:tplc="43128060">
      <w:start w:val="1"/>
      <w:numFmt w:val="bullet"/>
      <w:lvlText w:val="■"/>
      <w:lvlJc w:val="left"/>
      <w:pPr>
        <w:ind w:left="4320" w:hanging="360"/>
      </w:pPr>
    </w:lvl>
    <w:lvl w:ilvl="6" w:tplc="721036C0">
      <w:start w:val="1"/>
      <w:numFmt w:val="bullet"/>
      <w:lvlText w:val="●"/>
      <w:lvlJc w:val="left"/>
      <w:pPr>
        <w:ind w:left="5040" w:hanging="360"/>
      </w:pPr>
    </w:lvl>
    <w:lvl w:ilvl="7" w:tplc="D2966ECC">
      <w:start w:val="1"/>
      <w:numFmt w:val="bullet"/>
      <w:lvlText w:val="●"/>
      <w:lvlJc w:val="left"/>
      <w:pPr>
        <w:ind w:left="5760" w:hanging="360"/>
      </w:pPr>
    </w:lvl>
    <w:lvl w:ilvl="8" w:tplc="23889B8C">
      <w:start w:val="1"/>
      <w:numFmt w:val="bullet"/>
      <w:lvlText w:val="●"/>
      <w:lvlJc w:val="left"/>
      <w:pPr>
        <w:ind w:left="6480" w:hanging="360"/>
      </w:pPr>
    </w:lvl>
  </w:abstractNum>
  <w:abstractNum w:abstractNumId="1" w15:restartNumberingAfterBreak="0">
    <w:nsid w:val="303B1474"/>
    <w:multiLevelType w:val="hybridMultilevel"/>
    <w:tmpl w:val="AA70195E"/>
    <w:lvl w:ilvl="0" w:tplc="A988381C">
      <w:start w:val="1"/>
      <w:numFmt w:val="bullet"/>
      <w:lvlText w:val="•"/>
      <w:lvlJc w:val="left"/>
      <w:pPr>
        <w:ind w:left="720" w:hanging="360"/>
      </w:pPr>
    </w:lvl>
    <w:lvl w:ilvl="1" w:tplc="EF52DDD4">
      <w:numFmt w:val="decimal"/>
      <w:lvlText w:val=""/>
      <w:lvlJc w:val="left"/>
    </w:lvl>
    <w:lvl w:ilvl="2" w:tplc="BA864DD2">
      <w:numFmt w:val="decimal"/>
      <w:lvlText w:val=""/>
      <w:lvlJc w:val="left"/>
    </w:lvl>
    <w:lvl w:ilvl="3" w:tplc="D81E93D4">
      <w:numFmt w:val="decimal"/>
      <w:lvlText w:val=""/>
      <w:lvlJc w:val="left"/>
    </w:lvl>
    <w:lvl w:ilvl="4" w:tplc="B9B60504">
      <w:numFmt w:val="decimal"/>
      <w:lvlText w:val=""/>
      <w:lvlJc w:val="left"/>
    </w:lvl>
    <w:lvl w:ilvl="5" w:tplc="BCCEB386">
      <w:numFmt w:val="decimal"/>
      <w:lvlText w:val=""/>
      <w:lvlJc w:val="left"/>
    </w:lvl>
    <w:lvl w:ilvl="6" w:tplc="8F9CBEBA">
      <w:numFmt w:val="decimal"/>
      <w:lvlText w:val=""/>
      <w:lvlJc w:val="left"/>
    </w:lvl>
    <w:lvl w:ilvl="7" w:tplc="904065C6">
      <w:numFmt w:val="decimal"/>
      <w:lvlText w:val=""/>
      <w:lvlJc w:val="left"/>
    </w:lvl>
    <w:lvl w:ilvl="8" w:tplc="E4146E18">
      <w:numFmt w:val="decimal"/>
      <w:lvlText w:val=""/>
      <w:lvlJc w:val="left"/>
    </w:lvl>
  </w:abstractNum>
  <w:abstractNum w:abstractNumId="2" w15:restartNumberingAfterBreak="0">
    <w:nsid w:val="56FE26F4"/>
    <w:multiLevelType w:val="hybridMultilevel"/>
    <w:tmpl w:val="3D1A8B9C"/>
    <w:lvl w:ilvl="0" w:tplc="6DCC9928">
      <w:start w:val="1"/>
      <w:numFmt w:val="decimal"/>
      <w:lvlText w:val="%1."/>
      <w:lvlJc w:val="left"/>
      <w:pPr>
        <w:ind w:left="720" w:hanging="360"/>
      </w:pPr>
    </w:lvl>
    <w:lvl w:ilvl="1" w:tplc="11C059CC">
      <w:numFmt w:val="decimal"/>
      <w:lvlText w:val=""/>
      <w:lvlJc w:val="left"/>
    </w:lvl>
    <w:lvl w:ilvl="2" w:tplc="67EE8A92">
      <w:numFmt w:val="decimal"/>
      <w:lvlText w:val=""/>
      <w:lvlJc w:val="left"/>
    </w:lvl>
    <w:lvl w:ilvl="3" w:tplc="6B181460">
      <w:numFmt w:val="decimal"/>
      <w:lvlText w:val=""/>
      <w:lvlJc w:val="left"/>
    </w:lvl>
    <w:lvl w:ilvl="4" w:tplc="234ECE8C">
      <w:numFmt w:val="decimal"/>
      <w:lvlText w:val=""/>
      <w:lvlJc w:val="left"/>
    </w:lvl>
    <w:lvl w:ilvl="5" w:tplc="77FA31DE">
      <w:numFmt w:val="decimal"/>
      <w:lvlText w:val=""/>
      <w:lvlJc w:val="left"/>
    </w:lvl>
    <w:lvl w:ilvl="6" w:tplc="8720511E">
      <w:numFmt w:val="decimal"/>
      <w:lvlText w:val=""/>
      <w:lvlJc w:val="left"/>
    </w:lvl>
    <w:lvl w:ilvl="7" w:tplc="55CE4922">
      <w:numFmt w:val="decimal"/>
      <w:lvlText w:val=""/>
      <w:lvlJc w:val="left"/>
    </w:lvl>
    <w:lvl w:ilvl="8" w:tplc="E9CCF262">
      <w:numFmt w:val="decimal"/>
      <w:lvlText w:val=""/>
      <w:lvlJc w:val="left"/>
    </w:lvl>
  </w:abstractNum>
  <w:num w:numId="1" w16cid:durableId="1163741769">
    <w:abstractNumId w:val="0"/>
    <w:lvlOverride w:ilvl="0">
      <w:startOverride w:val="1"/>
    </w:lvlOverride>
  </w:num>
  <w:num w:numId="2" w16cid:durableId="1015376596">
    <w:abstractNumId w:val="1"/>
    <w:lvlOverride w:ilvl="0">
      <w:startOverride w:val="1"/>
    </w:lvlOverride>
  </w:num>
  <w:num w:numId="3" w16cid:durableId="9491621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2B"/>
    <w:rsid w:val="00214D62"/>
    <w:rsid w:val="00384F04"/>
    <w:rsid w:val="00866BCB"/>
    <w:rsid w:val="00984F2B"/>
    <w:rsid w:val="00C14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0E0C5B"/>
  <w15:docId w15:val="{0D455A9C-E426-E941-8067-61856FE7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semiHidden/>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babu</cp:lastModifiedBy>
  <cp:revision>3</cp:revision>
  <dcterms:created xsi:type="dcterms:W3CDTF">2026-05-21T21:01:00Z</dcterms:created>
  <dcterms:modified xsi:type="dcterms:W3CDTF">2026-05-22T04:19:00Z</dcterms:modified>
</cp:coreProperties>
</file>