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CONTROLLED POLICY</w:t>
      </w:r>
    </w:p>
    <w:p>
      <w:pPr>
        <w:pStyle w:val="Title"/>
      </w:pPr>
      <w:r>
        <w:t>Electronic Communications and Approved Channels Policy</w:t>
      </w:r>
    </w:p>
    <w:p>
      <w:r>
        <w:t>This policy governs business communications with clients, prospects, counterparties, vendors, and colleagues. It requires use of approved, supervised, and retrievable channels and prohibits evasion of monitoring or recordkeeping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2376"/>
            <w:vAlign w:val="center"/>
            <w:shd w:fill="17365D"/>
          </w:tcPr>
          <w:p>
            <w:r>
              <w:rPr>
                <w:b/>
                <w:color w:val="FFFFFF"/>
              </w:rPr>
              <w:t>Document control</w:t>
            </w:r>
          </w:p>
        </w:tc>
        <w:tc>
          <w:tcPr>
            <w:tcW w:type="dxa" w:w="7992"/>
            <w:vAlign w:val="center"/>
            <w:shd w:fill="17365D"/>
          </w:tcPr>
          <w:p>
            <w:r>
              <w:rPr>
                <w:b/>
                <w:color w:val="FFFFFF"/>
              </w:rPr>
              <w:t>Current value</w:t>
            </w:r>
          </w:p>
        </w:tc>
      </w:tr>
      <w:tr>
        <w:tc>
          <w:tcPr>
            <w:tcW w:type="dxa" w:w="2376"/>
            <w:vAlign w:val="center"/>
            <w:shd w:fill="F3F6F9"/>
          </w:tcPr>
          <w:p>
            <w:r>
              <w:t>Policy owner</w:t>
            </w:r>
          </w:p>
        </w:tc>
        <w:tc>
          <w:tcPr>
            <w:tcW w:type="dxa" w:w="7992"/>
            <w:vAlign w:val="center"/>
            <w:shd w:fill="F3F6F9"/>
          </w:tcPr>
          <w:p>
            <w:r>
              <w:t>Chief Compliance Officer and Head of Records Management</w:t>
            </w:r>
          </w:p>
        </w:tc>
      </w:tr>
      <w:tr>
        <w:tc>
          <w:tcPr>
            <w:tcW w:type="dxa" w:w="2376"/>
            <w:vAlign w:val="center"/>
          </w:tcPr>
          <w:p>
            <w:r>
              <w:t>Approval authority</w:t>
            </w:r>
          </w:p>
        </w:tc>
        <w:tc>
          <w:tcPr>
            <w:tcW w:type="dxa" w:w="7992"/>
            <w:vAlign w:val="center"/>
          </w:tcPr>
          <w:p>
            <w:r>
              <w:t>Board Risk and Compliance Committee</w:t>
            </w:r>
          </w:p>
        </w:tc>
      </w:tr>
      <w:tr>
        <w:tc>
          <w:tcPr>
            <w:tcW w:type="dxa" w:w="2376"/>
            <w:vAlign w:val="center"/>
            <w:shd w:fill="F3F6F9"/>
          </w:tcPr>
          <w:p>
            <w:r>
              <w:t>Effective date</w:t>
            </w:r>
          </w:p>
        </w:tc>
        <w:tc>
          <w:tcPr>
            <w:tcW w:type="dxa" w:w="7992"/>
            <w:vAlign w:val="center"/>
            <w:shd w:fill="F3F6F9"/>
          </w:tcPr>
          <w:p>
            <w:r>
              <w:t>15 September 2026</w:t>
            </w:r>
          </w:p>
        </w:tc>
      </w:tr>
      <w:tr>
        <w:tc>
          <w:tcPr>
            <w:tcW w:type="dxa" w:w="2376"/>
            <w:vAlign w:val="center"/>
          </w:tcPr>
          <w:p>
            <w:r>
              <w:t>Review cycle</w:t>
            </w:r>
          </w:p>
        </w:tc>
        <w:tc>
          <w:tcPr>
            <w:tcW w:type="dxa" w:w="7992"/>
            <w:vAlign w:val="center"/>
          </w:tcPr>
          <w:p>
            <w:r>
              <w:t>At least annually and upon material regulatory or business change</w:t>
            </w:r>
          </w:p>
        </w:tc>
      </w:tr>
      <w:tr>
        <w:tc>
          <w:tcPr>
            <w:tcW w:type="dxa" w:w="2376"/>
            <w:vAlign w:val="center"/>
            <w:shd w:fill="F3F6F9"/>
          </w:tcPr>
          <w:p>
            <w:r>
              <w:t>Classification</w:t>
            </w:r>
          </w:p>
        </w:tc>
        <w:tc>
          <w:tcPr>
            <w:tcW w:type="dxa" w:w="7992"/>
            <w:vAlign w:val="center"/>
            <w:shd w:fill="F3F6F9"/>
          </w:tcPr>
          <w:p>
            <w:r>
              <w:t>Internal</w:t>
            </w:r>
          </w:p>
        </w:tc>
      </w:tr>
      <w:tr>
        <w:tc>
          <w:tcPr>
            <w:tcW w:type="dxa" w:w="2376"/>
            <w:vAlign w:val="center"/>
          </w:tcPr>
          <w:p>
            <w:r>
              <w:t>Policy code</w:t>
            </w:r>
          </w:p>
        </w:tc>
        <w:tc>
          <w:tcPr>
            <w:tcW w:type="dxa" w:w="7992"/>
            <w:vAlign w:val="center"/>
          </w:tcPr>
          <w:p>
            <w:r>
              <w:t>COM-001</w:t>
            </w:r>
          </w:p>
        </w:tc>
      </w:tr>
      <w:tr>
        <w:tc>
          <w:tcPr>
            <w:tcW w:type="dxa" w:w="2376"/>
            <w:vAlign w:val="center"/>
            <w:shd w:fill="F3F6F9"/>
          </w:tcPr>
          <w:p>
            <w:r>
              <w:t>Version</w:t>
            </w:r>
          </w:p>
        </w:tc>
        <w:tc>
          <w:tcPr>
            <w:tcW w:type="dxa" w:w="7992"/>
            <w:vAlign w:val="center"/>
            <w:shd w:fill="F3F6F9"/>
          </w:tcPr>
          <w:p>
            <w:r>
              <w:t>1.0</w:t>
            </w:r>
          </w:p>
        </w:tc>
      </w:tr>
    </w:tbl>
    <w:p>
      <w:pPr>
        <w:pStyle w:val="Heading2"/>
      </w:pPr>
      <w:r>
        <w:t>Reader action</w:t>
      </w:r>
    </w:p>
    <w:p>
      <w:r>
        <w:t>All covered persons must read, understand, and comply with this policy. Questions must be raised before acting. Suspected breaches must be reported promptly and records must not be altered, concealed, or deleted.</w:t>
      </w:r>
    </w:p>
    <w:p>
      <w:pPr>
        <w:pStyle w:val="Heading2"/>
      </w:pPr>
      <w:r>
        <w:t>Contents</w:t>
      </w:r>
    </w:p>
    <w:p>
      <w:r>
        <w:t>2. Purpose Scope and Core Standard</w:t>
      </w:r>
    </w:p>
    <w:p>
      <w:r>
        <w:t>3. Approved and Prohibited Channels</w:t>
      </w:r>
    </w:p>
    <w:p>
      <w:r>
        <w:t>4. Client Conversations Orders and Advice</w:t>
      </w:r>
    </w:p>
    <w:p>
      <w:r>
        <w:t>5. Internal Communications and Collaboration</w:t>
      </w:r>
    </w:p>
    <w:p>
      <w:r>
        <w:t>6. Social Media Public Forums and External Content</w:t>
      </w:r>
    </w:p>
    <w:p>
      <w:r>
        <w:t>7. Supervision Surveillance and Review</w:t>
      </w:r>
    </w:p>
    <w:p>
      <w:r>
        <w:t>8. Recordkeeping Legal Holds and Retrieval</w:t>
      </w:r>
    </w:p>
    <w:p>
      <w:r>
        <w:t>9. Incidents Breaches and Remediation</w:t>
      </w:r>
    </w:p>
    <w:p>
      <w:r>
        <w:t>10. Regulatory Basis Definitions and Acknowledgment</w:t>
      </w:r>
    </w:p>
    <w:p>
      <w:r>
        <w:br w:type="page"/>
      </w:r>
    </w:p>
    <w:p>
      <w:pPr>
        <w:pStyle w:val="Heading1"/>
      </w:pPr>
      <w:r>
        <w:t>Purpose Scope and Core Standard</w:t>
      </w:r>
    </w:p>
    <w:p>
      <w:r>
        <w:rPr>
          <w:b/>
          <w:color w:val="17365D"/>
        </w:rPr>
        <w:t>Conduct firm business only through an approved channel that the firm can retain, retrieve, protect, and supervise.</w:t>
      </w:r>
    </w:p>
    <w:p>
      <w:pPr>
        <w:pStyle w:val="Heading2"/>
      </w:pPr>
      <w:r>
        <w:t>Scope</w:t>
      </w:r>
    </w:p>
    <w:p>
      <w:r>
        <w:t>This policy applies regardless of device ownership, location, seniority, communication format, or whether a conversation begins socially. Content and business purpose determine whether a communication is a business record.</w:t>
      </w:r>
    </w:p>
    <w:p>
      <w:pPr>
        <w:pStyle w:val="Heading2"/>
      </w:pPr>
      <w:r>
        <w:t>Core requirements</w:t>
      </w:r>
    </w:p>
    <w:p>
      <w:pPr>
        <w:pStyle w:val="ListBullet"/>
      </w:pPr>
      <w:r>
        <w:t>Use firm email, approved enterprise chat, recorded business telephone, approved conferencing, CRM messaging, and other channels listed by Technology and Compliance.</w:t>
      </w:r>
    </w:p>
    <w:p>
      <w:pPr>
        <w:pStyle w:val="ListBullet"/>
      </w:pPr>
      <w:r>
        <w:t>Move an inbound client message from an unapproved channel to an approved channel without continuing the substantive discussion.</w:t>
      </w:r>
    </w:p>
    <w:p>
      <w:pPr>
        <w:pStyle w:val="ListBullet"/>
      </w:pPr>
      <w:r>
        <w:t>Never request deletion, disappearing messages, coded language, personal accounts, or an off-channel move to avoid review.</w:t>
      </w:r>
    </w:p>
    <w:p>
      <w:pPr>
        <w:pStyle w:val="ListBullet"/>
      </w:pPr>
      <w:r>
        <w:t>Preserve communications, attachments, reactions, edits, meeting chats, and approvals when required.</w:t>
      </w:r>
    </w:p>
    <w:p>
      <w:r>
        <w:br w:type="page"/>
      </w:r>
    </w:p>
    <w:p>
      <w:pPr>
        <w:pStyle w:val="Heading1"/>
      </w:pPr>
      <w:r>
        <w:t>Approved and Prohibited Channels</w:t>
      </w:r>
    </w:p>
    <w:p>
      <w:pPr>
        <w:pStyle w:val="Heading2"/>
      </w:pPr>
      <w:r>
        <w:t>Approved use</w:t>
      </w:r>
    </w:p>
    <w:p>
      <w:r>
        <w:t>A channel is approved only after written validation of identity controls, retention, legal hold, supervision, export, security, and jurisdictional requirements. Approval may be limited by business unit, country, client type, or message type.</w:t>
      </w:r>
    </w:p>
    <w:p>
      <w:pPr>
        <w:pStyle w:val="Heading2"/>
      </w:pPr>
      <w:r>
        <w:t>Prohibited conduct</w:t>
      </w:r>
    </w:p>
    <w:p>
      <w:pPr>
        <w:pStyle w:val="ListBullet"/>
      </w:pPr>
      <w:r>
        <w:t>Personal email, consumer messaging, SMS, or social direct messaging for firm business unless specifically captured and approved.</w:t>
      </w:r>
    </w:p>
    <w:p>
      <w:pPr>
        <w:pStyle w:val="ListBullet"/>
      </w:pPr>
      <w:r>
        <w:t>Auto-delete, secret chat, vanish mode, unsanctioned collaboration workspaces, anonymous accounts, and forwarding to personal storage.</w:t>
      </w:r>
    </w:p>
    <w:p>
      <w:pPr>
        <w:pStyle w:val="ListBullet"/>
      </w:pPr>
      <w:r>
        <w:t>Using another person’s account, shared credentials, screenshots to defeat retention, or an unapproved translation or transcription bot.</w:t>
      </w:r>
    </w:p>
    <w:p>
      <w:pPr>
        <w:pStyle w:val="ListBullet"/>
      </w:pPr>
      <w:r>
        <w:t>Recording a client or colleague without firm approval and any legally required notice or consent.</w:t>
      </w:r>
    </w:p>
    <w:p>
      <w:pPr>
        <w:pStyle w:val="Heading2"/>
      </w:pPr>
      <w:r>
        <w:t>Client-initiated contact</w:t>
      </w:r>
    </w:p>
    <w:p>
      <w:r>
        <w:t>Give a brief operational response only when needed to protect the client, such as acknowledging receipt without advice or transaction instructions. Direct the person to the approved channel, capture the original communication where permitted, and notify the supervisor if substantive content was exchanged.</w:t>
      </w:r>
    </w:p>
    <w:p>
      <w:r>
        <w:br w:type="page"/>
      </w:r>
    </w:p>
    <w:p>
      <w:pPr>
        <w:pStyle w:val="Heading1"/>
      </w:pPr>
      <w:r>
        <w:t>Client Conversations Orders and Advice</w:t>
      </w:r>
    </w:p>
    <w:p>
      <w:pPr>
        <w:pStyle w:val="Heading2"/>
      </w:pPr>
      <w:r>
        <w:t>Identity and authority</w:t>
      </w:r>
    </w:p>
    <w:p>
      <w:r>
        <w:t>Before discussing account-specific information, authenticate the client using approved controls and verify the authority of agents, family members, attorneys, trustees, or corporate representatives. Do not rely solely on caller ID, display name, or familiarity.</w:t>
      </w:r>
    </w:p>
    <w:p>
      <w:pPr>
        <w:pStyle w:val="Heading2"/>
      </w:pPr>
      <w:r>
        <w:t>Orders and instructions</w:t>
      </w:r>
    </w:p>
    <w:p>
      <w:pPr>
        <w:pStyle w:val="ListBullet"/>
      </w:pPr>
      <w:r>
        <w:t>Accept orders, payment instructions, account changes, and complaints only through authorized workflows.</w:t>
      </w:r>
    </w:p>
    <w:p>
      <w:pPr>
        <w:pStyle w:val="ListBullet"/>
      </w:pPr>
      <w:r>
        <w:t>Read back material order terms and document time, channel, instrument, quantity, price condition, and client confirmation.</w:t>
      </w:r>
    </w:p>
    <w:p>
      <w:pPr>
        <w:pStyle w:val="ListBullet"/>
      </w:pPr>
      <w:r>
        <w:t>Do not promise execution, price, liquidity, returns, loss protection, or regulatory outcomes.</w:t>
      </w:r>
    </w:p>
    <w:p>
      <w:pPr>
        <w:pStyle w:val="ListBullet"/>
      </w:pPr>
      <w:r>
        <w:t>Escalate suspected impersonation, coercion, vulnerability, unusual urgency, or conflicting instructions.</w:t>
      </w:r>
    </w:p>
    <w:p>
      <w:pPr>
        <w:pStyle w:val="Heading2"/>
      </w:pPr>
      <w:r>
        <w:t>Advice and recommendations</w:t>
      </w:r>
    </w:p>
    <w:p>
      <w:r>
        <w:t>Only authorized personnel may recommend products or strategies. Communications must reflect the client’s circumstances, applicable product approvals, and required disclosures. Material limitations, costs, risks, and conflicts may not be omitted.</w:t>
      </w:r>
    </w:p>
    <w:p>
      <w:r>
        <w:br w:type="page"/>
      </w:r>
    </w:p>
    <w:p>
      <w:pPr>
        <w:pStyle w:val="Heading1"/>
      </w:pPr>
      <w:r>
        <w:t>Internal Communications and Collaboration</w:t>
      </w:r>
    </w:p>
    <w:p>
      <w:pPr>
        <w:pStyle w:val="Heading2"/>
      </w:pPr>
      <w:r>
        <w:t>Need to know</w:t>
      </w:r>
    </w:p>
    <w:p>
      <w:r>
        <w:t>Internal status does not make information unrestricted. Use named recipients and approved groups; verify distribution lists before sending; use access-controlled links rather than broad attachments where practical.</w:t>
      </w:r>
    </w:p>
    <w:p>
      <w:pPr>
        <w:pStyle w:val="Heading2"/>
      </w:pPr>
      <w:r>
        <w:t>Meeting controls</w:t>
      </w:r>
    </w:p>
    <w:p>
      <w:pPr>
        <w:pStyle w:val="ListBullet"/>
      </w:pPr>
      <w:r>
        <w:t>Use approved meeting platforms and business accounts.</w:t>
      </w:r>
    </w:p>
    <w:p>
      <w:pPr>
        <w:pStyle w:val="ListBullet"/>
      </w:pPr>
      <w:r>
        <w:t>State recording or transcription status and obtain required notice or consent.</w:t>
      </w:r>
    </w:p>
    <w:p>
      <w:pPr>
        <w:pStyle w:val="ListBullet"/>
      </w:pPr>
      <w:r>
        <w:t>Do not invite external note-taking or AI services unless approved for the information class.</w:t>
      </w:r>
    </w:p>
    <w:p>
      <w:pPr>
        <w:pStyle w:val="ListBullet"/>
      </w:pPr>
      <w:r>
        <w:t>Document decisions, approvals, client commitments, and material follow-up in the system of record.</w:t>
      </w:r>
    </w:p>
    <w:p>
      <w:pPr>
        <w:pStyle w:val="Heading2"/>
      </w:pPr>
      <w:r>
        <w:t>Language and professionalism</w:t>
      </w:r>
    </w:p>
    <w:p>
      <w:r>
        <w:t>Do not use discriminatory, harassing, threatening, deceptive, collusive, manipulative, or concealment language. Jokes, emojis, abbreviations, or code words do not change the business meaning and may create evidence of intent.</w:t>
      </w:r>
    </w:p>
    <w:p>
      <w:r>
        <w:br w:type="page"/>
      </w:r>
    </w:p>
    <w:p>
      <w:pPr>
        <w:pStyle w:val="Heading1"/>
      </w:pPr>
      <w:r>
        <w:t>Social Media Public Forums and External Content</w:t>
      </w:r>
    </w:p>
    <w:p>
      <w:pPr>
        <w:pStyle w:val="Heading2"/>
      </w:pPr>
      <w:r>
        <w:t>Business social media</w:t>
      </w:r>
    </w:p>
    <w:p>
      <w:r>
        <w:t>Only approved profiles and trained personnel may communicate about firm products or services. Static content requires applicable pre-approval. Interactive content is supervised under the approved review method and retained.</w:t>
      </w:r>
    </w:p>
    <w:p>
      <w:pPr>
        <w:pStyle w:val="Heading2"/>
      </w:pPr>
      <w:r>
        <w:t>Third-party content</w:t>
      </w:r>
    </w:p>
    <w:p>
      <w:pPr>
        <w:pStyle w:val="ListBullet"/>
      </w:pPr>
      <w:r>
        <w:t>Sharing, liking, endorsing, editing, or selectively highlighting third-party content can make it attributable to the firm or employee.</w:t>
      </w:r>
    </w:p>
    <w:p>
      <w:pPr>
        <w:pStyle w:val="ListBullet"/>
      </w:pPr>
      <w:r>
        <w:t>Do not link to content known or reasonably suspected to be false, misleading, outdated, or incomplete.</w:t>
      </w:r>
    </w:p>
    <w:p>
      <w:pPr>
        <w:pStyle w:val="ListBullet"/>
      </w:pPr>
      <w:r>
        <w:t>Testimonials, endorsements, influencer content, and paid promotion require Compliance review and clear disclosures.</w:t>
      </w:r>
    </w:p>
    <w:p>
      <w:pPr>
        <w:pStyle w:val="ListBullet"/>
      </w:pPr>
      <w:r>
        <w:t>Personal profiles must not imply firm endorsement or provide unauthorized investment advice.</w:t>
      </w:r>
    </w:p>
    <w:p>
      <w:r>
        <w:br w:type="page"/>
      </w:r>
    </w:p>
    <w:p>
      <w:pPr>
        <w:pStyle w:val="Heading1"/>
      </w:pPr>
      <w:r>
        <w:t>Supervision Surveillance and Review</w:t>
      </w:r>
    </w:p>
    <w:p>
      <w:pPr>
        <w:pStyle w:val="Heading2"/>
      </w:pPr>
      <w:r>
        <w:t>Risk-based supervision</w:t>
      </w:r>
    </w:p>
    <w:p>
      <w:r>
        <w:t>Compliance maintains lexicon, behavioral, network, and sampling reviews appropriate to products, roles, channels, languages, and regulatory risks. Surveillance is a control, not permission to use unapproved channels.</w:t>
      </w:r>
    </w:p>
    <w:p>
      <w:pPr>
        <w:pStyle w:val="Heading2"/>
      </w:pPr>
      <w:r>
        <w:t>Alert handling</w:t>
      </w:r>
    </w:p>
    <w:p>
      <w:pPr>
        <w:pStyle w:val="ListBullet"/>
      </w:pPr>
      <w:r>
        <w:t>Review context, conversation history, participants, attachments, edits, deletions, and related records.</w:t>
      </w:r>
    </w:p>
    <w:p>
      <w:pPr>
        <w:pStyle w:val="ListBullet"/>
      </w:pPr>
      <w:r>
        <w:t>Distinguish legitimate context from false positives while preserving evidence.</w:t>
      </w:r>
    </w:p>
    <w:p>
      <w:pPr>
        <w:pStyle w:val="ListBullet"/>
      </w:pPr>
      <w:r>
        <w:t>Document disposition, rationale, evidence, policy mapping, reviewer, timestamps, and escalation.</w:t>
      </w:r>
    </w:p>
    <w:p>
      <w:pPr>
        <w:pStyle w:val="ListBullet"/>
      </w:pPr>
      <w:r>
        <w:t>Use independent review for senior personnel, conflicts, repeated conduct, or credible market abuse indicators.</w:t>
      </w:r>
    </w:p>
    <w:p>
      <w:pPr>
        <w:pStyle w:val="Heading2"/>
      </w:pPr>
      <w:r>
        <w:t>Manager duties</w:t>
      </w:r>
    </w:p>
    <w:p>
      <w:r>
        <w:t>Managers must address red flags such as repeated device changes, unexplained communication gaps, requests to “take this offline,” client complaints about personal messaging, or business activity inconsistent with retained records.</w:t>
      </w:r>
    </w:p>
    <w:p>
      <w:r>
        <w:br w:type="page"/>
      </w:r>
    </w:p>
    <w:p>
      <w:pPr>
        <w:pStyle w:val="Heading1"/>
      </w:pPr>
      <w:r>
        <w:t>Recordkeeping Legal Holds and Retrieval</w:t>
      </w:r>
    </w:p>
    <w:p>
      <w:pPr>
        <w:pStyle w:val="Heading2"/>
      </w:pPr>
      <w:r>
        <w:t>Record standard</w:t>
      </w:r>
    </w:p>
    <w:p>
      <w:r>
        <w:t>Records must be accurate, complete, time-linked, attributable, protected against unauthorized alteration, and retrievable for supervision, audit, litigation, examination, or investigation. Applicable retention schedules control the period; a legal hold overrides routine disposal.</w:t>
      </w:r>
    </w:p>
    <w:p>
      <w:pPr>
        <w:pStyle w:val="Heading2"/>
      </w:pPr>
      <w:r>
        <w:t>Employee duties</w:t>
      </w:r>
    </w:p>
    <w:p>
      <w:pPr>
        <w:pStyle w:val="ListBullet"/>
      </w:pPr>
      <w:r>
        <w:t>Do not delete, edit, backdate, fabricate, or reconstruct records to mislead.</w:t>
      </w:r>
    </w:p>
    <w:p>
      <w:pPr>
        <w:pStyle w:val="ListBullet"/>
      </w:pPr>
      <w:r>
        <w:t>Preserve attachments, approvals, metadata, voice recordings, transcripts, and related system events where in scope.</w:t>
      </w:r>
    </w:p>
    <w:p>
      <w:pPr>
        <w:pStyle w:val="ListBullet"/>
      </w:pPr>
      <w:r>
        <w:t>Report capture failures, missing messages, incorrect timestamps, or inaccessible archives promptly.</w:t>
      </w:r>
    </w:p>
    <w:p>
      <w:pPr>
        <w:pStyle w:val="ListBullet"/>
      </w:pPr>
      <w:r>
        <w:t>Cooperate with authorized searches and do not notify subjects when confidentiality is required.</w:t>
      </w:r>
    </w:p>
    <w:p>
      <w:r>
        <w:br w:type="page"/>
      </w:r>
    </w:p>
    <w:p>
      <w:pPr>
        <w:pStyle w:val="Heading1"/>
      </w:pPr>
      <w:r>
        <w:t>Incidents Breaches and Remediation</w:t>
      </w:r>
    </w:p>
    <w:p>
      <w:pPr>
        <w:pStyle w:val="Heading2"/>
      </w:pPr>
      <w:r>
        <w:t>Immediate response</w:t>
      </w:r>
    </w:p>
    <w:p>
      <w:r>
        <w:t>Stop the unapproved exchange, preserve the device and messages, move future contact to an approved channel, and report promptly to the manager and Compliance. Do not factory-reset, uninstall, delete, or ask another person to remove messages.</w:t>
      </w:r>
    </w:p>
    <w:p>
      <w:pPr>
        <w:pStyle w:val="Heading2"/>
      </w:pPr>
      <w:r>
        <w:t>Assessment</w:t>
      </w:r>
    </w:p>
    <w:p>
      <w:pPr>
        <w:pStyle w:val="ListBullet"/>
      </w:pPr>
      <w:r>
        <w:t>Identify participants, dates, channel, devices, topics, clients, transactions, attachments, jurisdictions, and whether information was confidential or regulated.</w:t>
      </w:r>
    </w:p>
    <w:p>
      <w:pPr>
        <w:pStyle w:val="ListBullet"/>
      </w:pPr>
      <w:r>
        <w:t>Determine preservation, client protection, disclosure, reporting, disciplinary, and supervisory consequences.</w:t>
      </w:r>
    </w:p>
    <w:p>
      <w:pPr>
        <w:pStyle w:val="ListBullet"/>
      </w:pPr>
      <w:r>
        <w:t>Back-capture records where lawful and technically reliable; document any gaps.</w:t>
      </w:r>
    </w:p>
    <w:p>
      <w:pPr>
        <w:pStyle w:val="ListBullet"/>
      </w:pPr>
      <w:r>
        <w:t>Perform root-cause analysis and verify remediation, including access changes, training, monitoring, and control testing.</w:t>
      </w:r>
    </w:p>
    <w:p>
      <w:r>
        <w:br w:type="page"/>
      </w:r>
    </w:p>
    <w:p>
      <w:pPr>
        <w:pStyle w:val="Heading1"/>
      </w:pPr>
      <w:r>
        <w:t>Regulatory Basis Definitions and Acknowledgment</w:t>
      </w:r>
    </w:p>
    <w:p>
      <w:pPr>
        <w:pStyle w:val="Heading2"/>
      </w:pPr>
      <w:r>
        <w:t>Governance training and enforcement</w:t>
      </w:r>
    </w:p>
    <w:p>
      <w:r>
        <w:t>The Chief Compliance Officer owns this policy. Business heads implement it; Legal, Human Resources, Information Security, Records Management, and Internal Audit support interpretation, controls, discipline, and assurance. Personnel complete training before access and annually, certify compliance, and report breaches. Exceptions require prior written, time-limited, risk-assessed approval. Violations may lead to remediation, access restriction, discipline up to termination, client or regulator notification, and referral. Good-faith reporting is protected; retaliation, obstruction, and evidence destruction are separate serious violations.</w:t>
      </w:r>
    </w:p>
    <w:p>
      <w:pPr>
        <w:pStyle w:val="Heading2"/>
      </w:pPr>
      <w:r>
        <w:t>Key definitions</w:t>
      </w:r>
    </w:p>
    <w:p>
      <w:r>
        <w:t>Business communication means any message relating to the firm’s activities, products, services, clients, transactions, supervision, or operations. Approved channel means a channel expressly authorized for the relevant use and configured for required controls. Off-channel means a business communication through an unapproved or uncaptured method.</w:t>
      </w:r>
    </w:p>
    <w:p>
      <w:pPr>
        <w:pStyle w:val="Heading2"/>
      </w:pPr>
      <w:r>
        <w:t>Regulatory basis</w:t>
      </w:r>
    </w:p>
    <w:p>
      <w:pPr>
        <w:pStyle w:val="ListBullet"/>
      </w:pPr>
      <w:r>
        <w:t>FINRA Rule 2210 Communications with the Public — https://www.finra.org/rules-guidance/rulebooks/finra-rules/2210</w:t>
      </w:r>
    </w:p>
    <w:p>
      <w:pPr>
        <w:pStyle w:val="ListBullet"/>
      </w:pPr>
      <w:r>
        <w:t>FINRA Rule 3110 Supervision — https://www.finra.org/rules-guidance/rulebooks/finra-rules/3110</w:t>
      </w:r>
    </w:p>
    <w:p>
      <w:pPr>
        <w:pStyle w:val="ListBullet"/>
      </w:pPr>
      <w:r>
        <w:t>FINRA Rule 4511 General Requirements — https://www.finra.org/rules-guidance/rulebooks/finra-rules/4511</w:t>
      </w:r>
    </w:p>
    <w:p>
      <w:pPr>
        <w:pStyle w:val="ListBullet"/>
      </w:pPr>
      <w:r>
        <w:t>FINRA Regulatory Notice 17-18 Digital Communications — https://www.finra.org/rules-guidance/notices/17-18</w:t>
      </w:r>
    </w:p>
    <w:p>
      <w:pPr>
        <w:pStyle w:val="ListBullet"/>
      </w:pPr>
      <w:r>
        <w:t>17 CFR 240.17a-4 Records to be Preserved — https://www.ecfr.gov/current/title-17/chapter-II/part-240/subject-group-ECFR17722751b422db3/section-240.17a-4</w:t>
      </w:r>
    </w:p>
    <w:p>
      <w:pPr>
        <w:pStyle w:val="ListBullet"/>
      </w:pPr>
      <w:r>
        <w:t>FCA SYSC 10A Recording Communications — https://handbook.fca.org.uk/handbook/sysc10a</w:t>
      </w:r>
    </w:p>
    <w:p>
      <w:pPr>
        <w:pStyle w:val="Heading2"/>
      </w:pPr>
      <w:r>
        <w:t>Acknowledgment</w:t>
      </w:r>
    </w:p>
    <w:p>
      <w:r>
        <w:t>I acknowledge that I have read this policy, understand that business content—not device ownership—drives recordkeeping obligations, and agree to report known breaches and preserve relevant records. Name: __________________  Signature: __________________  Date: __________</w:t>
      </w:r>
    </w:p>
    <w:sectPr w:rsidR="00FC693F" w:rsidRPr="0006063C" w:rsidSect="00034616">
      <w:headerReference w:type="default" r:id="rId9"/>
      <w:footerReference w:type="default" r:id="rId10"/>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7365D"/>
        <w:sz w:val="16"/>
      </w:rPr>
      <w:t>Northbridge Financial Group  |  COM-001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020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