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CONTROLLED POLICY</w:t>
      </w:r>
    </w:p>
    <w:p>
      <w:pPr>
        <w:pStyle w:val="Title"/>
      </w:pPr>
      <w:r>
        <w:t>Confidential Information MNPI and Client Disclosure Policy</w:t>
      </w:r>
    </w:p>
    <w:p>
      <w:r>
        <w:t>This policy protects client information, confidential business information, and material nonpublic information and establishes when disclosure is prohibited, permitted, or subject to escalation.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2376"/>
            <w:vAlign w:val="center"/>
            <w:shd w:fill="17365D"/>
          </w:tcPr>
          <w:p>
            <w:r>
              <w:rPr>
                <w:b/>
                <w:color w:val="FFFFFF"/>
              </w:rPr>
              <w:t>Document control</w:t>
            </w:r>
          </w:p>
        </w:tc>
        <w:tc>
          <w:tcPr>
            <w:tcW w:type="dxa" w:w="7992"/>
            <w:vAlign w:val="center"/>
            <w:shd w:fill="17365D"/>
          </w:tcPr>
          <w:p>
            <w:r>
              <w:rPr>
                <w:b/>
                <w:color w:val="FFFFFF"/>
              </w:rPr>
              <w:t>Current value</w:t>
            </w:r>
          </w:p>
        </w:tc>
      </w:tr>
      <w:tr>
        <w:tc>
          <w:tcPr>
            <w:tcW w:type="dxa" w:w="2376"/>
            <w:vAlign w:val="center"/>
            <w:shd w:fill="F3F6F9"/>
          </w:tcPr>
          <w:p>
            <w:r>
              <w:t>Policy owner</w:t>
            </w:r>
          </w:p>
        </w:tc>
        <w:tc>
          <w:tcPr>
            <w:tcW w:type="dxa" w:w="7992"/>
            <w:vAlign w:val="center"/>
            <w:shd w:fill="F3F6F9"/>
          </w:tcPr>
          <w:p>
            <w:r>
              <w:t>General Counsel and Chief Information Security Officer</w:t>
            </w:r>
          </w:p>
        </w:tc>
      </w:tr>
      <w:tr>
        <w:tc>
          <w:tcPr>
            <w:tcW w:type="dxa" w:w="2376"/>
            <w:vAlign w:val="center"/>
          </w:tcPr>
          <w:p>
            <w:r>
              <w:t>Approval authority</w:t>
            </w:r>
          </w:p>
        </w:tc>
        <w:tc>
          <w:tcPr>
            <w:tcW w:type="dxa" w:w="7992"/>
            <w:vAlign w:val="center"/>
          </w:tcPr>
          <w:p>
            <w:r>
              <w:t>Board Risk and Compliance Committee</w:t>
            </w:r>
          </w:p>
        </w:tc>
      </w:tr>
      <w:tr>
        <w:tc>
          <w:tcPr>
            <w:tcW w:type="dxa" w:w="2376"/>
            <w:vAlign w:val="center"/>
            <w:shd w:fill="F3F6F9"/>
          </w:tcPr>
          <w:p>
            <w:r>
              <w:t>Effective date</w:t>
            </w:r>
          </w:p>
        </w:tc>
        <w:tc>
          <w:tcPr>
            <w:tcW w:type="dxa" w:w="7992"/>
            <w:vAlign w:val="center"/>
            <w:shd w:fill="F3F6F9"/>
          </w:tcPr>
          <w:p>
            <w:r>
              <w:t>15 September 2026</w:t>
            </w:r>
          </w:p>
        </w:tc>
      </w:tr>
      <w:tr>
        <w:tc>
          <w:tcPr>
            <w:tcW w:type="dxa" w:w="2376"/>
            <w:vAlign w:val="center"/>
          </w:tcPr>
          <w:p>
            <w:r>
              <w:t>Review cycle</w:t>
            </w:r>
          </w:p>
        </w:tc>
        <w:tc>
          <w:tcPr>
            <w:tcW w:type="dxa" w:w="7992"/>
            <w:vAlign w:val="center"/>
          </w:tcPr>
          <w:p>
            <w:r>
              <w:t>At least annually and upon material regulatory or business change</w:t>
            </w:r>
          </w:p>
        </w:tc>
      </w:tr>
      <w:tr>
        <w:tc>
          <w:tcPr>
            <w:tcW w:type="dxa" w:w="2376"/>
            <w:vAlign w:val="center"/>
            <w:shd w:fill="F3F6F9"/>
          </w:tcPr>
          <w:p>
            <w:r>
              <w:t>Classification</w:t>
            </w:r>
          </w:p>
        </w:tc>
        <w:tc>
          <w:tcPr>
            <w:tcW w:type="dxa" w:w="7992"/>
            <w:vAlign w:val="center"/>
            <w:shd w:fill="F3F6F9"/>
          </w:tcPr>
          <w:p>
            <w:r>
              <w:t>Internal</w:t>
            </w:r>
          </w:p>
        </w:tc>
      </w:tr>
      <w:tr>
        <w:tc>
          <w:tcPr>
            <w:tcW w:type="dxa" w:w="2376"/>
            <w:vAlign w:val="center"/>
          </w:tcPr>
          <w:p>
            <w:r>
              <w:t>Policy code</w:t>
            </w:r>
          </w:p>
        </w:tc>
        <w:tc>
          <w:tcPr>
            <w:tcW w:type="dxa" w:w="7992"/>
            <w:vAlign w:val="center"/>
          </w:tcPr>
          <w:p>
            <w:r>
              <w:t>INF-002</w:t>
            </w:r>
          </w:p>
        </w:tc>
      </w:tr>
      <w:tr>
        <w:tc>
          <w:tcPr>
            <w:tcW w:type="dxa" w:w="2376"/>
            <w:vAlign w:val="center"/>
            <w:shd w:fill="F3F6F9"/>
          </w:tcPr>
          <w:p>
            <w:r>
              <w:t>Version</w:t>
            </w:r>
          </w:p>
        </w:tc>
        <w:tc>
          <w:tcPr>
            <w:tcW w:type="dxa" w:w="7992"/>
            <w:vAlign w:val="center"/>
            <w:shd w:fill="F3F6F9"/>
          </w:tcPr>
          <w:p>
            <w:r>
              <w:t>1.0</w:t>
            </w:r>
          </w:p>
        </w:tc>
      </w:tr>
    </w:tbl>
    <w:p>
      <w:pPr>
        <w:pStyle w:val="Heading2"/>
      </w:pPr>
      <w:r>
        <w:t>Reader action</w:t>
      </w:r>
    </w:p>
    <w:p>
      <w:r>
        <w:t>All covered persons must read, understand, and comply with this policy. Questions must be raised before acting. Suspected breaches must be reported promptly and records must not be altered, concealed, or deleted.</w:t>
      </w:r>
    </w:p>
    <w:p>
      <w:pPr>
        <w:pStyle w:val="Heading2"/>
      </w:pPr>
      <w:r>
        <w:t>Contents</w:t>
      </w:r>
    </w:p>
    <w:p>
      <w:r>
        <w:t>2. Purpose Scope and Information Principles</w:t>
      </w:r>
    </w:p>
    <w:p>
      <w:r>
        <w:t>3. Classification and Handling Requirements</w:t>
      </w:r>
    </w:p>
    <w:p>
      <w:r>
        <w:t>4. Material Nonpublic and Inside Information</w:t>
      </w:r>
    </w:p>
    <w:p>
      <w:r>
        <w:t>5. Client Information and Permitted Disclosure</w:t>
      </w:r>
    </w:p>
    <w:p>
      <w:r>
        <w:t>6. Information Barriers Conflicts and Deal Teams</w:t>
      </w:r>
    </w:p>
    <w:p>
      <w:r>
        <w:t>7. Secure Transmission Storage and AI Use</w:t>
      </w:r>
    </w:p>
    <w:p>
      <w:r>
        <w:t>8. Privacy Requests Incidents and Notifications</w:t>
      </w:r>
    </w:p>
    <w:p>
      <w:r>
        <w:t>9. Monitoring Access Review and Assurance</w:t>
      </w:r>
    </w:p>
    <w:p>
      <w:r>
        <w:t>10. Regulatory Basis Decision Guide and Acknowledgment</w:t>
      </w:r>
    </w:p>
    <w:p>
      <w:r>
        <w:br w:type="page"/>
      </w:r>
    </w:p>
    <w:p>
      <w:pPr>
        <w:pStyle w:val="Heading1"/>
      </w:pPr>
      <w:r>
        <w:t>Purpose Scope and Information Principles</w:t>
      </w:r>
    </w:p>
    <w:p>
      <w:r>
        <w:rPr>
          <w:b/>
          <w:color w:val="17365D"/>
        </w:rPr>
        <w:t>Use information only for a legitimate authorized purpose, disclose only to verified recipients with a need to know, and apply the strictest applicable restriction.</w:t>
      </w:r>
    </w:p>
    <w:p>
      <w:pPr>
        <w:pStyle w:val="Heading2"/>
      </w:pPr>
      <w:r>
        <w:t>Covered information</w:t>
      </w:r>
    </w:p>
    <w:p>
      <w:r>
        <w:t>The policy covers client identity and financial data, account and transaction details, credentials, communications, employee data, vendor information, trade secrets, models, investigations, legal advice, deal information, research, and inside information.</w:t>
      </w:r>
    </w:p>
    <w:p>
      <w:pPr>
        <w:pStyle w:val="Heading2"/>
      </w:pPr>
      <w:r>
        <w:t>Mandatory principles</w:t>
      </w:r>
    </w:p>
    <w:p>
      <w:pPr>
        <w:pStyle w:val="ListBullet"/>
      </w:pPr>
      <w:r>
        <w:t>Classify before sharing; minimize the data and audience.</w:t>
      </w:r>
    </w:p>
    <w:p>
      <w:pPr>
        <w:pStyle w:val="ListBullet"/>
      </w:pPr>
      <w:r>
        <w:t>Verify identity, authority, destination, and purpose.</w:t>
      </w:r>
    </w:p>
    <w:p>
      <w:pPr>
        <w:pStyle w:val="ListBullet"/>
      </w:pPr>
      <w:r>
        <w:t>Use approved secure transfer and access controls.</w:t>
      </w:r>
    </w:p>
    <w:p>
      <w:pPr>
        <w:pStyle w:val="ListBullet"/>
      </w:pPr>
      <w:r>
        <w:t>Do not discuss restricted matters in public or with unauthorized colleagues, family, friends, clients, media, or market participants.</w:t>
      </w:r>
    </w:p>
    <w:p>
      <w:pPr>
        <w:pStyle w:val="ListBullet"/>
      </w:pPr>
      <w:r>
        <w:t>Escalate uncertainty before disclosure.</w:t>
      </w:r>
    </w:p>
    <w:p>
      <w:r>
        <w:br w:type="page"/>
      </w:r>
    </w:p>
    <w:p>
      <w:pPr>
        <w:pStyle w:val="Heading1"/>
      </w:pPr>
      <w:r>
        <w:t>Classification and Handling Requirements</w:t>
      </w:r>
    </w:p>
    <w:p>
      <w:pPr>
        <w:pStyle w:val="Heading2"/>
      </w:pPr>
      <w:r>
        <w:t>Handling</w:t>
      </w:r>
    </w:p>
    <w:p>
      <w:r>
        <w:t>Labels do not replace judgment. Derived data, screenshots, summaries, prompts, transcripts, and metadata inherit the sensitivity of their source. Do not paste protected information into unapproved AI, translation, analytics, or file-sharing services.</w:t>
      </w:r>
    </w:p>
    <w:p>
      <w:pPr>
        <w:pStyle w:val="Heading2"/>
      </w:pPr>
      <w:r>
        <w:t>Physical and verbal security</w:t>
      </w:r>
    </w:p>
    <w:p>
      <w:pPr>
        <w:pStyle w:val="ListBullet"/>
      </w:pPr>
      <w:r>
        <w:t>Use privacy screens and clean-desk controls where appropriate.</w:t>
      </w:r>
    </w:p>
    <w:p>
      <w:pPr>
        <w:pStyle w:val="ListBullet"/>
      </w:pPr>
      <w:r>
        <w:t>Avoid confidential discussions in lifts, transport, restaurants, conferences, shared spaces, or speakerphone settings.</w:t>
      </w:r>
    </w:p>
    <w:p>
      <w:pPr>
        <w:pStyle w:val="ListBullet"/>
      </w:pPr>
      <w:r>
        <w:t>Secure paper and devices; use approved destruction methods.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2376"/>
            <w:vAlign w:val="center"/>
            <w:shd w:fill="17365D"/>
          </w:tcPr>
          <w:p>
            <w:r>
              <w:rPr>
                <w:b/>
                <w:color w:val="FFFFFF"/>
              </w:rPr>
              <w:t>Classification</w:t>
            </w:r>
          </w:p>
        </w:tc>
        <w:tc>
          <w:tcPr>
            <w:tcW w:type="dxa" w:w="7992"/>
            <w:vAlign w:val="center"/>
            <w:shd w:fill="17365D"/>
          </w:tcPr>
          <w:p>
            <w:r>
              <w:rPr>
                <w:b/>
                <w:color w:val="FFFFFF"/>
              </w:rPr>
              <w:t>Required handling</w:t>
            </w:r>
          </w:p>
        </w:tc>
      </w:tr>
      <w:tr>
        <w:tc>
          <w:tcPr>
            <w:tcW w:type="dxa" w:w="2376"/>
            <w:vAlign w:val="center"/>
            <w:shd w:fill="F3F6F9"/>
          </w:tcPr>
          <w:p>
            <w:r>
              <w:t>Public</w:t>
            </w:r>
          </w:p>
        </w:tc>
        <w:tc>
          <w:tcPr>
            <w:tcW w:type="dxa" w:w="7992"/>
            <w:vAlign w:val="center"/>
            <w:shd w:fill="F3F6F9"/>
          </w:tcPr>
          <w:p>
            <w:r>
              <w:t>Approved for public release; still subject to accuracy, brand, and communications controls.</w:t>
            </w:r>
          </w:p>
        </w:tc>
      </w:tr>
      <w:tr>
        <w:tc>
          <w:tcPr>
            <w:tcW w:type="dxa" w:w="2376"/>
            <w:vAlign w:val="center"/>
          </w:tcPr>
          <w:p>
            <w:r>
              <w:t>Internal</w:t>
            </w:r>
          </w:p>
        </w:tc>
        <w:tc>
          <w:tcPr>
            <w:tcW w:type="dxa" w:w="7992"/>
            <w:vAlign w:val="center"/>
          </w:tcPr>
          <w:p>
            <w:r>
              <w:t>Firm personnel with a business need; no external disclosure without approval.</w:t>
            </w:r>
          </w:p>
        </w:tc>
      </w:tr>
      <w:tr>
        <w:tc>
          <w:tcPr>
            <w:tcW w:type="dxa" w:w="2376"/>
            <w:vAlign w:val="center"/>
            <w:shd w:fill="F3F6F9"/>
          </w:tcPr>
          <w:p>
            <w:r>
              <w:t>Confidential</w:t>
            </w:r>
          </w:p>
        </w:tc>
        <w:tc>
          <w:tcPr>
            <w:tcW w:type="dxa" w:w="7992"/>
            <w:vAlign w:val="center"/>
            <w:shd w:fill="F3F6F9"/>
          </w:tcPr>
          <w:p>
            <w:r>
              <w:t>Named authorized recipients; encrypted transfer; controlled storage; limited download and printing.</w:t>
            </w:r>
          </w:p>
        </w:tc>
      </w:tr>
      <w:tr>
        <w:tc>
          <w:tcPr>
            <w:tcW w:type="dxa" w:w="2376"/>
            <w:vAlign w:val="center"/>
          </w:tcPr>
          <w:p>
            <w:r>
              <w:t>Restricted</w:t>
            </w:r>
          </w:p>
        </w:tc>
        <w:tc>
          <w:tcPr>
            <w:tcW w:type="dxa" w:w="7992"/>
            <w:vAlign w:val="center"/>
          </w:tcPr>
          <w:p>
            <w:r>
              <w:t>Highest sensitivity, including MNPI, credentials, investigations, and sensitive personal data; explicit authorization, enhanced logging, and information barriers.</w:t>
            </w:r>
          </w:p>
        </w:tc>
      </w:tr>
    </w:tbl>
    <w:p>
      <w:r>
        <w:br w:type="page"/>
      </w:r>
    </w:p>
    <w:p>
      <w:pPr>
        <w:pStyle w:val="Heading1"/>
      </w:pPr>
      <w:r>
        <w:t>Material Nonpublic and Inside Information</w:t>
      </w:r>
    </w:p>
    <w:p>
      <w:pPr>
        <w:pStyle w:val="Heading2"/>
      </w:pPr>
      <w:r>
        <w:t>Identification</w:t>
      </w:r>
    </w:p>
    <w:p>
      <w:r>
        <w:t>Information may be material if a reasonable investor would consider it important or if it could affect price. Examples include unannounced earnings, transactions, financing, defaults, cyber incidents, major clients, product decisions, regulatory action, leadership changes, significant orders, and confidential market activity. Nonpublic information has not been broadly disseminated with adequate time for the market to absorb it.</w:t>
      </w:r>
    </w:p>
    <w:p>
      <w:pPr>
        <w:pStyle w:val="Heading2"/>
      </w:pPr>
      <w:r>
        <w:t>Restrictions</w:t>
      </w:r>
    </w:p>
    <w:p>
      <w:pPr>
        <w:pStyle w:val="ListBullet"/>
      </w:pPr>
      <w:r>
        <w:t>Do not trade, recommend, tip, selectively disclose, solicit trading, or help another person trade while aware of relevant MNPI.</w:t>
      </w:r>
    </w:p>
    <w:p>
      <w:pPr>
        <w:pStyle w:val="ListBullet"/>
      </w:pPr>
      <w:r>
        <w:t>Place potential MNPI on approved watch or restricted lists and follow information-barrier instructions.</w:t>
      </w:r>
    </w:p>
    <w:p>
      <w:pPr>
        <w:pStyle w:val="ListBullet"/>
      </w:pPr>
      <w:r>
        <w:t>Do not confirm, deny, hint at, or correct market rumors using nonpublic facts.</w:t>
      </w:r>
    </w:p>
    <w:p>
      <w:pPr>
        <w:pStyle w:val="ListBullet"/>
      </w:pPr>
      <w:r>
        <w:t>Report accidental receipt or disclosure immediately and stop further use.</w:t>
      </w:r>
    </w:p>
    <w:p>
      <w:r>
        <w:br w:type="page"/>
      </w:r>
    </w:p>
    <w:p>
      <w:pPr>
        <w:pStyle w:val="Heading1"/>
      </w:pPr>
      <w:r>
        <w:t>Client Information and Permitted Disclosure</w:t>
      </w:r>
    </w:p>
    <w:p>
      <w:pPr>
        <w:pStyle w:val="Heading2"/>
      </w:pPr>
      <w:r>
        <w:t>Default restriction</w:t>
      </w:r>
    </w:p>
    <w:p>
      <w:r>
        <w:t>Client information is confidential even when obtainable elsewhere. Access and disclosure require a legitimate business purpose, appropriate authority, and compliance with contractual, privacy, bank secrecy, and regulatory duties.</w:t>
      </w:r>
    </w:p>
    <w:p>
      <w:pPr>
        <w:pStyle w:val="Heading2"/>
      </w:pPr>
      <w:r>
        <w:t>Verification and minimum necessary</w:t>
      </w:r>
    </w:p>
    <w:p>
      <w:pPr>
        <w:pStyle w:val="ListBullet"/>
      </w:pPr>
      <w:r>
        <w:t>Authenticate the requester and verify account authority.</w:t>
      </w:r>
    </w:p>
    <w:p>
      <w:pPr>
        <w:pStyle w:val="ListBullet"/>
      </w:pPr>
      <w:r>
        <w:t>Disclose only fields and time periods needed for the stated purpose.</w:t>
      </w:r>
    </w:p>
    <w:p>
      <w:pPr>
        <w:pStyle w:val="ListBullet"/>
      </w:pPr>
      <w:r>
        <w:t>Use dual control for high-risk exports, payment data, bulk records, or special-category data.</w:t>
      </w:r>
    </w:p>
    <w:p>
      <w:pPr>
        <w:pStyle w:val="ListBullet"/>
      </w:pPr>
      <w:r>
        <w:t>Record consent or another lawful basis where required; do not rely on silence or informal familiarity.</w:t>
      </w:r>
    </w:p>
    <w:p>
      <w:pPr>
        <w:pStyle w:val="Heading2"/>
      </w:pPr>
      <w:r>
        <w:t>External requests</w:t>
      </w:r>
    </w:p>
    <w:p>
      <w:r>
        <w:t>Subpoenas, regulators, law enforcement, courts, auditors, insurers, media, family members, and counterparties must be referred to the designated function. Employees must not obstruct a lawful inquiry or disclose more than authorized.</w:t>
      </w:r>
    </w:p>
    <w:p>
      <w:r>
        <w:br w:type="page"/>
      </w:r>
    </w:p>
    <w:p>
      <w:pPr>
        <w:pStyle w:val="Heading1"/>
      </w:pPr>
      <w:r>
        <w:t>Information Barriers Conflicts and Deal Teams</w:t>
      </w:r>
    </w:p>
    <w:p>
      <w:pPr>
        <w:pStyle w:val="Heading2"/>
      </w:pPr>
      <w:r>
        <w:t>Barriers</w:t>
      </w:r>
    </w:p>
    <w:p>
      <w:r>
        <w:t>Private-side information is separated from public-side activity through role-based access, deal codes, restricted lists, physical and electronic controls, and monitored communications. Wall crossing requires documented purpose, authorization, recipient agreement, and trading restrictions.</w:t>
      </w:r>
    </w:p>
    <w:p>
      <w:pPr>
        <w:pStyle w:val="Heading2"/>
      </w:pPr>
      <w:r>
        <w:t>Deal-team behavior</w:t>
      </w:r>
    </w:p>
    <w:p>
      <w:pPr>
        <w:pStyle w:val="ListBullet"/>
      </w:pPr>
      <w:r>
        <w:t>Use project names that do not reveal the issuer or transaction.</w:t>
      </w:r>
    </w:p>
    <w:p>
      <w:pPr>
        <w:pStyle w:val="ListBullet"/>
      </w:pPr>
      <w:r>
        <w:t>Limit calendars, rooms, printers, distribution lists, and shared drives to authorized participants.</w:t>
      </w:r>
    </w:p>
    <w:p>
      <w:pPr>
        <w:pStyle w:val="ListBullet"/>
      </w:pPr>
      <w:r>
        <w:t>Do not discuss deals with sales, trading, research, friends, family, or other clients unless formally authorized.</w:t>
      </w:r>
    </w:p>
    <w:p>
      <w:pPr>
        <w:pStyle w:val="ListBullet"/>
      </w:pPr>
      <w:r>
        <w:t>Report unusual access, probing questions, trading interest, or mistaken recipients.</w:t>
      </w:r>
    </w:p>
    <w:p>
      <w:r>
        <w:br w:type="page"/>
      </w:r>
    </w:p>
    <w:p>
      <w:pPr>
        <w:pStyle w:val="Heading1"/>
      </w:pPr>
      <w:r>
        <w:t>Secure Transmission Storage and AI Use</w:t>
      </w:r>
    </w:p>
    <w:p>
      <w:pPr>
        <w:pStyle w:val="Heading2"/>
      </w:pPr>
      <w:r>
        <w:t>Technology controls</w:t>
      </w:r>
    </w:p>
    <w:p>
      <w:r>
        <w:t>Use firm-managed devices, encryption, multifactor authentication, approved repositories, and data-loss prevention controls. Credentials, access tokens, private keys, or full payment authentication data must not be sent in ordinary messages.</w:t>
      </w:r>
    </w:p>
    <w:p>
      <w:pPr>
        <w:pStyle w:val="Heading2"/>
      </w:pPr>
      <w:r>
        <w:t>Generative AI and external services</w:t>
      </w:r>
    </w:p>
    <w:p>
      <w:pPr>
        <w:pStyle w:val="ListBullet"/>
      </w:pPr>
      <w:r>
        <w:t>Use only approved tools and permitted data classes.</w:t>
      </w:r>
    </w:p>
    <w:p>
      <w:pPr>
        <w:pStyle w:val="ListBullet"/>
      </w:pPr>
      <w:r>
        <w:t>Remove or mask identifiers unless the approved use requires them.</w:t>
      </w:r>
    </w:p>
    <w:p>
      <w:pPr>
        <w:pStyle w:val="ListBullet"/>
      </w:pPr>
      <w:r>
        <w:t>Treat prompts, uploaded files, outputs, and feedback as disclosures.</w:t>
      </w:r>
    </w:p>
    <w:p>
      <w:pPr>
        <w:pStyle w:val="ListBullet"/>
      </w:pPr>
      <w:r>
        <w:t>Validate outputs; AI must not decide authorization or lawful disclosure without accountable human review.</w:t>
      </w:r>
    </w:p>
    <w:p>
      <w:pPr>
        <w:pStyle w:val="Heading2"/>
      </w:pPr>
      <w:r>
        <w:t>Misdelivery</w:t>
      </w:r>
    </w:p>
    <w:p>
      <w:r>
        <w:t>If information is sent to the wrong recipient, contact Security and Compliance immediately. Do not merely ask the recipient to delete it or conceal the event.</w:t>
      </w:r>
    </w:p>
    <w:p>
      <w:r>
        <w:br w:type="page"/>
      </w:r>
    </w:p>
    <w:p>
      <w:pPr>
        <w:pStyle w:val="Heading1"/>
      </w:pPr>
      <w:r>
        <w:t>Privacy Requests Incidents and Notifications</w:t>
      </w:r>
    </w:p>
    <w:p>
      <w:pPr>
        <w:pStyle w:val="Heading2"/>
      </w:pPr>
      <w:r>
        <w:t>Requests</w:t>
      </w:r>
    </w:p>
    <w:p>
      <w:r>
        <w:t>Refer access, correction, deletion, restriction, objection, portability, and opt-out requests to Privacy. Preserve identity verification and do not promise a result or deadline outside the approved process.</w:t>
      </w:r>
    </w:p>
    <w:p>
      <w:pPr>
        <w:pStyle w:val="Heading2"/>
      </w:pPr>
      <w:r>
        <w:t>Incident response</w:t>
      </w:r>
    </w:p>
    <w:p>
      <w:pPr>
        <w:pStyle w:val="ListBullet"/>
      </w:pPr>
      <w:r>
        <w:t>Contain exposure without destroying evidence.</w:t>
      </w:r>
    </w:p>
    <w:p>
      <w:pPr>
        <w:pStyle w:val="ListBullet"/>
      </w:pPr>
      <w:r>
        <w:t>Record data types, affected persons, systems, recipients, jurisdictions, safeguards, duration, and likely harm.</w:t>
      </w:r>
    </w:p>
    <w:p>
      <w:pPr>
        <w:pStyle w:val="ListBullet"/>
      </w:pPr>
      <w:r>
        <w:t>Engage Legal, Privacy, Security, Compliance, Records, and business leadership based on severity.</w:t>
      </w:r>
    </w:p>
    <w:p>
      <w:pPr>
        <w:pStyle w:val="ListBullet"/>
      </w:pPr>
      <w:r>
        <w:t>Assess contractual and legal notification duties; only authorized personnel contact clients, regulators, law enforcement, or media.</w:t>
      </w:r>
    </w:p>
    <w:p>
      <w:r>
        <w:br w:type="page"/>
      </w:r>
    </w:p>
    <w:p>
      <w:pPr>
        <w:pStyle w:val="Heading1"/>
      </w:pPr>
      <w:r>
        <w:t>Monitoring Access Review and Assurance</w:t>
      </w:r>
    </w:p>
    <w:p>
      <w:pPr>
        <w:pStyle w:val="Heading2"/>
      </w:pPr>
      <w:r>
        <w:t>Control program</w:t>
      </w:r>
    </w:p>
    <w:p>
      <w:r>
        <w:t>The firm monitors access, downloads, transfers, unusual queries, external sharing, privilege changes, and communications indicators on a risk basis. Control owners review entitlements and remove access promptly after role changes or departure.</w:t>
      </w:r>
    </w:p>
    <w:p>
      <w:pPr>
        <w:pStyle w:val="Heading2"/>
      </w:pPr>
      <w:r>
        <w:t>Testing</w:t>
      </w:r>
    </w:p>
    <w:p>
      <w:pPr>
        <w:pStyle w:val="ListBullet"/>
      </w:pPr>
      <w:r>
        <w:t>Sample disclosures for authority, purpose, minimization, and secure delivery.</w:t>
      </w:r>
    </w:p>
    <w:p>
      <w:pPr>
        <w:pStyle w:val="ListBullet"/>
      </w:pPr>
      <w:r>
        <w:t>Test information barriers, restricted lists, surveillance coverage, retention, and incident escalation.</w:t>
      </w:r>
    </w:p>
    <w:p>
      <w:pPr>
        <w:pStyle w:val="ListBullet"/>
      </w:pPr>
      <w:r>
        <w:t>Investigate repeated near misses and control overrides as systemic risk.</w:t>
      </w:r>
    </w:p>
    <w:p>
      <w:pPr>
        <w:pStyle w:val="ListBullet"/>
      </w:pPr>
      <w:r>
        <w:t>Report material gaps and overdue remediation to senior governance.</w:t>
      </w:r>
    </w:p>
    <w:p>
      <w:r>
        <w:br w:type="page"/>
      </w:r>
    </w:p>
    <w:p>
      <w:pPr>
        <w:pStyle w:val="Heading1"/>
      </w:pPr>
      <w:r>
        <w:t>Regulatory Basis Decision Guide and Acknowledgment</w:t>
      </w:r>
    </w:p>
    <w:p>
      <w:pPr>
        <w:pStyle w:val="Heading2"/>
      </w:pPr>
      <w:r>
        <w:t>Governance training and enforcement</w:t>
      </w:r>
    </w:p>
    <w:p>
      <w:r>
        <w:t>The Chief Compliance Officer owns this policy. Business heads implement it; Legal, Human Resources, Information Security, Records Management, and Internal Audit support interpretation, controls, discipline, and assurance. Personnel complete training before access and annually, certify compliance, and report breaches. Exceptions require prior written, time-limited, risk-assessed approval. Violations may lead to remediation, access restriction, discipline up to termination, client or regulator notification, and referral. Good-faith reporting is protected; retaliation, obstruction, and evidence destruction are separate serious violations.</w:t>
      </w:r>
    </w:p>
    <w:p>
      <w:pPr>
        <w:pStyle w:val="Heading2"/>
      </w:pPr>
      <w:r>
        <w:t>Disclosure decision guide</w:t>
      </w:r>
    </w:p>
    <w:p>
      <w:pPr>
        <w:pStyle w:val="ListBullet"/>
      </w:pPr>
      <w:r>
        <w:t>Is the information public, internal, confidential, restricted, personal, or potentially MNPI?</w:t>
      </w:r>
    </w:p>
    <w:p>
      <w:pPr>
        <w:pStyle w:val="ListBullet"/>
      </w:pPr>
      <w:r>
        <w:t>Does the requester have verified identity, authority, and a legitimate need?</w:t>
      </w:r>
    </w:p>
    <w:p>
      <w:pPr>
        <w:pStyle w:val="ListBullet"/>
      </w:pPr>
      <w:r>
        <w:t>Is disclosure legally and contractually permitted, minimized, secure, recorded, and approved?</w:t>
      </w:r>
    </w:p>
    <w:p>
      <w:pPr>
        <w:pStyle w:val="ListBullet"/>
      </w:pPr>
      <w:r>
        <w:t>If any answer is uncertain, stop and escalate.</w:t>
      </w:r>
    </w:p>
    <w:p>
      <w:pPr>
        <w:pStyle w:val="Heading2"/>
      </w:pPr>
      <w:r>
        <w:t>Regulatory basis</w:t>
      </w:r>
    </w:p>
    <w:p>
      <w:pPr>
        <w:pStyle w:val="ListBullet"/>
      </w:pPr>
      <w:r>
        <w:t>SEC Regulation FD Selective Disclosure and Insider Trading — https://www.sec.gov/files/rules/final/33-7881.htm</w:t>
      </w:r>
    </w:p>
    <w:p>
      <w:pPr>
        <w:pStyle w:val="ListBullet"/>
      </w:pPr>
      <w:r>
        <w:t>SEC Regulation S-P Amendments — https://www.sec.gov/files/rules/final/2024/34-100155.pdf</w:t>
      </w:r>
    </w:p>
    <w:p>
      <w:pPr>
        <w:pStyle w:val="ListBullet"/>
      </w:pPr>
      <w:r>
        <w:t>FTC Standards for Safeguarding Customer Information — https://www.ftc.gov/legal-library/browse/rules/safeguards-rule</w:t>
      </w:r>
    </w:p>
    <w:p>
      <w:pPr>
        <w:pStyle w:val="ListBullet"/>
      </w:pPr>
      <w:r>
        <w:t>FCA Inside Information Guidance — https://www.fca.org.uk/markets/market-abuse/inside-information-how-to-identify-control-disclose</w:t>
      </w:r>
    </w:p>
    <w:p>
      <w:pPr>
        <w:pStyle w:val="ListBullet"/>
      </w:pPr>
      <w:r>
        <w:t>EU GDPR Article 5 Principles — https://eur-lex.europa.eu/eli/reg/2016/679/art_5/oj</w:t>
      </w:r>
    </w:p>
    <w:p>
      <w:pPr>
        <w:pStyle w:val="Heading2"/>
      </w:pPr>
      <w:r>
        <w:t>Acknowledgment</w:t>
      </w:r>
    </w:p>
    <w:p>
      <w:r>
        <w:t>I understand that unauthorized use, trading, tipping, or disclosure is prohibited and that immediate reporting is required. Name: __________________  Signature: __________________  Date: __________</w:t>
      </w:r>
    </w:p>
    <w:sectPr w:rsidR="00FC693F" w:rsidRPr="0006063C" w:rsidSect="00034616">
      <w:headerReference w:type="default" r:id="rId9"/>
      <w:footerReference w:type="default" r:id="rId10"/>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7365D"/>
        <w:sz w:val="16"/>
      </w:rPr>
      <w:t>Northbridge Financial Group  |  INF-002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020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