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CONTROLLED POLICY</w:t>
      </w:r>
    </w:p>
    <w:p>
      <w:pPr>
        <w:pStyle w:val="Title"/>
      </w:pPr>
      <w:r>
        <w:t>Client Communications Advice and Marketing Policy</w:t>
      </w:r>
    </w:p>
    <w:p>
      <w:r>
        <w:t>This policy ensures communications to clients and prospects are accurate, fair, balanced, understandable, properly approved, and suitable for the audience and channel.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2376"/>
            <w:vAlign w:val="center"/>
            <w:shd w:fill="17365D"/>
          </w:tcPr>
          <w:p>
            <w:r>
              <w:rPr>
                <w:b/>
                <w:color w:val="FFFFFF"/>
              </w:rPr>
              <w:t>Document control</w:t>
            </w:r>
          </w:p>
        </w:tc>
        <w:tc>
          <w:tcPr>
            <w:tcW w:type="dxa" w:w="7992"/>
            <w:vAlign w:val="center"/>
            <w:shd w:fill="17365D"/>
          </w:tcPr>
          <w:p>
            <w:r>
              <w:rPr>
                <w:b/>
                <w:color w:val="FFFFFF"/>
              </w:rPr>
              <w:t>Current value</w:t>
            </w:r>
          </w:p>
        </w:tc>
      </w:tr>
      <w:tr>
        <w:tc>
          <w:tcPr>
            <w:tcW w:type="dxa" w:w="2376"/>
            <w:vAlign w:val="center"/>
            <w:shd w:fill="F3F6F9"/>
          </w:tcPr>
          <w:p>
            <w:r>
              <w:t>Policy owner</w:t>
            </w:r>
          </w:p>
        </w:tc>
        <w:tc>
          <w:tcPr>
            <w:tcW w:type="dxa" w:w="7992"/>
            <w:vAlign w:val="center"/>
            <w:shd w:fill="F3F6F9"/>
          </w:tcPr>
          <w:p>
            <w:r>
              <w:t>Head of Conduct Compliance and Chief Marketing Officer</w:t>
            </w:r>
          </w:p>
        </w:tc>
      </w:tr>
      <w:tr>
        <w:tc>
          <w:tcPr>
            <w:tcW w:type="dxa" w:w="2376"/>
            <w:vAlign w:val="center"/>
          </w:tcPr>
          <w:p>
            <w:r>
              <w:t>Approval authority</w:t>
            </w:r>
          </w:p>
        </w:tc>
        <w:tc>
          <w:tcPr>
            <w:tcW w:type="dxa" w:w="7992"/>
            <w:vAlign w:val="center"/>
          </w:tcPr>
          <w:p>
            <w:r>
              <w:t>Board Risk and Compliance Committee</w:t>
            </w:r>
          </w:p>
        </w:tc>
      </w:tr>
      <w:tr>
        <w:tc>
          <w:tcPr>
            <w:tcW w:type="dxa" w:w="2376"/>
            <w:vAlign w:val="center"/>
            <w:shd w:fill="F3F6F9"/>
          </w:tcPr>
          <w:p>
            <w:r>
              <w:t>Effective date</w:t>
            </w:r>
          </w:p>
        </w:tc>
        <w:tc>
          <w:tcPr>
            <w:tcW w:type="dxa" w:w="7992"/>
            <w:vAlign w:val="center"/>
            <w:shd w:fill="F3F6F9"/>
          </w:tcPr>
          <w:p>
            <w:r>
              <w:t>15 September 2026</w:t>
            </w:r>
          </w:p>
        </w:tc>
      </w:tr>
      <w:tr>
        <w:tc>
          <w:tcPr>
            <w:tcW w:type="dxa" w:w="2376"/>
            <w:vAlign w:val="center"/>
          </w:tcPr>
          <w:p>
            <w:r>
              <w:t>Review cycle</w:t>
            </w:r>
          </w:p>
        </w:tc>
        <w:tc>
          <w:tcPr>
            <w:tcW w:type="dxa" w:w="7992"/>
            <w:vAlign w:val="center"/>
          </w:tcPr>
          <w:p>
            <w:r>
              <w:t>At least annually and upon material regulatory or business change</w:t>
            </w:r>
          </w:p>
        </w:tc>
      </w:tr>
      <w:tr>
        <w:tc>
          <w:tcPr>
            <w:tcW w:type="dxa" w:w="2376"/>
            <w:vAlign w:val="center"/>
            <w:shd w:fill="F3F6F9"/>
          </w:tcPr>
          <w:p>
            <w:r>
              <w:t>Classification</w:t>
            </w:r>
          </w:p>
        </w:tc>
        <w:tc>
          <w:tcPr>
            <w:tcW w:type="dxa" w:w="7992"/>
            <w:vAlign w:val="center"/>
            <w:shd w:fill="F3F6F9"/>
          </w:tcPr>
          <w:p>
            <w:r>
              <w:t>Internal</w:t>
            </w:r>
          </w:p>
        </w:tc>
      </w:tr>
      <w:tr>
        <w:tc>
          <w:tcPr>
            <w:tcW w:type="dxa" w:w="2376"/>
            <w:vAlign w:val="center"/>
          </w:tcPr>
          <w:p>
            <w:r>
              <w:t>Policy code</w:t>
            </w:r>
          </w:p>
        </w:tc>
        <w:tc>
          <w:tcPr>
            <w:tcW w:type="dxa" w:w="7992"/>
            <w:vAlign w:val="center"/>
          </w:tcPr>
          <w:p>
            <w:r>
              <w:t>CLI-003</w:t>
            </w:r>
          </w:p>
        </w:tc>
      </w:tr>
      <w:tr>
        <w:tc>
          <w:tcPr>
            <w:tcW w:type="dxa" w:w="2376"/>
            <w:vAlign w:val="center"/>
            <w:shd w:fill="F3F6F9"/>
          </w:tcPr>
          <w:p>
            <w:r>
              <w:t>Version</w:t>
            </w:r>
          </w:p>
        </w:tc>
        <w:tc>
          <w:tcPr>
            <w:tcW w:type="dxa" w:w="7992"/>
            <w:vAlign w:val="center"/>
            <w:shd w:fill="F3F6F9"/>
          </w:tcPr>
          <w:p>
            <w:r>
              <w:t>1.0</w:t>
            </w:r>
          </w:p>
        </w:tc>
      </w:tr>
    </w:tbl>
    <w:p>
      <w:pPr>
        <w:pStyle w:val="Heading2"/>
      </w:pPr>
      <w:r>
        <w:t>Reader action</w:t>
      </w:r>
    </w:p>
    <w:p>
      <w:r>
        <w:t>All covered persons must read, understand, and comply with this policy. Questions must be raised before acting. Suspected breaches must be reported promptly and records must not be altered, concealed, or deleted.</w:t>
      </w:r>
    </w:p>
    <w:p>
      <w:pPr>
        <w:pStyle w:val="Heading2"/>
      </w:pPr>
      <w:r>
        <w:t>Contents</w:t>
      </w:r>
    </w:p>
    <w:p>
      <w:r>
        <w:t>2. Purpose Scope and Fair Communication Standard</w:t>
      </w:r>
    </w:p>
    <w:p>
      <w:r>
        <w:t>3. Audience Classification and Approval</w:t>
      </w:r>
    </w:p>
    <w:p>
      <w:r>
        <w:t>4. Product Information Risks Costs and Conflicts</w:t>
      </w:r>
    </w:p>
    <w:p>
      <w:r>
        <w:t>5. Performance Forecasts Comparisons and Data</w:t>
      </w:r>
    </w:p>
    <w:p>
      <w:r>
        <w:t>6. Recommendations Suitability and Client Understanding</w:t>
      </w:r>
    </w:p>
    <w:p>
      <w:r>
        <w:t>7. Digital Media Testimonials and Third Parties</w:t>
      </w:r>
    </w:p>
    <w:p>
      <w:r>
        <w:t>8. Complaints Vulnerable Clients and Corrections</w:t>
      </w:r>
    </w:p>
    <w:p>
      <w:r>
        <w:t>9. Monitoring Sampling and Evidence</w:t>
      </w:r>
    </w:p>
    <w:p>
      <w:r>
        <w:t>10. Regulatory Basis Pre Release Checklist and Acknowledgment</w:t>
      </w:r>
    </w:p>
    <w:p>
      <w:r>
        <w:br w:type="page"/>
      </w:r>
    </w:p>
    <w:p>
      <w:pPr>
        <w:pStyle w:val="Heading1"/>
      </w:pPr>
      <w:r>
        <w:t>Purpose Scope and Fair Communication Standard</w:t>
      </w:r>
    </w:p>
    <w:p>
      <w:r>
        <w:rPr>
          <w:b/>
          <w:color w:val="17365D"/>
        </w:rPr>
        <w:t>Every client communication must be fair, clear, balanced, accurate, and not misleading when read as a whole by its intended audience.</w:t>
      </w:r>
    </w:p>
    <w:p>
      <w:pPr>
        <w:pStyle w:val="Heading2"/>
      </w:pPr>
      <w:r>
        <w:t>Scope</w:t>
      </w:r>
    </w:p>
    <w:p>
      <w:r>
        <w:t>This policy covers correspondence, presentations, pitch books, research distribution, factsheets, websites, apps, social posts, videos, podcasts, seminars, calculators, performance reports, proposals, scripts, chat, email, and oral statements.</w:t>
      </w:r>
    </w:p>
    <w:p>
      <w:pPr>
        <w:pStyle w:val="Heading2"/>
      </w:pPr>
      <w:r>
        <w:t>Prohibited features</w:t>
      </w:r>
    </w:p>
    <w:p>
      <w:pPr>
        <w:pStyle w:val="ListBullet"/>
      </w:pPr>
      <w:r>
        <w:t>False, exaggerated, promissory, unwarranted, or unbalanced claims.</w:t>
      </w:r>
    </w:p>
    <w:p>
      <w:pPr>
        <w:pStyle w:val="ListBullet"/>
      </w:pPr>
      <w:r>
        <w:t>Material omissions, buried qualifications, cherry-picked facts, or comparisons without a sound basis.</w:t>
      </w:r>
    </w:p>
    <w:p>
      <w:pPr>
        <w:pStyle w:val="ListBullet"/>
      </w:pPr>
      <w:r>
        <w:t>Pressure tactics, manufactured urgency, or exploiting vulnerability.</w:t>
      </w:r>
    </w:p>
    <w:p>
      <w:pPr>
        <w:pStyle w:val="ListBullet"/>
      </w:pPr>
      <w:r>
        <w:t>Implying regulator approval, guaranteed outcomes, or risk-free returns.</w:t>
      </w:r>
    </w:p>
    <w:p>
      <w:r>
        <w:br w:type="page"/>
      </w:r>
    </w:p>
    <w:p>
      <w:pPr>
        <w:pStyle w:val="Heading1"/>
      </w:pPr>
      <w:r>
        <w:t>Audience Classification and Approval</w:t>
      </w:r>
    </w:p>
    <w:p>
      <w:pPr>
        <w:pStyle w:val="Heading2"/>
      </w:pPr>
      <w:r>
        <w:t>Audience</w:t>
      </w:r>
    </w:p>
    <w:p>
      <w:r>
        <w:t>The creator must identify whether the communication is institutional, retail, one-to-one, public, or internal, and apply the strictest applicable content, approval, filing, and recordkeeping standard. Reuse with a broader audience requires reassessment.</w:t>
      </w:r>
    </w:p>
    <w:p>
      <w:pPr>
        <w:pStyle w:val="Heading2"/>
      </w:pPr>
      <w:r>
        <w:t>Approval workflow</w:t>
      </w:r>
    </w:p>
    <w:p>
      <w:pPr>
        <w:pStyle w:val="ListBullet"/>
      </w:pPr>
      <w:r>
        <w:t>Use approved templates and current product data.</w:t>
      </w:r>
    </w:p>
    <w:p>
      <w:pPr>
        <w:pStyle w:val="ListBullet"/>
      </w:pPr>
      <w:r>
        <w:t>Route applicable retail and static communications for qualified principal or Compliance approval before use.</w:t>
      </w:r>
    </w:p>
    <w:p>
      <w:pPr>
        <w:pStyle w:val="ListBullet"/>
      </w:pPr>
      <w:r>
        <w:t>Record author, reviewer, version, intended audience, substantiation, approvals, first and last use dates, and distribution channel.</w:t>
      </w:r>
    </w:p>
    <w:p>
      <w:pPr>
        <w:pStyle w:val="ListBullet"/>
      </w:pPr>
      <w:r>
        <w:t>Material changes, new performance periods, changed risks, or new audiences require renewed approval.</w:t>
      </w:r>
    </w:p>
    <w:p>
      <w:r>
        <w:br w:type="page"/>
      </w:r>
    </w:p>
    <w:p>
      <w:pPr>
        <w:pStyle w:val="Heading1"/>
      </w:pPr>
      <w:r>
        <w:t>Product Information Risks Costs and Conflicts</w:t>
      </w:r>
    </w:p>
    <w:p>
      <w:pPr>
        <w:pStyle w:val="Heading2"/>
      </w:pPr>
      <w:r>
        <w:t>Balanced presentation</w:t>
      </w:r>
    </w:p>
    <w:p>
      <w:r>
        <w:t>Benefits must be presented with material risks and limitations in comparable prominence. Explain fees, spreads, commissions, penalties, liquidity, leverage, volatility, tax uncertainty, concentration, counterparty exposure, and loss potential as applicable.</w:t>
      </w:r>
    </w:p>
    <w:p>
      <w:pPr>
        <w:pStyle w:val="Heading2"/>
      </w:pPr>
      <w:r>
        <w:t>Conflicts</w:t>
      </w:r>
    </w:p>
    <w:p>
      <w:pPr>
        <w:pStyle w:val="ListBullet"/>
      </w:pPr>
      <w:r>
        <w:t>Disclose material compensation, affiliations, revenue sharing, inventory positions, incentives, and selection methodology.</w:t>
      </w:r>
    </w:p>
    <w:p>
      <w:pPr>
        <w:pStyle w:val="ListBullet"/>
      </w:pPr>
      <w:r>
        <w:t>Do not describe proprietary products as independent or imply a complete market review if the range is restricted.</w:t>
      </w:r>
    </w:p>
    <w:p>
      <w:pPr>
        <w:pStyle w:val="ListBullet"/>
      </w:pPr>
      <w:r>
        <w:t>State eligibility, availability, and key assumptions clearly.</w:t>
      </w:r>
    </w:p>
    <w:p>
      <w:pPr>
        <w:pStyle w:val="ListBullet"/>
      </w:pPr>
      <w:r>
        <w:t>Use plain language appropriate to the audience and provide required offering documents.</w:t>
      </w:r>
    </w:p>
    <w:p>
      <w:r>
        <w:br w:type="page"/>
      </w:r>
    </w:p>
    <w:p>
      <w:pPr>
        <w:pStyle w:val="Heading1"/>
      </w:pPr>
      <w:r>
        <w:t>Performance Forecasts Comparisons and Data</w:t>
      </w:r>
    </w:p>
    <w:p>
      <w:pPr>
        <w:pStyle w:val="Heading2"/>
      </w:pPr>
      <w:r>
        <w:t>Performance</w:t>
      </w:r>
    </w:p>
    <w:p>
      <w:r>
        <w:t>Performance must use approved calculation methods, accurate periods, consistent treatment of fees, and appropriate benchmarks. Past performance must not be presented as a promise. Hypothetical, back-tested, projected, extracted, gross, or model results require specific controls and disclosures.</w:t>
      </w:r>
    </w:p>
    <w:p>
      <w:pPr>
        <w:pStyle w:val="Heading2"/>
      </w:pPr>
      <w:r>
        <w:t>Comparisons and rankings</w:t>
      </w:r>
    </w:p>
    <w:p>
      <w:pPr>
        <w:pStyle w:val="ListBullet"/>
      </w:pPr>
      <w:r>
        <w:t>Use like-for-like periods, definitions, currencies, and fee assumptions.</w:t>
      </w:r>
    </w:p>
    <w:p>
      <w:pPr>
        <w:pStyle w:val="ListBullet"/>
      </w:pPr>
      <w:r>
        <w:t>Identify data source, as-of date, methodology, material limitations, and whether results are independently verified.</w:t>
      </w:r>
    </w:p>
    <w:p>
      <w:pPr>
        <w:pStyle w:val="ListBullet"/>
      </w:pPr>
      <w:r>
        <w:t>Do not cherry-pick favorable accounts, periods, scenarios, or testimonials.</w:t>
      </w:r>
    </w:p>
    <w:p>
      <w:pPr>
        <w:pStyle w:val="ListBullet"/>
      </w:pPr>
      <w:r>
        <w:t>Maintain substantiation sufficient for an independent reviewer to reproduce or evaluate the claim.</w:t>
      </w:r>
    </w:p>
    <w:p>
      <w:r>
        <w:br w:type="page"/>
      </w:r>
    </w:p>
    <w:p>
      <w:pPr>
        <w:pStyle w:val="Heading1"/>
      </w:pPr>
      <w:r>
        <w:t>Recommendations Suitability and Client Understanding</w:t>
      </w:r>
    </w:p>
    <w:p>
      <w:pPr>
        <w:pStyle w:val="Heading2"/>
      </w:pPr>
      <w:r>
        <w:t>Authorized recommendations</w:t>
      </w:r>
    </w:p>
    <w:p>
      <w:r>
        <w:t>Only appropriately authorized staff may recommend a security, product, portfolio action, or strategy. Recommendations must follow the applicable best-interest, suitability, fiduciary, product-governance, and conflict requirements.</w:t>
      </w:r>
    </w:p>
    <w:p>
      <w:pPr>
        <w:pStyle w:val="Heading2"/>
      </w:pPr>
      <w:r>
        <w:t>Conversation controls</w:t>
      </w:r>
    </w:p>
    <w:p>
      <w:pPr>
        <w:pStyle w:val="ListBullet"/>
      </w:pPr>
      <w:r>
        <w:t>Confirm client identity and relevant objectives, circumstances, risk tolerance, knowledge, time horizon, liquidity needs, and constraints.</w:t>
      </w:r>
    </w:p>
    <w:p>
      <w:pPr>
        <w:pStyle w:val="ListBullet"/>
      </w:pPr>
      <w:r>
        <w:t>Explain material risks and alternatives without steering through omission.</w:t>
      </w:r>
    </w:p>
    <w:p>
      <w:pPr>
        <w:pStyle w:val="ListBullet"/>
      </w:pPr>
      <w:r>
        <w:t>Do not coach clients to provide answers that make a product appear suitable.</w:t>
      </w:r>
    </w:p>
    <w:p>
      <w:pPr>
        <w:pStyle w:val="ListBullet"/>
      </w:pPr>
      <w:r>
        <w:t>Document the recommendation, basis, conflicts, disclosures, client questions, and outcome in the approved system.</w:t>
      </w:r>
    </w:p>
    <w:p>
      <w:r>
        <w:br w:type="page"/>
      </w:r>
    </w:p>
    <w:p>
      <w:pPr>
        <w:pStyle w:val="Heading1"/>
      </w:pPr>
      <w:r>
        <w:t>Digital Media Testimonials and Third Parties</w:t>
      </w:r>
    </w:p>
    <w:p>
      <w:pPr>
        <w:pStyle w:val="Heading2"/>
      </w:pPr>
      <w:r>
        <w:t>Digital communications</w:t>
      </w:r>
    </w:p>
    <w:p>
      <w:r>
        <w:t>Business social media must use approved accounts, supervision, archiving, and required profile disclosures. Employees must not provide unauthorized advice or discuss nonpublic client activity on personal accounts.</w:t>
      </w:r>
    </w:p>
    <w:p>
      <w:pPr>
        <w:pStyle w:val="Heading2"/>
      </w:pPr>
      <w:r>
        <w:t>Third parties</w:t>
      </w:r>
    </w:p>
    <w:p>
      <w:pPr>
        <w:pStyle w:val="ListBullet"/>
      </w:pPr>
      <w:r>
        <w:t>Paid influencers, affiliates, lead generators, and agencies require due diligence, contract controls, training, review, monitoring, and clear identification.</w:t>
      </w:r>
    </w:p>
    <w:p>
      <w:pPr>
        <w:pStyle w:val="ListBullet"/>
      </w:pPr>
      <w:r>
        <w:t>Sharing or liking content may adopt it; links may create responsibility when the firm endorses or influences linked material.</w:t>
      </w:r>
    </w:p>
    <w:p>
      <w:pPr>
        <w:pStyle w:val="ListBullet"/>
      </w:pPr>
      <w:r>
        <w:t>Testimonials and endorsements require truthful presentation, compensation and conflict disclosure, and required limitations.</w:t>
      </w:r>
    </w:p>
    <w:p>
      <w:pPr>
        <w:pStyle w:val="ListBullet"/>
      </w:pPr>
      <w:r>
        <w:t>Do not edit client reviews to distort meaning or suppress complaints selectively.</w:t>
      </w:r>
    </w:p>
    <w:p>
      <w:r>
        <w:br w:type="page"/>
      </w:r>
    </w:p>
    <w:p>
      <w:pPr>
        <w:pStyle w:val="Heading1"/>
      </w:pPr>
      <w:r>
        <w:t>Complaints Vulnerable Clients and Corrections</w:t>
      </w:r>
    </w:p>
    <w:p>
      <w:pPr>
        <w:pStyle w:val="Heading2"/>
      </w:pPr>
      <w:r>
        <w:t>Complaints</w:t>
      </w:r>
    </w:p>
    <w:p>
      <w:r>
        <w:t>Any written or oral expression of dissatisfaction relating to products, services, personnel, execution, fees, advice, privacy, or conduct must be recorded and routed promptly. Employees must not settle, discourage, erase, or characterize a complaint to avoid escalation.</w:t>
      </w:r>
    </w:p>
    <w:p>
      <w:pPr>
        <w:pStyle w:val="Heading2"/>
      </w:pPr>
      <w:r>
        <w:t>Vulnerability and accessibility</w:t>
      </w:r>
    </w:p>
    <w:p>
      <w:pPr>
        <w:pStyle w:val="ListBullet"/>
      </w:pPr>
      <w:r>
        <w:t>Adapt explanations and pace without lowering protections.</w:t>
      </w:r>
    </w:p>
    <w:p>
      <w:pPr>
        <w:pStyle w:val="ListBullet"/>
      </w:pPr>
      <w:r>
        <w:t>Use approved interpreters and accessible formats where needed.</w:t>
      </w:r>
    </w:p>
    <w:p>
      <w:pPr>
        <w:pStyle w:val="ListBullet"/>
      </w:pPr>
      <w:r>
        <w:t>Escalate suspected coercion, diminished capacity, fraud, or financial exploitation.</w:t>
      </w:r>
    </w:p>
    <w:p>
      <w:pPr>
        <w:pStyle w:val="ListBullet"/>
      </w:pPr>
      <w:r>
        <w:t>Do not use a client’s vulnerability as a sales opportunity.</w:t>
      </w:r>
    </w:p>
    <w:p>
      <w:pPr>
        <w:pStyle w:val="Heading2"/>
      </w:pPr>
      <w:r>
        <w:t>Corrections</w:t>
      </w:r>
    </w:p>
    <w:p>
      <w:r>
        <w:t>Correct material errors promptly through an approved communication to the affected audience, preserve prior versions, assess client harm, and consider restitution or regulatory notification.</w:t>
      </w:r>
    </w:p>
    <w:p>
      <w:r>
        <w:br w:type="page"/>
      </w:r>
    </w:p>
    <w:p>
      <w:pPr>
        <w:pStyle w:val="Heading1"/>
      </w:pPr>
      <w:r>
        <w:t>Monitoring Sampling and Evidence</w:t>
      </w:r>
    </w:p>
    <w:p>
      <w:pPr>
        <w:pStyle w:val="Heading2"/>
      </w:pPr>
      <w:r>
        <w:t>Supervision</w:t>
      </w:r>
    </w:p>
    <w:p>
      <w:r>
        <w:t>Compliance uses risk-based pre-use review, post-use sampling, digital surveillance, complaint analysis, campaign testing, and targeted review of high-risk products, producers, languages, and audiences.</w:t>
      </w:r>
    </w:p>
    <w:p>
      <w:pPr>
        <w:pStyle w:val="Heading2"/>
      </w:pPr>
      <w:r>
        <w:t>Evidence</w:t>
      </w:r>
    </w:p>
    <w:p>
      <w:pPr>
        <w:pStyle w:val="ListBullet"/>
      </w:pPr>
      <w:r>
        <w:t>Retain final content, drafts where required, approvals, substantiation, distribution lists, audience criteria, third-party materials, performance calculations, complaints, corrections, and supervisory dispositions.</w:t>
      </w:r>
    </w:p>
    <w:p>
      <w:pPr>
        <w:pStyle w:val="ListBullet"/>
      </w:pPr>
      <w:r>
        <w:t>Test whether required disclosures are prominent and usable on the actual device and channel.</w:t>
      </w:r>
    </w:p>
    <w:p>
      <w:pPr>
        <w:pStyle w:val="ListBullet"/>
      </w:pPr>
      <w:r>
        <w:t>Escalate repeat findings, evasion, unsupported claims, or material client impact.</w:t>
      </w:r>
    </w:p>
    <w:p>
      <w:r>
        <w:br w:type="page"/>
      </w:r>
    </w:p>
    <w:p>
      <w:pPr>
        <w:pStyle w:val="Heading1"/>
      </w:pPr>
      <w:r>
        <w:t>Regulatory Basis Pre Release Checklist and Acknowledgment</w:t>
      </w:r>
    </w:p>
    <w:p>
      <w:pPr>
        <w:pStyle w:val="Heading2"/>
      </w:pPr>
      <w:r>
        <w:t>Governance training and enforcement</w:t>
      </w:r>
    </w:p>
    <w:p>
      <w:r>
        <w:t>The Chief Compliance Officer owns this policy. Business heads implement it; Legal, Human Resources, Information Security, Records Management, and Internal Audit support interpretation, controls, discipline, and assurance. Personnel complete training before access and annually, certify compliance, and report breaches. Exceptions require prior written, time-limited, risk-assessed approval. Violations may lead to remediation, access restriction, discipline up to termination, client or regulator notification, and referral. Good-faith reporting is protected; retaliation, obstruction, and evidence destruction are separate serious violations.</w:t>
      </w:r>
    </w:p>
    <w:p>
      <w:pPr>
        <w:pStyle w:val="Heading2"/>
      </w:pPr>
      <w:r>
        <w:t>Pre-release checklist</w:t>
      </w:r>
    </w:p>
    <w:p>
      <w:pPr>
        <w:pStyle w:val="ListBullet"/>
      </w:pPr>
      <w:r>
        <w:t>Audience and channel classified; required approval completed.</w:t>
      </w:r>
    </w:p>
    <w:p>
      <w:pPr>
        <w:pStyle w:val="ListBullet"/>
      </w:pPr>
      <w:r>
        <w:t>Claims current, substantiated, balanced, and understandable.</w:t>
      </w:r>
    </w:p>
    <w:p>
      <w:pPr>
        <w:pStyle w:val="ListBullet"/>
      </w:pPr>
      <w:r>
        <w:t>Risks, costs, conflicts, assumptions, and limitations sufficiently prominent.</w:t>
      </w:r>
    </w:p>
    <w:p>
      <w:pPr>
        <w:pStyle w:val="ListBullet"/>
      </w:pPr>
      <w:r>
        <w:t>Records, version, distribution, and expiry controls configured.</w:t>
      </w:r>
    </w:p>
    <w:p>
      <w:pPr>
        <w:pStyle w:val="Heading2"/>
      </w:pPr>
      <w:r>
        <w:t>Regulatory basis</w:t>
      </w:r>
    </w:p>
    <w:p>
      <w:pPr>
        <w:pStyle w:val="ListBullet"/>
      </w:pPr>
      <w:r>
        <w:t>FINRA Rule 2210 Communications with the Public — https://www.finra.org/rules-guidance/rulebooks/finra-rules/2210</w:t>
      </w:r>
    </w:p>
    <w:p>
      <w:pPr>
        <w:pStyle w:val="ListBullet"/>
      </w:pPr>
      <w:r>
        <w:t>FINRA Rule 3110 Supervision — https://www.finra.org/rules-guidance/rulebooks/finra-rules/3110</w:t>
      </w:r>
    </w:p>
    <w:p>
      <w:pPr>
        <w:pStyle w:val="ListBullet"/>
      </w:pPr>
      <w:r>
        <w:t>FINRA Regulatory Notice 17-18 Digital Communications — https://www.finra.org/rules-guidance/notices/17-18</w:t>
      </w:r>
    </w:p>
    <w:p>
      <w:pPr>
        <w:pStyle w:val="ListBullet"/>
      </w:pPr>
      <w:r>
        <w:t>FCA COBS 4.2 Fair Clear and Not Misleading — https://handbook.fca.org.uk/handbook/cobs4/cobs4s2?timeline=true</w:t>
      </w:r>
    </w:p>
    <w:p>
      <w:pPr>
        <w:pStyle w:val="ListBullet"/>
      </w:pPr>
      <w:r>
        <w:t>17 CFR 240.17a-4 Records to be Preserved — https://www.ecfr.gov/current/title-17/chapter-II/part-240/subject-group-ECFR17722751b422db3/section-240.17a-4</w:t>
      </w:r>
    </w:p>
    <w:p>
      <w:pPr>
        <w:pStyle w:val="Heading2"/>
      </w:pPr>
      <w:r>
        <w:t>Acknowledgment</w:t>
      </w:r>
    </w:p>
    <w:p>
      <w:r>
        <w:t>I understand that oral, digital, and written communications are subject to the same core standards. Name: __________________  Signature: __________________  Date: __________</w:t>
      </w:r>
    </w:p>
    <w:sectPr w:rsidR="00FC693F" w:rsidRPr="0006063C" w:rsidSect="00034616">
      <w:headerReference w:type="default" r:id="rId9"/>
      <w:footerReference w:type="default" r:id="rId10"/>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7365D"/>
        <w:sz w:val="16"/>
      </w:rPr>
      <w:t>Northbridge Financial Group  |  CLI-003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