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CONTROLLED POLICY</w:t>
      </w:r>
    </w:p>
    <w:p>
      <w:pPr>
        <w:pStyle w:val="Title"/>
      </w:pPr>
      <w:r>
        <w:t>Communications Recording Retention and Surveillance Policy</w:t>
      </w:r>
    </w:p>
    <w:p>
      <w:r>
        <w:t>This policy establishes controlled capture, retention, retrieval, monitoring, privacy, legal hold, and defensible disposal of communications connected with regulated financial activity.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376"/>
            <w:vAlign w:val="center"/>
            <w:shd w:fill="17365D"/>
          </w:tcPr>
          <w:p>
            <w:r>
              <w:rPr>
                <w:b/>
                <w:color w:val="FFFFFF"/>
              </w:rPr>
              <w:t>Document control</w:t>
            </w:r>
          </w:p>
        </w:tc>
        <w:tc>
          <w:tcPr>
            <w:tcW w:type="dxa" w:w="7992"/>
            <w:vAlign w:val="center"/>
            <w:shd w:fill="17365D"/>
          </w:tcPr>
          <w:p>
            <w:r>
              <w:rPr>
                <w:b/>
                <w:color w:val="FFFFFF"/>
              </w:rPr>
              <w:t>Current value</w:t>
            </w:r>
          </w:p>
        </w:tc>
      </w:tr>
      <w:tr>
        <w:tc>
          <w:tcPr>
            <w:tcW w:type="dxa" w:w="2376"/>
            <w:vAlign w:val="center"/>
            <w:shd w:fill="F3F6F9"/>
          </w:tcPr>
          <w:p>
            <w:r>
              <w:t>Policy owner</w:t>
            </w:r>
          </w:p>
        </w:tc>
        <w:tc>
          <w:tcPr>
            <w:tcW w:type="dxa" w:w="7992"/>
            <w:vAlign w:val="center"/>
            <w:shd w:fill="F3F6F9"/>
          </w:tcPr>
          <w:p>
            <w:r>
              <w:t>Head of Records Management and Chief Technology Risk Officer</w:t>
            </w:r>
          </w:p>
        </w:tc>
      </w:tr>
      <w:tr>
        <w:tc>
          <w:tcPr>
            <w:tcW w:type="dxa" w:w="2376"/>
            <w:vAlign w:val="center"/>
          </w:tcPr>
          <w:p>
            <w:r>
              <w:t>Approval authority</w:t>
            </w:r>
          </w:p>
        </w:tc>
        <w:tc>
          <w:tcPr>
            <w:tcW w:type="dxa" w:w="7992"/>
            <w:vAlign w:val="center"/>
          </w:tcPr>
          <w:p>
            <w:r>
              <w:t>Board Risk and Compliance Committee</w:t>
            </w:r>
          </w:p>
        </w:tc>
      </w:tr>
      <w:tr>
        <w:tc>
          <w:tcPr>
            <w:tcW w:type="dxa" w:w="2376"/>
            <w:vAlign w:val="center"/>
            <w:shd w:fill="F3F6F9"/>
          </w:tcPr>
          <w:p>
            <w:r>
              <w:t>Effective date</w:t>
            </w:r>
          </w:p>
        </w:tc>
        <w:tc>
          <w:tcPr>
            <w:tcW w:type="dxa" w:w="7992"/>
            <w:vAlign w:val="center"/>
            <w:shd w:fill="F3F6F9"/>
          </w:tcPr>
          <w:p>
            <w:r>
              <w:t>15 September 2026</w:t>
            </w:r>
          </w:p>
        </w:tc>
      </w:tr>
      <w:tr>
        <w:tc>
          <w:tcPr>
            <w:tcW w:type="dxa" w:w="2376"/>
            <w:vAlign w:val="center"/>
          </w:tcPr>
          <w:p>
            <w:r>
              <w:t>Review cycle</w:t>
            </w:r>
          </w:p>
        </w:tc>
        <w:tc>
          <w:tcPr>
            <w:tcW w:type="dxa" w:w="7992"/>
            <w:vAlign w:val="center"/>
          </w:tcPr>
          <w:p>
            <w:r>
              <w:t>At least annually and upon material regulatory or business change</w:t>
            </w:r>
          </w:p>
        </w:tc>
      </w:tr>
      <w:tr>
        <w:tc>
          <w:tcPr>
            <w:tcW w:type="dxa" w:w="2376"/>
            <w:vAlign w:val="center"/>
            <w:shd w:fill="F3F6F9"/>
          </w:tcPr>
          <w:p>
            <w:r>
              <w:t>Classification</w:t>
            </w:r>
          </w:p>
        </w:tc>
        <w:tc>
          <w:tcPr>
            <w:tcW w:type="dxa" w:w="7992"/>
            <w:vAlign w:val="center"/>
            <w:shd w:fill="F3F6F9"/>
          </w:tcPr>
          <w:p>
            <w:r>
              <w:t>Internal</w:t>
            </w:r>
          </w:p>
        </w:tc>
      </w:tr>
      <w:tr>
        <w:tc>
          <w:tcPr>
            <w:tcW w:type="dxa" w:w="2376"/>
            <w:vAlign w:val="center"/>
          </w:tcPr>
          <w:p>
            <w:r>
              <w:t>Policy code</w:t>
            </w:r>
          </w:p>
        </w:tc>
        <w:tc>
          <w:tcPr>
            <w:tcW w:type="dxa" w:w="7992"/>
            <w:vAlign w:val="center"/>
          </w:tcPr>
          <w:p>
            <w:r>
              <w:t>REC-004</w:t>
            </w:r>
          </w:p>
        </w:tc>
      </w:tr>
      <w:tr>
        <w:tc>
          <w:tcPr>
            <w:tcW w:type="dxa" w:w="2376"/>
            <w:vAlign w:val="center"/>
            <w:shd w:fill="F3F6F9"/>
          </w:tcPr>
          <w:p>
            <w:r>
              <w:t>Version</w:t>
            </w:r>
          </w:p>
        </w:tc>
        <w:tc>
          <w:tcPr>
            <w:tcW w:type="dxa" w:w="7992"/>
            <w:vAlign w:val="center"/>
            <w:shd w:fill="F3F6F9"/>
          </w:tcPr>
          <w:p>
            <w:r>
              <w:t>1.0</w:t>
            </w:r>
          </w:p>
        </w:tc>
      </w:tr>
    </w:tbl>
    <w:p>
      <w:pPr>
        <w:pStyle w:val="Heading2"/>
      </w:pPr>
      <w:r>
        <w:t>Reader action</w:t>
      </w:r>
    </w:p>
    <w:p>
      <w:r>
        <w:t>All covered persons must read, understand, and comply with this policy. Questions must be raised before acting. Suspected breaches must be reported promptly and records must not be altered, concealed, or deleted.</w:t>
      </w:r>
    </w:p>
    <w:p>
      <w:pPr>
        <w:pStyle w:val="Heading2"/>
      </w:pPr>
      <w:r>
        <w:t>Contents</w:t>
      </w:r>
    </w:p>
    <w:p>
      <w:r>
        <w:t>2. Purpose Scope and Recordkeeping Standard</w:t>
      </w:r>
    </w:p>
    <w:p>
      <w:r>
        <w:t>3. Record Inventory Classification and Ownership</w:t>
      </w:r>
    </w:p>
    <w:p>
      <w:r>
        <w:t>4. Capture Controls and Channel Onboarding</w:t>
      </w:r>
    </w:p>
    <w:p>
      <w:r>
        <w:t>5. Voice Video Meetings and Consent</w:t>
      </w:r>
    </w:p>
    <w:p>
      <w:r>
        <w:t>6. Retention Legal Holds and Disposal</w:t>
      </w:r>
    </w:p>
    <w:p>
      <w:r>
        <w:t>7. Integrity Security Retrieval and Production</w:t>
      </w:r>
    </w:p>
    <w:p>
      <w:r>
        <w:t>8. Surveillance Design Alert Review and Privacy</w:t>
      </w:r>
    </w:p>
    <w:p>
      <w:r>
        <w:t>9. Control Failures Incidents and Continuity</w:t>
      </w:r>
    </w:p>
    <w:p>
      <w:r>
        <w:t>10. Regulatory Basis Control Checklist and Acknowledgment</w:t>
      </w:r>
    </w:p>
    <w:p>
      <w:r>
        <w:br w:type="page"/>
      </w:r>
    </w:p>
    <w:p>
      <w:pPr>
        <w:pStyle w:val="Heading1"/>
      </w:pPr>
      <w:r>
        <w:t>Purpose Scope and Recordkeeping Standard</w:t>
      </w:r>
    </w:p>
    <w:p>
      <w:r>
        <w:rPr>
          <w:b/>
          <w:color w:val="17365D"/>
        </w:rPr>
        <w:t>The firm must be able to reconstruct relevant business activity from complete, authentic, protected, and retrievable records.</w:t>
      </w:r>
    </w:p>
    <w:p>
      <w:pPr>
        <w:pStyle w:val="Heading2"/>
      </w:pPr>
      <w:r>
        <w:t>Scope</w:t>
      </w:r>
    </w:p>
    <w:p>
      <w:r>
        <w:t>Covered records include inbound, outbound, and internal email; chat; SMS where approved; social media; voice; video; meeting chat; attachments; edits; reactions; orders; approvals; and metadata, across firm or permitted personal devices.</w:t>
      </w:r>
    </w:p>
    <w:p>
      <w:pPr>
        <w:pStyle w:val="Heading2"/>
      </w:pPr>
      <w:r>
        <w:t>Core rules</w:t>
      </w:r>
    </w:p>
    <w:p>
      <w:pPr>
        <w:pStyle w:val="ListBullet"/>
      </w:pPr>
      <w:r>
        <w:t>Capture covered communications at source where feasible.</w:t>
      </w:r>
    </w:p>
    <w:p>
      <w:pPr>
        <w:pStyle w:val="ListBullet"/>
      </w:pPr>
      <w:r>
        <w:t>Preserve content, context, participants, timestamps, and relationships.</w:t>
      </w:r>
    </w:p>
    <w:p>
      <w:pPr>
        <w:pStyle w:val="ListBullet"/>
      </w:pPr>
      <w:r>
        <w:t>Apply the governing retention schedule and legal holds.</w:t>
      </w:r>
    </w:p>
    <w:p>
      <w:pPr>
        <w:pStyle w:val="ListBullet"/>
      </w:pPr>
      <w:r>
        <w:t>Restrict access and maintain audit trails.</w:t>
      </w:r>
    </w:p>
    <w:p>
      <w:pPr>
        <w:pStyle w:val="ListBullet"/>
      </w:pPr>
      <w:r>
        <w:t>Test completeness, accuracy, search, export, and recovery.</w:t>
      </w:r>
    </w:p>
    <w:p>
      <w:r>
        <w:br w:type="page"/>
      </w:r>
    </w:p>
    <w:p>
      <w:pPr>
        <w:pStyle w:val="Heading1"/>
      </w:pPr>
      <w:r>
        <w:t>Record Inventory Classification and Ownership</w:t>
      </w:r>
    </w:p>
    <w:p>
      <w:pPr>
        <w:pStyle w:val="Heading2"/>
      </w:pPr>
      <w:r>
        <w:t>Inventory</w:t>
      </w:r>
    </w:p>
    <w:p>
      <w:r>
        <w:t>Records Management maintains an inventory linking business processes, record classes, systems, owners, jurisdictions, retention periods, legal bases, sensitivity, disposal method, and regulatory obligations. Owners must notify Records Management before introducing or materially changing a channel.</w:t>
      </w:r>
    </w:p>
    <w:p>
      <w:pPr>
        <w:pStyle w:val="Heading2"/>
      </w:pPr>
      <w:r>
        <w:t>Roles</w:t>
      </w:r>
    </w:p>
    <w:p>
      <w:pPr>
        <w:pStyle w:val="ListBullet"/>
      </w:pPr>
      <w:r>
        <w:t>Business owners define use and confirm populations.</w:t>
      </w:r>
    </w:p>
    <w:p>
      <w:pPr>
        <w:pStyle w:val="ListBullet"/>
      </w:pPr>
      <w:r>
        <w:t>Technology operates capture, storage, integrity, resilience, and export.</w:t>
      </w:r>
    </w:p>
    <w:p>
      <w:pPr>
        <w:pStyle w:val="ListBullet"/>
      </w:pPr>
      <w:r>
        <w:t>Compliance defines supervision and surveillance requirements.</w:t>
      </w:r>
    </w:p>
    <w:p>
      <w:pPr>
        <w:pStyle w:val="ListBullet"/>
      </w:pPr>
      <w:r>
        <w:t>Privacy and Legal address proportionality, notices, access, cross-border transfers, investigations, and holds.</w:t>
      </w:r>
    </w:p>
    <w:p>
      <w:pPr>
        <w:pStyle w:val="ListBullet"/>
      </w:pPr>
      <w:r>
        <w:t>Independent assurance tests design and operating effectiveness.</w:t>
      </w:r>
    </w:p>
    <w:p>
      <w:r>
        <w:br w:type="page"/>
      </w:r>
    </w:p>
    <w:p>
      <w:pPr>
        <w:pStyle w:val="Heading1"/>
      </w:pPr>
      <w:r>
        <w:t>Capture Controls and Channel Onboarding</w:t>
      </w:r>
    </w:p>
    <w:p>
      <w:pPr>
        <w:pStyle w:val="Heading2"/>
      </w:pPr>
      <w:r>
        <w:t>Approval gate</w:t>
      </w:r>
    </w:p>
    <w:p>
      <w:r>
        <w:t>No channel may be used for in-scope business until control owners approve capture, retention, access, supervision, security, continuity, vendor obligations, data location, export, and decommissioning.</w:t>
      </w:r>
    </w:p>
    <w:p>
      <w:pPr>
        <w:pStyle w:val="Heading2"/>
      </w:pPr>
      <w:r>
        <w:t>Capture requirements</w:t>
      </w:r>
    </w:p>
    <w:p>
      <w:pPr>
        <w:pStyle w:val="ListBullet"/>
      </w:pPr>
      <w:r>
        <w:t>Preserve native or reliable normalized content with sender, recipients, date, time, channel, account, edits, attachments, and thread or call identifiers.</w:t>
      </w:r>
    </w:p>
    <w:p>
      <w:pPr>
        <w:pStyle w:val="ListBullet"/>
      </w:pPr>
      <w:r>
        <w:t>Synchronize time and document timezone handling.</w:t>
      </w:r>
    </w:p>
    <w:p>
      <w:pPr>
        <w:pStyle w:val="ListBullet"/>
      </w:pPr>
      <w:r>
        <w:t>Detect capture gaps, disabled connectors, mailbox exclusions, quota failures, and unsupported message types.</w:t>
      </w:r>
    </w:p>
    <w:p>
      <w:pPr>
        <w:pStyle w:val="ListBullet"/>
      </w:pPr>
      <w:r>
        <w:t>Reconcile source populations to archive populations and investigate variances.</w:t>
      </w:r>
    </w:p>
    <w:p>
      <w:r>
        <w:br w:type="page"/>
      </w:r>
    </w:p>
    <w:p>
      <w:pPr>
        <w:pStyle w:val="Heading1"/>
      </w:pPr>
      <w:r>
        <w:t>Voice Video Meetings and Consent</w:t>
      </w:r>
    </w:p>
    <w:p>
      <w:pPr>
        <w:pStyle w:val="Heading2"/>
      </w:pPr>
      <w:r>
        <w:t>Recording</w:t>
      </w:r>
    </w:p>
    <w:p>
      <w:r>
        <w:t>Record only where required or approved and after providing applicable notices or obtaining consent. Recorded lines and approved platforms must be used for activities subject to recording obligations. Employees may not disable, pause, divert, or circumvent recording.</w:t>
      </w:r>
    </w:p>
    <w:p>
      <w:pPr>
        <w:pStyle w:val="Heading2"/>
      </w:pPr>
      <w:r>
        <w:t>Transcription and analytics</w:t>
      </w:r>
    </w:p>
    <w:p>
      <w:pPr>
        <w:pStyle w:val="ListBullet"/>
      </w:pPr>
      <w:r>
        <w:t>Treat recordings, transcripts, speaker labels, sentiment, and derived alerts as protected records.</w:t>
      </w:r>
    </w:p>
    <w:p>
      <w:pPr>
        <w:pStyle w:val="ListBullet"/>
      </w:pPr>
      <w:r>
        <w:t>Validate transcription limitations, language coverage, speaker attribution, and material error handling.</w:t>
      </w:r>
    </w:p>
    <w:p>
      <w:pPr>
        <w:pStyle w:val="ListBullet"/>
      </w:pPr>
      <w:r>
        <w:t>Restrict reuse for training, analytics, or AI to approved purposes.</w:t>
      </w:r>
    </w:p>
    <w:p>
      <w:pPr>
        <w:pStyle w:val="ListBullet"/>
      </w:pPr>
      <w:r>
        <w:t>Maintain a route for privacy, access, correction, and investigation requests where applicable.</w:t>
      </w:r>
    </w:p>
    <w:p>
      <w:r>
        <w:br w:type="page"/>
      </w:r>
    </w:p>
    <w:p>
      <w:pPr>
        <w:pStyle w:val="Heading1"/>
      </w:pPr>
      <w:r>
        <w:t>Retention Legal Holds and Disposal</w:t>
      </w:r>
    </w:p>
    <w:p>
      <w:pPr>
        <w:pStyle w:val="Heading2"/>
      </w:pPr>
      <w:r>
        <w:t>Retention</w:t>
      </w:r>
    </w:p>
    <w:p>
      <w:r>
        <w:t>The approved schedule specifies minimum periods by record class and jurisdiction. Longer retention requires documented legal, regulatory, contractual, or business justification. Legal holds suspend disposal regardless of normal expiry.</w:t>
      </w:r>
    </w:p>
    <w:p>
      <w:pPr>
        <w:pStyle w:val="Heading2"/>
      </w:pPr>
      <w:r>
        <w:t>Disposal</w:t>
      </w:r>
    </w:p>
    <w:p>
      <w:pPr>
        <w:pStyle w:val="ListBullet"/>
      </w:pPr>
      <w:r>
        <w:t>Dispose only through controlled, logged, and authorized processes.</w:t>
      </w:r>
    </w:p>
    <w:p>
      <w:pPr>
        <w:pStyle w:val="ListBullet"/>
      </w:pPr>
      <w:r>
        <w:t>Confirm holds, investigations, complaints, examinations, and preservation requests before deletion.</w:t>
      </w:r>
    </w:p>
    <w:p>
      <w:pPr>
        <w:pStyle w:val="ListBullet"/>
      </w:pPr>
      <w:r>
        <w:t>Apply equivalent controls to replicas, backups, exports, local caches, and vendor copies where feasible.</w:t>
      </w:r>
    </w:p>
    <w:p>
      <w:pPr>
        <w:pStyle w:val="ListBullet"/>
      </w:pPr>
      <w:r>
        <w:t>Document exceptions, failures, and residual data.</w:t>
      </w:r>
    </w:p>
    <w:p>
      <w:r>
        <w:br w:type="page"/>
      </w:r>
    </w:p>
    <w:p>
      <w:pPr>
        <w:pStyle w:val="Heading1"/>
      </w:pPr>
      <w:r>
        <w:t>Integrity Security Retrieval and Production</w:t>
      </w:r>
    </w:p>
    <w:p>
      <w:pPr>
        <w:pStyle w:val="Heading2"/>
      </w:pPr>
      <w:r>
        <w:t>Integrity and access</w:t>
      </w:r>
    </w:p>
    <w:p>
      <w:r>
        <w:t>Archives must protect against unauthorized alteration or deletion, use least privilege, log access and exports, encrypt data appropriately, and support resilience and recovery. Privileged actions require enhanced monitoring.</w:t>
      </w:r>
    </w:p>
    <w:p>
      <w:pPr>
        <w:pStyle w:val="Heading2"/>
      </w:pPr>
      <w:r>
        <w:t>Retrieval and production</w:t>
      </w:r>
    </w:p>
    <w:p>
      <w:pPr>
        <w:pStyle w:val="ListBullet"/>
      </w:pPr>
      <w:r>
        <w:t>Search by custodians, accounts, participants, dates, channels, identifiers, and content.</w:t>
      </w:r>
    </w:p>
    <w:p>
      <w:pPr>
        <w:pStyle w:val="ListBullet"/>
      </w:pPr>
      <w:r>
        <w:t>Preserve chain of custody, query criteria, result counts, exclusions, transformations, and export hashes where appropriate.</w:t>
      </w:r>
    </w:p>
    <w:p>
      <w:pPr>
        <w:pStyle w:val="ListBullet"/>
      </w:pPr>
      <w:r>
        <w:t>Produce records in a reasonably usable format with necessary metadata and explanations.</w:t>
      </w:r>
    </w:p>
    <w:p>
      <w:pPr>
        <w:pStyle w:val="ListBullet"/>
      </w:pPr>
      <w:r>
        <w:t>Separate privileged, confidential, personal, or irrelevant material through authorized review—not silent deletion.</w:t>
      </w:r>
    </w:p>
    <w:p>
      <w:r>
        <w:br w:type="page"/>
      </w:r>
    </w:p>
    <w:p>
      <w:pPr>
        <w:pStyle w:val="Heading1"/>
      </w:pPr>
      <w:r>
        <w:t>Surveillance Design Alert Review and Privacy</w:t>
      </w:r>
    </w:p>
    <w:p>
      <w:pPr>
        <w:pStyle w:val="Heading2"/>
      </w:pPr>
      <w:r>
        <w:t>Risk-based monitoring</w:t>
      </w:r>
    </w:p>
    <w:p>
      <w:r>
        <w:t>Surveillance coverage reflects products, conduct risks, client types, roles, languages, channels, jurisdictions, and known control weaknesses. Rules, lexicons, models, network signals, and samples are validated and periodically tuned.</w:t>
      </w:r>
    </w:p>
    <w:p>
      <w:pPr>
        <w:pStyle w:val="Heading2"/>
      </w:pPr>
      <w:r>
        <w:t>Review standards</w:t>
      </w:r>
    </w:p>
    <w:p>
      <w:pPr>
        <w:pStyle w:val="ListBullet"/>
      </w:pPr>
      <w:r>
        <w:t>Review full relevant context and linked records.</w:t>
      </w:r>
    </w:p>
    <w:p>
      <w:pPr>
        <w:pStyle w:val="ListBullet"/>
      </w:pPr>
      <w:r>
        <w:t>Record evidence, rationale, policy mapping, risk, reviewer, actions, and disposition.</w:t>
      </w:r>
    </w:p>
    <w:p>
      <w:pPr>
        <w:pStyle w:val="ListBullet"/>
      </w:pPr>
      <w:r>
        <w:t>Use access controls, purpose limitation, minimization, and confidentiality in employee monitoring.</w:t>
      </w:r>
    </w:p>
    <w:p>
      <w:pPr>
        <w:pStyle w:val="ListBullet"/>
      </w:pPr>
      <w:r>
        <w:t>Test bias, false-negative risk, data quality, and model drift for automated tools.</w:t>
      </w:r>
    </w:p>
    <w:p>
      <w:r>
        <w:br w:type="page"/>
      </w:r>
    </w:p>
    <w:p>
      <w:pPr>
        <w:pStyle w:val="Heading1"/>
      </w:pPr>
      <w:r>
        <w:t>Control Failures Incidents and Continuity</w:t>
      </w:r>
    </w:p>
    <w:p>
      <w:pPr>
        <w:pStyle w:val="Heading2"/>
      </w:pPr>
      <w:r>
        <w:t>Failure response</w:t>
      </w:r>
    </w:p>
    <w:p>
      <w:r>
        <w:t>Capture or archive failure is a compliance incident. Preserve available sources, stop or limit affected activity where necessary, notify control owners, assess scope, establish compensating controls, restore service, and validate backfill.</w:t>
      </w:r>
    </w:p>
    <w:p>
      <w:pPr>
        <w:pStyle w:val="Heading2"/>
      </w:pPr>
      <w:r>
        <w:t>Required evidence</w:t>
      </w:r>
    </w:p>
    <w:p>
      <w:pPr>
        <w:pStyle w:val="ListBullet"/>
      </w:pPr>
      <w:r>
        <w:t>Start and end time, affected channels and populations, missing record types, root cause, client or market impact, remediation, and validation.</w:t>
      </w:r>
    </w:p>
    <w:p>
      <w:pPr>
        <w:pStyle w:val="ListBullet"/>
      </w:pPr>
      <w:r>
        <w:t>Decisions on notification, self-reporting, disciplinary action, and acceptance of residual gaps.</w:t>
      </w:r>
    </w:p>
    <w:p>
      <w:pPr>
        <w:pStyle w:val="ListBullet"/>
      </w:pPr>
      <w:r>
        <w:t>Business continuity tests for sustained capture, buffering, recovery, and alternate approved channels.</w:t>
      </w:r>
    </w:p>
    <w:p>
      <w:r>
        <w:br w:type="page"/>
      </w:r>
    </w:p>
    <w:p>
      <w:pPr>
        <w:pStyle w:val="Heading1"/>
      </w:pPr>
      <w:r>
        <w:t>Regulatory Basis Control Checklist and Acknowledgment</w:t>
      </w:r>
    </w:p>
    <w:p>
      <w:pPr>
        <w:pStyle w:val="Heading2"/>
      </w:pPr>
      <w:r>
        <w:t>Governance training and enforcement</w:t>
      </w:r>
    </w:p>
    <w:p>
      <w:r>
        <w:t>The Chief Compliance Officer owns this policy. Business heads implement it; Legal, Human Resources, Information Security, Records Management, and Internal Audit support interpretation, controls, discipline, and assurance. Personnel complete training before access and annually, certify compliance, and report breaches. Exceptions require prior written, time-limited, risk-assessed approval. Violations may lead to remediation, access restriction, discipline up to termination, client or regulator notification, and referral. Good-faith reporting is protected; retaliation, obstruction, and evidence destruction are separate serious violations.</w:t>
      </w:r>
    </w:p>
    <w:p>
      <w:pPr>
        <w:pStyle w:val="Heading2"/>
      </w:pPr>
      <w:r>
        <w:t>Control checklist</w:t>
      </w:r>
    </w:p>
    <w:p>
      <w:pPr>
        <w:pStyle w:val="ListBullet"/>
      </w:pPr>
      <w:r>
        <w:t>Inventory and approval current.</w:t>
      </w:r>
    </w:p>
    <w:p>
      <w:pPr>
        <w:pStyle w:val="ListBullet"/>
      </w:pPr>
      <w:r>
        <w:t>Capture completeness reconciled and exceptions investigated.</w:t>
      </w:r>
    </w:p>
    <w:p>
      <w:pPr>
        <w:pStyle w:val="ListBullet"/>
      </w:pPr>
      <w:r>
        <w:t>Retention and holds correctly applied.</w:t>
      </w:r>
    </w:p>
    <w:p>
      <w:pPr>
        <w:pStyle w:val="ListBullet"/>
      </w:pPr>
      <w:r>
        <w:t>Search, export, integrity, access, recovery, and disposal tested.</w:t>
      </w:r>
    </w:p>
    <w:p>
      <w:pPr>
        <w:pStyle w:val="ListBullet"/>
      </w:pPr>
      <w:r>
        <w:t>Surveillance coverage and reviewer quality assessed.</w:t>
      </w:r>
    </w:p>
    <w:p>
      <w:pPr>
        <w:pStyle w:val="Heading2"/>
      </w:pPr>
      <w:r>
        <w:t>Regulatory basis</w:t>
      </w:r>
    </w:p>
    <w:p>
      <w:pPr>
        <w:pStyle w:val="ListBullet"/>
      </w:pPr>
      <w:r>
        <w:t>17 CFR 240.17a-4 Records to be Preserved — https://www.ecfr.gov/current/title-17/chapter-II/part-240/subject-group-ECFR17722751b422db3/section-240.17a-4</w:t>
      </w:r>
    </w:p>
    <w:p>
      <w:pPr>
        <w:pStyle w:val="ListBullet"/>
      </w:pPr>
      <w:r>
        <w:t>FINRA Rule 4511 General Requirements — https://www.finra.org/rules-guidance/rulebooks/finra-rules/4511</w:t>
      </w:r>
    </w:p>
    <w:p>
      <w:pPr>
        <w:pStyle w:val="ListBullet"/>
      </w:pPr>
      <w:r>
        <w:t>FINRA Rule 3110 Supervision — https://www.finra.org/rules-guidance/rulebooks/finra-rules/3110</w:t>
      </w:r>
    </w:p>
    <w:p>
      <w:pPr>
        <w:pStyle w:val="ListBullet"/>
      </w:pPr>
      <w:r>
        <w:t>FINRA Regulatory Notice 17-18 Digital Communications — https://www.finra.org/rules-guidance/notices/17-18</w:t>
      </w:r>
    </w:p>
    <w:p>
      <w:pPr>
        <w:pStyle w:val="ListBullet"/>
      </w:pPr>
      <w:r>
        <w:t>FCA SYSC 10A Recording Communications — https://handbook.fca.org.uk/handbook/sysc10a</w:t>
      </w:r>
    </w:p>
    <w:p>
      <w:pPr>
        <w:pStyle w:val="ListBullet"/>
      </w:pPr>
      <w:r>
        <w:t>EU GDPR Article 5 Principles — https://eur-lex.europa.eu/eli/reg/2016/679/art_5/oj</w:t>
      </w:r>
    </w:p>
    <w:p>
      <w:pPr>
        <w:pStyle w:val="Heading2"/>
      </w:pPr>
      <w:r>
        <w:t>Acknowledgment</w:t>
      </w:r>
    </w:p>
    <w:p>
      <w:r>
        <w:t>I understand that disabling capture, deleting records, or conducting business outside approved systems is prohibited. Name: __________________  Signature: __________________  Date: __________</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7365D"/>
        <w:sz w:val="16"/>
      </w:rPr>
      <w:t>Northbridge Financial Group  |  REC-004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