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CONTROLLED POLICY</w:t>
      </w:r>
    </w:p>
    <w:p>
      <w:pPr>
        <w:pStyle w:val="Title"/>
      </w:pPr>
      <w:r>
        <w:t>Employee Conduct Conflicts and Escalation Policy</w:t>
      </w:r>
    </w:p>
    <w:p>
      <w:r>
        <w:t>This policy defines behavioral restrictions in employee and client conversations, conflicts controls, escalation duties, cooperation standards, and protections for good-faith reporting.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376"/>
            <w:vAlign w:val="center"/>
            <w:shd w:fill="17365D"/>
          </w:tcPr>
          <w:p>
            <w:r>
              <w:rPr>
                <w:b/>
                <w:color w:val="FFFFFF"/>
              </w:rPr>
              <w:t>Document control</w:t>
            </w:r>
          </w:p>
        </w:tc>
        <w:tc>
          <w:tcPr>
            <w:tcW w:type="dxa" w:w="7992"/>
            <w:vAlign w:val="center"/>
            <w:shd w:fill="17365D"/>
          </w:tcPr>
          <w:p>
            <w:r>
              <w:rPr>
                <w:b/>
                <w:color w:val="FFFFFF"/>
              </w:rPr>
              <w:t>Current value</w:t>
            </w:r>
          </w:p>
        </w:tc>
      </w:tr>
      <w:tr>
        <w:tc>
          <w:tcPr>
            <w:tcW w:type="dxa" w:w="2376"/>
            <w:vAlign w:val="center"/>
            <w:shd w:fill="F3F6F9"/>
          </w:tcPr>
          <w:p>
            <w:r>
              <w:t>Policy owner</w:t>
            </w:r>
          </w:p>
        </w:tc>
        <w:tc>
          <w:tcPr>
            <w:tcW w:type="dxa" w:w="7992"/>
            <w:vAlign w:val="center"/>
            <w:shd w:fill="F3F6F9"/>
          </w:tcPr>
          <w:p>
            <w:r>
              <w:t>Chief Ethics and Compliance Officer and Chief Human Resources Officer</w:t>
            </w:r>
          </w:p>
        </w:tc>
      </w:tr>
      <w:tr>
        <w:tc>
          <w:tcPr>
            <w:tcW w:type="dxa" w:w="2376"/>
            <w:vAlign w:val="center"/>
          </w:tcPr>
          <w:p>
            <w:r>
              <w:t>Approval authority</w:t>
            </w:r>
          </w:p>
        </w:tc>
        <w:tc>
          <w:tcPr>
            <w:tcW w:type="dxa" w:w="7992"/>
            <w:vAlign w:val="center"/>
          </w:tcPr>
          <w:p>
            <w:r>
              <w:t>Board Risk and Compliance Committee</w:t>
            </w:r>
          </w:p>
        </w:tc>
      </w:tr>
      <w:tr>
        <w:tc>
          <w:tcPr>
            <w:tcW w:type="dxa" w:w="2376"/>
            <w:vAlign w:val="center"/>
            <w:shd w:fill="F3F6F9"/>
          </w:tcPr>
          <w:p>
            <w:r>
              <w:t>Effective date</w:t>
            </w:r>
          </w:p>
        </w:tc>
        <w:tc>
          <w:tcPr>
            <w:tcW w:type="dxa" w:w="7992"/>
            <w:vAlign w:val="center"/>
            <w:shd w:fill="F3F6F9"/>
          </w:tcPr>
          <w:p>
            <w:r>
              <w:t>15 September 2026</w:t>
            </w:r>
          </w:p>
        </w:tc>
      </w:tr>
      <w:tr>
        <w:tc>
          <w:tcPr>
            <w:tcW w:type="dxa" w:w="2376"/>
            <w:vAlign w:val="center"/>
          </w:tcPr>
          <w:p>
            <w:r>
              <w:t>Review cycle</w:t>
            </w:r>
          </w:p>
        </w:tc>
        <w:tc>
          <w:tcPr>
            <w:tcW w:type="dxa" w:w="7992"/>
            <w:vAlign w:val="center"/>
          </w:tcPr>
          <w:p>
            <w:r>
              <w:t>At least annually and upon material regulatory or business change</w:t>
            </w:r>
          </w:p>
        </w:tc>
      </w:tr>
      <w:tr>
        <w:tc>
          <w:tcPr>
            <w:tcW w:type="dxa" w:w="2376"/>
            <w:vAlign w:val="center"/>
            <w:shd w:fill="F3F6F9"/>
          </w:tcPr>
          <w:p>
            <w:r>
              <w:t>Classification</w:t>
            </w:r>
          </w:p>
        </w:tc>
        <w:tc>
          <w:tcPr>
            <w:tcW w:type="dxa" w:w="7992"/>
            <w:vAlign w:val="center"/>
            <w:shd w:fill="F3F6F9"/>
          </w:tcPr>
          <w:p>
            <w:r>
              <w:t>Internal</w:t>
            </w:r>
          </w:p>
        </w:tc>
      </w:tr>
      <w:tr>
        <w:tc>
          <w:tcPr>
            <w:tcW w:type="dxa" w:w="2376"/>
            <w:vAlign w:val="center"/>
          </w:tcPr>
          <w:p>
            <w:r>
              <w:t>Policy code</w:t>
            </w:r>
          </w:p>
        </w:tc>
        <w:tc>
          <w:tcPr>
            <w:tcW w:type="dxa" w:w="7992"/>
            <w:vAlign w:val="center"/>
          </w:tcPr>
          <w:p>
            <w:r>
              <w:t>ETH-005</w:t>
            </w:r>
          </w:p>
        </w:tc>
      </w:tr>
      <w:tr>
        <w:tc>
          <w:tcPr>
            <w:tcW w:type="dxa" w:w="2376"/>
            <w:vAlign w:val="center"/>
            <w:shd w:fill="F3F6F9"/>
          </w:tcPr>
          <w:p>
            <w:r>
              <w:t>Version</w:t>
            </w:r>
          </w:p>
        </w:tc>
        <w:tc>
          <w:tcPr>
            <w:tcW w:type="dxa" w:w="7992"/>
            <w:vAlign w:val="center"/>
            <w:shd w:fill="F3F6F9"/>
          </w:tcPr>
          <w:p>
            <w:r>
              <w:t>1.0</w:t>
            </w:r>
          </w:p>
        </w:tc>
      </w:tr>
    </w:tbl>
    <w:p>
      <w:pPr>
        <w:pStyle w:val="Heading2"/>
      </w:pPr>
      <w:r>
        <w:t>Reader action</w:t>
      </w:r>
    </w:p>
    <w:p>
      <w:r>
        <w:t>All covered persons must read, understand, and comply with this policy. Questions must be raised before acting. Suspected breaches must be reported promptly and records must not be altered, concealed, or deleted.</w:t>
      </w:r>
    </w:p>
    <w:p>
      <w:pPr>
        <w:pStyle w:val="Heading2"/>
      </w:pPr>
      <w:r>
        <w:t>Contents</w:t>
      </w:r>
    </w:p>
    <w:p>
      <w:r>
        <w:t>2. Purpose Scope and Expected Conduct</w:t>
      </w:r>
    </w:p>
    <w:p>
      <w:r>
        <w:t>3. Client and Employee Conversation Restrictions</w:t>
      </w:r>
    </w:p>
    <w:p>
      <w:r>
        <w:t>4. Conflicts Outside Activities Gifts and Relationships</w:t>
      </w:r>
    </w:p>
    <w:p>
      <w:r>
        <w:t>5. Personal Trading Market Conduct and Collusion</w:t>
      </w:r>
    </w:p>
    <w:p>
      <w:r>
        <w:t>6. Communications Media and Public Statements</w:t>
      </w:r>
    </w:p>
    <w:p>
      <w:r>
        <w:t>7. Raising Concerns and Escalation Paths</w:t>
      </w:r>
    </w:p>
    <w:p>
      <w:r>
        <w:t>8. Investigations Cooperation and Fair Process</w:t>
      </w:r>
    </w:p>
    <w:p>
      <w:r>
        <w:t>9. Manager Controls Monitoring and Accountability</w:t>
      </w:r>
    </w:p>
    <w:p>
      <w:r>
        <w:t>10. Regulatory Basis Speak Up Guide and Acknowledgment</w:t>
      </w:r>
    </w:p>
    <w:p>
      <w:r>
        <w:br w:type="page"/>
      </w:r>
    </w:p>
    <w:p>
      <w:pPr>
        <w:pStyle w:val="Heading1"/>
      </w:pPr>
      <w:r>
        <w:t>Purpose Scope and Expected Conduct</w:t>
      </w:r>
    </w:p>
    <w:p>
      <w:r>
        <w:rPr>
          <w:b/>
          <w:color w:val="17365D"/>
        </w:rPr>
        <w:t>Employees must act honestly, professionally, independently, and in the interests required by their role while protecting clients, markets, colleagues, and the firm.</w:t>
      </w:r>
    </w:p>
    <w:p>
      <w:pPr>
        <w:pStyle w:val="Heading2"/>
      </w:pPr>
      <w:r>
        <w:t>Scope</w:t>
      </w:r>
    </w:p>
    <w:p>
      <w:r>
        <w:t>The policy applies to workplace and business-connected conduct in person, remotely, at events, on calls, in messages, and on personal platforms when the conduct relates to the firm, its clients, personnel, or reputation.</w:t>
      </w:r>
    </w:p>
    <w:p>
      <w:pPr>
        <w:pStyle w:val="Heading2"/>
      </w:pPr>
      <w:r>
        <w:t>Expected behavior</w:t>
      </w:r>
    </w:p>
    <w:p>
      <w:pPr>
        <w:pStyle w:val="ListBullet"/>
      </w:pPr>
      <w:r>
        <w:t>Communicate truthfully and respectfully.</w:t>
      </w:r>
    </w:p>
    <w:p>
      <w:pPr>
        <w:pStyle w:val="ListBullet"/>
      </w:pPr>
      <w:r>
        <w:t>Do not conceal material facts, falsify records, mislead reviewers, or pressure others to bypass controls.</w:t>
      </w:r>
    </w:p>
    <w:p>
      <w:pPr>
        <w:pStyle w:val="ListBullet"/>
      </w:pPr>
      <w:r>
        <w:t>Challenge and escalate suspected misconduct or unsafe instructions.</w:t>
      </w:r>
    </w:p>
    <w:p>
      <w:pPr>
        <w:pStyle w:val="ListBullet"/>
      </w:pPr>
      <w:r>
        <w:t>Protect confidentiality and avoid retaliation.</w:t>
      </w:r>
    </w:p>
    <w:p>
      <w:r>
        <w:br w:type="page"/>
      </w:r>
    </w:p>
    <w:p>
      <w:pPr>
        <w:pStyle w:val="Heading1"/>
      </w:pPr>
      <w:r>
        <w:t>Client and Employee Conversation Restrictions</w:t>
      </w:r>
    </w:p>
    <w:p>
      <w:pPr>
        <w:pStyle w:val="Heading2"/>
      </w:pPr>
      <w:r>
        <w:t>Prohibited conduct</w:t>
      </w:r>
    </w:p>
    <w:p>
      <w:pPr>
        <w:pStyle w:val="ListBullet"/>
      </w:pPr>
      <w:r>
        <w:t>Harassment, discrimination, bullying, threats, retaliation, humiliation, or sexually inappropriate communication.</w:t>
      </w:r>
    </w:p>
    <w:p>
      <w:pPr>
        <w:pStyle w:val="ListBullet"/>
      </w:pPr>
      <w:r>
        <w:t>Deception, impersonation, coercion, manipulation, collusion, coded concealment, or instructions to destroy evidence.</w:t>
      </w:r>
    </w:p>
    <w:p>
      <w:pPr>
        <w:pStyle w:val="ListBullet"/>
      </w:pPr>
      <w:r>
        <w:t>Promises of guaranteed results, unauthorized legal or tax advice, misleading statements, or concealment of fees, risks, errors, and conflicts.</w:t>
      </w:r>
    </w:p>
    <w:p>
      <w:pPr>
        <w:pStyle w:val="ListBullet"/>
      </w:pPr>
      <w:r>
        <w:t>Sharing confidential cases, compensation, health, investigation, client, or trading information without authority.</w:t>
      </w:r>
    </w:p>
    <w:p>
      <w:pPr>
        <w:pStyle w:val="Heading2"/>
      </w:pPr>
      <w:r>
        <w:t>Manager responsibility</w:t>
      </w:r>
    </w:p>
    <w:p>
      <w:r>
        <w:t>Managers must not discourage reporting, demand off-channel conversations, pre-script witness accounts, retaliate through assignments or ratings, or prioritize revenue over required controls.</w:t>
      </w:r>
    </w:p>
    <w:p>
      <w:r>
        <w:br w:type="page"/>
      </w:r>
    </w:p>
    <w:p>
      <w:pPr>
        <w:pStyle w:val="Heading1"/>
      </w:pPr>
      <w:r>
        <w:t>Conflicts Outside Activities Gifts and Relationships</w:t>
      </w:r>
    </w:p>
    <w:p>
      <w:pPr>
        <w:pStyle w:val="Heading2"/>
      </w:pPr>
      <w:r>
        <w:t>Disclosure and approval</w:t>
      </w:r>
    </w:p>
    <w:p>
      <w:r>
        <w:t>Employees must disclose actual, potential, and perceived conflicts promptly and before acting where possible. Compliance determines controls such as recusal, information barriers, supervision, client disclosure, transaction restriction, or prohibition.</w:t>
      </w:r>
    </w:p>
    <w:p>
      <w:pPr>
        <w:pStyle w:val="Heading2"/>
      </w:pPr>
      <w:r>
        <w:t>Examples</w:t>
      </w:r>
    </w:p>
    <w:p>
      <w:pPr>
        <w:pStyle w:val="ListBullet"/>
      </w:pPr>
      <w:r>
        <w:t>Outside employment, directorships, political or charitable roles, and private investments.</w:t>
      </w:r>
    </w:p>
    <w:p>
      <w:pPr>
        <w:pStyle w:val="ListBullet"/>
      </w:pPr>
      <w:r>
        <w:t>Personal or family relationships with clients, vendors, issuers, regulators, candidates, or supervised employees.</w:t>
      </w:r>
    </w:p>
    <w:p>
      <w:pPr>
        <w:pStyle w:val="ListBullet"/>
      </w:pPr>
      <w:r>
        <w:t>Gifts, entertainment, travel, referral fees, favors, discounts, and anything intended to influence judgment.</w:t>
      </w:r>
    </w:p>
    <w:p>
      <w:pPr>
        <w:pStyle w:val="ListBullet"/>
      </w:pPr>
      <w:r>
        <w:t>Borrowing, lending, guarantees, joint accounts, or financial arrangements with clients unless expressly permitted and approved.</w:t>
      </w:r>
    </w:p>
    <w:p>
      <w:r>
        <w:br w:type="page"/>
      </w:r>
    </w:p>
    <w:p>
      <w:pPr>
        <w:pStyle w:val="Heading1"/>
      </w:pPr>
      <w:r>
        <w:t>Personal Trading Market Conduct and Collusion</w:t>
      </w:r>
    </w:p>
    <w:p>
      <w:pPr>
        <w:pStyle w:val="Heading2"/>
      </w:pPr>
      <w:r>
        <w:t>Trading restrictions</w:t>
      </w:r>
    </w:p>
    <w:p>
      <w:r>
        <w:t>Employees must comply with preclearance, holding periods, restricted lists, reporting, and account disclosure rules. No person may trade, tip, recommend, or facilitate trading using MNPI or misuse confidential client order information.</w:t>
      </w:r>
    </w:p>
    <w:p>
      <w:pPr>
        <w:pStyle w:val="Heading2"/>
      </w:pPr>
      <w:r>
        <w:t>Market conduct</w:t>
      </w:r>
    </w:p>
    <w:p>
      <w:pPr>
        <w:pStyle w:val="ListBullet"/>
      </w:pPr>
      <w:r>
        <w:t>Do not coordinate prices, spreads, bids, allocations, client treatment, trading strategy, or market activity improperly with competitors or counterparties.</w:t>
      </w:r>
    </w:p>
    <w:p>
      <w:pPr>
        <w:pStyle w:val="ListBullet"/>
      </w:pPr>
      <w:r>
        <w:t>Do not create false signals, manipulate benchmarks, spoof, layer, front-run, misuse orders, or conceal beneficial ownership.</w:t>
      </w:r>
    </w:p>
    <w:p>
      <w:pPr>
        <w:pStyle w:val="ListBullet"/>
      </w:pPr>
      <w:r>
        <w:t>Avoid language suggesting secrecy, favors, reciprocal conduct, or deletion; escalate suspicious approaches immediately.</w:t>
      </w:r>
    </w:p>
    <w:p>
      <w:r>
        <w:br w:type="page"/>
      </w:r>
    </w:p>
    <w:p>
      <w:pPr>
        <w:pStyle w:val="Heading1"/>
      </w:pPr>
      <w:r>
        <w:t>Communications Media and Public Statements</w:t>
      </w:r>
    </w:p>
    <w:p>
      <w:pPr>
        <w:pStyle w:val="Heading2"/>
      </w:pPr>
      <w:r>
        <w:t>Authority</w:t>
      </w:r>
    </w:p>
    <w:p>
      <w:r>
        <w:t>Only authorized spokespersons may speak for the firm to media, regulators, investors, or the public. Employees may not disclose client matters, investigations, nonpublic results, transactions, or internal disputes.</w:t>
      </w:r>
    </w:p>
    <w:p>
      <w:pPr>
        <w:pStyle w:val="Heading2"/>
      </w:pPr>
      <w:r>
        <w:t>Personal and professional boundaries</w:t>
      </w:r>
    </w:p>
    <w:p>
      <w:pPr>
        <w:pStyle w:val="ListBullet"/>
      </w:pPr>
      <w:r>
        <w:t>Use approved channels for business and preserve records.</w:t>
      </w:r>
    </w:p>
    <w:p>
      <w:pPr>
        <w:pStyle w:val="ListBullet"/>
      </w:pPr>
      <w:r>
        <w:t>Do not present personal opinions as firm views or use firm affiliation to lend authority to unauthorized advice.</w:t>
      </w:r>
    </w:p>
    <w:p>
      <w:pPr>
        <w:pStyle w:val="ListBullet"/>
      </w:pPr>
      <w:r>
        <w:t>Refer complaints, press inquiries, legal demands, and regulator contacts to designated functions without obstruction.</w:t>
      </w:r>
    </w:p>
    <w:p>
      <w:pPr>
        <w:pStyle w:val="ListBullet"/>
      </w:pPr>
      <w:r>
        <w:t>Do not retaliate against or attempt to identify a confidential reporter.</w:t>
      </w:r>
    </w:p>
    <w:p>
      <w:r>
        <w:br w:type="page"/>
      </w:r>
    </w:p>
    <w:p>
      <w:pPr>
        <w:pStyle w:val="Heading1"/>
      </w:pPr>
      <w:r>
        <w:t>Raising Concerns and Escalation Paths</w:t>
      </w:r>
    </w:p>
    <w:p>
      <w:pPr>
        <w:pStyle w:val="Heading2"/>
      </w:pPr>
      <w:r>
        <w:t>Duty to report</w:t>
      </w:r>
    </w:p>
    <w:p>
      <w:r>
        <w:t>Report suspected law, regulation, policy, client harm, market abuse, fraud, record destruction, retaliation, data loss, harassment, conflicts, or control circumvention promptly. Certainty is not required; report facts and preserve evidence.</w:t>
      </w:r>
    </w:p>
    <w:p>
      <w:pPr>
        <w:pStyle w:val="Heading2"/>
      </w:pPr>
      <w:r>
        <w:t>Available channels</w:t>
      </w:r>
    </w:p>
    <w:p>
      <w:pPr>
        <w:pStyle w:val="ListBullet"/>
      </w:pPr>
      <w:r>
        <w:t>Manager, Compliance, Legal, Human Resources, Information Security, or the confidential ethics channel.</w:t>
      </w:r>
    </w:p>
    <w:p>
      <w:pPr>
        <w:pStyle w:val="ListBullet"/>
      </w:pPr>
      <w:r>
        <w:t>Emergency services or Security for immediate threats.</w:t>
      </w:r>
    </w:p>
    <w:p>
      <w:pPr>
        <w:pStyle w:val="ListBullet"/>
      </w:pPr>
      <w:r>
        <w:t>Direct contact with regulators or protected whistleblower channels where legally available; this policy does not require prior internal reporting or waive protected rights.</w:t>
      </w:r>
    </w:p>
    <w:p>
      <w:pPr>
        <w:pStyle w:val="Heading2"/>
      </w:pPr>
      <w:r>
        <w:t>What to provide</w:t>
      </w:r>
    </w:p>
    <w:p>
      <w:r>
        <w:t>Provide who, what, when, where, relevant records, potential impact, and urgent risks. Do not conduct an unauthorized investigation or confront subjects if doing so could create harm or evidence loss.</w:t>
      </w:r>
    </w:p>
    <w:p>
      <w:r>
        <w:br w:type="page"/>
      </w:r>
    </w:p>
    <w:p>
      <w:pPr>
        <w:pStyle w:val="Heading1"/>
      </w:pPr>
      <w:r>
        <w:t>Investigations Cooperation and Fair Process</w:t>
      </w:r>
    </w:p>
    <w:p>
      <w:pPr>
        <w:pStyle w:val="Heading2"/>
      </w:pPr>
      <w:r>
        <w:t>Preservation and confidentiality</w:t>
      </w:r>
    </w:p>
    <w:p>
      <w:r>
        <w:t>Recipients of an investigation notice must preserve relevant records and cooperate truthfully, subject to applicable rights. Confidentiality is limited to those with a legitimate need, but employees are not prohibited from exercising protected reporting or labor rights.</w:t>
      </w:r>
    </w:p>
    <w:p>
      <w:pPr>
        <w:pStyle w:val="Heading2"/>
      </w:pPr>
      <w:r>
        <w:t>Investigation standards</w:t>
      </w:r>
    </w:p>
    <w:p>
      <w:pPr>
        <w:pStyle w:val="ListBullet"/>
      </w:pPr>
      <w:r>
        <w:t>Independent assignment and conflict checks.</w:t>
      </w:r>
    </w:p>
    <w:p>
      <w:pPr>
        <w:pStyle w:val="ListBullet"/>
      </w:pPr>
      <w:r>
        <w:t>Defined allegation, evidence plan, proportionate collection, witness records, and documented findings.</w:t>
      </w:r>
    </w:p>
    <w:p>
      <w:pPr>
        <w:pStyle w:val="ListBullet"/>
      </w:pPr>
      <w:r>
        <w:t>Opportunity to respond where appropriate and consistent treatment.</w:t>
      </w:r>
    </w:p>
    <w:p>
      <w:pPr>
        <w:pStyle w:val="ListBullet"/>
      </w:pPr>
      <w:r>
        <w:t>Remediation based on facts, severity, intent, harm, cooperation, history, control failure, and legal requirements.</w:t>
      </w:r>
    </w:p>
    <w:p>
      <w:r>
        <w:br w:type="page"/>
      </w:r>
    </w:p>
    <w:p>
      <w:pPr>
        <w:pStyle w:val="Heading1"/>
      </w:pPr>
      <w:r>
        <w:t>Manager Controls Monitoring and Accountability</w:t>
      </w:r>
    </w:p>
    <w:p>
      <w:pPr>
        <w:pStyle w:val="Heading2"/>
      </w:pPr>
      <w:r>
        <w:t>Supervision</w:t>
      </w:r>
    </w:p>
    <w:p>
      <w:r>
        <w:t>Managers model compliant conduct, maintain a speak-up environment, address red flags, document decisions, monitor conflicts and access, and escalate beyond their authority. Performance pressure never justifies a policy breach.</w:t>
      </w:r>
    </w:p>
    <w:p>
      <w:pPr>
        <w:pStyle w:val="Heading2"/>
      </w:pPr>
      <w:r>
        <w:t>Indicators requiring attention</w:t>
      </w:r>
    </w:p>
    <w:p>
      <w:pPr>
        <w:pStyle w:val="ListBullet"/>
      </w:pPr>
      <w:r>
        <w:t>Requests to “keep this between us,” move off-channel, delete messages, or avoid named reviewers.</w:t>
      </w:r>
    </w:p>
    <w:p>
      <w:pPr>
        <w:pStyle w:val="ListBullet"/>
      </w:pPr>
      <w:r>
        <w:t>Unexplained gifts, close relationships, account activity, access patterns, data exports, or repeated exceptions.</w:t>
      </w:r>
    </w:p>
    <w:p>
      <w:pPr>
        <w:pStyle w:val="ListBullet"/>
      </w:pPr>
      <w:r>
        <w:t>Client confusion, complaints, vulnerability, coercion, or inconsistent records.</w:t>
      </w:r>
    </w:p>
    <w:p>
      <w:pPr>
        <w:pStyle w:val="ListBullet"/>
      </w:pPr>
      <w:r>
        <w:t>Adverse treatment following a complaint or participation in an investigation.</w:t>
      </w:r>
    </w:p>
    <w:p>
      <w:r>
        <w:br w:type="page"/>
      </w:r>
    </w:p>
    <w:p>
      <w:pPr>
        <w:pStyle w:val="Heading1"/>
      </w:pPr>
      <w:r>
        <w:t>Regulatory Basis Speak Up Guide and Acknowledgment</w:t>
      </w:r>
    </w:p>
    <w:p>
      <w:pPr>
        <w:pStyle w:val="Heading2"/>
      </w:pPr>
      <w:r>
        <w:t>Governance training and enforcement</w:t>
      </w:r>
    </w:p>
    <w:p>
      <w:r>
        <w:t>The Chief Compliance Officer owns this policy. Business heads implement it; Legal, Human Resources, Information Security, Records Management, and Internal Audit support interpretation, controls, discipline, and assurance. Personnel complete training before access and annually, certify compliance, and report breaches. Exceptions require prior written, time-limited, risk-assessed approval. Violations may lead to remediation, access restriction, discipline up to termination, client or regulator notification, and referral. Good-faith reporting is protected; retaliation, obstruction, and evidence destruction are separate serious violations.</w:t>
      </w:r>
    </w:p>
    <w:p>
      <w:pPr>
        <w:pStyle w:val="Heading2"/>
      </w:pPr>
      <w:r>
        <w:t>Speak-up guide</w:t>
      </w:r>
    </w:p>
    <w:p>
      <w:pPr>
        <w:pStyle w:val="ListBullet"/>
      </w:pPr>
      <w:r>
        <w:t>If there is immediate danger or active fraud, use an urgent channel.</w:t>
      </w:r>
    </w:p>
    <w:p>
      <w:pPr>
        <w:pStyle w:val="ListBullet"/>
      </w:pPr>
      <w:r>
        <w:t>Preserve messages, files, timestamps, and names; do not alter evidence.</w:t>
      </w:r>
    </w:p>
    <w:p>
      <w:pPr>
        <w:pStyle w:val="ListBullet"/>
      </w:pPr>
      <w:r>
        <w:t>State observed facts separately from inference.</w:t>
      </w:r>
    </w:p>
    <w:p>
      <w:pPr>
        <w:pStyle w:val="ListBullet"/>
      </w:pPr>
      <w:r>
        <w:t>Report retaliation or pressure as a new incident.</w:t>
      </w:r>
    </w:p>
    <w:p>
      <w:pPr>
        <w:pStyle w:val="Heading2"/>
      </w:pPr>
      <w:r>
        <w:t>Regulatory basis</w:t>
      </w:r>
    </w:p>
    <w:p>
      <w:pPr>
        <w:pStyle w:val="ListBullet"/>
      </w:pPr>
      <w:r>
        <w:t>FINRA Rule 3110 Supervision — https://www.finra.org/rules-guidance/rulebooks/finra-rules/3110</w:t>
      </w:r>
    </w:p>
    <w:p>
      <w:pPr>
        <w:pStyle w:val="ListBullet"/>
      </w:pPr>
      <w:r>
        <w:t>FINRA Rule 2210 Communications with the Public — https://www.finra.org/rules-guidance/rulebooks/finra-rules/2210</w:t>
      </w:r>
    </w:p>
    <w:p>
      <w:pPr>
        <w:pStyle w:val="ListBullet"/>
      </w:pPr>
      <w:r>
        <w:t>SEC Regulation FD Selective Disclosure and Insider Trading — https://www.sec.gov/files/rules/final/33-7881.htm</w:t>
      </w:r>
    </w:p>
    <w:p>
      <w:pPr>
        <w:pStyle w:val="ListBullet"/>
      </w:pPr>
      <w:r>
        <w:t>FCA Inside Information Guidance — https://www.fca.org.uk/markets/market-abuse/inside-information-how-to-identify-control-disclose</w:t>
      </w:r>
    </w:p>
    <w:p>
      <w:pPr>
        <w:pStyle w:val="ListBullet"/>
      </w:pPr>
      <w:r>
        <w:t>SEC Whistleblower Protections — https://www.sec.gov/enforcement-litigation/whistleblower-program/whistleblower-protections</w:t>
      </w:r>
    </w:p>
    <w:p>
      <w:pPr>
        <w:pStyle w:val="Heading2"/>
      </w:pPr>
      <w:r>
        <w:t>Acknowledgment</w:t>
      </w:r>
    </w:p>
    <w:p>
      <w:r>
        <w:t>I understand my duty to act ethically, disclose conflicts, cooperate honestly, and raise good-faith concerns without retaliation. Name: __________________  Signature: __________________  Date: __________</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7365D"/>
        <w:sz w:val="16"/>
      </w:rPr>
      <w:t>Northbridge Financial Group  |  ETH-005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