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Clinical Study Protocol - Brief Synopsis</w:t>
      </w:r>
    </w:p>
    <w:p>
      <w:r>
        <w:rPr>
          <w:b/>
        </w:rPr>
        <w:t xml:space="preserve">Protocol ID: </w:t>
      </w:r>
      <w:r>
        <w:t xml:space="preserve">MSC-2026-007    </w:t>
      </w:r>
      <w:r>
        <w:rPr>
          <w:b/>
        </w:rPr>
        <w:t xml:space="preserve">Sponsor: </w:t>
      </w:r>
      <w:r>
        <w:t>Mascot Therapeutics, Inc.</w:t>
      </w:r>
    </w:p>
    <w:p>
      <w:pPr>
        <w:pStyle w:val="Heading2"/>
      </w:pPr>
      <w:r>
        <w:t>1. Background and Rationale</w:t>
      </w:r>
    </w:p>
    <w:p>
      <w:r>
        <w:t>Heart failure with reduced ejection fraction (HFrEF) affects approximately 6.5 million paitents in the United States. (typo: paitents -&gt; patients). Despite optimal medical therapy, mortality remains hgih and quality of life is significantly impaired. This study will evaluate the safety and efficacy of MSC-007, a novel oral agent, in adult patients with symptomatic HFrEF.</w:t>
      </w:r>
    </w:p>
    <w:p>
      <w:pPr>
        <w:pStyle w:val="Heading2"/>
      </w:pPr>
      <w:r>
        <w:t>2. Objectives</w:t>
      </w:r>
    </w:p>
    <w:p>
      <w:r>
        <w:t>Primary: To evaluate the change from baseline in NT-proBNP at Week 12. Secondary: To assess functional capacity (6-minute walk distance) and patient-reported outcomes.</w:t>
      </w:r>
    </w:p>
    <w:p>
      <w:pPr>
        <w:pStyle w:val="Heading2"/>
      </w:pPr>
      <w:r>
        <w:t>3. Study Design</w:t>
      </w:r>
    </w:p>
    <w:p>
      <w:r>
        <w:t>This is a randomised, double-blind, placebo-controlled, parallel-group Phase 2 trial. Approximately 240 subjects will be enrolled. Subjects will be randomized 1:1 to MSC-007 50 mg once daily or matching placebo. All participants will receive standard background therapy. Patients will be followed for 14 weeks.</w:t>
      </w:r>
    </w:p>
    <w:p>
      <w:pPr>
        <w:pStyle w:val="Heading2"/>
      </w:pPr>
      <w:r>
        <w:t>4. Eligibility Criteria</w:t>
      </w:r>
    </w:p>
    <w:p>
      <w:r>
        <w:t>Inclusion: Adults aged 18-80 with NYHA class II-III HFrEF; LVEF &lt;= 40%; on stable guideline-directed medical therapy for at least 3 months. Exclusion: eGFR &lt; 30 mL/min/1.73 m^2; acute coronary syndrome within 30 days; pregnancy; participation in another interventional trial within 60 days.</w:t>
      </w:r>
    </w:p>
    <w:p>
      <w:pPr>
        <w:pStyle w:val="Heading2"/>
      </w:pPr>
      <w:r>
        <w:t>5. Statistical Considerations</w:t>
      </w:r>
    </w:p>
    <w:p>
      <w:r>
        <w:t>The primary analysis will compare the mean change in NT-proBNP between treatment groups using an ANCOVA model adjusted for baseline. We expect MSC-007 to reduce NT-proBNP by 30%. Statistical significance will be declared if p &lt; 0.05.</w:t>
      </w:r>
    </w:p>
    <w:p>
      <w:pPr>
        <w:pStyle w:val="Heading2"/>
      </w:pPr>
      <w:r>
        <w:t>6. Safety Reporting</w:t>
      </w:r>
    </w:p>
    <w:p>
      <w:r>
        <w:t>Adverse events will be collected throughout the study. Serious adverse events should be reported to the sponsor.</w:t>
      </w:r>
    </w:p>
    <w:p>
      <w:pPr>
        <w:pStyle w:val="Heading2"/>
      </w:pPr>
      <w:r>
        <w:t>7. Ethics</w:t>
      </w:r>
    </w:p>
    <w:p>
      <w:r>
        <w:t>This study will be conducted in accordance with the Declaration of Helsinki. All patients will provide written informed consent prior to study procedures.</w:t>
      </w:r>
    </w:p>
    <w:p>
      <w:r>
        <w:t>Primary endpoint: To evaluate the change from baseline in NT-proBNP at Week 12.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