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92"/>
        <w:tblW w:w="9776" w:type="dxa"/>
        <w:tblLook w:val="04A0" w:firstRow="1" w:lastRow="0" w:firstColumn="1" w:lastColumn="0" w:noHBand="0" w:noVBand="1"/>
      </w:tblPr>
      <w:tblGrid>
        <w:gridCol w:w="704"/>
        <w:gridCol w:w="1276"/>
        <w:gridCol w:w="2977"/>
        <w:gridCol w:w="850"/>
        <w:gridCol w:w="1936"/>
        <w:gridCol w:w="2033"/>
      </w:tblGrid>
      <w:tr w:rsidR="000A32AE" w14:paraId="1E90B442" w14:textId="77777777" w:rsidTr="000A32AE">
        <w:trPr>
          <w:trHeight w:val="677"/>
        </w:trPr>
        <w:tc>
          <w:tcPr>
            <w:tcW w:w="704" w:type="dxa"/>
            <w:vAlign w:val="center"/>
          </w:tcPr>
          <w:p w14:paraId="68168AB1" w14:textId="11F4EE32" w:rsidR="000A32AE" w:rsidRDefault="000A32AE" w:rsidP="000A32AE">
            <w:r w:rsidRPr="00AF72E8">
              <w:rPr>
                <w:rFonts w:ascii="Arial" w:hAnsi="Arial"/>
                <w:b/>
                <w:bCs/>
                <w:color w:val="000000" w:themeColor="text1"/>
                <w:sz w:val="17"/>
                <w:szCs w:val="19"/>
              </w:rPr>
              <w:t>ID</w:t>
            </w:r>
          </w:p>
        </w:tc>
        <w:tc>
          <w:tcPr>
            <w:tcW w:w="1276" w:type="dxa"/>
            <w:vAlign w:val="center"/>
          </w:tcPr>
          <w:p w14:paraId="43D3940D" w14:textId="7C629E0C" w:rsidR="000A32AE" w:rsidRDefault="000A32AE" w:rsidP="000A32AE">
            <w:r w:rsidRPr="00AF72E8">
              <w:rPr>
                <w:rFonts w:ascii="Arial" w:hAnsi="Arial"/>
                <w:b/>
                <w:bCs/>
                <w:color w:val="000000" w:themeColor="text1"/>
                <w:sz w:val="17"/>
                <w:szCs w:val="19"/>
              </w:rPr>
              <w:t>Type</w:t>
            </w:r>
          </w:p>
        </w:tc>
        <w:tc>
          <w:tcPr>
            <w:tcW w:w="2977" w:type="dxa"/>
            <w:vAlign w:val="center"/>
          </w:tcPr>
          <w:p w14:paraId="26E388D9" w14:textId="6E5620CD" w:rsidR="000A32AE" w:rsidRDefault="000A32AE" w:rsidP="000A32AE">
            <w:r w:rsidRPr="00AF72E8">
              <w:rPr>
                <w:rFonts w:ascii="Arial" w:hAnsi="Arial"/>
                <w:b/>
                <w:bCs/>
                <w:color w:val="000000" w:themeColor="text1"/>
                <w:sz w:val="17"/>
                <w:szCs w:val="19"/>
              </w:rPr>
              <w:t>Description</w:t>
            </w:r>
          </w:p>
        </w:tc>
        <w:tc>
          <w:tcPr>
            <w:tcW w:w="850" w:type="dxa"/>
            <w:vAlign w:val="center"/>
          </w:tcPr>
          <w:p w14:paraId="0205A34F" w14:textId="79354EC8" w:rsidR="000A32AE" w:rsidRDefault="000A32AE" w:rsidP="000A32AE">
            <w:r w:rsidRPr="00AF72E8">
              <w:rPr>
                <w:rFonts w:ascii="Arial" w:hAnsi="Arial"/>
                <w:b/>
                <w:bCs/>
                <w:color w:val="000000" w:themeColor="text1"/>
                <w:sz w:val="17"/>
                <w:szCs w:val="19"/>
              </w:rPr>
              <w:t>Priority</w:t>
            </w:r>
          </w:p>
        </w:tc>
        <w:tc>
          <w:tcPr>
            <w:tcW w:w="1936" w:type="dxa"/>
            <w:vAlign w:val="center"/>
          </w:tcPr>
          <w:p w14:paraId="2D56C333" w14:textId="0D1C47AB" w:rsidR="000A32AE" w:rsidRDefault="000A32AE" w:rsidP="000A32AE">
            <w:r w:rsidRPr="00AF72E8">
              <w:rPr>
                <w:rFonts w:ascii="Arial" w:hAnsi="Arial"/>
                <w:b/>
                <w:bCs/>
                <w:color w:val="000000" w:themeColor="text1"/>
                <w:sz w:val="17"/>
                <w:szCs w:val="19"/>
              </w:rPr>
              <w:t>Acceptance Criteria</w:t>
            </w:r>
          </w:p>
        </w:tc>
        <w:tc>
          <w:tcPr>
            <w:tcW w:w="2033" w:type="dxa"/>
            <w:vAlign w:val="center"/>
          </w:tcPr>
          <w:p w14:paraId="748B4987" w14:textId="10F62C16" w:rsidR="000A32AE" w:rsidRDefault="000A32AE" w:rsidP="000A32AE">
            <w:r w:rsidRPr="00AF72E8">
              <w:rPr>
                <w:rFonts w:ascii="Arial" w:hAnsi="Arial"/>
                <w:b/>
                <w:bCs/>
                <w:color w:val="000000" w:themeColor="text1"/>
                <w:sz w:val="17"/>
                <w:szCs w:val="19"/>
              </w:rPr>
              <w:t>Rationale</w:t>
            </w:r>
          </w:p>
        </w:tc>
      </w:tr>
      <w:tr w:rsidR="000A32AE" w14:paraId="5238603C" w14:textId="77777777" w:rsidTr="000A32AE">
        <w:trPr>
          <w:trHeight w:val="677"/>
        </w:trPr>
        <w:tc>
          <w:tcPr>
            <w:tcW w:w="704" w:type="dxa"/>
            <w:vAlign w:val="center"/>
          </w:tcPr>
          <w:p w14:paraId="30601754" w14:textId="3A2E0008" w:rsidR="000A32AE" w:rsidRDefault="000A32AE" w:rsidP="000A32AE">
            <w:r>
              <w:rPr>
                <w:rFonts w:ascii="Arial" w:hAnsi="Arial"/>
                <w:bCs/>
                <w:sz w:val="17"/>
                <w:szCs w:val="18"/>
              </w:rPr>
              <w:t>FR-001</w:t>
            </w:r>
          </w:p>
        </w:tc>
        <w:tc>
          <w:tcPr>
            <w:tcW w:w="1276" w:type="dxa"/>
            <w:vAlign w:val="center"/>
          </w:tcPr>
          <w:p w14:paraId="716BB2B3" w14:textId="11C3FA3E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Functional</w:t>
            </w:r>
          </w:p>
        </w:tc>
        <w:tc>
          <w:tcPr>
            <w:tcW w:w="2977" w:type="dxa"/>
            <w:vAlign w:val="center"/>
          </w:tcPr>
          <w:p w14:paraId="4BB37E47" w14:textId="2663CD01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The system shall allow developers to log time against specific project tasks (Jira tickets) and prevent timesheet submissions exceeding 24 hours in a single calendar day.</w:t>
            </w:r>
          </w:p>
        </w:tc>
        <w:tc>
          <w:tcPr>
            <w:tcW w:w="850" w:type="dxa"/>
            <w:vAlign w:val="center"/>
          </w:tcPr>
          <w:p w14:paraId="4000505F" w14:textId="5DBC66D8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High</w:t>
            </w:r>
          </w:p>
        </w:tc>
        <w:tc>
          <w:tcPr>
            <w:tcW w:w="1936" w:type="dxa"/>
            <w:vAlign w:val="center"/>
          </w:tcPr>
          <w:p w14:paraId="1FC25140" w14:textId="77777777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 xml:space="preserve">Pass: Valid timesheet submitted for manager approval. </w:t>
            </w:r>
          </w:p>
          <w:p w14:paraId="67181989" w14:textId="7CB3C37C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Fail: Timesheet logging 30 hours in one day is accepted.</w:t>
            </w:r>
          </w:p>
        </w:tc>
        <w:tc>
          <w:tcPr>
            <w:tcW w:w="2033" w:type="dxa"/>
            <w:vAlign w:val="center"/>
          </w:tcPr>
          <w:p w14:paraId="2298927C" w14:textId="175F77F1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Prevents data entry errors and fraudulent over logging being done that would distort the billing and budget calculations.</w:t>
            </w:r>
          </w:p>
        </w:tc>
      </w:tr>
      <w:tr w:rsidR="000A32AE" w14:paraId="5E873987" w14:textId="77777777" w:rsidTr="000A32AE">
        <w:trPr>
          <w:trHeight w:val="656"/>
        </w:trPr>
        <w:tc>
          <w:tcPr>
            <w:tcW w:w="704" w:type="dxa"/>
            <w:vAlign w:val="center"/>
          </w:tcPr>
          <w:p w14:paraId="57D0B8AF" w14:textId="448910D2" w:rsidR="000A32AE" w:rsidRDefault="000A32AE" w:rsidP="000A32AE">
            <w:r>
              <w:rPr>
                <w:rFonts w:ascii="Arial" w:hAnsi="Arial"/>
                <w:bCs/>
                <w:sz w:val="17"/>
                <w:szCs w:val="18"/>
              </w:rPr>
              <w:t>FR-002</w:t>
            </w:r>
          </w:p>
        </w:tc>
        <w:tc>
          <w:tcPr>
            <w:tcW w:w="1276" w:type="dxa"/>
            <w:vAlign w:val="center"/>
          </w:tcPr>
          <w:p w14:paraId="7D49F813" w14:textId="595731F0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Functional</w:t>
            </w:r>
          </w:p>
        </w:tc>
        <w:tc>
          <w:tcPr>
            <w:tcW w:w="2977" w:type="dxa"/>
            <w:vAlign w:val="center"/>
          </w:tcPr>
          <w:p w14:paraId="19BEDD54" w14:textId="0123A260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The system shall allow a developer to associate each of the logged time entry with a valid Jira ticket ID by validating the ticket against the integrated Jira project before the entry is to be saved.</w:t>
            </w:r>
          </w:p>
        </w:tc>
        <w:tc>
          <w:tcPr>
            <w:tcW w:w="850" w:type="dxa"/>
            <w:vAlign w:val="center"/>
          </w:tcPr>
          <w:p w14:paraId="4A3D8CB2" w14:textId="4F18FCB7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High</w:t>
            </w:r>
          </w:p>
        </w:tc>
        <w:tc>
          <w:tcPr>
            <w:tcW w:w="1936" w:type="dxa"/>
            <w:vAlign w:val="center"/>
          </w:tcPr>
          <w:p w14:paraId="0CA3C908" w14:textId="77777777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 xml:space="preserve">Pass: Entry is saved and linked to an existing Jira ticket, and hours reflect on that ticket. </w:t>
            </w:r>
          </w:p>
          <w:p w14:paraId="364B76CF" w14:textId="026400F7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Fail: Entry is accepted against a non-existent or closed ticket ID.</w:t>
            </w:r>
          </w:p>
        </w:tc>
        <w:tc>
          <w:tcPr>
            <w:tcW w:w="2033" w:type="dxa"/>
            <w:vAlign w:val="center"/>
          </w:tcPr>
          <w:p w14:paraId="0819BD7E" w14:textId="5185BB07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Ensures every hour logged is traceable to real project work, which is required for accurate burn-rate reporting.</w:t>
            </w:r>
          </w:p>
        </w:tc>
      </w:tr>
      <w:tr w:rsidR="000A32AE" w14:paraId="41AECAC7" w14:textId="77777777" w:rsidTr="000A32AE">
        <w:trPr>
          <w:trHeight w:val="677"/>
        </w:trPr>
        <w:tc>
          <w:tcPr>
            <w:tcW w:w="704" w:type="dxa"/>
            <w:vAlign w:val="center"/>
          </w:tcPr>
          <w:p w14:paraId="04B6D713" w14:textId="1264D756" w:rsidR="000A32AE" w:rsidRDefault="000A32AE" w:rsidP="000A32AE">
            <w:r>
              <w:rPr>
                <w:rFonts w:ascii="Arial" w:hAnsi="Arial"/>
                <w:bCs/>
                <w:sz w:val="17"/>
                <w:szCs w:val="18"/>
              </w:rPr>
              <w:t>FR-003</w:t>
            </w:r>
          </w:p>
        </w:tc>
        <w:tc>
          <w:tcPr>
            <w:tcW w:w="1276" w:type="dxa"/>
            <w:vAlign w:val="center"/>
          </w:tcPr>
          <w:p w14:paraId="75659E02" w14:textId="41A5B5EA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Functional</w:t>
            </w:r>
          </w:p>
        </w:tc>
        <w:tc>
          <w:tcPr>
            <w:tcW w:w="2977" w:type="dxa"/>
            <w:vAlign w:val="center"/>
          </w:tcPr>
          <w:p w14:paraId="566BB613" w14:textId="0D40AA47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The system shall allow a developer to submit a completed weekly timesheet for review, moving its status from Draft to Pending Approval, and shall lock it from not being able to do further edits once it has been submitted.</w:t>
            </w:r>
          </w:p>
        </w:tc>
        <w:tc>
          <w:tcPr>
            <w:tcW w:w="850" w:type="dxa"/>
            <w:vAlign w:val="center"/>
          </w:tcPr>
          <w:p w14:paraId="7D34E0C6" w14:textId="04D11839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High</w:t>
            </w:r>
          </w:p>
        </w:tc>
        <w:tc>
          <w:tcPr>
            <w:tcW w:w="1936" w:type="dxa"/>
            <w:vAlign w:val="center"/>
          </w:tcPr>
          <w:p w14:paraId="649AFF8C" w14:textId="77777777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 xml:space="preserve">Pass: Submitted timesheet becomes read-only to the developer and appears in the manager's approval queue. </w:t>
            </w:r>
          </w:p>
          <w:p w14:paraId="709FFF04" w14:textId="294A8A95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Fail: Developer edits hours after submission without a manager rejection first.</w:t>
            </w:r>
          </w:p>
        </w:tc>
        <w:tc>
          <w:tcPr>
            <w:tcW w:w="2033" w:type="dxa"/>
            <w:vAlign w:val="center"/>
          </w:tcPr>
          <w:p w14:paraId="45073CA8" w14:textId="2BB33F1C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Preserves the integrity of the record under review and prevents disputes about what was actually approved.</w:t>
            </w:r>
          </w:p>
        </w:tc>
      </w:tr>
      <w:tr w:rsidR="000A32AE" w14:paraId="2C4316D2" w14:textId="77777777" w:rsidTr="000A32AE">
        <w:trPr>
          <w:trHeight w:val="677"/>
        </w:trPr>
        <w:tc>
          <w:tcPr>
            <w:tcW w:w="704" w:type="dxa"/>
            <w:vAlign w:val="center"/>
          </w:tcPr>
          <w:p w14:paraId="69A614A6" w14:textId="1688EBDE" w:rsidR="000A32AE" w:rsidRDefault="000A32AE" w:rsidP="000A32AE">
            <w:r>
              <w:rPr>
                <w:rFonts w:ascii="Arial" w:hAnsi="Arial"/>
                <w:bCs/>
                <w:sz w:val="17"/>
                <w:szCs w:val="18"/>
              </w:rPr>
              <w:t>FR-004</w:t>
            </w:r>
          </w:p>
        </w:tc>
        <w:tc>
          <w:tcPr>
            <w:tcW w:w="1276" w:type="dxa"/>
            <w:vAlign w:val="center"/>
          </w:tcPr>
          <w:p w14:paraId="237314C6" w14:textId="1DCD5D32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Functional</w:t>
            </w:r>
          </w:p>
        </w:tc>
        <w:tc>
          <w:tcPr>
            <w:tcW w:w="2977" w:type="dxa"/>
            <w:vAlign w:val="center"/>
          </w:tcPr>
          <w:p w14:paraId="10F0BC0F" w14:textId="6A7D0DD2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The system shall allow an Engineering Manager to review a submitted timesheet and either approve it or reject it; a rejection shall require a mandatory comment explaining the reason.</w:t>
            </w:r>
          </w:p>
        </w:tc>
        <w:tc>
          <w:tcPr>
            <w:tcW w:w="850" w:type="dxa"/>
            <w:vAlign w:val="center"/>
          </w:tcPr>
          <w:p w14:paraId="7E6B53E7" w14:textId="5A881624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High</w:t>
            </w:r>
          </w:p>
        </w:tc>
        <w:tc>
          <w:tcPr>
            <w:tcW w:w="1936" w:type="dxa"/>
            <w:vAlign w:val="center"/>
          </w:tcPr>
          <w:p w14:paraId="31C64FA7" w14:textId="77777777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 xml:space="preserve">Pass: A rejection cannot be saved without comment text and the developer is notified with that comment. </w:t>
            </w:r>
          </w:p>
          <w:p w14:paraId="767EB78E" w14:textId="1FEA74B7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Fail: A rejection is saved with an empty comment field.</w:t>
            </w:r>
          </w:p>
        </w:tc>
        <w:tc>
          <w:tcPr>
            <w:tcW w:w="2033" w:type="dxa"/>
            <w:vAlign w:val="center"/>
          </w:tcPr>
          <w:p w14:paraId="7654BF7D" w14:textId="008C490E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Gives developers actionable feedback and creates an auditable record of why a timesheet was not accepted.</w:t>
            </w:r>
          </w:p>
        </w:tc>
      </w:tr>
      <w:tr w:rsidR="000A32AE" w14:paraId="221D8362" w14:textId="77777777" w:rsidTr="000A32AE">
        <w:trPr>
          <w:trHeight w:val="677"/>
        </w:trPr>
        <w:tc>
          <w:tcPr>
            <w:tcW w:w="704" w:type="dxa"/>
            <w:vAlign w:val="center"/>
          </w:tcPr>
          <w:p w14:paraId="24CF4C3C" w14:textId="20DB56E2" w:rsidR="000A32AE" w:rsidRDefault="000A32AE" w:rsidP="000A32AE">
            <w:r>
              <w:rPr>
                <w:rFonts w:ascii="Arial" w:hAnsi="Arial"/>
                <w:bCs/>
                <w:sz w:val="17"/>
                <w:szCs w:val="18"/>
              </w:rPr>
              <w:t>FR-005</w:t>
            </w:r>
          </w:p>
        </w:tc>
        <w:tc>
          <w:tcPr>
            <w:tcW w:w="1276" w:type="dxa"/>
            <w:vAlign w:val="center"/>
          </w:tcPr>
          <w:p w14:paraId="3FAC5A63" w14:textId="19A0E9CE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Functional</w:t>
            </w:r>
          </w:p>
        </w:tc>
        <w:tc>
          <w:tcPr>
            <w:tcW w:w="2977" w:type="dxa"/>
            <w:vAlign w:val="center"/>
          </w:tcPr>
          <w:p w14:paraId="52145178" w14:textId="4D3650AD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The system shall calculate the project budget burn rate by multiplying approved logged hours by each developer's role-based billing rate and comparing the total against the allocated project budget.</w:t>
            </w:r>
          </w:p>
        </w:tc>
        <w:tc>
          <w:tcPr>
            <w:tcW w:w="850" w:type="dxa"/>
            <w:vAlign w:val="center"/>
          </w:tcPr>
          <w:p w14:paraId="708649B3" w14:textId="37C1CDF5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Medium</w:t>
            </w:r>
          </w:p>
        </w:tc>
        <w:tc>
          <w:tcPr>
            <w:tcW w:w="1936" w:type="dxa"/>
            <w:vAlign w:val="center"/>
          </w:tcPr>
          <w:p w14:paraId="21070EB7" w14:textId="77777777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 xml:space="preserve">Pass: Burn-rate figures update only after a timesheet is approved and use the correct role rate. </w:t>
            </w:r>
          </w:p>
          <w:p w14:paraId="6AC64173" w14:textId="26CC4CBC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Fail: Pending or rejected hours are included in the burn-rate calculation.</w:t>
            </w:r>
          </w:p>
        </w:tc>
        <w:tc>
          <w:tcPr>
            <w:tcW w:w="2033" w:type="dxa"/>
            <w:vAlign w:val="center"/>
          </w:tcPr>
          <w:p w14:paraId="52C9C87F" w14:textId="06A8A25D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Managers must see budget figures based only on validated, approved effort to make sound project decisions.</w:t>
            </w:r>
          </w:p>
        </w:tc>
      </w:tr>
      <w:tr w:rsidR="000A32AE" w14:paraId="7D8D33AE" w14:textId="77777777" w:rsidTr="000A32AE">
        <w:trPr>
          <w:trHeight w:val="677"/>
        </w:trPr>
        <w:tc>
          <w:tcPr>
            <w:tcW w:w="704" w:type="dxa"/>
            <w:vAlign w:val="center"/>
          </w:tcPr>
          <w:p w14:paraId="614618DF" w14:textId="0E698A01" w:rsidR="000A32AE" w:rsidRDefault="000A32AE" w:rsidP="000A32AE">
            <w:r>
              <w:rPr>
                <w:rFonts w:ascii="Arial" w:hAnsi="Arial"/>
                <w:bCs/>
                <w:sz w:val="17"/>
                <w:szCs w:val="18"/>
              </w:rPr>
              <w:t>NFR-001</w:t>
            </w:r>
          </w:p>
        </w:tc>
        <w:tc>
          <w:tcPr>
            <w:tcW w:w="1276" w:type="dxa"/>
            <w:vAlign w:val="center"/>
          </w:tcPr>
          <w:p w14:paraId="59350DC9" w14:textId="2F72D085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 xml:space="preserve">Non </w:t>
            </w:r>
            <w:r>
              <w:rPr>
                <w:rFonts w:ascii="Arial" w:hAnsi="Arial"/>
                <w:sz w:val="17"/>
                <w:szCs w:val="18"/>
              </w:rPr>
              <w:t>-</w:t>
            </w:r>
            <w:r>
              <w:rPr>
                <w:rFonts w:ascii="Arial" w:hAnsi="Arial"/>
                <w:sz w:val="17"/>
                <w:szCs w:val="18"/>
              </w:rPr>
              <w:t>Functional</w:t>
            </w:r>
          </w:p>
        </w:tc>
        <w:tc>
          <w:tcPr>
            <w:tcW w:w="2977" w:type="dxa"/>
            <w:vAlign w:val="center"/>
          </w:tcPr>
          <w:p w14:paraId="635EABA3" w14:textId="06E1AEE5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 xml:space="preserve">Timesheet approval status transitions and project budget burn charts must update across dashboards within 500 </w:t>
            </w:r>
            <w:proofErr w:type="spellStart"/>
            <w:r>
              <w:rPr>
                <w:rFonts w:ascii="Arial" w:hAnsi="Arial"/>
                <w:sz w:val="17"/>
                <w:szCs w:val="18"/>
              </w:rPr>
              <w:t>ms</w:t>
            </w:r>
            <w:proofErr w:type="spellEnd"/>
            <w:r>
              <w:rPr>
                <w:rFonts w:ascii="Arial" w:hAnsi="Arial"/>
                <w:sz w:val="17"/>
                <w:szCs w:val="18"/>
              </w:rPr>
              <w:t>.</w:t>
            </w:r>
          </w:p>
        </w:tc>
        <w:tc>
          <w:tcPr>
            <w:tcW w:w="850" w:type="dxa"/>
            <w:vAlign w:val="center"/>
          </w:tcPr>
          <w:p w14:paraId="41EB8154" w14:textId="1AFF4862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High</w:t>
            </w:r>
          </w:p>
        </w:tc>
        <w:tc>
          <w:tcPr>
            <w:tcW w:w="1936" w:type="dxa"/>
            <w:vAlign w:val="center"/>
          </w:tcPr>
          <w:p w14:paraId="02CD49B0" w14:textId="4E88A31F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Pass: Benchmarking tests confirm target latency and security standards are met under simulated peak load.</w:t>
            </w:r>
          </w:p>
        </w:tc>
        <w:tc>
          <w:tcPr>
            <w:tcW w:w="2033" w:type="dxa"/>
            <w:vAlign w:val="center"/>
          </w:tcPr>
          <w:p w14:paraId="18909412" w14:textId="6AE6AA72" w:rsidR="000A32AE" w:rsidRDefault="000A32AE" w:rsidP="000A32AE">
            <w:r>
              <w:rPr>
                <w:rFonts w:ascii="Arial" w:hAnsi="Arial"/>
                <w:sz w:val="17"/>
                <w:szCs w:val="18"/>
              </w:rPr>
              <w:t>Managers overseeing distributed teams rely on near-real-time dashboards to make timely staffing and budget decisions.</w:t>
            </w:r>
          </w:p>
        </w:tc>
      </w:tr>
      <w:tr w:rsidR="000A32AE" w14:paraId="5ACC6331" w14:textId="77777777" w:rsidTr="000A32AE">
        <w:trPr>
          <w:trHeight w:val="677"/>
        </w:trPr>
        <w:tc>
          <w:tcPr>
            <w:tcW w:w="704" w:type="dxa"/>
            <w:vAlign w:val="center"/>
          </w:tcPr>
          <w:p w14:paraId="7C8A529E" w14:textId="6E06415D" w:rsidR="000A32AE" w:rsidRDefault="000A32AE" w:rsidP="000A32AE">
            <w:pPr>
              <w:rPr>
                <w:rFonts w:ascii="Arial" w:hAnsi="Arial"/>
                <w:bCs/>
                <w:sz w:val="17"/>
                <w:szCs w:val="18"/>
              </w:rPr>
            </w:pPr>
            <w:r>
              <w:rPr>
                <w:rFonts w:ascii="Arial" w:hAnsi="Arial"/>
                <w:bCs/>
                <w:sz w:val="17"/>
                <w:szCs w:val="18"/>
              </w:rPr>
              <w:t>NFR-002</w:t>
            </w:r>
          </w:p>
        </w:tc>
        <w:tc>
          <w:tcPr>
            <w:tcW w:w="1276" w:type="dxa"/>
            <w:vAlign w:val="center"/>
          </w:tcPr>
          <w:p w14:paraId="619079EC" w14:textId="67B89681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 xml:space="preserve">Non </w:t>
            </w:r>
            <w:r>
              <w:rPr>
                <w:rFonts w:ascii="Arial" w:hAnsi="Arial"/>
                <w:sz w:val="17"/>
                <w:szCs w:val="18"/>
              </w:rPr>
              <w:t>-</w:t>
            </w:r>
            <w:r>
              <w:rPr>
                <w:rFonts w:ascii="Arial" w:hAnsi="Arial"/>
                <w:sz w:val="17"/>
                <w:szCs w:val="18"/>
              </w:rPr>
              <w:t>Functional</w:t>
            </w:r>
          </w:p>
        </w:tc>
        <w:tc>
          <w:tcPr>
            <w:tcW w:w="2977" w:type="dxa"/>
            <w:vAlign w:val="center"/>
          </w:tcPr>
          <w:p w14:paraId="7EA23CC1" w14:textId="749AEFA7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>The time-tracking and approval system shall be available at least 9</w:t>
            </w:r>
            <w:r>
              <w:rPr>
                <w:rFonts w:ascii="Arial" w:hAnsi="Arial"/>
                <w:sz w:val="17"/>
                <w:szCs w:val="18"/>
              </w:rPr>
              <w:t>9</w:t>
            </w:r>
            <w:r>
              <w:rPr>
                <w:rFonts w:ascii="Arial" w:hAnsi="Arial"/>
                <w:sz w:val="17"/>
                <w:szCs w:val="18"/>
              </w:rPr>
              <w:t>% of the time each calendar month, so remote developers across different time zones can log time and managers can act on approvals without disruption.</w:t>
            </w:r>
          </w:p>
        </w:tc>
        <w:tc>
          <w:tcPr>
            <w:tcW w:w="850" w:type="dxa"/>
            <w:vAlign w:val="center"/>
          </w:tcPr>
          <w:p w14:paraId="3101B924" w14:textId="3B9789B8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>High</w:t>
            </w:r>
          </w:p>
        </w:tc>
        <w:tc>
          <w:tcPr>
            <w:tcW w:w="1936" w:type="dxa"/>
            <w:vAlign w:val="center"/>
          </w:tcPr>
          <w:p w14:paraId="447D4335" w14:textId="77777777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 xml:space="preserve">Pass: Uptime monitoring shows availability of at least 99% over a 30-day rolling period. </w:t>
            </w:r>
          </w:p>
          <w:p w14:paraId="2A286BD4" w14:textId="114CA5B1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>Fail: Cumulative unplanned downtime exceeds roughly 3.6 hours in a month.</w:t>
            </w:r>
          </w:p>
        </w:tc>
        <w:tc>
          <w:tcPr>
            <w:tcW w:w="2033" w:type="dxa"/>
            <w:vAlign w:val="center"/>
          </w:tcPr>
          <w:p w14:paraId="6BBD5E02" w14:textId="57ECF00A" w:rsidR="000A32AE" w:rsidRDefault="000A32AE" w:rsidP="000A32AE">
            <w:pPr>
              <w:rPr>
                <w:rFonts w:ascii="Arial" w:hAnsi="Arial"/>
                <w:sz w:val="17"/>
                <w:szCs w:val="18"/>
              </w:rPr>
            </w:pPr>
            <w:r>
              <w:rPr>
                <w:rFonts w:ascii="Arial" w:hAnsi="Arial"/>
                <w:sz w:val="17"/>
                <w:szCs w:val="18"/>
              </w:rPr>
              <w:t>A globally distributed team has no single shared working window, so the system must be dependably reachable at any hour.</w:t>
            </w:r>
          </w:p>
        </w:tc>
      </w:tr>
    </w:tbl>
    <w:p w14:paraId="7A12687C" w14:textId="6352B25F" w:rsidR="000A32AE" w:rsidRPr="000A32AE" w:rsidRDefault="000A32AE" w:rsidP="000A32AE">
      <w:pPr>
        <w:jc w:val="center"/>
        <w:rPr>
          <w:sz w:val="44"/>
          <w:szCs w:val="44"/>
        </w:rPr>
      </w:pPr>
      <w:r w:rsidRPr="000A32AE">
        <w:rPr>
          <w:sz w:val="44"/>
          <w:szCs w:val="44"/>
        </w:rPr>
        <w:t>Requirement Table</w:t>
      </w:r>
    </w:p>
    <w:p w14:paraId="5569B65E" w14:textId="77777777" w:rsidR="000A32AE" w:rsidRPr="000A32AE" w:rsidRDefault="000A32AE" w:rsidP="000A32AE">
      <w:pPr>
        <w:rPr>
          <w:sz w:val="36"/>
          <w:szCs w:val="36"/>
        </w:rPr>
      </w:pPr>
    </w:p>
    <w:sectPr w:rsidR="000A32AE" w:rsidRPr="000A32AE" w:rsidSect="000A32AE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0FA35" w14:textId="77777777" w:rsidR="00163DE9" w:rsidRDefault="00163DE9" w:rsidP="000A32AE">
      <w:pPr>
        <w:spacing w:after="0" w:line="240" w:lineRule="auto"/>
      </w:pPr>
      <w:r>
        <w:separator/>
      </w:r>
    </w:p>
  </w:endnote>
  <w:endnote w:type="continuationSeparator" w:id="0">
    <w:p w14:paraId="076EEBD3" w14:textId="77777777" w:rsidR="00163DE9" w:rsidRDefault="00163DE9" w:rsidP="000A3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624A5" w14:textId="77777777" w:rsidR="00163DE9" w:rsidRDefault="00163DE9" w:rsidP="000A32AE">
      <w:pPr>
        <w:spacing w:after="0" w:line="240" w:lineRule="auto"/>
      </w:pPr>
      <w:r>
        <w:separator/>
      </w:r>
    </w:p>
  </w:footnote>
  <w:footnote w:type="continuationSeparator" w:id="0">
    <w:p w14:paraId="5D42D1A2" w14:textId="77777777" w:rsidR="00163DE9" w:rsidRDefault="00163DE9" w:rsidP="000A32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AE"/>
    <w:rsid w:val="000A32AE"/>
    <w:rsid w:val="000B6498"/>
    <w:rsid w:val="00163DE9"/>
    <w:rsid w:val="00E0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F663"/>
  <w15:chartTrackingRefBased/>
  <w15:docId w15:val="{060DC930-1F8D-4212-A753-FFB21279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3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2AE"/>
  </w:style>
  <w:style w:type="paragraph" w:styleId="Footer">
    <w:name w:val="footer"/>
    <w:basedOn w:val="Normal"/>
    <w:link w:val="FooterChar"/>
    <w:uiPriority w:val="99"/>
    <w:unhideWhenUsed/>
    <w:rsid w:val="000A3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2AE"/>
  </w:style>
  <w:style w:type="paragraph" w:styleId="NoSpacing">
    <w:name w:val="No Spacing"/>
    <w:uiPriority w:val="1"/>
    <w:qFormat/>
    <w:rsid w:val="000A32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VISHRUTA</dc:creator>
  <cp:keywords/>
  <dc:description/>
  <cp:lastModifiedBy>VISHRUTA</cp:lastModifiedBy>
  <cp:revision>1</cp:revision>
  <dcterms:created xsi:type="dcterms:W3CDTF">2026-08-28T03:14:00Z</dcterms:created>
  <dcterms:modified xsi:type="dcterms:W3CDTF">2026-08-28T16:23:00Z</dcterms:modified>
</cp:coreProperties>
</file>