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hd w:fill="1a4a1a" w:val="clear"/>
        <w:spacing w:after="80"/>
        <w:jc w:val="center"/>
      </w:pPr>
      <w:r>
        <w:rPr>
          <w:rFonts w:ascii="Arial" w:cs="Arial" w:eastAsia="Arial" w:hAnsi="Arial"/>
          <w:b/>
          <w:bCs/>
          <w:color w:val="aaaaaa"/>
          <w:sz w:val="20"/>
          <w:szCs w:val="20"/>
        </w:rPr>
        <w:t xml:space="preserve">IIT MADRAS  ·  BDM CAPSTONE PROJECT  ·  2025</w:t>
      </w:r>
    </w:p>
    <w:p>
      <w:pPr>
        <w:shd w:fill="1a4a1a" w:val="clear"/>
        <w:spacing w:after="60"/>
        <w:jc w:val="center"/>
      </w:pPr>
      <w:r>
        <w:rPr>
          <w:rFonts w:ascii="Arial" w:cs="Arial" w:eastAsia="Arial" w:hAnsi="Arial"/>
          <w:sz w:val="20"/>
          <w:szCs w:val="20"/>
        </w:rPr>
        <w:t xml:space="preserve"> </w:t>
      </w:r>
    </w:p>
    <w:p>
      <w:pPr>
        <w:shd w:fill="1a4a1a" w:val="clear"/>
        <w:spacing w:after="120" w:before="360"/>
        <w:jc w:val="center"/>
      </w:pPr>
      <w:r>
        <w:rPr>
          <w:rFonts w:ascii="Arial" w:cs="Arial" w:eastAsia="Arial" w:hAnsi="Arial"/>
          <w:b/>
          <w:bCs/>
          <w:color w:val="f9a825"/>
          <w:sz w:val="52"/>
          <w:szCs w:val="52"/>
        </w:rPr>
        <w:t xml:space="preserve">FROM CHAOS TO CONTROL</w:t>
      </w:r>
    </w:p>
    <w:p>
      <w:pPr>
        <w:shd w:fill="1a4a1a" w:val="clear"/>
        <w:spacing w:after="60"/>
        <w:jc w:val="center"/>
      </w:pPr>
      <w:r>
        <w:rPr>
          <w:rFonts w:ascii="Arial" w:cs="Arial" w:eastAsia="Arial" w:hAnsi="Arial"/>
          <w:color w:val="FFFFFF"/>
          <w:sz w:val="32"/>
          <w:szCs w:val="32"/>
        </w:rPr>
        <w:t xml:space="preserve">Data-Driven Retail Optimization for Pure'O Naturals</w:t>
      </w:r>
    </w:p>
    <w:p>
      <w:pPr>
        <w:shd w:fill="1a4a1a" w:val="clear"/>
        <w:spacing w:after="360"/>
        <w:jc w:val="center"/>
      </w:pPr>
      <w:r>
        <w:rPr>
          <w:rFonts w:ascii="Arial" w:cs="Arial" w:eastAsia="Arial" w:hAnsi="Arial"/>
          <w:i/>
          <w:iCs/>
          <w:color w:val="9e9e9e"/>
          <w:sz w:val="22"/>
          <w:szCs w:val="22"/>
        </w:rPr>
        <w:t xml:space="preserve">Inventory  ·  Pricing  ·  Margin  ·  Portfolio Strategy</w:t>
      </w:r>
    </w:p>
    <w:p>
      <w:pPr>
        <w:pBdr>
          <w:bottom w:val="single" w:color="cccccc" w:sz="3" w:space="1"/>
        </w:pBdr>
        <w:spacing w:after="120" w:before="12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Organization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Pure'O Naturals — Branch 0007-ANJANEYA NAGER, Bangalore</w:t>
            </w:r>
          </w:p>
        </w:tc>
      </w:tr>
      <w:tr>
        <w:tc>
          <w:tcPr>
            <w:tcW w:type="dxa" w:w="300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Industry</w:t>
            </w:r>
          </w:p>
        </w:tc>
        <w:tc>
          <w:tcPr>
            <w:tcW w:type="dxa" w:w="636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Specialty Organic Retail (Fresh Produce + Packaged Goods)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Analysis Period</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April 1, 2025 – September 30, 2025 (6 months, 183 days)</w:t>
            </w:r>
          </w:p>
        </w:tc>
      </w:tr>
      <w:tr>
        <w:tc>
          <w:tcPr>
            <w:tcW w:type="dxa" w:w="300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Dataset</w:t>
            </w:r>
          </w:p>
        </w:tc>
        <w:tc>
          <w:tcPr>
            <w:tcW w:type="dxa" w:w="636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52,314 transactions · 3,247 SKUs · ₹2.54 crore revenue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Data Type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Primary POS transactional data (CSV monthly exports)</w:t>
            </w:r>
          </w:p>
        </w:tc>
      </w:tr>
      <w:tr>
        <w:tc>
          <w:tcPr>
            <w:tcW w:type="dxa" w:w="300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Student ID</w:t>
            </w:r>
          </w:p>
        </w:tc>
        <w:tc>
          <w:tcPr>
            <w:tcW w:type="dxa" w:w="636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22f1001645 · BS in Data Science &amp; Applications · Dec 2025</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Projected Impact</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1a4a1a"/>
                <w:sz w:val="19"/>
                <w:szCs w:val="19"/>
              </w:rPr>
              <w:t xml:space="preserve">₹72–100 Lakhs Annual Net Benefit (3-Pillar Strategy)</w:t>
            </w:r>
          </w:p>
        </w:tc>
      </w:tr>
    </w:tbl>
    <w:p>
      <w:pPr>
        <w:spacing w:after="80"/>
      </w:pPr>
    </w:p>
    <w:p>
      <w:pPr>
        <w:spacing w:after="80"/>
      </w:pPr>
    </w:p>
    <w:p>
      <w:r>
        <w:br w:type="page"/>
      </w:r>
    </w:p>
    <w:p>
      <w:pPr>
        <w:sectPr>
          <w:pgSz w:w="12240" w:h="15840" w:orient="portrait"/>
          <w:pgMar w:top="1440" w:right="1440" w:bottom="1440" w:left="1440" w:header="708" w:footer="708" w:gutter="0"/>
          <w:pgNumType/>
          <w:docGrid w:linePitch="360"/>
        </w:sectPr>
      </w:pPr>
    </w:p>
    <w:p>
      <w:pPr>
        <w:pStyle w:val="Heading1"/>
        <w:shd w:fill="1a4a1a" w:val="clear"/>
        <w:spacing w:after="120" w:before="360"/>
      </w:pPr>
      <w:r>
        <w:rPr>
          <w:rFonts w:ascii="Arial" w:cs="Arial" w:eastAsia="Arial" w:hAnsi="Arial"/>
          <w:b/>
          <w:bCs/>
          <w:color w:val="FFFFFF"/>
          <w:sz w:val="36"/>
          <w:szCs w:val="36"/>
        </w:rPr>
        <w:t xml:space="preserve">Executive Summary</w:t>
      </w:r>
    </w:p>
    <w:p>
      <w:pPr>
        <w:spacing w:after="80"/>
      </w:pPr>
    </w:p>
    <w:p>
      <w:pPr>
        <w:spacing w:after="140" w:line="320"/>
        <w:jc w:val="both"/>
      </w:pPr>
      <w:r>
        <w:rPr>
          <w:rFonts w:ascii="Arial" w:cs="Arial" w:eastAsia="Arial" w:hAnsi="Arial"/>
          <w:b w:val="false"/>
          <w:bCs w:val="false"/>
          <w:i w:val="false"/>
          <w:iCs w:val="false"/>
          <w:color w:val="1a1a1a"/>
          <w:sz w:val="22"/>
          <w:szCs w:val="22"/>
        </w:rPr>
        <w:t xml:space="preserve">Pure'O Naturals branch 0007-ANJANEYA NAGER operates a 2,400 sq.ft specialty organic retail outlet in Bangalore's Anjaneya Nager neighbourhood, serving an estimated 450–600 daily customers. Over the April–September 2025 period, the branch generated ₹2.54 crores in revenue from 52,314 transactions across 3,247 active SKUs. Despite this commercial activity, the branch owner articulated a clear set of pain points: portfolio complexity, pricing inconsistency, and inventory wastage.</w:t>
      </w:r>
    </w:p>
    <w:p>
      <w:pPr>
        <w:spacing w:after="140" w:line="320"/>
        <w:jc w:val="both"/>
      </w:pPr>
      <w:r>
        <w:rPr>
          <w:rFonts w:ascii="Arial" w:cs="Arial" w:eastAsia="Arial" w:hAnsi="Arial"/>
          <w:b w:val="false"/>
          <w:bCs w:val="false"/>
          <w:i w:val="false"/>
          <w:iCs w:val="false"/>
          <w:color w:val="1a1a1a"/>
          <w:sz w:val="22"/>
          <w:szCs w:val="22"/>
        </w:rPr>
        <w:t xml:space="preserve">This BDM Capstone Project applies six months of primary transactional POS data to diagnose the root causes of these pain points, quantify their financial impact, and design an evidence-backed, implementation-ready strategy. The analysis reveals five distinct, measurable business problems collectively representing ₹72–100 lakhs of recoverable annual value.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
        <w:gridCol w:w="9160"/>
      </w:tblGrid>
      <w:tr>
        <w:tc>
          <w:tcPr>
            <w:tcW w:type="dxa" w:w="200"/>
            <w:tcBorders>
              <w:top w:val="single" w:color="CCCCCC" w:sz="1"/>
              <w:left w:val="single" w:color="CCCCCC" w:sz="1"/>
              <w:bottom w:val="single" w:color="CCCCCC" w:sz="1"/>
              <w:right w:val="single" w:color="CCCCCC" w:sz="1"/>
            </w:tcBorders>
            <w:shd w:fill="2d6a2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KEY FINDING</w:t>
            </w:r>
          </w:p>
        </w:tc>
        <w:tc>
          <w:tcPr>
            <w:tcW w:type="dxa" w:w="91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pPr>
              <w:spacing w:after="60"/>
            </w:pPr>
            <w:r>
              <w:rPr>
                <w:rFonts w:ascii="Arial" w:cs="Arial" w:eastAsia="Arial" w:hAnsi="Arial"/>
                <w:sz w:val="20"/>
                <w:szCs w:val="20"/>
              </w:rPr>
              <w:t xml:space="preserve">5 quantified business problems identified across portfolio, pricing, margins, demand volatility, and inventory.</w:t>
            </w:r>
          </w:p>
          <w:p>
            <w:pPr>
              <w:spacing w:after="60"/>
            </w:pPr>
            <w:r>
              <w:rPr>
                <w:rFonts w:ascii="Arial" w:cs="Arial" w:eastAsia="Arial" w:hAnsi="Arial"/>
                <w:sz w:val="20"/>
                <w:szCs w:val="20"/>
              </w:rPr>
              <w:t xml:space="preserve">52,314 transactions analysed · 99% data cleaning accuracy · 7 derived analytical datasets produced.</w:t>
            </w:r>
          </w:p>
          <w:p>
            <w:pPr>
              <w:spacing w:after="60"/>
            </w:pPr>
            <w:r>
              <w:rPr>
                <w:rFonts w:ascii="Arial" w:cs="Arial" w:eastAsia="Arial" w:hAnsi="Arial"/>
                <w:sz w:val="20"/>
                <w:szCs w:val="20"/>
              </w:rPr>
              <w:t xml:space="preserve">Three-pillar strategy designed with 12-week phased implementation and weekly KPI dashboard.</w:t>
            </w:r>
          </w:p>
          <w:p>
            <w:pPr>
              <w:spacing w:after="60"/>
            </w:pPr>
            <w:r>
              <w:rPr>
                <w:rFonts w:ascii="Arial" w:cs="Arial" w:eastAsia="Arial" w:hAnsi="Arial"/>
                <w:sz w:val="20"/>
                <w:szCs w:val="20"/>
              </w:rPr>
              <w:t xml:space="preserve">Conservative 12-month projection: ₹72 lakhs (upside: ₹100 lakhs) net benefit.</w:t>
            </w:r>
          </w:p>
        </w:tc>
      </w:tr>
    </w:tbl>
    <w:p>
      <w:pPr>
        <w:spacing w:after="80"/>
      </w:pPr>
    </w:p>
    <w:p>
      <w:pPr>
        <w:pStyle w:val="Heading2"/>
        <w:pBdr>
          <w:bottom w:val="single" w:color="4caf50" w:sz="2" w:space="4"/>
        </w:pBdr>
        <w:spacing w:after="100" w:before="300"/>
      </w:pPr>
      <w:r>
        <w:rPr>
          <w:rFonts w:ascii="Arial" w:cs="Arial" w:eastAsia="Arial" w:hAnsi="Arial"/>
          <w:b/>
          <w:bCs/>
          <w:color w:val="1a4a1a"/>
          <w:sz w:val="28"/>
          <w:szCs w:val="28"/>
        </w:rPr>
        <w:t xml:space="preserve">Financial Impact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2160"/>
        <w:gridCol w:w="2160"/>
      </w:tblGrid>
      <w:tr>
        <w:tc>
          <w:tcPr>
            <w:tcW w:type="dxa" w:w="5040"/>
            <w:tcBorders>
              <w:top w:val="single" w:color="CCCCCC" w:sz="1"/>
              <w:left w:val="single" w:color="CCCCCC" w:sz="1"/>
              <w:bottom w:val="single" w:color="CCCCCC" w:sz="1"/>
              <w:right w:val="single" w:color="CCCCCC"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Initiative</w:t>
            </w:r>
          </w:p>
        </w:tc>
        <w:tc>
          <w:tcPr>
            <w:tcW w:type="dxa" w:w="2160"/>
            <w:tcBorders>
              <w:top w:val="single" w:color="CCCCCC" w:sz="1"/>
              <w:left w:val="single" w:color="CCCCCC" w:sz="1"/>
              <w:bottom w:val="single" w:color="CCCCCC" w:sz="1"/>
              <w:right w:val="single" w:color="CCCCCC"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Conservative</w:t>
            </w:r>
          </w:p>
        </w:tc>
        <w:tc>
          <w:tcPr>
            <w:tcW w:type="dxa" w:w="2160"/>
            <w:tcBorders>
              <w:top w:val="single" w:color="CCCCCC" w:sz="1"/>
              <w:left w:val="single" w:color="CCCCCC" w:sz="1"/>
              <w:bottom w:val="single" w:color="CCCCCC" w:sz="1"/>
              <w:right w:val="single" w:color="CCCCCC"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Upside</w:t>
            </w:r>
          </w:p>
        </w:tc>
      </w:tr>
      <w:tr>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Repricing 869 Low-Margin SKUs</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1b5e20"/>
                <w:sz w:val="19"/>
                <w:szCs w:val="19"/>
              </w:rPr>
              <w:t xml:space="preserve">₹28 Lakhs</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1b5e20"/>
                <w:sz w:val="19"/>
                <w:szCs w:val="19"/>
              </w:rPr>
              <w:t xml:space="preserve">₹42 Lakhs</w:t>
            </w:r>
          </w:p>
        </w:tc>
      </w:tr>
      <w:tr>
        <w:tc>
          <w:tcPr>
            <w:tcW w:type="dxa" w:w="504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Pricing Standardization Controls</w:t>
            </w:r>
          </w:p>
        </w:tc>
        <w:tc>
          <w:tcPr>
            <w:tcW w:type="dxa" w:w="216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center"/>
            </w:pPr>
            <w:r>
              <w:rPr>
                <w:rFonts w:ascii="Arial" w:cs="Arial" w:eastAsia="Arial" w:hAnsi="Arial"/>
                <w:b w:val="false"/>
                <w:bCs w:val="false"/>
                <w:color w:val="1a1a1a"/>
                <w:sz w:val="19"/>
                <w:szCs w:val="19"/>
              </w:rPr>
              <w:t xml:space="preserve">₹14.4 Lakhs</w:t>
            </w:r>
          </w:p>
        </w:tc>
        <w:tc>
          <w:tcPr>
            <w:tcW w:type="dxa" w:w="216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center"/>
            </w:pPr>
            <w:r>
              <w:rPr>
                <w:rFonts w:ascii="Arial" w:cs="Arial" w:eastAsia="Arial" w:hAnsi="Arial"/>
                <w:b w:val="false"/>
                <w:bCs w:val="false"/>
                <w:color w:val="1a1a1a"/>
                <w:sz w:val="19"/>
                <w:szCs w:val="19"/>
              </w:rPr>
              <w:t xml:space="preserve">₹14.4 Lakhs</w:t>
            </w:r>
          </w:p>
        </w:tc>
      </w:tr>
      <w:tr>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SKU Portfolio Consolidation</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1a1a1a"/>
                <w:sz w:val="19"/>
                <w:szCs w:val="19"/>
              </w:rPr>
              <w:t xml:space="preserve">₹12 Lakhs</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1a1a1a"/>
                <w:sz w:val="19"/>
                <w:szCs w:val="19"/>
              </w:rPr>
              <w:t xml:space="preserve">₹18 Lakhs</w:t>
            </w:r>
          </w:p>
        </w:tc>
      </w:tr>
      <w:tr>
        <w:tc>
          <w:tcPr>
            <w:tcW w:type="dxa" w:w="504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Dynamic Safety Stock Savings</w:t>
            </w:r>
          </w:p>
        </w:tc>
        <w:tc>
          <w:tcPr>
            <w:tcW w:type="dxa" w:w="216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center"/>
            </w:pPr>
            <w:r>
              <w:rPr>
                <w:rFonts w:ascii="Arial" w:cs="Arial" w:eastAsia="Arial" w:hAnsi="Arial"/>
                <w:b w:val="false"/>
                <w:bCs w:val="false"/>
                <w:color w:val="1a1a1a"/>
                <w:sz w:val="19"/>
                <w:szCs w:val="19"/>
              </w:rPr>
              <w:t xml:space="preserve">₹8.8 Lakhs</w:t>
            </w:r>
          </w:p>
        </w:tc>
        <w:tc>
          <w:tcPr>
            <w:tcW w:type="dxa" w:w="216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center"/>
            </w:pPr>
            <w:r>
              <w:rPr>
                <w:rFonts w:ascii="Arial" w:cs="Arial" w:eastAsia="Arial" w:hAnsi="Arial"/>
                <w:b w:val="false"/>
                <w:bCs w:val="false"/>
                <w:color w:val="1a1a1a"/>
                <w:sz w:val="19"/>
                <w:szCs w:val="19"/>
              </w:rPr>
              <w:t xml:space="preserve">₹12.1 Lakhs</w:t>
            </w:r>
          </w:p>
        </w:tc>
      </w:tr>
      <w:tr>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Inventory Liquidation Recovery</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1a1a1a"/>
                <w:sz w:val="19"/>
                <w:szCs w:val="19"/>
              </w:rPr>
              <w:t xml:space="preserve">₹8.5 Lakhs</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1a1a1a"/>
                <w:sz w:val="19"/>
                <w:szCs w:val="19"/>
              </w:rPr>
              <w:t xml:space="preserve">₹11.2 Lakhs</w:t>
            </w:r>
          </w:p>
        </w:tc>
      </w:tr>
      <w:tr>
        <w:tc>
          <w:tcPr>
            <w:tcW w:type="dxa" w:w="5040"/>
            <w:tcBorders>
              <w:top w:val="single" w:color="CCCCCC" w:sz="1"/>
              <w:left w:val="single" w:color="CCCCCC" w:sz="1"/>
              <w:bottom w:val="single" w:color="CCCCCC" w:sz="1"/>
              <w:right w:val="single" w:color="CCCCCC"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12-MONTH NET BENEFIT</w:t>
            </w:r>
          </w:p>
        </w:tc>
        <w:tc>
          <w:tcPr>
            <w:tcW w:type="dxa" w:w="2160"/>
            <w:tcBorders>
              <w:top w:val="single" w:color="CCCCCC" w:sz="1"/>
              <w:left w:val="single" w:color="CCCCCC" w:sz="1"/>
              <w:bottom w:val="single" w:color="CCCCCC" w:sz="1"/>
              <w:right w:val="single" w:color="CCCCCC" w:sz="1"/>
            </w:tcBorders>
            <w:shd w:fill="1a4a1a" w:val="clear"/>
            <w:tcMar>
              <w:top w:type="dxa" w:w="80"/>
              <w:left w:type="dxa" w:w="120"/>
              <w:bottom w:type="dxa" w:w="80"/>
              <w:right w:type="dxa" w:w="120"/>
            </w:tcMar>
          </w:tcPr>
          <w:p>
            <w:pPr>
              <w:jc w:val="center"/>
            </w:pPr>
            <w:r>
              <w:rPr>
                <w:rFonts w:ascii="Arial" w:cs="Arial" w:eastAsia="Arial" w:hAnsi="Arial"/>
                <w:b/>
                <w:bCs/>
                <w:color w:val="f9a825"/>
                <w:sz w:val="22"/>
                <w:szCs w:val="22"/>
              </w:rPr>
              <w:t xml:space="preserve">₹72 Lakhs</w:t>
            </w:r>
          </w:p>
        </w:tc>
        <w:tc>
          <w:tcPr>
            <w:tcW w:type="dxa" w:w="2160"/>
            <w:tcBorders>
              <w:top w:val="single" w:color="CCCCCC" w:sz="1"/>
              <w:left w:val="single" w:color="CCCCCC" w:sz="1"/>
              <w:bottom w:val="single" w:color="CCCCCC" w:sz="1"/>
              <w:right w:val="single" w:color="CCCCCC" w:sz="1"/>
            </w:tcBorders>
            <w:shd w:fill="1a4a1a" w:val="clear"/>
            <w:tcMar>
              <w:top w:type="dxa" w:w="80"/>
              <w:left w:type="dxa" w:w="120"/>
              <w:bottom w:type="dxa" w:w="80"/>
              <w:right w:type="dxa" w:w="120"/>
            </w:tcMar>
          </w:tcPr>
          <w:p>
            <w:pPr>
              <w:jc w:val="center"/>
            </w:pPr>
            <w:r>
              <w:rPr>
                <w:rFonts w:ascii="Arial" w:cs="Arial" w:eastAsia="Arial" w:hAnsi="Arial"/>
                <w:b/>
                <w:bCs/>
                <w:color w:val="f9a825"/>
                <w:sz w:val="22"/>
                <w:szCs w:val="22"/>
              </w:rPr>
              <w:t xml:space="preserve">₹100 Lakhs</w:t>
            </w:r>
          </w:p>
        </w:tc>
      </w:tr>
    </w:tbl>
    <w:p>
      <w:r>
        <w:br w:type="page"/>
      </w:r>
    </w:p>
    <w:p>
      <w:pPr>
        <w:pStyle w:val="Heading1"/>
        <w:shd w:fill="1a4a1a" w:val="clear"/>
        <w:spacing w:after="120" w:before="360"/>
      </w:pPr>
      <w:r>
        <w:rPr>
          <w:rFonts w:ascii="Arial" w:cs="Arial" w:eastAsia="Arial" w:hAnsi="Arial"/>
          <w:b/>
          <w:bCs/>
          <w:color w:val="FFFFFF"/>
          <w:sz w:val="36"/>
          <w:szCs w:val="36"/>
        </w:rPr>
        <w:t xml:space="preserve">1. Business Context &amp; Organization Background</w:t>
      </w:r>
    </w:p>
    <w:p>
      <w:pPr>
        <w:spacing w:after="80"/>
      </w:pPr>
    </w:p>
    <w:p>
      <w:pPr>
        <w:pStyle w:val="Heading2"/>
        <w:pBdr>
          <w:bottom w:val="single" w:color="4caf50" w:sz="2" w:space="4"/>
        </w:pBdr>
        <w:spacing w:after="100" w:before="300"/>
      </w:pPr>
      <w:r>
        <w:rPr>
          <w:rFonts w:ascii="Arial" w:cs="Arial" w:eastAsia="Arial" w:hAnsi="Arial"/>
          <w:b/>
          <w:bCs/>
          <w:color w:val="1a4a1a"/>
          <w:sz w:val="28"/>
          <w:szCs w:val="28"/>
        </w:rPr>
        <w:t xml:space="preserve">1.1 Pure'O Naturals: Company Profile</w:t>
      </w:r>
    </w:p>
    <w:p>
      <w:pPr>
        <w:spacing w:after="140" w:line="320"/>
        <w:jc w:val="both"/>
      </w:pPr>
      <w:r>
        <w:rPr>
          <w:rFonts w:ascii="Arial" w:cs="Arial" w:eastAsia="Arial" w:hAnsi="Arial"/>
          <w:b w:val="false"/>
          <w:bCs w:val="false"/>
          <w:i w:val="false"/>
          <w:iCs w:val="false"/>
          <w:color w:val="1a1a1a"/>
          <w:sz w:val="22"/>
          <w:szCs w:val="22"/>
        </w:rPr>
        <w:t xml:space="preserve">Pure'O Naturals is a specialty retail chain focused on organic, natural, and health-conscious food products across urban markets in South India. The brand differentiates through product authenticity, a farm-to-shelf model for fresh produce, and active customer education on organic lifestyle benefits. The chain maintains 15+ branches across Bangalore, Hyderabad, and Chennai, primarily serving middle-to-upper income households with heightened health awareness and premium willingness to pay.</w:t>
      </w:r>
    </w:p>
    <w:p>
      <w:pPr>
        <w:pStyle w:val="Heading2"/>
        <w:pBdr>
          <w:bottom w:val="single" w:color="4caf50" w:sz="2" w:space="4"/>
        </w:pBdr>
        <w:spacing w:after="100" w:before="300"/>
      </w:pPr>
      <w:r>
        <w:rPr>
          <w:rFonts w:ascii="Arial" w:cs="Arial" w:eastAsia="Arial" w:hAnsi="Arial"/>
          <w:b/>
          <w:bCs/>
          <w:color w:val="1a4a1a"/>
          <w:sz w:val="28"/>
          <w:szCs w:val="28"/>
        </w:rPr>
        <w:t xml:space="preserve">1.2 Branch 0007-ANJANEYA NAGER: Operational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6160"/>
            <w:tcBorders>
              <w:top w:val="single" w:color="CCCCCC" w:sz="1"/>
              <w:left w:val="single" w:color="CCCCCC" w:sz="1"/>
              <w:bottom w:val="single" w:color="CCCCCC" w:sz="1"/>
              <w:right w:val="single" w:color="CCCCCC"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Location</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Anjaneya Nager, Bangalore (residential-commercial mixed neighbourhood)</w:t>
            </w:r>
          </w:p>
        </w:tc>
      </w:tr>
      <w:tr>
        <w:tc>
          <w:tcPr>
            <w:tcW w:type="dxa" w:w="320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Store Size</w:t>
            </w:r>
          </w:p>
        </w:tc>
        <w:tc>
          <w:tcPr>
            <w:tcW w:type="dxa" w:w="616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2,400 sq.ft</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Daily Footfall</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450–600 customers/day (estimated; peak hours)</w:t>
            </w:r>
          </w:p>
        </w:tc>
      </w:tr>
      <w:tr>
        <w:tc>
          <w:tcPr>
            <w:tcW w:type="dxa" w:w="320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Operating Hours</w:t>
            </w:r>
          </w:p>
        </w:tc>
        <w:tc>
          <w:tcPr>
            <w:tcW w:type="dxa" w:w="616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7:00 AM – 10:00 PM daily</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Staffing</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8 employees: 2 cashiers, 4 floor staff, 1 inventory manager, 1 branch manager</w:t>
            </w:r>
          </w:p>
        </w:tc>
      </w:tr>
      <w:tr>
        <w:tc>
          <w:tcPr>
            <w:tcW w:type="dxa" w:w="320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Active SKUs</w:t>
            </w:r>
          </w:p>
        </w:tc>
        <w:tc>
          <w:tcPr>
            <w:tcW w:type="dxa" w:w="616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3,247 products (Apr–Sep 2025)</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Supplier Base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45+ suppliers (local farmer co-ops, FMCG distributors, specialty importers)</w:t>
            </w:r>
          </w:p>
        </w:tc>
      </w:tr>
    </w:tbl>
    <w:p>
      <w:pPr>
        <w:spacing w:after="80"/>
      </w:pPr>
    </w:p>
    <w:p>
      <w:pPr>
        <w:pStyle w:val="Heading2"/>
        <w:pBdr>
          <w:bottom w:val="single" w:color="4caf50" w:sz="2" w:space="4"/>
        </w:pBdr>
        <w:spacing w:after="100" w:before="300"/>
      </w:pPr>
      <w:r>
        <w:rPr>
          <w:rFonts w:ascii="Arial" w:cs="Arial" w:eastAsia="Arial" w:hAnsi="Arial"/>
          <w:b/>
          <w:bCs/>
          <w:color w:val="1a4a1a"/>
          <w:sz w:val="28"/>
          <w:szCs w:val="28"/>
        </w:rPr>
        <w:t xml:space="preserve">1.3 Six-Month KPI Baseline (Apr–Sep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w:t>
            </w:r>
          </w:p>
        </w:tc>
        <w:tc>
          <w:tcPr>
            <w:tcW w:type="dxa" w:w="4680"/>
            <w:tcBorders>
              <w:top w:val="single" w:color="CCCCCC" w:sz="1"/>
              <w:left w:val="single" w:color="CCCCCC" w:sz="1"/>
              <w:bottom w:val="single" w:color="CCCCCC" w:sz="1"/>
              <w:right w:val="single" w:color="CCCCCC"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Total Revenue (6 months)</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1a4a1a"/>
                <w:sz w:val="19"/>
                <w:szCs w:val="19"/>
              </w:rPr>
              <w:t xml:space="preserve">₹2,53,93,827 (₹2.54 crores)</w:t>
            </w:r>
          </w:p>
        </w:tc>
      </w:tr>
      <w:tr>
        <w:tc>
          <w:tcPr>
            <w:tcW w:type="dxa" w:w="468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Average Daily Revenue</w:t>
            </w:r>
          </w:p>
        </w:tc>
        <w:tc>
          <w:tcPr>
            <w:tcW w:type="dxa" w:w="468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₹1,38,764 (±₹29,383 SD; CV 21.2%)</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Total Transactions</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52,314 (avg 286/day)</w:t>
            </w:r>
          </w:p>
        </w:tc>
      </w:tr>
      <w:tr>
        <w:tc>
          <w:tcPr>
            <w:tcW w:type="dxa" w:w="468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Average Transaction Value</w:t>
            </w:r>
          </w:p>
        </w:tc>
        <w:tc>
          <w:tcPr>
            <w:tcW w:type="dxa" w:w="468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₹486 (median ₹200; right-skewed; skewness 6.1)</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Inventory Turnover (avg)</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23 days (Produce: 3–5 days; Packaged: 45–60 days)</w:t>
            </w:r>
          </w:p>
        </w:tc>
      </w:tr>
      <w:tr>
        <w:tc>
          <w:tcPr>
            <w:tcW w:type="dxa" w:w="468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Gross Margin (est.)</w:t>
            </w:r>
          </w:p>
        </w:tc>
        <w:tc>
          <w:tcPr>
            <w:tcW w:type="dxa" w:w="468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21.4% portfolio average (cost-proxy model; ±15% error band)</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Monthly Wastage Rate</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2.3% of inventory cost (₹14.2K/month); 68% from perishables</w:t>
            </w:r>
          </w:p>
        </w:tc>
      </w:tr>
    </w:tbl>
    <w:p>
      <w:r>
        <w:br w:type="page"/>
      </w:r>
    </w:p>
    <w:p>
      <w:pPr>
        <w:pStyle w:val="Heading1"/>
        <w:shd w:fill="1a4a1a" w:val="clear"/>
        <w:spacing w:after="120" w:before="360"/>
      </w:pPr>
      <w:r>
        <w:rPr>
          <w:rFonts w:ascii="Arial" w:cs="Arial" w:eastAsia="Arial" w:hAnsi="Arial"/>
          <w:b/>
          <w:bCs/>
          <w:color w:val="FFFFFF"/>
          <w:sz w:val="36"/>
          <w:szCs w:val="36"/>
        </w:rPr>
        <w:t xml:space="preserve">2. Problem Statement &amp; Business Objectives</w:t>
      </w:r>
    </w:p>
    <w:p>
      <w:pPr>
        <w:spacing w:after="80"/>
      </w:pPr>
    </w:p>
    <w:p>
      <w:pPr>
        <w:pStyle w:val="Heading2"/>
        <w:pBdr>
          <w:bottom w:val="single" w:color="4caf50" w:sz="2" w:space="4"/>
        </w:pBdr>
        <w:spacing w:after="100" w:before="300"/>
      </w:pPr>
      <w:r>
        <w:rPr>
          <w:rFonts w:ascii="Arial" w:cs="Arial" w:eastAsia="Arial" w:hAnsi="Arial"/>
          <w:b/>
          <w:bCs/>
          <w:color w:val="1a4a1a"/>
          <w:sz w:val="28"/>
          <w:szCs w:val="28"/>
        </w:rPr>
        <w:t xml:space="preserve">2.1 Five Quantified Business Problems</w:t>
      </w:r>
    </w:p>
    <w:p>
      <w:pPr>
        <w:pStyle w:val="Heading3"/>
        <w:spacing w:after="80" w:before="240"/>
      </w:pPr>
      <w:r>
        <w:rPr>
          <w:rFonts w:ascii="Arial" w:cs="Arial" w:eastAsia="Arial" w:hAnsi="Arial"/>
          <w:b/>
          <w:bCs/>
          <w:color w:val="2d6a2d"/>
          <w:sz w:val="24"/>
          <w:szCs w:val="24"/>
        </w:rPr>
        <w:t xml:space="preserve">Problem 1: Demand Volatility &amp; Forecasting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
        <w:gridCol w:w="9160"/>
      </w:tblGrid>
      <w:tr>
        <w:tc>
          <w:tcPr>
            <w:tcW w:type="dxa" w:w="2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P1</w:t>
            </w:r>
          </w:p>
        </w:tc>
        <w:tc>
          <w:tcPr>
            <w:tcW w:type="dxa" w:w="9160"/>
            <w:tcBorders>
              <w:top w:val="single" w:color="CCCCCC" w:sz="1"/>
              <w:left w:val="single" w:color="CCCCCC" w:sz="1"/>
              <w:bottom w:val="single" w:color="CCCCCC" w:sz="1"/>
              <w:right w:val="single" w:color="CCCCCC" w:sz="1"/>
            </w:tcBorders>
            <w:shd w:fill="ffebee" w:val="clear"/>
            <w:tcMar>
              <w:top w:type="dxa" w:w="80"/>
              <w:left w:type="dxa" w:w="160"/>
              <w:bottom w:type="dxa" w:w="80"/>
              <w:right w:type="dxa" w:w="160"/>
            </w:tcMar>
          </w:tcPr>
          <w:p>
            <w:pPr>
              <w:spacing w:after="60"/>
            </w:pPr>
            <w:r>
              <w:rPr>
                <w:rFonts w:ascii="Arial" w:cs="Arial" w:eastAsia="Arial" w:hAnsi="Arial"/>
                <w:sz w:val="20"/>
                <w:szCs w:val="20"/>
              </w:rPr>
              <w:t xml:space="preserve">746 products (23% of portfolio) with Coefficient of Variation (CV) &gt; 25%</w:t>
            </w:r>
          </w:p>
          <w:p>
            <w:pPr>
              <w:spacing w:after="60"/>
            </w:pPr>
            <w:r>
              <w:rPr>
                <w:rFonts w:ascii="Arial" w:cs="Arial" w:eastAsia="Arial" w:hAnsi="Arial"/>
                <w:sz w:val="20"/>
                <w:szCs w:val="20"/>
              </w:rPr>
              <w:t xml:space="preserve">Average: 3.2 stockouts/SKU/month + 2.1 overstock instances/SKU/month</w:t>
            </w:r>
          </w:p>
          <w:p>
            <w:pPr>
              <w:spacing w:after="60"/>
            </w:pPr>
            <w:r>
              <w:rPr>
                <w:rFonts w:ascii="Arial" w:cs="Arial" w:eastAsia="Arial" w:hAnsi="Arial"/>
                <w:sz w:val="20"/>
                <w:szCs w:val="20"/>
              </w:rPr>
              <w:t xml:space="preserve">Total annual volatility cost: ₹31.7 Lakhs (stockout ₹20.3L + overstock ₹11.4L)</w:t>
            </w:r>
          </w:p>
          <w:p>
            <w:pPr>
              <w:spacing w:after="60"/>
            </w:pPr>
            <w:r>
              <w:rPr>
                <w:rFonts w:ascii="Arial" w:cs="Arial" w:eastAsia="Arial" w:hAnsi="Arial"/>
                <w:sz w:val="20"/>
                <w:szCs w:val="20"/>
              </w:rPr>
              <w:t xml:space="preserve">Root Cause: Fixed reorder points unable to handle demand variability</w:t>
            </w:r>
          </w:p>
        </w:tc>
      </w:tr>
    </w:tbl>
    <w:p>
      <w:pPr>
        <w:pStyle w:val="Heading3"/>
        <w:spacing w:after="80" w:before="240"/>
      </w:pPr>
      <w:r>
        <w:rPr>
          <w:rFonts w:ascii="Arial" w:cs="Arial" w:eastAsia="Arial" w:hAnsi="Arial"/>
          <w:b/>
          <w:bCs/>
          <w:color w:val="2d6a2d"/>
          <w:sz w:val="24"/>
          <w:szCs w:val="24"/>
        </w:rPr>
        <w:t xml:space="preserve">Problem 2: SKU Portfolio Complexity &amp; Fragmentation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
        <w:gridCol w:w="9160"/>
      </w:tblGrid>
      <w:tr>
        <w:tc>
          <w:tcPr>
            <w:tcW w:type="dxa" w:w="2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P2</w:t>
            </w:r>
          </w:p>
        </w:tc>
        <w:tc>
          <w:tcPr>
            <w:tcW w:type="dxa" w:w="91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pPr>
              <w:spacing w:after="60"/>
            </w:pPr>
            <w:r>
              <w:rPr>
                <w:rFonts w:ascii="Arial" w:cs="Arial" w:eastAsia="Arial" w:hAnsi="Arial"/>
                <w:sz w:val="20"/>
                <w:szCs w:val="20"/>
              </w:rPr>
              <w:t xml:space="preserve">3,247 active SKUs; 2,595 products (80%) generate only 19% of revenue</w:t>
            </w:r>
          </w:p>
          <w:p>
            <w:pPr>
              <w:spacing w:after="60"/>
            </w:pPr>
            <w:r>
              <w:rPr>
                <w:rFonts w:ascii="Arial" w:cs="Arial" w:eastAsia="Arial" w:hAnsi="Arial"/>
                <w:sz w:val="20"/>
                <w:szCs w:val="20"/>
              </w:rPr>
              <w:t xml:space="preserve">97 products with &gt;90 days since last sale; 76 products with &gt;120 days dormancy</w:t>
            </w:r>
          </w:p>
          <w:p>
            <w:pPr>
              <w:spacing w:after="60"/>
            </w:pPr>
            <w:r>
              <w:rPr>
                <w:rFonts w:ascii="Arial" w:cs="Arial" w:eastAsia="Arial" w:hAnsi="Arial"/>
                <w:sz w:val="20"/>
                <w:szCs w:val="20"/>
              </w:rPr>
              <w:t xml:space="preserve">Working capital locked in slow-movers: ₹8.3 Lakhs</w:t>
            </w:r>
          </w:p>
          <w:p>
            <w:pPr>
              <w:spacing w:after="60"/>
            </w:pPr>
            <w:r>
              <w:rPr>
                <w:rFonts w:ascii="Arial" w:cs="Arial" w:eastAsia="Arial" w:hAnsi="Arial"/>
                <w:sz w:val="20"/>
                <w:szCs w:val="20"/>
              </w:rPr>
              <w:t xml:space="preserve">Annual excess carrying cost: ₹3.2 Lakhs (opportunity cost of capital)</w:t>
            </w:r>
          </w:p>
        </w:tc>
      </w:tr>
    </w:tbl>
    <w:p>
      <w:pPr>
        <w:pStyle w:val="Heading3"/>
        <w:spacing w:after="80" w:before="240"/>
      </w:pPr>
      <w:r>
        <w:rPr>
          <w:rFonts w:ascii="Arial" w:cs="Arial" w:eastAsia="Arial" w:hAnsi="Arial"/>
          <w:b/>
          <w:bCs/>
          <w:color w:val="2d6a2d"/>
          <w:sz w:val="24"/>
          <w:szCs w:val="24"/>
        </w:rPr>
        <w:t xml:space="preserve">Problem 3: Margin Compression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
        <w:gridCol w:w="9160"/>
      </w:tblGrid>
      <w:tr>
        <w:tc>
          <w:tcPr>
            <w:tcW w:type="dxa" w:w="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P3</w:t>
            </w:r>
          </w:p>
        </w:tc>
        <w:tc>
          <w:tcPr>
            <w:tcW w:type="dxa" w:w="91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pPr>
              <w:spacing w:after="60"/>
            </w:pPr>
            <w:r>
              <w:rPr>
                <w:rFonts w:ascii="Arial" w:cs="Arial" w:eastAsia="Arial" w:hAnsi="Arial"/>
                <w:sz w:val="20"/>
                <w:szCs w:val="20"/>
              </w:rPr>
              <w:t xml:space="preserve">869 products operate below 20% margin threshold (₹22.4L monthly at-risk)</w:t>
            </w:r>
          </w:p>
          <w:p>
            <w:pPr>
              <w:spacing w:after="60"/>
            </w:pPr>
            <w:r>
              <w:rPr>
                <w:rFonts w:ascii="Arial" w:cs="Arial" w:eastAsia="Arial" w:hAnsi="Arial"/>
                <w:sz w:val="20"/>
                <w:szCs w:val="20"/>
              </w:rPr>
              <w:t xml:space="preserve">95 products with negative estimated margin (pricing errors or untracked loss-leaders)</w:t>
            </w:r>
          </w:p>
          <w:p>
            <w:pPr>
              <w:spacing w:after="60"/>
            </w:pPr>
            <w:r>
              <w:rPr>
                <w:rFonts w:ascii="Arial" w:cs="Arial" w:eastAsia="Arial" w:hAnsi="Arial"/>
                <w:sz w:val="20"/>
                <w:szCs w:val="20"/>
              </w:rPr>
              <w:t xml:space="preserve">Portfolio average margin 21.4% — vulnerable with no POS guardrails</w:t>
            </w:r>
          </w:p>
          <w:p>
            <w:pPr>
              <w:spacing w:after="60"/>
            </w:pPr>
            <w:r>
              <w:rPr>
                <w:rFonts w:ascii="Arial" w:cs="Arial" w:eastAsia="Arial" w:hAnsi="Arial"/>
                <w:sz w:val="20"/>
                <w:szCs w:val="20"/>
              </w:rPr>
              <w:t xml:space="preserve">Annual opportunity cost (margin gap to 20% floor): ₹32 Lakhs</w:t>
            </w:r>
          </w:p>
        </w:tc>
      </w:tr>
    </w:tbl>
    <w:p>
      <w:pPr>
        <w:pStyle w:val="Heading3"/>
        <w:spacing w:after="80" w:before="240"/>
      </w:pPr>
      <w:r>
        <w:rPr>
          <w:rFonts w:ascii="Arial" w:cs="Arial" w:eastAsia="Arial" w:hAnsi="Arial"/>
          <w:b/>
          <w:bCs/>
          <w:color w:val="2d6a2d"/>
          <w:sz w:val="24"/>
          <w:szCs w:val="24"/>
        </w:rPr>
        <w:t xml:space="preserve">Problem 4: Pricing Misalignment &amp; Revenue Leakage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
        <w:gridCol w:w="9160"/>
      </w:tblGrid>
      <w:tr>
        <w:tc>
          <w:tcPr>
            <w:tcW w:type="dxa" w:w="2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P4</w:t>
            </w:r>
          </w:p>
        </w:tc>
        <w:tc>
          <w:tcPr>
            <w:tcW w:type="dxa" w:w="9160"/>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60"/>
            </w:tcMar>
          </w:tcPr>
          <w:p>
            <w:pPr>
              <w:spacing w:after="60"/>
            </w:pPr>
            <w:r>
              <w:rPr>
                <w:rFonts w:ascii="Arial" w:cs="Arial" w:eastAsia="Arial" w:hAnsi="Arial"/>
                <w:sz w:val="20"/>
                <w:szCs w:val="20"/>
              </w:rPr>
              <w:t xml:space="preserve">Top 20 price-volatile products exhibit 36.6% average unit price variance (max-min spread)</w:t>
            </w:r>
          </w:p>
          <w:p>
            <w:pPr>
              <w:spacing w:after="60"/>
            </w:pPr>
            <w:r>
              <w:rPr>
                <w:rFonts w:ascii="Arial" w:cs="Arial" w:eastAsia="Arial" w:hAnsi="Arial"/>
                <w:sz w:val="20"/>
                <w:szCs w:val="20"/>
              </w:rPr>
              <w:t xml:space="preserve">Manual invoice entry allows cashier-level price overrides without audit trail</w:t>
            </w:r>
          </w:p>
          <w:p>
            <w:pPr>
              <w:spacing w:after="60"/>
            </w:pPr>
            <w:r>
              <w:rPr>
                <w:rFonts w:ascii="Arial" w:cs="Arial" w:eastAsia="Arial" w:hAnsi="Arial"/>
                <w:sz w:val="20"/>
                <w:szCs w:val="20"/>
              </w:rPr>
              <w:t xml:space="preserve">Monthly revenue leakage: ₹1.2 Lakhs → ₹14.4 Lakhs annual</w:t>
            </w:r>
          </w:p>
          <w:p>
            <w:pPr>
              <w:spacing w:after="60"/>
            </w:pPr>
            <w:r>
              <w:rPr>
                <w:rFonts w:ascii="Arial" w:cs="Arial" w:eastAsia="Arial" w:hAnsi="Arial"/>
                <w:sz w:val="20"/>
                <w:szCs w:val="20"/>
              </w:rPr>
              <w:t xml:space="preserve">Example: ASPARAGUS priced ₹180, ₹210, ₹450, ₹625 for identical product code</w:t>
            </w:r>
          </w:p>
        </w:tc>
      </w:tr>
    </w:tbl>
    <w:p>
      <w:pPr>
        <w:pStyle w:val="Heading3"/>
        <w:spacing w:after="80" w:before="240"/>
      </w:pPr>
      <w:r>
        <w:rPr>
          <w:rFonts w:ascii="Arial" w:cs="Arial" w:eastAsia="Arial" w:hAnsi="Arial"/>
          <w:b/>
          <w:bCs/>
          <w:color w:val="2d6a2d"/>
          <w:sz w:val="24"/>
          <w:szCs w:val="24"/>
        </w:rPr>
        <w:t xml:space="preserve">Problem 5: Category Mix Drift &amp; Data Hygiene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
        <w:gridCol w:w="9160"/>
      </w:tblGrid>
      <w:tr>
        <w:tc>
          <w:tcPr>
            <w:tcW w:type="dxa" w:w="200"/>
            <w:tcBorders>
              <w:top w:val="single" w:color="CCCCCC" w:sz="1"/>
              <w:left w:val="single" w:color="CCCCCC" w:sz="1"/>
              <w:bottom w:val="single" w:color="CCCCCC" w:sz="1"/>
              <w:right w:val="single" w:color="CCCCCC" w:sz="1"/>
            </w:tcBorders>
            <w:shd w:fill="2d6a2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P5</w:t>
            </w:r>
          </w:p>
        </w:tc>
        <w:tc>
          <w:tcPr>
            <w:tcW w:type="dxa" w:w="91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pPr>
              <w:spacing w:after="60"/>
            </w:pPr>
            <w:r>
              <w:rPr>
                <w:rFonts w:ascii="Arial" w:cs="Arial" w:eastAsia="Arial" w:hAnsi="Arial"/>
                <w:sz w:val="20"/>
                <w:szCs w:val="20"/>
              </w:rPr>
              <w:t xml:space="preserve">Vegetables +42.84% (Apr→Sep) vs. Fruits -20.61% vs. Juices -23.57%</w:t>
            </w:r>
          </w:p>
          <w:p>
            <w:pPr>
              <w:spacing w:after="60"/>
            </w:pPr>
            <w:r>
              <w:rPr>
                <w:rFonts w:ascii="Arial" w:cs="Arial" w:eastAsia="Arial" w:hAnsi="Arial"/>
                <w:sz w:val="20"/>
                <w:szCs w:val="20"/>
              </w:rPr>
              <w:t xml:space="preserve">40.28% of revenue tagged "Unknown" category (₹1.71L/month unclassified)</w:t>
            </w:r>
          </w:p>
          <w:p>
            <w:pPr>
              <w:spacing w:after="60"/>
            </w:pPr>
            <w:r>
              <w:rPr>
                <w:rFonts w:ascii="Arial" w:cs="Arial" w:eastAsia="Arial" w:hAnsi="Arial"/>
                <w:sz w:val="20"/>
                <w:szCs w:val="20"/>
              </w:rPr>
              <w:t xml:space="preserve">Structural blind spot: cannot make data-driven procurement or shelf-space decisions</w:t>
            </w:r>
          </w:p>
          <w:p>
            <w:pPr>
              <w:spacing w:after="60"/>
            </w:pPr>
            <w:r>
              <w:rPr>
                <w:rFonts w:ascii="Arial" w:cs="Arial" w:eastAsia="Arial" w:hAnsi="Arial"/>
                <w:sz w:val="20"/>
                <w:szCs w:val="20"/>
              </w:rPr>
              <w:t xml:space="preserve">Root Cause: No SKU master with canonical category; monthly taxonomy audit missing</w:t>
            </w:r>
          </w:p>
        </w:tc>
      </w:tr>
    </w:tbl>
    <w:p>
      <w:pPr>
        <w:spacing w:after="80"/>
      </w:pPr>
    </w:p>
    <w:p>
      <w:pPr>
        <w:pStyle w:val="Heading2"/>
        <w:pBdr>
          <w:bottom w:val="single" w:color="4caf50" w:sz="2" w:space="4"/>
        </w:pBdr>
        <w:spacing w:after="100" w:before="300"/>
      </w:pPr>
      <w:r>
        <w:rPr>
          <w:rFonts w:ascii="Arial" w:cs="Arial" w:eastAsia="Arial" w:hAnsi="Arial"/>
          <w:b/>
          <w:bCs/>
          <w:color w:val="1a4a1a"/>
          <w:sz w:val="28"/>
          <w:szCs w:val="28"/>
        </w:rPr>
        <w:t xml:space="preserve">2.2 Business Objectives (SMART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Objective</w:t>
            </w:r>
          </w:p>
        </w:tc>
        <w:tc>
          <w:tcPr>
            <w:tcW w:type="dxa" w:w="5860"/>
            <w:tcBorders>
              <w:top w:val="single" w:color="CCCCCC" w:sz="1"/>
              <w:left w:val="single" w:color="CCCCCC" w:sz="1"/>
              <w:bottom w:val="single" w:color="CCCCCC" w:sz="1"/>
              <w:right w:val="single" w:color="CCCCCC"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SMART Target &amp; Mechanism</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OBJ 1: SKU Rationalization</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3,247 → 1,800 SKUs (44% reduction) in 12 weeks; Revenue/SKU +80%; Overhead -15%</w:t>
            </w:r>
          </w:p>
        </w:tc>
      </w:tr>
      <w:tr>
        <w:tc>
          <w:tcPr>
            <w:tcW w:type="dxa" w:w="350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OBJ 2: Pricing Optimization</w:t>
            </w:r>
          </w:p>
        </w:tc>
        <w:tc>
          <w:tcPr>
            <w:tcW w:type="dxa" w:w="586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Reprice 869 low-margin SKUs; portfolio margin 21.4% → 23.0% (1.6pp lift)</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OBJ 3: Pricing Standardization</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Unit price variance 36.6% → &lt;5%; recover ₹1.2L/month leakage; complaint -40%</w:t>
            </w:r>
          </w:p>
        </w:tc>
      </w:tr>
      <w:tr>
        <w:tc>
          <w:tcPr>
            <w:tcW w:type="dxa" w:w="350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OBJ 4: Dynamic Inventory</w:t>
            </w:r>
          </w:p>
        </w:tc>
        <w:tc>
          <w:tcPr>
            <w:tcW w:type="dxa" w:w="586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Volatility cost -28%; stockouts -68% (3.2 → 1.0); overstock -24% (2.1 → 1.6)</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OBJ 5: Slow-Mover Protocol</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Liquidate 97 slow-movers; free ₹8.3L capital; wastage -60%; turnover 23 → 18 days</w:t>
            </w:r>
          </w:p>
        </w:tc>
      </w:tr>
      <w:tr>
        <w:tc>
          <w:tcPr>
            <w:tcW w:type="dxa" w:w="350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OBJ 6: BI Dashboard</w:t>
            </w:r>
          </w:p>
        </w:tc>
        <w:tc>
          <w:tcPr>
            <w:tcW w:type="dxa" w:w="586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Daily dashboard (volatility alerts, margin tracking, aging); 100% uptime; manager review &gt;90%</w:t>
            </w:r>
          </w:p>
        </w:tc>
      </w:tr>
    </w:tbl>
    <w:p>
      <w:r>
        <w:br w:type="page"/>
      </w:r>
    </w:p>
    <w:p>
      <w:pPr>
        <w:pStyle w:val="Heading1"/>
        <w:shd w:fill="1a4a1a" w:val="clear"/>
        <w:spacing w:after="120" w:before="360"/>
      </w:pPr>
      <w:r>
        <w:rPr>
          <w:rFonts w:ascii="Arial" w:cs="Arial" w:eastAsia="Arial" w:hAnsi="Arial"/>
          <w:b/>
          <w:bCs/>
          <w:color w:val="FFFFFF"/>
          <w:sz w:val="36"/>
          <w:szCs w:val="36"/>
        </w:rPr>
        <w:t xml:space="preserve">3. Data &amp; Methodology</w:t>
      </w:r>
    </w:p>
    <w:p>
      <w:pPr>
        <w:spacing w:after="80"/>
      </w:pPr>
    </w:p>
    <w:p>
      <w:pPr>
        <w:pStyle w:val="Heading2"/>
        <w:pBdr>
          <w:bottom w:val="single" w:color="4caf50" w:sz="2" w:space="4"/>
        </w:pBdr>
        <w:spacing w:after="100" w:before="300"/>
      </w:pPr>
      <w:r>
        <w:rPr>
          <w:rFonts w:ascii="Arial" w:cs="Arial" w:eastAsia="Arial" w:hAnsi="Arial"/>
          <w:b/>
          <w:bCs/>
          <w:color w:val="1a4a1a"/>
          <w:sz w:val="28"/>
          <w:szCs w:val="28"/>
        </w:rPr>
        <w:t xml:space="preserve">3.1 Data Collection &amp; Validation</w:t>
      </w:r>
    </w:p>
    <w:p>
      <w:pPr>
        <w:spacing w:after="140" w:line="320"/>
        <w:jc w:val="both"/>
      </w:pPr>
      <w:r>
        <w:rPr>
          <w:rFonts w:ascii="Arial" w:cs="Arial" w:eastAsia="Arial" w:hAnsi="Arial"/>
          <w:b w:val="false"/>
          <w:bCs w:val="false"/>
          <w:i w:val="false"/>
          <w:iCs w:val="false"/>
          <w:color w:val="1a1a1a"/>
          <w:sz w:val="22"/>
          <w:szCs w:val="22"/>
        </w:rPr>
        <w:t xml:space="preserve">This analysis relies exclusively on primary transactional data extracted from the Pure'O Naturals branch POS system. Six monthly CSV exports (Apr–Sep 2025) were consolidated into a master cleaned_sales.csv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6160"/>
            <w:tcBorders>
              <w:top w:val="single" w:color="CCCCCC" w:sz="1"/>
              <w:left w:val="single" w:color="CCCCCC" w:sz="1"/>
              <w:bottom w:val="single" w:color="CCCCCC" w:sz="1"/>
              <w:right w:val="single" w:color="CCCCCC"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Data Period</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April 1 – September 30, 2025 (183 days)</w:t>
            </w:r>
          </w:p>
        </w:tc>
      </w:tr>
      <w:tr>
        <w:tc>
          <w:tcPr>
            <w:tcW w:type="dxa" w:w="320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Granularity</w:t>
            </w:r>
          </w:p>
        </w:tc>
        <w:tc>
          <w:tcPr>
            <w:tcW w:type="dxa" w:w="616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Transaction-level: date · product · quantity · unit price · revenue · branch</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Volume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52,314 transactions (avg 286/day)</w:t>
            </w:r>
          </w:p>
        </w:tc>
      </w:tr>
      <w:tr>
        <w:tc>
          <w:tcPr>
            <w:tcW w:type="dxa" w:w="320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Data Quality</w:t>
            </w:r>
          </w:p>
        </w:tc>
        <w:tc>
          <w:tcPr>
            <w:tcW w:type="dxa" w:w="616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99% accuracy vs. manual audit; 0.02% missing prices imputed; 3 duplicates removed</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Category Mapping</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3-layer algorithm (keyword → web validation → brand/price inference); 98.5% high-confidence</w:t>
            </w:r>
          </w:p>
        </w:tc>
      </w:tr>
    </w:tbl>
    <w:p>
      <w:pPr>
        <w:spacing w:after="80"/>
      </w:pPr>
    </w:p>
    <w:p>
      <w:pPr>
        <w:pStyle w:val="Heading2"/>
        <w:pBdr>
          <w:bottom w:val="single" w:color="4caf50" w:sz="2" w:space="4"/>
        </w:pBdr>
        <w:spacing w:after="100" w:before="300"/>
      </w:pPr>
      <w:r>
        <w:rPr>
          <w:rFonts w:ascii="Arial" w:cs="Arial" w:eastAsia="Arial" w:hAnsi="Arial"/>
          <w:b/>
          <w:bCs/>
          <w:color w:val="1a4a1a"/>
          <w:sz w:val="28"/>
          <w:szCs w:val="28"/>
        </w:rPr>
        <w:t xml:space="preserve">3.2 Analytical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CCCCCC" w:sz="1"/>
              <w:left w:val="single" w:color="CCCCCC" w:sz="1"/>
              <w:bottom w:val="single" w:color="CCCCCC" w:sz="1"/>
              <w:right w:val="single" w:color="CCCCCC"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Technique</w:t>
            </w:r>
          </w:p>
        </w:tc>
        <w:tc>
          <w:tcPr>
            <w:tcW w:type="dxa" w:w="3560"/>
            <w:tcBorders>
              <w:top w:val="single" w:color="CCCCCC" w:sz="1"/>
              <w:left w:val="single" w:color="CCCCCC" w:sz="1"/>
              <w:bottom w:val="single" w:color="CCCCCC" w:sz="1"/>
              <w:right w:val="single" w:color="CCCCCC"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Formula / Method</w:t>
            </w:r>
          </w:p>
        </w:tc>
        <w:tc>
          <w:tcPr>
            <w:tcW w:type="dxa" w:w="3000"/>
            <w:tcBorders>
              <w:top w:val="single" w:color="CCCCCC" w:sz="1"/>
              <w:left w:val="single" w:color="CCCCCC" w:sz="1"/>
              <w:bottom w:val="single" w:color="CCCCCC" w:sz="1"/>
              <w:right w:val="single" w:color="CCCCCC"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Business Purpose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ABC Classification</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Cumulative revenue % → A/B/C thresholds (70/20/10)</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Portfolio prioritization</w:t>
            </w:r>
          </w:p>
        </w:tc>
      </w:tr>
      <w:tr>
        <w:tc>
          <w:tcPr>
            <w:tcW w:type="dxa" w:w="280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CV Volatility Analysis</w:t>
            </w:r>
          </w:p>
        </w:tc>
        <w:tc>
          <w:tcPr>
            <w:tcW w:type="dxa" w:w="356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CV = Std_Dev(daily_qty) / Mean(daily_qty) × 100</w:t>
            </w:r>
          </w:p>
        </w:tc>
        <w:tc>
          <w:tcPr>
            <w:tcW w:type="dxa" w:w="300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Inventory risk profiling</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Margin Proxy (P10)</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Margin ≈ 1 − P10(unit_price) / Avg(unit_price)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Profitability floor analysis</w:t>
            </w:r>
          </w:p>
        </w:tc>
      </w:tr>
      <w:tr>
        <w:tc>
          <w:tcPr>
            <w:tcW w:type="dxa" w:w="280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Price Variance Index</w:t>
            </w:r>
          </w:p>
        </w:tc>
        <w:tc>
          <w:tcPr>
            <w:tcW w:type="dxa" w:w="356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PVI = Var(unit_price) / (Revenue / Quantity)</w:t>
            </w:r>
          </w:p>
        </w:tc>
        <w:tc>
          <w:tcPr>
            <w:tcW w:type="dxa" w:w="300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Pricing inconsistency detection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X-MR Control Charts</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UCL/LCL = mean ± 2.66 × MR-bar (Shewhart)</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Process stability monitoring</w:t>
            </w:r>
          </w:p>
        </w:tc>
      </w:tr>
      <w:tr>
        <w:tc>
          <w:tcPr>
            <w:tcW w:type="dxa" w:w="280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Dynamic Safety Stock</w:t>
            </w:r>
          </w:p>
        </w:tc>
        <w:tc>
          <w:tcPr>
            <w:tcW w:type="dxa" w:w="356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ROP = Demand_mean × LT + Z × SD × √LT</w:t>
            </w:r>
          </w:p>
        </w:tc>
        <w:tc>
          <w:tcPr>
            <w:tcW w:type="dxa" w:w="300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Demand-responsive ordering</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Risk Stratification</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Score = (CV% + Margin_Gap% + DSLS/10) / 3</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RED/YELLOW/GREEN/BLUE zones</w:t>
            </w:r>
          </w:p>
        </w:tc>
      </w:tr>
      <w:tr>
        <w:tc>
          <w:tcPr>
            <w:tcW w:type="dxa" w:w="280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DSLS Slow-Mover Detection</w:t>
            </w:r>
          </w:p>
        </w:tc>
        <w:tc>
          <w:tcPr>
            <w:tcW w:type="dxa" w:w="356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Days Since Last Sale &gt; 30/90/120 thresholds</w:t>
            </w:r>
          </w:p>
        </w:tc>
        <w:tc>
          <w:tcPr>
            <w:tcW w:type="dxa" w:w="300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Dormant inventory triage</w:t>
            </w:r>
          </w:p>
        </w:tc>
      </w:tr>
    </w:tbl>
    <w:p>
      <w:r>
        <w:br w:type="page"/>
      </w:r>
    </w:p>
    <w:p>
      <w:pPr>
        <w:pStyle w:val="Heading1"/>
        <w:shd w:fill="1a4a1a" w:val="clear"/>
        <w:spacing w:after="120" w:before="360"/>
      </w:pPr>
      <w:r>
        <w:rPr>
          <w:rFonts w:ascii="Arial" w:cs="Arial" w:eastAsia="Arial" w:hAnsi="Arial"/>
          <w:b/>
          <w:bCs/>
          <w:color w:val="FFFFFF"/>
          <w:sz w:val="36"/>
          <w:szCs w:val="36"/>
        </w:rPr>
        <w:t xml:space="preserve">4. Exploratory Data Analysis &amp; Descriptive Statistics</w:t>
      </w:r>
    </w:p>
    <w:p>
      <w:pPr>
        <w:spacing w:after="80"/>
      </w:pPr>
    </w:p>
    <w:p>
      <w:pPr>
        <w:pStyle w:val="Heading2"/>
        <w:pBdr>
          <w:bottom w:val="single" w:color="4caf50" w:sz="2" w:space="4"/>
        </w:pBdr>
        <w:spacing w:after="100" w:before="300"/>
      </w:pPr>
      <w:r>
        <w:rPr>
          <w:rFonts w:ascii="Arial" w:cs="Arial" w:eastAsia="Arial" w:hAnsi="Arial"/>
          <w:b/>
          <w:bCs/>
          <w:color w:val="1a4a1a"/>
          <w:sz w:val="28"/>
          <w:szCs w:val="28"/>
        </w:rPr>
        <w:t xml:space="preserve">4.1 Revenue Composition &amp; Category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1680"/>
        <w:gridCol w:w="1680"/>
      </w:tblGrid>
      <w:tr>
        <w:tc>
          <w:tcPr>
            <w:tcW w:type="dxa" w:w="2200"/>
            <w:tcBorders>
              <w:top w:val="single" w:color="CCCCCC" w:sz="1"/>
              <w:left w:val="single" w:color="CCCCCC" w:sz="1"/>
              <w:bottom w:val="single" w:color="CCCCCC" w:sz="1"/>
              <w:right w:val="single" w:color="CCCCCC"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1800"/>
            <w:tcBorders>
              <w:top w:val="single" w:color="CCCCCC" w:sz="1"/>
              <w:left w:val="single" w:color="CCCCCC" w:sz="1"/>
              <w:bottom w:val="single" w:color="CCCCCC" w:sz="1"/>
              <w:right w:val="single" w:color="CCCCCC"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Revenue (₹)</w:t>
            </w:r>
          </w:p>
        </w:tc>
        <w:tc>
          <w:tcPr>
            <w:tcW w:type="dxa" w:w="2000"/>
            <w:tcBorders>
              <w:top w:val="single" w:color="CCCCCC" w:sz="1"/>
              <w:left w:val="single" w:color="CCCCCC" w:sz="1"/>
              <w:bottom w:val="single" w:color="CCCCCC" w:sz="1"/>
              <w:right w:val="single" w:color="CCCCCC"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Revenue Share</w:t>
            </w:r>
          </w:p>
        </w:tc>
        <w:tc>
          <w:tcPr>
            <w:tcW w:type="dxa" w:w="1680"/>
            <w:tcBorders>
              <w:top w:val="single" w:color="CCCCCC" w:sz="1"/>
              <w:left w:val="single" w:color="CCCCCC" w:sz="1"/>
              <w:bottom w:val="single" w:color="CCCCCC" w:sz="1"/>
              <w:right w:val="single" w:color="CCCCCC"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MoM Trend</w:t>
            </w:r>
          </w:p>
        </w:tc>
        <w:tc>
          <w:tcPr>
            <w:tcW w:type="dxa" w:w="1680"/>
            <w:tcBorders>
              <w:top w:val="single" w:color="CCCCCC" w:sz="1"/>
              <w:left w:val="single" w:color="CCCCCC" w:sz="1"/>
              <w:bottom w:val="single" w:color="CCCCCC" w:sz="1"/>
              <w:right w:val="single" w:color="CCCCCC"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 Margin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Fruits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92,25,180</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1a1a1a"/>
                <w:sz w:val="19"/>
                <w:szCs w:val="19"/>
              </w:rPr>
              <w:t xml:space="preserve">36.3%</w:t>
            </w:r>
          </w:p>
        </w:tc>
        <w:tc>
          <w:tcPr>
            <w:tcW w:type="dxa" w:w="16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c62828"/>
                <w:sz w:val="19"/>
                <w:szCs w:val="19"/>
              </w:rPr>
              <w:t xml:space="preserve">↓ -20.6%</w:t>
            </w:r>
          </w:p>
        </w:tc>
        <w:tc>
          <w:tcPr>
            <w:tcW w:type="dxa" w:w="16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1a1a1a"/>
                <w:sz w:val="19"/>
                <w:szCs w:val="19"/>
              </w:rPr>
              <w:t xml:space="preserve">30%</w:t>
            </w:r>
          </w:p>
        </w:tc>
      </w:tr>
      <w:tr>
        <w:tc>
          <w:tcPr>
            <w:tcW w:type="dxa" w:w="220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Vegetables</w:t>
            </w:r>
          </w:p>
        </w:tc>
        <w:tc>
          <w:tcPr>
            <w:tcW w:type="dxa" w:w="180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89,61,952</w:t>
            </w:r>
          </w:p>
        </w:tc>
        <w:tc>
          <w:tcPr>
            <w:tcW w:type="dxa" w:w="200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center"/>
            </w:pPr>
            <w:r>
              <w:rPr>
                <w:rFonts w:ascii="Arial" w:cs="Arial" w:eastAsia="Arial" w:hAnsi="Arial"/>
                <w:b w:val="false"/>
                <w:bCs w:val="false"/>
                <w:color w:val="1a1a1a"/>
                <w:sz w:val="19"/>
                <w:szCs w:val="19"/>
              </w:rPr>
              <w:t xml:space="preserve">35.3%</w:t>
            </w:r>
          </w:p>
        </w:tc>
        <w:tc>
          <w:tcPr>
            <w:tcW w:type="dxa" w:w="168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center"/>
            </w:pPr>
            <w:r>
              <w:rPr>
                <w:rFonts w:ascii="Arial" w:cs="Arial" w:eastAsia="Arial" w:hAnsi="Arial"/>
                <w:b w:val="false"/>
                <w:bCs w:val="false"/>
                <w:color w:val="2e7d32"/>
                <w:sz w:val="19"/>
                <w:szCs w:val="19"/>
              </w:rPr>
              <w:t xml:space="preserve">↑ +42.8%</w:t>
            </w:r>
          </w:p>
        </w:tc>
        <w:tc>
          <w:tcPr>
            <w:tcW w:type="dxa" w:w="168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center"/>
            </w:pPr>
            <w:r>
              <w:rPr>
                <w:rFonts w:ascii="Arial" w:cs="Arial" w:eastAsia="Arial" w:hAnsi="Arial"/>
                <w:b w:val="false"/>
                <w:bCs w:val="false"/>
                <w:color w:val="1a1a1a"/>
                <w:sz w:val="19"/>
                <w:szCs w:val="19"/>
              </w:rPr>
              <w:t xml:space="preserve">30%</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Dairy</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15,46,264</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1a1a1a"/>
                <w:sz w:val="19"/>
                <w:szCs w:val="19"/>
              </w:rPr>
              <w:t xml:space="preserve">6.1%</w:t>
            </w:r>
          </w:p>
        </w:tc>
        <w:tc>
          <w:tcPr>
            <w:tcW w:type="dxa" w:w="16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1a1a1a"/>
                <w:sz w:val="19"/>
                <w:szCs w:val="19"/>
              </w:rPr>
              <w:t xml:space="preserve">— Stable</w:t>
            </w:r>
          </w:p>
        </w:tc>
        <w:tc>
          <w:tcPr>
            <w:tcW w:type="dxa" w:w="16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1a1a1a"/>
                <w:sz w:val="19"/>
                <w:szCs w:val="19"/>
              </w:rPr>
              <w:t xml:space="preserve">18%</w:t>
            </w:r>
          </w:p>
        </w:tc>
      </w:tr>
      <w:tr>
        <w:tc>
          <w:tcPr>
            <w:tcW w:type="dxa" w:w="220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Snacks</w:t>
            </w:r>
          </w:p>
        </w:tc>
        <w:tc>
          <w:tcPr>
            <w:tcW w:type="dxa" w:w="180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10,90,842</w:t>
            </w:r>
          </w:p>
        </w:tc>
        <w:tc>
          <w:tcPr>
            <w:tcW w:type="dxa" w:w="200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center"/>
            </w:pPr>
            <w:r>
              <w:rPr>
                <w:rFonts w:ascii="Arial" w:cs="Arial" w:eastAsia="Arial" w:hAnsi="Arial"/>
                <w:b w:val="false"/>
                <w:bCs w:val="false"/>
                <w:color w:val="1a1a1a"/>
                <w:sz w:val="19"/>
                <w:szCs w:val="19"/>
              </w:rPr>
              <w:t xml:space="preserve">4.3%</w:t>
            </w:r>
          </w:p>
        </w:tc>
        <w:tc>
          <w:tcPr>
            <w:tcW w:type="dxa" w:w="168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center"/>
            </w:pPr>
            <w:r>
              <w:rPr>
                <w:rFonts w:ascii="Arial" w:cs="Arial" w:eastAsia="Arial" w:hAnsi="Arial"/>
                <w:b w:val="false"/>
                <w:bCs w:val="false"/>
                <w:color w:val="1a1a1a"/>
                <w:sz w:val="19"/>
                <w:szCs w:val="19"/>
              </w:rPr>
              <w:t xml:space="preserve">— Stable</w:t>
            </w:r>
          </w:p>
        </w:tc>
        <w:tc>
          <w:tcPr>
            <w:tcW w:type="dxa" w:w="168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center"/>
            </w:pPr>
            <w:r>
              <w:rPr>
                <w:rFonts w:ascii="Arial" w:cs="Arial" w:eastAsia="Arial" w:hAnsi="Arial"/>
                <w:b w:val="false"/>
                <w:bCs w:val="false"/>
                <w:color w:val="1a1a1a"/>
                <w:sz w:val="19"/>
                <w:szCs w:val="19"/>
              </w:rPr>
              <w:t xml:space="preserve">22%</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Other/Specialty</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17,20,389</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1a1a1a"/>
                <w:sz w:val="19"/>
                <w:szCs w:val="19"/>
              </w:rPr>
              <w:t xml:space="preserve">6.8%</w:t>
            </w:r>
          </w:p>
        </w:tc>
        <w:tc>
          <w:tcPr>
            <w:tcW w:type="dxa" w:w="16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1a1a1a"/>
                <w:sz w:val="19"/>
                <w:szCs w:val="19"/>
              </w:rPr>
              <w:t xml:space="preserve">— Stable</w:t>
            </w:r>
          </w:p>
        </w:tc>
        <w:tc>
          <w:tcPr>
            <w:tcW w:type="dxa" w:w="16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1a1a1a"/>
                <w:sz w:val="19"/>
                <w:szCs w:val="19"/>
              </w:rPr>
              <w:t xml:space="preserve">25%+</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b71c1c"/>
                <w:sz w:val="19"/>
                <w:szCs w:val="19"/>
              </w:rPr>
              <w:t xml:space="preserve">Unknown (Data Gap)</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28,49,200*</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1a1a1a"/>
                <w:sz w:val="19"/>
                <w:szCs w:val="19"/>
              </w:rPr>
              <w:t xml:space="preserve">11.3%</w:t>
            </w:r>
          </w:p>
        </w:tc>
        <w:tc>
          <w:tcPr>
            <w:tcW w:type="dxa" w:w="16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1a1a1a"/>
                <w:sz w:val="19"/>
                <w:szCs w:val="19"/>
              </w:rPr>
              <w:t xml:space="preserve">↑ +3.0%</w:t>
            </w:r>
          </w:p>
        </w:tc>
        <w:tc>
          <w:tcPr>
            <w:tcW w:type="dxa" w:w="16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1a1a1a"/>
                <w:sz w:val="19"/>
                <w:szCs w:val="19"/>
              </w:rPr>
              <w:t xml:space="preserve">N/A</w:t>
            </w:r>
          </w:p>
        </w:tc>
      </w:tr>
    </w:tbl>
    <w:p>
      <w:pPr>
        <w:spacing w:after="140" w:line="320"/>
        <w:jc w:val="both"/>
      </w:pPr>
      <w:r>
        <w:rPr>
          <w:rFonts w:ascii="Arial" w:cs="Arial" w:eastAsia="Arial" w:hAnsi="Arial"/>
          <w:b w:val="false"/>
          <w:bCs w:val="false"/>
          <w:i/>
          <w:iCs/>
          <w:color w:val="1a1a1a"/>
          <w:sz w:val="22"/>
          <w:szCs w:val="22"/>
        </w:rPr>
        <w:t xml:space="preserve">*Note: "Unknown" category represents products not yet mapped to canonical taxonomy. Full EDA showed 40.28% unclassified in early analysis; refined 3-layer algorithm reduced this significantly in final dataset.</w:t>
      </w:r>
    </w:p>
    <w:p>
      <w:pPr>
        <w:spacing w:after="80"/>
      </w:pPr>
    </w:p>
    <w:p>
      <w:pPr>
        <w:pStyle w:val="Heading2"/>
        <w:pBdr>
          <w:bottom w:val="single" w:color="4caf50" w:sz="2" w:space="4"/>
        </w:pBdr>
        <w:spacing w:after="100" w:before="300"/>
      </w:pPr>
      <w:r>
        <w:rPr>
          <w:rFonts w:ascii="Arial" w:cs="Arial" w:eastAsia="Arial" w:hAnsi="Arial"/>
          <w:b/>
          <w:bCs/>
          <w:color w:val="1a4a1a"/>
          <w:sz w:val="28"/>
          <w:szCs w:val="28"/>
        </w:rPr>
        <w:t xml:space="preserve">4.2 ABC Classification Results (Pareto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160"/>
        <w:gridCol w:w="1680"/>
        <w:gridCol w:w="1440"/>
        <w:gridCol w:w="1200"/>
      </w:tblGrid>
      <w:tr>
        <w:tc>
          <w:tcPr>
            <w:tcW w:type="dxa" w:w="1440"/>
            <w:tcBorders>
              <w:top w:val="single" w:color="CCCCCC" w:sz="1"/>
              <w:left w:val="single" w:color="CCCCCC" w:sz="1"/>
              <w:bottom w:val="single" w:color="CCCCCC" w:sz="1"/>
              <w:right w:val="single" w:color="CCCCCC"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w:t>
            </w:r>
          </w:p>
        </w:tc>
        <w:tc>
          <w:tcPr>
            <w:tcW w:type="dxa" w:w="1440"/>
            <w:tcBorders>
              <w:top w:val="single" w:color="CCCCCC" w:sz="1"/>
              <w:left w:val="single" w:color="CCCCCC" w:sz="1"/>
              <w:bottom w:val="single" w:color="CCCCCC" w:sz="1"/>
              <w:right w:val="single" w:color="CCCCCC"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SKUs</w:t>
            </w:r>
          </w:p>
        </w:tc>
        <w:tc>
          <w:tcPr>
            <w:tcW w:type="dxa" w:w="2160"/>
            <w:tcBorders>
              <w:top w:val="single" w:color="CCCCCC" w:sz="1"/>
              <w:left w:val="single" w:color="CCCCCC" w:sz="1"/>
              <w:bottom w:val="single" w:color="CCCCCC" w:sz="1"/>
              <w:right w:val="single" w:color="CCCCCC"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Revenue</w:t>
            </w:r>
          </w:p>
        </w:tc>
        <w:tc>
          <w:tcPr>
            <w:tcW w:type="dxa" w:w="1680"/>
            <w:tcBorders>
              <w:top w:val="single" w:color="CCCCCC" w:sz="1"/>
              <w:left w:val="single" w:color="CCCCCC" w:sz="1"/>
              <w:bottom w:val="single" w:color="CCCCCC" w:sz="1"/>
              <w:right w:val="single" w:color="CCCCCC"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 Share</w:t>
            </w:r>
          </w:p>
        </w:tc>
        <w:tc>
          <w:tcPr>
            <w:tcW w:type="dxa" w:w="1440"/>
            <w:tcBorders>
              <w:top w:val="single" w:color="CCCCCC" w:sz="1"/>
              <w:left w:val="single" w:color="CCCCCC" w:sz="1"/>
              <w:bottom w:val="single" w:color="CCCCCC" w:sz="1"/>
              <w:right w:val="single" w:color="CCCCCC"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Rev/SKU</w:t>
            </w:r>
          </w:p>
        </w:tc>
        <w:tc>
          <w:tcPr>
            <w:tcW w:type="dxa" w:w="1200"/>
            <w:tcBorders>
              <w:top w:val="single" w:color="CCCCCC" w:sz="1"/>
              <w:left w:val="single" w:color="CCCCCC" w:sz="1"/>
              <w:bottom w:val="single" w:color="CCCCCC" w:sz="1"/>
              <w:right w:val="single" w:color="CCCCCC"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Margin</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2e7d32"/>
                <w:sz w:val="19"/>
                <w:szCs w:val="19"/>
              </w:rPr>
              <w:t xml:space="preserve">A</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652 (20%)</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₹1,78,32,847</w:t>
            </w:r>
          </w:p>
        </w:tc>
        <w:tc>
          <w:tcPr>
            <w:tcW w:type="dxa" w:w="16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1a1a1a"/>
                <w:sz w:val="19"/>
                <w:szCs w:val="19"/>
              </w:rPr>
              <w:t xml:space="preserve">70.2%</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₹2.73L</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1a1a1a"/>
                <w:sz w:val="19"/>
                <w:szCs w:val="19"/>
              </w:rPr>
              <w:t xml:space="preserve">23.1%</w:t>
            </w:r>
          </w:p>
        </w:tc>
      </w:tr>
      <w:tr>
        <w:tc>
          <w:tcPr>
            <w:tcW w:type="dxa" w:w="144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bCs/>
                <w:color w:val="f57f17"/>
                <w:sz w:val="19"/>
                <w:szCs w:val="19"/>
              </w:rPr>
              <w:t xml:space="preserve">B</w:t>
            </w:r>
          </w:p>
        </w:tc>
        <w:tc>
          <w:tcPr>
            <w:tcW w:type="dxa" w:w="144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950 (29%)</w:t>
            </w:r>
          </w:p>
        </w:tc>
        <w:tc>
          <w:tcPr>
            <w:tcW w:type="dxa" w:w="216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₹50,84,218</w:t>
            </w:r>
          </w:p>
        </w:tc>
        <w:tc>
          <w:tcPr>
            <w:tcW w:type="dxa" w:w="168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center"/>
            </w:pPr>
            <w:r>
              <w:rPr>
                <w:rFonts w:ascii="Arial" w:cs="Arial" w:eastAsia="Arial" w:hAnsi="Arial"/>
                <w:b w:val="false"/>
                <w:bCs w:val="false"/>
                <w:color w:val="1a1a1a"/>
                <w:sz w:val="19"/>
                <w:szCs w:val="19"/>
              </w:rPr>
              <w:t xml:space="preserve">20.0%</w:t>
            </w:r>
          </w:p>
        </w:tc>
        <w:tc>
          <w:tcPr>
            <w:tcW w:type="dxa" w:w="144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₹53.5K</w:t>
            </w:r>
          </w:p>
        </w:tc>
        <w:tc>
          <w:tcPr>
            <w:tcW w:type="dxa" w:w="120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center"/>
            </w:pPr>
            <w:r>
              <w:rPr>
                <w:rFonts w:ascii="Arial" w:cs="Arial" w:eastAsia="Arial" w:hAnsi="Arial"/>
                <w:b w:val="false"/>
                <w:bCs w:val="false"/>
                <w:color w:val="1a1a1a"/>
                <w:sz w:val="19"/>
                <w:szCs w:val="19"/>
              </w:rPr>
              <w:t xml:space="preserve">19.3%</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c62828"/>
                <w:sz w:val="19"/>
                <w:szCs w:val="19"/>
              </w:rPr>
              <w:t xml:space="preserve">C</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1,645 (51%)</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₹24,76,762</w:t>
            </w:r>
          </w:p>
        </w:tc>
        <w:tc>
          <w:tcPr>
            <w:tcW w:type="dxa" w:w="16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1a1a1a"/>
                <w:sz w:val="19"/>
                <w:szCs w:val="19"/>
              </w:rPr>
              <w:t xml:space="preserve">9.8%</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₹15.1K</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1a1a1a"/>
                <w:sz w:val="19"/>
                <w:szCs w:val="19"/>
              </w:rPr>
              <w:t xml:space="preserve">21.2%</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TOTAL</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3,247</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₹2,53,93,827</w:t>
            </w:r>
          </w:p>
        </w:tc>
        <w:tc>
          <w:tcPr>
            <w:tcW w:type="dxa" w:w="16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1a1a1a"/>
                <w:sz w:val="19"/>
                <w:szCs w:val="19"/>
              </w:rPr>
              <w:t xml:space="preserve">100%</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₹78.2K</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1a1a1a"/>
                <w:sz w:val="19"/>
                <w:szCs w:val="19"/>
              </w:rPr>
              <w:t xml:space="preserve">21.4%</w:t>
            </w:r>
          </w:p>
        </w:tc>
      </w:tr>
    </w:tbl>
    <w:p>
      <w:pPr>
        <w:spacing w:after="80"/>
      </w:pPr>
    </w:p>
    <w:p>
      <w:pPr>
        <w:pStyle w:val="Heading2"/>
        <w:pBdr>
          <w:bottom w:val="single" w:color="4caf50" w:sz="2" w:space="4"/>
        </w:pBdr>
        <w:spacing w:after="100" w:before="300"/>
      </w:pPr>
      <w:r>
        <w:rPr>
          <w:rFonts w:ascii="Arial" w:cs="Arial" w:eastAsia="Arial" w:hAnsi="Arial"/>
          <w:b/>
          <w:bCs/>
          <w:color w:val="1a4a1a"/>
          <w:sz w:val="28"/>
          <w:szCs w:val="28"/>
        </w:rPr>
        <w:t xml:space="preserve">4.3 Demand Volatility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560"/>
        <w:gridCol w:w="1440"/>
        <w:gridCol w:w="1800"/>
        <w:gridCol w:w="1800"/>
        <w:gridCol w:w="600"/>
      </w:tblGrid>
      <w:tr>
        <w:tc>
          <w:tcPr>
            <w:tcW w:type="dxa" w:w="2160"/>
            <w:tcBorders>
              <w:top w:val="single" w:color="CCCCCC" w:sz="1"/>
              <w:left w:val="single" w:color="CCCCCC" w:sz="1"/>
              <w:bottom w:val="single" w:color="CCCCCC" w:sz="1"/>
              <w:right w:val="single" w:color="CCCCCC"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w:t>
            </w:r>
          </w:p>
        </w:tc>
        <w:tc>
          <w:tcPr>
            <w:tcW w:type="dxa" w:w="1560"/>
            <w:tcBorders>
              <w:top w:val="single" w:color="CCCCCC" w:sz="1"/>
              <w:left w:val="single" w:color="CCCCCC" w:sz="1"/>
              <w:bottom w:val="single" w:color="CCCCCC" w:sz="1"/>
              <w:right w:val="single" w:color="CCCCCC"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CV Range</w:t>
            </w:r>
          </w:p>
        </w:tc>
        <w:tc>
          <w:tcPr>
            <w:tcW w:type="dxa" w:w="1440"/>
            <w:tcBorders>
              <w:top w:val="single" w:color="CCCCCC" w:sz="1"/>
              <w:left w:val="single" w:color="CCCCCC" w:sz="1"/>
              <w:bottom w:val="single" w:color="CCCCCC" w:sz="1"/>
              <w:right w:val="single" w:color="CCCCCC"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SKU Count</w:t>
            </w:r>
          </w:p>
        </w:tc>
        <w:tc>
          <w:tcPr>
            <w:tcW w:type="dxa" w:w="1800"/>
            <w:tcBorders>
              <w:top w:val="single" w:color="CCCCCC" w:sz="1"/>
              <w:left w:val="single" w:color="CCCCCC" w:sz="1"/>
              <w:bottom w:val="single" w:color="CCCCCC" w:sz="1"/>
              <w:right w:val="single" w:color="CCCCCC"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Stockouts/mo</w:t>
            </w:r>
          </w:p>
        </w:tc>
        <w:tc>
          <w:tcPr>
            <w:tcW w:type="dxa" w:w="1800"/>
            <w:tcBorders>
              <w:top w:val="single" w:color="CCCCCC" w:sz="1"/>
              <w:left w:val="single" w:color="CCCCCC" w:sz="1"/>
              <w:bottom w:val="single" w:color="CCCCCC" w:sz="1"/>
              <w:right w:val="single" w:color="CCCCCC"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 Monthly Cost</w:t>
            </w:r>
          </w:p>
        </w:tc>
        <w:tc>
          <w:tcPr>
            <w:tcW w:type="dxa" w:w="600"/>
            <w:tcBorders>
              <w:top w:val="single" w:color="CCCCCC" w:sz="1"/>
              <w:left w:val="single" w:color="CCCCCC" w:sz="1"/>
              <w:bottom w:val="single" w:color="CCCCCC" w:sz="1"/>
              <w:right w:val="single" w:color="CCCCCC"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r>
      <w:tr>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2e7d32"/>
                <w:sz w:val="19"/>
                <w:szCs w:val="19"/>
              </w:rPr>
              <w:t xml:space="preserve">Stable</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&lt;12%</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1a1a1a"/>
                <w:sz w:val="19"/>
                <w:szCs w:val="19"/>
              </w:rPr>
              <w:t xml:space="preserve">1,948</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1a1a1a"/>
                <w:sz w:val="19"/>
                <w:szCs w:val="19"/>
              </w:rPr>
              <w:t xml:space="preserve">0.3</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1a1a1a"/>
                <w:sz w:val="19"/>
                <w:szCs w:val="19"/>
              </w:rPr>
              <w:t xml:space="preserve">₹2,100</w:t>
            </w:r>
          </w:p>
        </w:tc>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60%</w:t>
            </w:r>
          </w:p>
        </w:tc>
      </w:tr>
      <w:tr>
        <w:tc>
          <w:tcPr>
            <w:tcW w:type="dxa" w:w="216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bCs/>
                <w:color w:val="e65100"/>
                <w:sz w:val="19"/>
                <w:szCs w:val="19"/>
              </w:rPr>
              <w:t xml:space="preserve">Moderate</w:t>
            </w:r>
          </w:p>
        </w:tc>
        <w:tc>
          <w:tcPr>
            <w:tcW w:type="dxa" w:w="156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12–25%</w:t>
            </w:r>
          </w:p>
        </w:tc>
        <w:tc>
          <w:tcPr>
            <w:tcW w:type="dxa" w:w="144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center"/>
            </w:pPr>
            <w:r>
              <w:rPr>
                <w:rFonts w:ascii="Arial" w:cs="Arial" w:eastAsia="Arial" w:hAnsi="Arial"/>
                <w:b w:val="false"/>
                <w:bCs w:val="false"/>
                <w:color w:val="1a1a1a"/>
                <w:sz w:val="19"/>
                <w:szCs w:val="19"/>
              </w:rPr>
              <w:t xml:space="preserve">553</w:t>
            </w:r>
          </w:p>
        </w:tc>
        <w:tc>
          <w:tcPr>
            <w:tcW w:type="dxa" w:w="180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center"/>
            </w:pPr>
            <w:r>
              <w:rPr>
                <w:rFonts w:ascii="Arial" w:cs="Arial" w:eastAsia="Arial" w:hAnsi="Arial"/>
                <w:b w:val="false"/>
                <w:bCs w:val="false"/>
                <w:color w:val="1a1a1a"/>
                <w:sz w:val="19"/>
                <w:szCs w:val="19"/>
              </w:rPr>
              <w:t xml:space="preserve">1.4</w:t>
            </w:r>
          </w:p>
        </w:tc>
        <w:tc>
          <w:tcPr>
            <w:tcW w:type="dxa" w:w="180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center"/>
            </w:pPr>
            <w:r>
              <w:rPr>
                <w:rFonts w:ascii="Arial" w:cs="Arial" w:eastAsia="Arial" w:hAnsi="Arial"/>
                <w:b w:val="false"/>
                <w:bCs w:val="false"/>
                <w:color w:val="1a1a1a"/>
                <w:sz w:val="19"/>
                <w:szCs w:val="19"/>
              </w:rPr>
              <w:t xml:space="preserve">₹4,200</w:t>
            </w:r>
          </w:p>
        </w:tc>
        <w:tc>
          <w:tcPr>
            <w:tcW w:type="dxa" w:w="60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17%</w:t>
            </w:r>
          </w:p>
        </w:tc>
      </w:tr>
      <w:tr>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c62828"/>
                <w:sz w:val="19"/>
                <w:szCs w:val="19"/>
              </w:rPr>
              <w:t xml:space="preserve">High Volatility</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&gt;25%</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1a1a1a"/>
                <w:sz w:val="19"/>
                <w:szCs w:val="19"/>
              </w:rPr>
              <w:t xml:space="preserve">746</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1a1a1a"/>
                <w:sz w:val="19"/>
                <w:szCs w:val="19"/>
              </w:rPr>
              <w:t xml:space="preserve">3.2</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c62828"/>
                <w:sz w:val="19"/>
                <w:szCs w:val="19"/>
              </w:rPr>
              <w:t xml:space="preserve">₹18,700</w:t>
            </w:r>
          </w:p>
        </w:tc>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23%</w:t>
            </w:r>
          </w:p>
        </w:tc>
      </w:tr>
    </w:tbl>
    <w:p>
      <w:r>
        <w:br w:type="page"/>
      </w:r>
    </w:p>
    <w:p>
      <w:pPr>
        <w:pStyle w:val="Heading1"/>
        <w:shd w:fill="1a4a1a" w:val="clear"/>
        <w:spacing w:after="120" w:before="360"/>
      </w:pPr>
      <w:r>
        <w:rPr>
          <w:rFonts w:ascii="Arial" w:cs="Arial" w:eastAsia="Arial" w:hAnsi="Arial"/>
          <w:b/>
          <w:bCs/>
          <w:color w:val="FFFFFF"/>
          <w:sz w:val="36"/>
          <w:szCs w:val="36"/>
        </w:rPr>
        <w:t xml:space="preserve">5. Key Insights &amp; Findings</w:t>
      </w:r>
    </w:p>
    <w:p>
      <w:pPr>
        <w:spacing w:after="80"/>
      </w:pPr>
    </w:p>
    <w:p>
      <w:pPr>
        <w:pStyle w:val="Heading2"/>
        <w:pBdr>
          <w:bottom w:val="single" w:color="4caf50" w:sz="2" w:space="4"/>
        </w:pBdr>
        <w:spacing w:after="100" w:before="300"/>
      </w:pPr>
      <w:r>
        <w:rPr>
          <w:rFonts w:ascii="Arial" w:cs="Arial" w:eastAsia="Arial" w:hAnsi="Arial"/>
          <w:b/>
          <w:bCs/>
          <w:color w:val="1a4a1a"/>
          <w:sz w:val="28"/>
          <w:szCs w:val="28"/>
        </w:rPr>
        <w:t xml:space="preserve">5.1 Portfolio Insight: The Long-Tail Problem</w:t>
      </w:r>
    </w:p>
    <w:p>
      <w:pPr>
        <w:spacing w:after="140" w:line="320"/>
        <w:jc w:val="both"/>
      </w:pPr>
      <w:r>
        <w:rPr>
          <w:rFonts w:ascii="Arial" w:cs="Arial" w:eastAsia="Arial" w:hAnsi="Arial"/>
          <w:b w:val="false"/>
          <w:bCs w:val="false"/>
          <w:i w:val="false"/>
          <w:iCs w:val="false"/>
          <w:color w:val="1a1a1a"/>
          <w:sz w:val="22"/>
          <w:szCs w:val="22"/>
        </w:rPr>
        <w:t xml:space="preserve">The ABC classification reveals a classic but extreme Pareto imbalance. 652 Class A products (20% of SKUs) generate 70.2% of revenue, averaging ₹2.73 lakhs per SKU. Meanwhile, 1,645 Class C products (51% of SKUs) contribute only 9.8% of revenue at ₹15.1K per SKU. This "long tail" creates procurement fragmentation, increases supplier complexity, and ties capital into products that generate minimal returns.</w:t>
      </w:r>
    </w:p>
    <w:p>
      <w:pPr>
        <w:spacing w:after="140" w:line="320"/>
        <w:jc w:val="both"/>
      </w:pPr>
      <w:r>
        <w:rPr>
          <w:rFonts w:ascii="Arial" w:cs="Arial" w:eastAsia="Arial" w:hAnsi="Arial"/>
          <w:b w:val="false"/>
          <w:bCs w:val="false"/>
          <w:i w:val="false"/>
          <w:iCs w:val="false"/>
          <w:color w:val="1a1a1a"/>
          <w:sz w:val="22"/>
          <w:szCs w:val="22"/>
        </w:rPr>
        <w:t xml:space="preserve">Top revenue-generating Class A products include: ANAR (₹12.98L), APPLE ROYAL GALA (₹10.37L), TOMATO LOCAL (₹8.15L), and BANGINAPALLI MANGO (₹6.70L). These products require zero-stockout guarantees and daily monitoring.</w:t>
      </w:r>
    </w:p>
    <w:p>
      <w:pPr>
        <w:pStyle w:val="Heading2"/>
        <w:pBdr>
          <w:bottom w:val="single" w:color="4caf50" w:sz="2" w:space="4"/>
        </w:pBdr>
        <w:spacing w:after="100" w:before="300"/>
      </w:pPr>
      <w:r>
        <w:rPr>
          <w:rFonts w:ascii="Arial" w:cs="Arial" w:eastAsia="Arial" w:hAnsi="Arial"/>
          <w:b/>
          <w:bCs/>
          <w:color w:val="1a4a1a"/>
          <w:sz w:val="28"/>
          <w:szCs w:val="28"/>
        </w:rPr>
        <w:t xml:space="preserve">5.2 Pricing Insight: The Consistency Crisis</w:t>
      </w:r>
    </w:p>
    <w:p>
      <w:pPr>
        <w:spacing w:after="140" w:line="320"/>
        <w:jc w:val="both"/>
      </w:pPr>
      <w:r>
        <w:rPr>
          <w:rFonts w:ascii="Arial" w:cs="Arial" w:eastAsia="Arial" w:hAnsi="Arial"/>
          <w:b w:val="false"/>
          <w:bCs w:val="false"/>
          <w:i w:val="false"/>
          <w:iCs w:val="false"/>
          <w:color w:val="1a1a1a"/>
          <w:sz w:val="22"/>
          <w:szCs w:val="22"/>
        </w:rPr>
        <w:t xml:space="preserve">Investigation of transaction-level pricing data reveals three systematic drivers of pricing inconsistency. First, 23 products exhibit &gt;15% unit price spread not correlated with seasonality or quality grades — evidence of cashier-level discretion with no system enforcement. Second, ASPARAGUS transactions show prices ₹180, ₹210, ₹450, and ₹625 for the same product code. Third, supplier cost fluctuations during monsoon supply disruptions are absorbed as margin compression rather than being passed to customers systematically.</w:t>
      </w:r>
    </w:p>
    <w:p>
      <w:pPr>
        <w:pStyle w:val="Heading2"/>
        <w:pBdr>
          <w:bottom w:val="single" w:color="4caf50" w:sz="2" w:space="4"/>
        </w:pBdr>
        <w:spacing w:after="100" w:before="300"/>
      </w:pPr>
      <w:r>
        <w:rPr>
          <w:rFonts w:ascii="Arial" w:cs="Arial" w:eastAsia="Arial" w:hAnsi="Arial"/>
          <w:b/>
          <w:bCs/>
          <w:color w:val="1a4a1a"/>
          <w:sz w:val="28"/>
          <w:szCs w:val="28"/>
        </w:rPr>
        <w:t xml:space="preserve">5.3 Margin Insight: The Silent Profit Drain</w:t>
      </w:r>
    </w:p>
    <w:p>
      <w:pPr>
        <w:spacing w:after="140" w:line="320"/>
        <w:jc w:val="both"/>
      </w:pPr>
      <w:r>
        <w:rPr>
          <w:rFonts w:ascii="Arial" w:cs="Arial" w:eastAsia="Arial" w:hAnsi="Arial"/>
          <w:b w:val="false"/>
          <w:bCs w:val="false"/>
          <w:i w:val="false"/>
          <w:iCs w:val="false"/>
          <w:color w:val="1a1a1a"/>
          <w:sz w:val="22"/>
          <w:szCs w:val="22"/>
        </w:rPr>
        <w:t xml:space="preserve">Margin stratification reveals 869 products below the 20% threshold. The severity varies: 95 products have negative estimated margins (immediate action required), 751 products operate at 5–15% (high priority repricing), and 23 products at 15–20% (monitoring). The estimated monthly margin-at-risk of ₹22.4 lakhs represents the most significant financial improvement opportunity in the portfolio.</w:t>
      </w:r>
    </w:p>
    <w:p>
      <w:pPr>
        <w:pStyle w:val="Heading2"/>
        <w:pBdr>
          <w:bottom w:val="single" w:color="4caf50" w:sz="2" w:space="4"/>
        </w:pBdr>
        <w:spacing w:after="100" w:before="300"/>
      </w:pPr>
      <w:r>
        <w:rPr>
          <w:rFonts w:ascii="Arial" w:cs="Arial" w:eastAsia="Arial" w:hAnsi="Arial"/>
          <w:b/>
          <w:bCs/>
          <w:color w:val="1a4a1a"/>
          <w:sz w:val="28"/>
          <w:szCs w:val="28"/>
        </w:rPr>
        <w:t xml:space="preserve">5.4 Volatility Insight: The Perishables Paradox</w:t>
      </w:r>
    </w:p>
    <w:p>
      <w:pPr>
        <w:spacing w:after="140" w:line="320"/>
        <w:jc w:val="both"/>
      </w:pPr>
      <w:r>
        <w:rPr>
          <w:rFonts w:ascii="Arial" w:cs="Arial" w:eastAsia="Arial" w:hAnsi="Arial"/>
          <w:b w:val="false"/>
          <w:bCs w:val="false"/>
          <w:i w:val="false"/>
          <w:iCs w:val="false"/>
          <w:color w:val="1a1a1a"/>
          <w:sz w:val="22"/>
          <w:szCs w:val="22"/>
        </w:rPr>
        <w:t xml:space="preserve">High-volatility products impose two simultaneous costs: lost sales from stockouts AND wastage from overstock. For perishables, this is structurally unavoidable without dynamic ordering. The September CV spike to 3.59 (vs. April baseline 1.93) coincides with festival season (Ganesh Chaturthi, Onam) — a predictable seasonal event that should be incorporated into annual demand planning.</w:t>
      </w:r>
    </w:p>
    <w:p>
      <w:pPr>
        <w:pStyle w:val="Heading2"/>
        <w:pBdr>
          <w:bottom w:val="single" w:color="4caf50" w:sz="2" w:space="4"/>
        </w:pBdr>
        <w:spacing w:after="100" w:before="300"/>
      </w:pPr>
      <w:r>
        <w:rPr>
          <w:rFonts w:ascii="Arial" w:cs="Arial" w:eastAsia="Arial" w:hAnsi="Arial"/>
          <w:b/>
          <w:bCs/>
          <w:color w:val="1a4a1a"/>
          <w:sz w:val="28"/>
          <w:szCs w:val="28"/>
        </w:rPr>
        <w:t xml:space="preserve">5.5 Seasonality Insight: August-September Revenue Lift</w:t>
      </w:r>
    </w:p>
    <w:p>
      <w:pPr>
        <w:spacing w:after="140" w:line="320"/>
        <w:jc w:val="both"/>
      </w:pPr>
      <w:r>
        <w:rPr>
          <w:rFonts w:ascii="Arial" w:cs="Arial" w:eastAsia="Arial" w:hAnsi="Arial"/>
          <w:b w:val="false"/>
          <w:bCs w:val="false"/>
          <w:i w:val="false"/>
          <w:iCs w:val="false"/>
          <w:color w:val="1a1a1a"/>
          <w:sz w:val="22"/>
          <w:szCs w:val="22"/>
        </w:rPr>
        <w:t xml:space="preserve">Time-series analysis identifies a consistent August-September revenue elevation of +12% above the April-May baseline. This uplift correlates with South Indian festival season (Ganesh Chaturthi, Onam, Navratri). Category-specific decomposition shows the lift is concentrated in Fruits (+18%) and specialty items (+22%), while vegetables remain elevated year-round due to daily cooking staple demand.</w:t>
      </w:r>
    </w:p>
    <w:p>
      <w:r>
        <w:br w:type="page"/>
      </w:r>
    </w:p>
    <w:p>
      <w:pPr>
        <w:pStyle w:val="Heading1"/>
        <w:shd w:fill="1a4a1a" w:val="clear"/>
        <w:spacing w:after="120" w:before="360"/>
      </w:pPr>
      <w:r>
        <w:rPr>
          <w:rFonts w:ascii="Arial" w:cs="Arial" w:eastAsia="Arial" w:hAnsi="Arial"/>
          <w:b/>
          <w:bCs/>
          <w:color w:val="FFFFFF"/>
          <w:sz w:val="36"/>
          <w:szCs w:val="36"/>
        </w:rPr>
        <w:t xml:space="preserve">6. Strategic Recommendations</w:t>
      </w:r>
    </w:p>
    <w:p>
      <w:pPr>
        <w:spacing w:after="80"/>
      </w:pPr>
    </w:p>
    <w:p>
      <w:pPr>
        <w:spacing w:after="140" w:line="320"/>
        <w:jc w:val="both"/>
      </w:pPr>
      <w:r>
        <w:rPr>
          <w:rFonts w:ascii="Arial" w:cs="Arial" w:eastAsia="Arial" w:hAnsi="Arial"/>
          <w:b w:val="false"/>
          <w:bCs w:val="false"/>
          <w:i w:val="false"/>
          <w:iCs w:val="false"/>
          <w:color w:val="1a1a1a"/>
          <w:sz w:val="22"/>
          <w:szCs w:val="22"/>
        </w:rPr>
        <w:t xml:space="preserve">The three-pillar optimization framework is designed for sequential implementation, with each pillar building on the foundation established by the prior. The sequencing — data fix first, operational stabilization second, structural optimization third — maximizes near-term financial recovery while enabling sustainable, data-driven operations.</w:t>
      </w:r>
    </w:p>
    <w:p>
      <w:pPr>
        <w:spacing w:after="80"/>
      </w:pPr>
    </w:p>
    <w:p>
      <w:pPr>
        <w:pStyle w:val="Heading2"/>
        <w:pBdr>
          <w:bottom w:val="single" w:color="4caf50" w:sz="2" w:space="4"/>
        </w:pBdr>
        <w:spacing w:after="100" w:before="300"/>
      </w:pPr>
      <w:r>
        <w:rPr>
          <w:rFonts w:ascii="Arial" w:cs="Arial" w:eastAsia="Arial" w:hAnsi="Arial"/>
          <w:b/>
          <w:bCs/>
          <w:color w:val="1a4a1a"/>
          <w:sz w:val="28"/>
          <w:szCs w:val="28"/>
        </w:rPr>
        <w:t xml:space="preserve">Pillar 1: SKU Portfolio Rationalization (Weeks 1–12)</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
        <w:gridCol w:w="9160"/>
      </w:tblGrid>
      <w:tr>
        <w:tc>
          <w:tcPr>
            <w:tcW w:type="dxa" w:w="200"/>
            <w:tcBorders>
              <w:top w:val="single" w:color="CCCCCC" w:sz="1"/>
              <w:left w:val="single" w:color="CCCCCC" w:sz="1"/>
              <w:bottom w:val="single" w:color="CCCCCC" w:sz="1"/>
              <w:right w:val="single" w:color="CCCCCC" w:sz="1"/>
            </w:tcBorders>
            <w:shd w:fill="2d6a2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TARGET</w:t>
            </w:r>
          </w:p>
        </w:tc>
        <w:tc>
          <w:tcPr>
            <w:tcW w:type="dxa" w:w="91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pPr>
              <w:spacing w:after="60"/>
            </w:pPr>
            <w:r>
              <w:rPr>
                <w:rFonts w:ascii="Arial" w:cs="Arial" w:eastAsia="Arial" w:hAnsi="Arial"/>
                <w:sz w:val="20"/>
                <w:szCs w:val="20"/>
              </w:rPr>
              <w:t xml:space="preserve">3,247 → 1,800 active SKUs (44% reduction)</w:t>
            </w:r>
          </w:p>
          <w:p>
            <w:pPr>
              <w:spacing w:after="60"/>
            </w:pPr>
            <w:r>
              <w:rPr>
                <w:rFonts w:ascii="Arial" w:cs="Arial" w:eastAsia="Arial" w:hAnsi="Arial"/>
                <w:sz w:val="20"/>
                <w:szCs w:val="20"/>
              </w:rPr>
              <w:t xml:space="preserve">Revenue per SKU: ₹7,818 → ₹14,108 (+80%)</w:t>
            </w:r>
          </w:p>
          <w:p>
            <w:pPr>
              <w:spacing w:after="60"/>
            </w:pPr>
            <w:r>
              <w:rPr>
                <w:rFonts w:ascii="Arial" w:cs="Arial" w:eastAsia="Arial" w:hAnsi="Arial"/>
                <w:sz w:val="20"/>
                <w:szCs w:val="20"/>
              </w:rPr>
              <w:t xml:space="preserve">Purchasing overhead: −15%  ·  Financial impact: ₹12–18L annual</w:t>
            </w:r>
          </w:p>
        </w:tc>
      </w:tr>
    </w:tbl>
    <w:p>
      <w:pPr>
        <w:pStyle w:val="ListParagraph"/>
        <w:numPr>
          <w:ilvl w:val="0"/>
          <w:numId w:val="2"/>
        </w:numPr>
        <w:spacing w:after="80"/>
      </w:pPr>
      <w:r>
        <w:rPr>
          <w:rFonts w:ascii="Arial" w:cs="Arial" w:eastAsia="Arial" w:hAnsi="Arial"/>
          <w:sz w:val="22"/>
          <w:szCs w:val="22"/>
        </w:rPr>
        <w:t xml:space="preserve">Phase 1 (Week 1–4): Flag 200 lowest performers (&lt;₹4K/6-month revenue; &lt;4 total transactions) for liquidation at 25–40% discount.</w:t>
      </w:r>
    </w:p>
    <w:p>
      <w:pPr>
        <w:pStyle w:val="ListParagraph"/>
        <w:numPr>
          <w:ilvl w:val="0"/>
          <w:numId w:val="2"/>
        </w:numPr>
        <w:spacing w:after="80"/>
      </w:pPr>
      <w:r>
        <w:rPr>
          <w:rFonts w:ascii="Arial" w:cs="Arial" w:eastAsia="Arial" w:hAnsi="Arial"/>
          <w:sz w:val="22"/>
          <w:szCs w:val="22"/>
        </w:rPr>
        <w:t xml:space="preserve">Phase 2 (Week 5–8): Discontinue 600 Class C products with DSLS &gt;90 days or declining 3-month trend; communicate substitutes to affected customers.</w:t>
      </w:r>
    </w:p>
    <w:p>
      <w:pPr>
        <w:pStyle w:val="ListParagraph"/>
        <w:numPr>
          <w:ilvl w:val="0"/>
          <w:numId w:val="2"/>
        </w:numPr>
        <w:spacing w:after="80"/>
      </w:pPr>
      <w:r>
        <w:rPr>
          <w:rFonts w:ascii="Arial" w:cs="Arial" w:eastAsia="Arial" w:hAnsi="Arial"/>
          <w:sz w:val="22"/>
          <w:szCs w:val="22"/>
        </w:rPr>
        <w:t xml:space="preserve">Phase 3 (Week 9–12): Consolidate remaining 845 Class C products; test A/B bundling (attach slow-movers to Class A basket complements).</w:t>
      </w:r>
    </w:p>
    <w:p>
      <w:pPr>
        <w:pStyle w:val="ListParagraph"/>
        <w:numPr>
          <w:ilvl w:val="0"/>
          <w:numId w:val="2"/>
        </w:numPr>
        <w:spacing w:after="80"/>
      </w:pPr>
      <w:r>
        <w:rPr>
          <w:rFonts w:ascii="Arial" w:cs="Arial" w:eastAsia="Arial" w:hAnsi="Arial"/>
          <w:sz w:val="22"/>
          <w:szCs w:val="22"/>
        </w:rPr>
        <w:t xml:space="preserve">Ongoing: Bi-weekly SKU performance review; no new SKU additions without discontinuation offset.</w:t>
      </w:r>
    </w:p>
    <w:p>
      <w:pPr>
        <w:spacing w:after="80"/>
      </w:pPr>
    </w:p>
    <w:p>
      <w:pPr>
        <w:pStyle w:val="Heading2"/>
        <w:pBdr>
          <w:bottom w:val="single" w:color="4caf50" w:sz="2" w:space="4"/>
        </w:pBdr>
        <w:spacing w:after="100" w:before="300"/>
      </w:pPr>
      <w:r>
        <w:rPr>
          <w:rFonts w:ascii="Arial" w:cs="Arial" w:eastAsia="Arial" w:hAnsi="Arial"/>
          <w:b/>
          <w:bCs/>
          <w:color w:val="1a4a1a"/>
          <w:sz w:val="28"/>
          <w:szCs w:val="28"/>
        </w:rPr>
        <w:t xml:space="preserve">Pillar 2: Pricing &amp; Margin Optimization (Weeks 3–8)</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
        <w:gridCol w:w="9160"/>
      </w:tblGrid>
      <w:tr>
        <w:tc>
          <w:tcPr>
            <w:tcW w:type="dxa" w:w="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TARGET</w:t>
            </w:r>
          </w:p>
        </w:tc>
        <w:tc>
          <w:tcPr>
            <w:tcW w:type="dxa" w:w="91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pPr>
              <w:spacing w:after="60"/>
            </w:pPr>
            <w:r>
              <w:rPr>
                <w:rFonts w:ascii="Arial" w:cs="Arial" w:eastAsia="Arial" w:hAnsi="Arial"/>
                <w:sz w:val="20"/>
                <w:szCs w:val="20"/>
              </w:rPr>
              <w:t xml:space="preserve">Portfolio margin: 21.4% → 23.0% (1.6 percentage point lift)</w:t>
            </w:r>
          </w:p>
          <w:p>
            <w:pPr>
              <w:spacing w:after="60"/>
            </w:pPr>
            <w:r>
              <w:rPr>
                <w:rFonts w:ascii="Arial" w:cs="Arial" w:eastAsia="Arial" w:hAnsi="Arial"/>
                <w:sz w:val="20"/>
                <w:szCs w:val="20"/>
              </w:rPr>
              <w:t xml:space="preserve">Pricing standardization recovery: ₹14.4L annual</w:t>
            </w:r>
          </w:p>
          <w:p>
            <w:pPr>
              <w:spacing w:after="60"/>
            </w:pPr>
            <w:r>
              <w:rPr>
                <w:rFonts w:ascii="Arial" w:cs="Arial" w:eastAsia="Arial" w:hAnsi="Arial"/>
                <w:sz w:val="20"/>
                <w:szCs w:val="20"/>
              </w:rPr>
              <w:t xml:space="preserve">Total Pillar 2 impact: ₹42.4–56.4L annually</w:t>
            </w:r>
          </w:p>
        </w:tc>
      </w:tr>
    </w:tbl>
    <w:p>
      <w:pPr>
        <w:pStyle w:val="ListParagraph"/>
        <w:numPr>
          <w:ilvl w:val="0"/>
          <w:numId w:val="2"/>
        </w:numPr>
        <w:spacing w:after="80"/>
      </w:pPr>
      <w:r>
        <w:rPr>
          <w:rFonts w:ascii="Arial" w:cs="Arial" w:eastAsia="Arial" w:hAnsi="Arial"/>
          <w:sz w:val="22"/>
          <w:szCs w:val="22"/>
        </w:rPr>
        <w:t xml:space="preserve">Tier 1 (95 negative-margin SKUs): Immediate owner review; discontinue or reprice to cost-plus minimum within Week 5.</w:t>
      </w:r>
    </w:p>
    <w:p>
      <w:pPr>
        <w:pStyle w:val="ListParagraph"/>
        <w:numPr>
          <w:ilvl w:val="0"/>
          <w:numId w:val="2"/>
        </w:numPr>
        <w:spacing w:after="80"/>
      </w:pPr>
      <w:r>
        <w:rPr>
          <w:rFonts w:ascii="Arial" w:cs="Arial" w:eastAsia="Arial" w:hAnsi="Arial"/>
          <w:sz w:val="22"/>
          <w:szCs w:val="22"/>
        </w:rPr>
        <w:t xml:space="preserve">Tier 2 (751 SKUs at 5–15% margin): +2–5% price adjustment using elasticity testing; monitor sell-through for 4 weeks.</w:t>
      </w:r>
    </w:p>
    <w:p>
      <w:pPr>
        <w:pStyle w:val="ListParagraph"/>
        <w:numPr>
          <w:ilvl w:val="0"/>
          <w:numId w:val="2"/>
        </w:numPr>
        <w:spacing w:after="80"/>
      </w:pPr>
      <w:r>
        <w:rPr>
          <w:rFonts w:ascii="Arial" w:cs="Arial" w:eastAsia="Arial" w:hAnsi="Arial"/>
          <w:sz w:val="22"/>
          <w:szCs w:val="22"/>
        </w:rPr>
        <w:t xml:space="preserve">Tier 3 (23 SKUs at 15–20% margin): Bundle with high-margin Class A leaders; maintain volume while improving contribution.</w:t>
      </w:r>
    </w:p>
    <w:p>
      <w:pPr>
        <w:pStyle w:val="ListParagraph"/>
        <w:numPr>
          <w:ilvl w:val="0"/>
          <w:numId w:val="2"/>
        </w:numPr>
        <w:spacing w:after="80"/>
      </w:pPr>
      <w:r>
        <w:rPr>
          <w:rFonts w:ascii="Arial" w:cs="Arial" w:eastAsia="Arial" w:hAnsi="Arial"/>
          <w:sz w:val="22"/>
          <w:szCs w:val="22"/>
        </w:rPr>
        <w:t xml:space="preserve">Deploy centralized pricelist (daily CSV update to POS); flag any transaction with &gt;3% deviation from master pricelist; require manager approval + audit log.</w:t>
      </w:r>
    </w:p>
    <w:p>
      <w:pPr>
        <w:pStyle w:val="ListParagraph"/>
        <w:numPr>
          <w:ilvl w:val="0"/>
          <w:numId w:val="2"/>
        </w:numPr>
        <w:spacing w:after="80"/>
      </w:pPr>
      <w:r>
        <w:rPr>
          <w:rFonts w:ascii="Arial" w:cs="Arial" w:eastAsia="Arial" w:hAnsi="Arial"/>
          <w:sz w:val="22"/>
          <w:szCs w:val="22"/>
        </w:rPr>
        <w:t xml:space="preserve">Promotional pricing requires campaign code entry; monthly promotional ROI review.</w:t>
      </w:r>
    </w:p>
    <w:p>
      <w:pPr>
        <w:spacing w:after="80"/>
      </w:pPr>
    </w:p>
    <w:p>
      <w:pPr>
        <w:pStyle w:val="Heading2"/>
        <w:pBdr>
          <w:bottom w:val="single" w:color="4caf50" w:sz="2" w:space="4"/>
        </w:pBdr>
        <w:spacing w:after="100" w:before="300"/>
      </w:pPr>
      <w:r>
        <w:rPr>
          <w:rFonts w:ascii="Arial" w:cs="Arial" w:eastAsia="Arial" w:hAnsi="Arial"/>
          <w:b/>
          <w:bCs/>
          <w:color w:val="1a4a1a"/>
          <w:sz w:val="28"/>
          <w:szCs w:val="28"/>
        </w:rPr>
        <w:t xml:space="preserve">Pillar 3: Dynamic Inventory Management (Weeks 4–8)</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
        <w:gridCol w:w="9160"/>
      </w:tblGrid>
      <w:tr>
        <w:tc>
          <w:tcPr>
            <w:tcW w:type="dxa" w:w="2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TARGET</w:t>
            </w:r>
          </w:p>
        </w:tc>
        <w:tc>
          <w:tcPr>
            <w:tcW w:type="dxa" w:w="9160"/>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60"/>
            </w:tcMar>
          </w:tcPr>
          <w:p>
            <w:pPr>
              <w:spacing w:after="60"/>
            </w:pPr>
            <w:r>
              <w:rPr>
                <w:rFonts w:ascii="Arial" w:cs="Arial" w:eastAsia="Arial" w:hAnsi="Arial"/>
                <w:sz w:val="20"/>
                <w:szCs w:val="20"/>
              </w:rPr>
              <w:t xml:space="preserve">Stockouts: -68% (3.2 → 1.0 instances/SKU/month)</w:t>
            </w:r>
          </w:p>
          <w:p>
            <w:pPr>
              <w:spacing w:after="60"/>
            </w:pPr>
            <w:r>
              <w:rPr>
                <w:rFonts w:ascii="Arial" w:cs="Arial" w:eastAsia="Arial" w:hAnsi="Arial"/>
                <w:sz w:val="20"/>
                <w:szCs w:val="20"/>
              </w:rPr>
              <w:t xml:space="preserve">Wastage: -60% (₹14.2K → ₹5.7K/month)</w:t>
            </w:r>
          </w:p>
          <w:p>
            <w:pPr>
              <w:spacing w:after="60"/>
            </w:pPr>
            <w:r>
              <w:rPr>
                <w:rFonts w:ascii="Arial" w:cs="Arial" w:eastAsia="Arial" w:hAnsi="Arial"/>
                <w:sz w:val="20"/>
                <w:szCs w:val="20"/>
              </w:rPr>
              <w:t xml:space="preserve">Inventory turnover: 23 → 18 days average</w:t>
            </w:r>
          </w:p>
        </w:tc>
      </w:tr>
    </w:tbl>
    <w:p>
      <w:pPr>
        <w:pStyle w:val="ListParagraph"/>
        <w:numPr>
          <w:ilvl w:val="0"/>
          <w:numId w:val="2"/>
        </w:numPr>
        <w:spacing w:after="80"/>
      </w:pPr>
      <w:r>
        <w:rPr>
          <w:rFonts w:ascii="Arial" w:cs="Arial" w:eastAsia="Arial" w:hAnsi="Arial"/>
          <w:sz w:val="22"/>
          <w:szCs w:val="22"/>
        </w:rPr>
        <w:t xml:space="preserve">Stable products (60% portfolio): Auto-replenishment with fixed ROP; monthly recalculation; 95% service level target.</w:t>
      </w:r>
    </w:p>
    <w:p>
      <w:pPr>
        <w:pStyle w:val="ListParagraph"/>
        <w:numPr>
          <w:ilvl w:val="0"/>
          <w:numId w:val="2"/>
        </w:numPr>
        <w:spacing w:after="80"/>
      </w:pPr>
      <w:r>
        <w:rPr>
          <w:rFonts w:ascii="Arial" w:cs="Arial" w:eastAsia="Arial" w:hAnsi="Arial"/>
          <w:sz w:val="22"/>
          <w:szCs w:val="22"/>
        </w:rPr>
        <w:t xml:space="preserve">Moderate volatility (17%): Weekly dynamic ROP updates; demand-responsive ordering; 97% service level.</w:t>
      </w:r>
    </w:p>
    <w:p>
      <w:pPr>
        <w:pStyle w:val="ListParagraph"/>
        <w:numPr>
          <w:ilvl w:val="0"/>
          <w:numId w:val="2"/>
        </w:numPr>
        <w:spacing w:after="80"/>
      </w:pPr>
      <w:r>
        <w:rPr>
          <w:rFonts w:ascii="Arial" w:cs="Arial" w:eastAsia="Arial" w:hAnsi="Arial"/>
          <w:sz w:val="22"/>
          <w:szCs w:val="22"/>
        </w:rPr>
        <w:t xml:space="preserve">High volatility (23%): Daily ROP recalculation using 30-day rolling demand window; daily dashboard monitoring; 99% service level for Class A overlap.</w:t>
      </w:r>
    </w:p>
    <w:p>
      <w:pPr>
        <w:pStyle w:val="ListParagraph"/>
        <w:numPr>
          <w:ilvl w:val="0"/>
          <w:numId w:val="2"/>
        </w:numPr>
        <w:spacing w:after="80"/>
      </w:pPr>
      <w:r>
        <w:rPr>
          <w:rFonts w:ascii="Arial" w:cs="Arial" w:eastAsia="Arial" w:hAnsi="Arial"/>
          <w:sz w:val="22"/>
          <w:szCs w:val="22"/>
        </w:rPr>
        <w:t xml:space="preserve">Slow-mover protocol: Auto-flag at 0-sale 30 days → Promotional discount 25–40% by day 35 → Discontinue if no sale by day 60.</w:t>
      </w:r>
    </w:p>
    <w:p>
      <w:pPr>
        <w:pStyle w:val="ListParagraph"/>
        <w:numPr>
          <w:ilvl w:val="0"/>
          <w:numId w:val="2"/>
        </w:numPr>
        <w:spacing w:after="80"/>
      </w:pPr>
      <w:r>
        <w:rPr>
          <w:rFonts w:ascii="Arial" w:cs="Arial" w:eastAsia="Arial" w:hAnsi="Arial"/>
          <w:sz w:val="22"/>
          <w:szCs w:val="22"/>
        </w:rPr>
        <w:t xml:space="preserve">Perishable aging markdown: −20% at D-1 (day before expiry); −40% in last 6 hours.</w:t>
      </w:r>
    </w:p>
    <w:p>
      <w:r>
        <w:br w:type="page"/>
      </w:r>
    </w:p>
    <w:p>
      <w:pPr>
        <w:pStyle w:val="Heading1"/>
        <w:shd w:fill="1a4a1a" w:val="clear"/>
        <w:spacing w:after="120" w:before="360"/>
      </w:pPr>
      <w:r>
        <w:rPr>
          <w:rFonts w:ascii="Arial" w:cs="Arial" w:eastAsia="Arial" w:hAnsi="Arial"/>
          <w:b/>
          <w:bCs/>
          <w:color w:val="FFFFFF"/>
          <w:sz w:val="36"/>
          <w:szCs w:val="36"/>
        </w:rPr>
        <w:t xml:space="preserve">7. Implementation Roadmap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520"/>
        <w:gridCol w:w="5160"/>
      </w:tblGrid>
      <w:tr>
        <w:tc>
          <w:tcPr>
            <w:tcW w:type="dxa" w:w="1680"/>
            <w:tcBorders>
              <w:top w:val="single" w:color="CCCCCC" w:sz="1"/>
              <w:left w:val="single" w:color="CCCCCC" w:sz="1"/>
              <w:bottom w:val="single" w:color="CCCCCC" w:sz="1"/>
              <w:right w:val="single" w:color="CCCCCC"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Timeline</w:t>
            </w:r>
          </w:p>
        </w:tc>
        <w:tc>
          <w:tcPr>
            <w:tcW w:type="dxa" w:w="2520"/>
            <w:tcBorders>
              <w:top w:val="single" w:color="CCCCCC" w:sz="1"/>
              <w:left w:val="single" w:color="CCCCCC" w:sz="1"/>
              <w:bottom w:val="single" w:color="CCCCCC" w:sz="1"/>
              <w:right w:val="single" w:color="CCCCCC"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5160"/>
            <w:tcBorders>
              <w:top w:val="single" w:color="CCCCCC" w:sz="1"/>
              <w:left w:val="single" w:color="CCCCCC" w:sz="1"/>
              <w:bottom w:val="single" w:color="CCCCCC" w:sz="1"/>
              <w:right w:val="single" w:color="CCCCCC"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Actions</w:t>
            </w:r>
          </w:p>
        </w:tc>
      </w:tr>
      <w:tr>
        <w:tc>
          <w:tcPr>
            <w:tcW w:type="dxa" w:w="16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Week 1–2</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Immediate Control</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Deploy dashboard MVP · Flag 23 immediate liquidation items · Set par caps on top 50 volatile SKUs · Enable aging markdowns for perishables</w:t>
            </w:r>
          </w:p>
        </w:tc>
      </w:tr>
      <w:tr>
        <w:tc>
          <w:tcPr>
            <w:tcW w:type="dxa" w:w="168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Week 3–4</w:t>
            </w:r>
          </w:p>
        </w:tc>
        <w:tc>
          <w:tcPr>
            <w:tcW w:type="dxa" w:w="252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Control Infrastructure</w:t>
            </w:r>
          </w:p>
        </w:tc>
        <w:tc>
          <w:tcPr>
            <w:tcW w:type="dxa" w:w="516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Centralized pricelist deployment · Override audit trail · Safety stock formula pilot (top 50 volatile SKUs) · Weekly variance report automation</w:t>
            </w:r>
          </w:p>
        </w:tc>
      </w:tr>
      <w:tr>
        <w:tc>
          <w:tcPr>
            <w:tcW w:type="dxa" w:w="16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Week 5–8</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Core Optimization</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Tier-based repricing for 869 below-floor SKUs · Full safety stock rollout (746 SKUs) · Phase 2 SKU discontinuations (600 products) · 4-week elasticity monitoring</w:t>
            </w:r>
          </w:p>
        </w:tc>
      </w:tr>
      <w:tr>
        <w:tc>
          <w:tcPr>
            <w:tcW w:type="dxa" w:w="168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Week 9–12</w:t>
            </w:r>
          </w:p>
        </w:tc>
        <w:tc>
          <w:tcPr>
            <w:tcW w:type="dxa" w:w="252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Institutionalization</w:t>
            </w:r>
          </w:p>
        </w:tc>
        <w:tc>
          <w:tcPr>
            <w:tcW w:type="dxa" w:w="5160"/>
            <w:tcBorders>
              <w:top w:val="single" w:color="CCCCCC" w:sz="1"/>
              <w:left w:val="single" w:color="CCCCCC" w:sz="1"/>
              <w:bottom w:val="single" w:color="CCCCCC" w:sz="1"/>
              <w:right w:val="single" w:color="CCCCCC" w:sz="1"/>
            </w:tcBorders>
            <w:shd w:fill="f5fbf5" w:val="clear"/>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Category taxonomy normalization (fix Unknown) · SKU Phase 3 consolidation · QBR cadence establishment · Owner/manager dashboard training</w:t>
            </w:r>
          </w:p>
        </w:tc>
      </w:tr>
      <w:tr>
        <w:tc>
          <w:tcPr>
            <w:tcW w:type="dxa" w:w="16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Ongoing</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1a1a1a"/>
                <w:sz w:val="19"/>
                <w:szCs w:val="19"/>
              </w:rPr>
              <w:t xml:space="preserve">Sustain &amp; Evolve</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1a1a1a"/>
                <w:sz w:val="19"/>
                <w:szCs w:val="19"/>
              </w:rPr>
              <w:t xml:space="preserve">Weekly KPI reviews · Monthly owner briefings · Quarterly strategy refresh · Annual elasticity remodeling · Semi-annual SKU master audit</w:t>
            </w:r>
          </w:p>
        </w:tc>
      </w:tr>
    </w:tbl>
    <w:p>
      <w:pPr>
        <w:spacing w:after="80"/>
      </w:pPr>
    </w:p>
    <w:p>
      <w:pPr>
        <w:pStyle w:val="Heading2"/>
        <w:pBdr>
          <w:bottom w:val="single" w:color="4caf50" w:sz="2" w:space="4"/>
        </w:pBdr>
        <w:spacing w:after="100" w:before="300"/>
      </w:pPr>
      <w:r>
        <w:rPr>
          <w:rFonts w:ascii="Arial" w:cs="Arial" w:eastAsia="Arial" w:hAnsi="Arial"/>
          <w:b/>
          <w:bCs/>
          <w:color w:val="1a4a1a"/>
          <w:sz w:val="28"/>
          <w:szCs w:val="28"/>
        </w:rPr>
        <w:t xml:space="preserve">KPIs to Monitor</w:t>
      </w:r>
    </w:p>
    <w:p>
      <w:pPr>
        <w:pStyle w:val="ListParagraph"/>
        <w:numPr>
          <w:ilvl w:val="0"/>
          <w:numId w:val="2"/>
        </w:numPr>
        <w:spacing w:after="80"/>
      </w:pPr>
      <w:r>
        <w:rPr>
          <w:rFonts w:ascii="Arial" w:cs="Arial" w:eastAsia="Arial" w:hAnsi="Arial"/>
          <w:sz w:val="22"/>
          <w:szCs w:val="22"/>
        </w:rPr>
        <w:t xml:space="preserve">Shrink % (by SKU, category, and branch overall)</w:t>
      </w:r>
    </w:p>
    <w:p>
      <w:pPr>
        <w:pStyle w:val="ListParagraph"/>
        <w:numPr>
          <w:ilvl w:val="0"/>
          <w:numId w:val="2"/>
        </w:numPr>
        <w:spacing w:after="80"/>
      </w:pPr>
      <w:r>
        <w:rPr>
          <w:rFonts w:ascii="Arial" w:cs="Arial" w:eastAsia="Arial" w:hAnsi="Arial"/>
          <w:sz w:val="22"/>
          <w:szCs w:val="22"/>
        </w:rPr>
        <w:t xml:space="preserve">Stock turns (daily for perishables; weekly for packaged)</w:t>
      </w:r>
    </w:p>
    <w:p>
      <w:pPr>
        <w:pStyle w:val="ListParagraph"/>
        <w:numPr>
          <w:ilvl w:val="0"/>
          <w:numId w:val="2"/>
        </w:numPr>
        <w:spacing w:after="80"/>
      </w:pPr>
      <w:r>
        <w:rPr>
          <w:rFonts w:ascii="Arial" w:cs="Arial" w:eastAsia="Arial" w:hAnsi="Arial"/>
          <w:sz w:val="22"/>
          <w:szCs w:val="22"/>
        </w:rPr>
        <w:t xml:space="preserve">Portfolio margin % (monthly rolling; target &gt;23%)</w:t>
      </w:r>
    </w:p>
    <w:p>
      <w:pPr>
        <w:pStyle w:val="ListParagraph"/>
        <w:numPr>
          <w:ilvl w:val="0"/>
          <w:numId w:val="2"/>
        </w:numPr>
        <w:spacing w:after="80"/>
      </w:pPr>
      <w:r>
        <w:rPr>
          <w:rFonts w:ascii="Arial" w:cs="Arial" w:eastAsia="Arial" w:hAnsi="Arial"/>
          <w:sz w:val="22"/>
          <w:szCs w:val="22"/>
        </w:rPr>
        <w:t xml:space="preserve">Pricing variance index (weekly; target &lt;5% for top 20 SKUs)</w:t>
      </w:r>
    </w:p>
    <w:p>
      <w:pPr>
        <w:pStyle w:val="ListParagraph"/>
        <w:numPr>
          <w:ilvl w:val="0"/>
          <w:numId w:val="2"/>
        </w:numPr>
        <w:spacing w:after="80"/>
      </w:pPr>
      <w:r>
        <w:rPr>
          <w:rFonts w:ascii="Arial" w:cs="Arial" w:eastAsia="Arial" w:hAnsi="Arial"/>
          <w:sz w:val="22"/>
          <w:szCs w:val="22"/>
        </w:rPr>
        <w:t xml:space="preserve">Sell-through rate by day-of-life (perishables)</w:t>
      </w:r>
    </w:p>
    <w:p>
      <w:pPr>
        <w:pStyle w:val="ListParagraph"/>
        <w:numPr>
          <w:ilvl w:val="0"/>
          <w:numId w:val="2"/>
        </w:numPr>
        <w:spacing w:after="80"/>
      </w:pPr>
      <w:r>
        <w:rPr>
          <w:rFonts w:ascii="Arial" w:cs="Arial" w:eastAsia="Arial" w:hAnsi="Arial"/>
          <w:sz w:val="22"/>
          <w:szCs w:val="22"/>
        </w:rPr>
        <w:t xml:space="preserve">Category mix share (% by Fruits/Vegetables/Dairy/Snacks)</w:t>
      </w:r>
    </w:p>
    <w:p>
      <w:pPr>
        <w:pStyle w:val="ListParagraph"/>
        <w:numPr>
          <w:ilvl w:val="0"/>
          <w:numId w:val="2"/>
        </w:numPr>
        <w:spacing w:after="80"/>
      </w:pPr>
      <w:r>
        <w:rPr>
          <w:rFonts w:ascii="Arial" w:cs="Arial" w:eastAsia="Arial" w:hAnsi="Arial"/>
          <w:sz w:val="22"/>
          <w:szCs w:val="22"/>
        </w:rPr>
        <w:t xml:space="preserve">Days Since Last Sale (DSLS) distribution (flag &gt;30 days)</w:t>
      </w:r>
    </w:p>
    <w:p>
      <w:r>
        <w:br w:type="page"/>
      </w:r>
    </w:p>
    <w:p>
      <w:pPr>
        <w:pStyle w:val="Heading1"/>
        <w:shd w:fill="1a4a1a" w:val="clear"/>
        <w:spacing w:after="120" w:before="360"/>
      </w:pPr>
      <w:r>
        <w:rPr>
          <w:rFonts w:ascii="Arial" w:cs="Arial" w:eastAsia="Arial" w:hAnsi="Arial"/>
          <w:b/>
          <w:bCs/>
          <w:color w:val="FFFFFF"/>
          <w:sz w:val="36"/>
          <w:szCs w:val="36"/>
        </w:rPr>
        <w:t xml:space="preserve">8. Future Improvements &amp; Research Extensions</w:t>
      </w:r>
    </w:p>
    <w:p>
      <w:pPr>
        <w:spacing w:after="80"/>
      </w:pPr>
    </w:p>
    <w:p>
      <w:pPr>
        <w:pStyle w:val="Heading2"/>
        <w:pBdr>
          <w:bottom w:val="single" w:color="4caf50" w:sz="2" w:space="4"/>
        </w:pBdr>
        <w:spacing w:after="100" w:before="300"/>
      </w:pPr>
      <w:r>
        <w:rPr>
          <w:rFonts w:ascii="Arial" w:cs="Arial" w:eastAsia="Arial" w:hAnsi="Arial"/>
          <w:b/>
          <w:bCs/>
          <w:color w:val="1a4a1a"/>
          <w:sz w:val="28"/>
          <w:szCs w:val="28"/>
        </w:rPr>
        <w:t xml:space="preserve">8.1 Data Infrastructure Enhancements</w:t>
      </w:r>
    </w:p>
    <w:p>
      <w:pPr>
        <w:pStyle w:val="ListParagraph"/>
        <w:numPr>
          <w:ilvl w:val="0"/>
          <w:numId w:val="2"/>
        </w:numPr>
        <w:spacing w:after="80"/>
      </w:pPr>
      <w:r>
        <w:rPr>
          <w:rFonts w:ascii="Arial" w:cs="Arial" w:eastAsia="Arial" w:hAnsi="Arial"/>
          <w:sz w:val="22"/>
          <w:szCs w:val="22"/>
        </w:rPr>
        <w:t xml:space="preserve">Capture shelf-life age and markdown stage fields in POS export (currently not tracked)</w:t>
      </w:r>
    </w:p>
    <w:p>
      <w:pPr>
        <w:pStyle w:val="ListParagraph"/>
        <w:numPr>
          <w:ilvl w:val="0"/>
          <w:numId w:val="2"/>
        </w:numPr>
        <w:spacing w:after="80"/>
      </w:pPr>
      <w:r>
        <w:rPr>
          <w:rFonts w:ascii="Arial" w:cs="Arial" w:eastAsia="Arial" w:hAnsi="Arial"/>
          <w:sz w:val="22"/>
          <w:szCs w:val="22"/>
        </w:rPr>
        <w:t xml:space="preserve">Record override reason codes for price changes; require supervisor approval workflow</w:t>
      </w:r>
    </w:p>
    <w:p>
      <w:pPr>
        <w:pStyle w:val="ListParagraph"/>
        <w:numPr>
          <w:ilvl w:val="0"/>
          <w:numId w:val="2"/>
        </w:numPr>
        <w:spacing w:after="80"/>
      </w:pPr>
      <w:r>
        <w:rPr>
          <w:rFonts w:ascii="Arial" w:cs="Arial" w:eastAsia="Arial" w:hAnsi="Arial"/>
          <w:sz w:val="22"/>
          <w:szCs w:val="22"/>
        </w:rPr>
        <w:t xml:space="preserve">Maintain SKU master with canonical categories; monthly mapping drift audit</w:t>
      </w:r>
    </w:p>
    <w:p>
      <w:pPr>
        <w:pStyle w:val="ListParagraph"/>
        <w:numPr>
          <w:ilvl w:val="0"/>
          <w:numId w:val="2"/>
        </w:numPr>
        <w:spacing w:after="80"/>
      </w:pPr>
      <w:r>
        <w:rPr>
          <w:rFonts w:ascii="Arial" w:cs="Arial" w:eastAsia="Arial" w:hAnsi="Arial"/>
          <w:sz w:val="22"/>
          <w:szCs w:val="22"/>
        </w:rPr>
        <w:t xml:space="preserve">Integrate supplier lead time data for precision ROP calculations (currently approximated)</w:t>
      </w:r>
    </w:p>
    <w:p>
      <w:pPr>
        <w:pStyle w:val="Heading2"/>
        <w:pBdr>
          <w:bottom w:val="single" w:color="4caf50" w:sz="2" w:space="4"/>
        </w:pBdr>
        <w:spacing w:after="100" w:before="300"/>
      </w:pPr>
      <w:r>
        <w:rPr>
          <w:rFonts w:ascii="Arial" w:cs="Arial" w:eastAsia="Arial" w:hAnsi="Arial"/>
          <w:b/>
          <w:bCs/>
          <w:color w:val="1a4a1a"/>
          <w:sz w:val="28"/>
          <w:szCs w:val="28"/>
        </w:rPr>
        <w:t xml:space="preserve">8.2 Analytical Depth Opportunities</w:t>
      </w:r>
    </w:p>
    <w:p>
      <w:pPr>
        <w:pStyle w:val="ListParagraph"/>
        <w:numPr>
          <w:ilvl w:val="0"/>
          <w:numId w:val="2"/>
        </w:numPr>
        <w:spacing w:after="80"/>
      </w:pPr>
      <w:r>
        <w:rPr>
          <w:rFonts w:ascii="Arial" w:cs="Arial" w:eastAsia="Arial" w:hAnsi="Arial"/>
          <w:sz w:val="22"/>
          <w:szCs w:val="22"/>
        </w:rPr>
        <w:t xml:space="preserve">Cross-branch analysis: Extend dataset to all 15+ branches for benchmarking and best practice transfer</w:t>
      </w:r>
    </w:p>
    <w:p>
      <w:pPr>
        <w:pStyle w:val="ListParagraph"/>
        <w:numPr>
          <w:ilvl w:val="0"/>
          <w:numId w:val="2"/>
        </w:numPr>
        <w:spacing w:after="80"/>
      </w:pPr>
      <w:r>
        <w:rPr>
          <w:rFonts w:ascii="Arial" w:cs="Arial" w:eastAsia="Arial" w:hAnsi="Arial"/>
          <w:sz w:val="22"/>
          <w:szCs w:val="22"/>
        </w:rPr>
        <w:t xml:space="preserve">Ticket-level basket analysis: Current data at invoice level limits association rule mining (requires line-item detail)</w:t>
      </w:r>
    </w:p>
    <w:p>
      <w:pPr>
        <w:pStyle w:val="ListParagraph"/>
        <w:numPr>
          <w:ilvl w:val="0"/>
          <w:numId w:val="2"/>
        </w:numPr>
        <w:spacing w:after="80"/>
      </w:pPr>
      <w:r>
        <w:rPr>
          <w:rFonts w:ascii="Arial" w:cs="Arial" w:eastAsia="Arial" w:hAnsi="Arial"/>
          <w:sz w:val="22"/>
          <w:szCs w:val="22"/>
        </w:rPr>
        <w:t xml:space="preserve">True COGS integration: Replace P10 margin proxy with actual cost data from ERP/supplier invoices</w:t>
      </w:r>
    </w:p>
    <w:p>
      <w:pPr>
        <w:pStyle w:val="ListParagraph"/>
        <w:numPr>
          <w:ilvl w:val="0"/>
          <w:numId w:val="2"/>
        </w:numPr>
        <w:spacing w:after="80"/>
      </w:pPr>
      <w:r>
        <w:rPr>
          <w:rFonts w:ascii="Arial" w:cs="Arial" w:eastAsia="Arial" w:hAnsi="Arial"/>
          <w:sz w:val="22"/>
          <w:szCs w:val="22"/>
        </w:rPr>
        <w:t xml:space="preserve">Elasticity modeling: Formal log-linear demand vs. price model for top 20 Class A products</w:t>
      </w:r>
    </w:p>
    <w:p>
      <w:pPr>
        <w:pStyle w:val="ListParagraph"/>
        <w:numPr>
          <w:ilvl w:val="0"/>
          <w:numId w:val="2"/>
        </w:numPr>
        <w:spacing w:after="80"/>
      </w:pPr>
      <w:r>
        <w:rPr>
          <w:rFonts w:ascii="Arial" w:cs="Arial" w:eastAsia="Arial" w:hAnsi="Arial"/>
          <w:sz w:val="22"/>
          <w:szCs w:val="22"/>
        </w:rPr>
        <w:t xml:space="preserve">Supplier performance analytics: Lead time variability, fill rate, and quality rejection rate tracking</w:t>
      </w:r>
    </w:p>
    <w:p>
      <w:pPr>
        <w:pStyle w:val="Heading2"/>
        <w:pBdr>
          <w:bottom w:val="single" w:color="4caf50" w:sz="2" w:space="4"/>
        </w:pBdr>
        <w:spacing w:after="100" w:before="300"/>
      </w:pPr>
      <w:r>
        <w:rPr>
          <w:rFonts w:ascii="Arial" w:cs="Arial" w:eastAsia="Arial" w:hAnsi="Arial"/>
          <w:b/>
          <w:bCs/>
          <w:color w:val="1a4a1a"/>
          <w:sz w:val="28"/>
          <w:szCs w:val="28"/>
        </w:rPr>
        <w:t xml:space="preserve">8.3 Technology Roadmap</w:t>
      </w:r>
    </w:p>
    <w:p>
      <w:pPr>
        <w:pStyle w:val="ListParagraph"/>
        <w:numPr>
          <w:ilvl w:val="0"/>
          <w:numId w:val="2"/>
        </w:numPr>
        <w:spacing w:after="80"/>
      </w:pPr>
      <w:r>
        <w:rPr>
          <w:rFonts w:ascii="Arial" w:cs="Arial" w:eastAsia="Arial" w:hAnsi="Arial"/>
          <w:sz w:val="22"/>
          <w:szCs w:val="22"/>
        </w:rPr>
        <w:t xml:space="preserve">Automated Python pipeline: Nightly POS data feed → demand metrics → dashboard HTML export</w:t>
      </w:r>
    </w:p>
    <w:p>
      <w:pPr>
        <w:pStyle w:val="ListParagraph"/>
        <w:numPr>
          <w:ilvl w:val="0"/>
          <w:numId w:val="2"/>
        </w:numPr>
        <w:spacing w:after="80"/>
      </w:pPr>
      <w:r>
        <w:rPr>
          <w:rFonts w:ascii="Arial" w:cs="Arial" w:eastAsia="Arial" w:hAnsi="Arial"/>
          <w:sz w:val="22"/>
          <w:szCs w:val="22"/>
        </w:rPr>
        <w:t xml:space="preserve">WhatsApp/SMS alerts: Manager notification for daily dashboard alerts (stockout warnings, price deviation flags)</w:t>
      </w:r>
    </w:p>
    <w:p>
      <w:pPr>
        <w:pStyle w:val="ListParagraph"/>
        <w:numPr>
          <w:ilvl w:val="0"/>
          <w:numId w:val="2"/>
        </w:numPr>
        <w:spacing w:after="80"/>
      </w:pPr>
      <w:r>
        <w:rPr>
          <w:rFonts w:ascii="Arial" w:cs="Arial" w:eastAsia="Arial" w:hAnsi="Arial"/>
          <w:sz w:val="22"/>
          <w:szCs w:val="22"/>
        </w:rPr>
        <w:t xml:space="preserve">Machine learning forecasting: ARIMA or Prophet models for seasonal demand prediction (post-12-month data collection)</w:t>
      </w:r>
    </w:p>
    <w:p>
      <w:pPr>
        <w:pStyle w:val="ListParagraph"/>
        <w:numPr>
          <w:ilvl w:val="0"/>
          <w:numId w:val="2"/>
        </w:numPr>
        <w:spacing w:after="80"/>
      </w:pPr>
      <w:r>
        <w:rPr>
          <w:rFonts w:ascii="Arial" w:cs="Arial" w:eastAsia="Arial" w:hAnsi="Arial"/>
          <w:sz w:val="22"/>
          <w:szCs w:val="22"/>
        </w:rPr>
        <w:t xml:space="preserve">Mobile-friendly dashboard: Progressive web app (PWA) for manager review on smartphone</w:t>
      </w:r>
    </w:p>
    <w:p>
      <w:r>
        <w:br w:type="page"/>
      </w:r>
    </w:p>
    <w:p>
      <w:pPr>
        <w:pStyle w:val="Heading1"/>
        <w:shd w:fill="1a4a1a" w:val="clear"/>
        <w:spacing w:after="120" w:before="360"/>
      </w:pPr>
      <w:r>
        <w:rPr>
          <w:rFonts w:ascii="Arial" w:cs="Arial" w:eastAsia="Arial" w:hAnsi="Arial"/>
          <w:b/>
          <w:bCs/>
          <w:color w:val="FFFFFF"/>
          <w:sz w:val="36"/>
          <w:szCs w:val="36"/>
        </w:rPr>
        <w:t xml:space="preserve">9. Conclusion</w:t>
      </w:r>
    </w:p>
    <w:p>
      <w:pPr>
        <w:spacing w:after="80"/>
      </w:pPr>
    </w:p>
    <w:p>
      <w:pPr>
        <w:spacing w:after="140" w:line="320"/>
        <w:jc w:val="both"/>
      </w:pPr>
      <w:r>
        <w:rPr>
          <w:rFonts w:ascii="Arial" w:cs="Arial" w:eastAsia="Arial" w:hAnsi="Arial"/>
          <w:b w:val="false"/>
          <w:bCs w:val="false"/>
          <w:i w:val="false"/>
          <w:iCs w:val="false"/>
          <w:color w:val="1a1a1a"/>
          <w:sz w:val="22"/>
          <w:szCs w:val="22"/>
        </w:rPr>
        <w:t xml:space="preserve">This BDM Capstone project demonstrates the power of data-driven decision-making in transforming operational gut-feel into quantified, actionable strategy. Pure'O Naturals branch 0007-ANJANEYA NAGER's challenges — expressed initially as imprecise owner concerns about product counts, pricing, and wastage — were forensically decomposed into five measurable business problems totalling ₹72–100 lakhs of annual recoverable value.</w:t>
      </w:r>
    </w:p>
    <w:p>
      <w:pPr>
        <w:spacing w:after="140" w:line="320"/>
        <w:jc w:val="both"/>
      </w:pPr>
      <w:r>
        <w:rPr>
          <w:rFonts w:ascii="Arial" w:cs="Arial" w:eastAsia="Arial" w:hAnsi="Arial"/>
          <w:b w:val="false"/>
          <w:bCs w:val="false"/>
          <w:i w:val="false"/>
          <w:iCs w:val="false"/>
          <w:color w:val="1a1a1a"/>
          <w:sz w:val="22"/>
          <w:szCs w:val="22"/>
        </w:rPr>
        <w:t xml:space="preserve">The three-pillar strategy — SKU Portfolio Rationalization, Pricing &amp; Margin Optimization, and Dynamic Inventory Management — is designed for sequential execution over 12 weeks. Each pillar addresses a distinct dimension of operational inefficiency while collectively building a self-reinforcing system of data governance, pricing discipline, and demand-responsive inventory.</w:t>
      </w:r>
    </w:p>
    <w:p>
      <w:pPr>
        <w:spacing w:after="140" w:line="320"/>
        <w:jc w:val="both"/>
      </w:pPr>
      <w:r>
        <w:rPr>
          <w:rFonts w:ascii="Arial" w:cs="Arial" w:eastAsia="Arial" w:hAnsi="Arial"/>
          <w:b w:val="false"/>
          <w:bCs w:val="false"/>
          <w:i w:val="false"/>
          <w:iCs w:val="false"/>
          <w:color w:val="1a1a1a"/>
          <w:sz w:val="22"/>
          <w:szCs w:val="22"/>
        </w:rPr>
        <w:t xml:space="preserve">The analytical methodology applied in this project — ABC classification, CV-based volatility profiling, P10 margin proxy modeling, Price Variance Index with Shewhart control charts, and composite risk stratification — represents a replicable framework applicable to any single-branch or multi-branch specialty retail operation facing similar structural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
        <w:gridCol w:w="9160"/>
      </w:tblGrid>
      <w:tr>
        <w:tc>
          <w:tcPr>
            <w:tcW w:type="dxa" w:w="200"/>
            <w:tcBorders>
              <w:top w:val="single" w:color="CCCCCC" w:sz="1"/>
              <w:left w:val="single" w:color="CCCCCC" w:sz="1"/>
              <w:bottom w:val="single" w:color="CCCCCC" w:sz="1"/>
              <w:right w:val="single" w:color="CCCCCC" w:sz="1"/>
            </w:tcBorders>
            <w:shd w:fill="1a4a1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IMPACT SUMMARY</w:t>
            </w:r>
          </w:p>
        </w:tc>
        <w:tc>
          <w:tcPr>
            <w:tcW w:type="dxa" w:w="91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pPr>
              <w:spacing w:after="60"/>
            </w:pPr>
            <w:r>
              <w:rPr>
                <w:rFonts w:ascii="Arial" w:cs="Arial" w:eastAsia="Arial" w:hAnsi="Arial"/>
                <w:sz w:val="20"/>
                <w:szCs w:val="20"/>
              </w:rPr>
              <w:t xml:space="preserve">₹72–100 Lakhs projected 12-month net benefit (conservative → upside)</w:t>
            </w:r>
          </w:p>
          <w:p>
            <w:pPr>
              <w:spacing w:after="60"/>
            </w:pPr>
            <w:r>
              <w:rPr>
                <w:rFonts w:ascii="Arial" w:cs="Arial" w:eastAsia="Arial" w:hAnsi="Arial"/>
                <w:sz w:val="20"/>
                <w:szCs w:val="20"/>
              </w:rPr>
              <w:t xml:space="preserve">3-pillar strategy with 12-week phased implementation</w:t>
            </w:r>
          </w:p>
          <w:p>
            <w:pPr>
              <w:spacing w:after="60"/>
            </w:pPr>
            <w:r>
              <w:rPr>
                <w:rFonts w:ascii="Arial" w:cs="Arial" w:eastAsia="Arial" w:hAnsi="Arial"/>
                <w:sz w:val="20"/>
                <w:szCs w:val="20"/>
              </w:rPr>
              <w:t xml:space="preserve">Six SMART objectives with quantified success metrics</w:t>
            </w:r>
          </w:p>
          <w:p>
            <w:pPr>
              <w:spacing w:after="60"/>
            </w:pPr>
            <w:r>
              <w:rPr>
                <w:rFonts w:ascii="Arial" w:cs="Arial" w:eastAsia="Arial" w:hAnsi="Arial"/>
                <w:sz w:val="20"/>
                <w:szCs w:val="20"/>
              </w:rPr>
              <w:t xml:space="preserve">Weekly KPI dashboard + monthly owner briefing + quarterly QBR cadence</w:t>
            </w:r>
          </w:p>
          <w:p>
            <w:pPr>
              <w:spacing w:after="60"/>
            </w:pPr>
            <w:r>
              <w:rPr>
                <w:rFonts w:ascii="Arial" w:cs="Arial" w:eastAsia="Arial" w:hAnsi="Arial"/>
                <w:sz w:val="20"/>
                <w:szCs w:val="20"/>
              </w:rPr>
              <w:t xml:space="preserve">Fully reproducible Python pipeline (version-controlled; 3× validated)</w:t>
            </w:r>
          </w:p>
        </w:tc>
      </w:tr>
    </w:tbl>
    <w:p>
      <w:pPr>
        <w:spacing w:after="80"/>
      </w:pPr>
    </w:p>
    <w:p>
      <w:pPr>
        <w:spacing w:after="80"/>
      </w:pPr>
    </w:p>
    <w:p>
      <w:pPr>
        <w:pBdr>
          <w:bottom w:val="single" w:color="cccccc" w:sz="3" w:space="1"/>
        </w:pBdr>
        <w:spacing w:after="120" w:before="120"/>
      </w:pPr>
    </w:p>
    <w:p>
      <w:pPr>
        <w:spacing w:after="80" w:before="200"/>
        <w:jc w:val="center"/>
      </w:pPr>
      <w:r>
        <w:rPr>
          <w:rFonts w:ascii="Arial" w:cs="Arial" w:eastAsia="Arial" w:hAnsi="Arial"/>
          <w:i/>
          <w:iCs/>
          <w:color w:val="888888"/>
          <w:sz w:val="18"/>
          <w:szCs w:val="18"/>
        </w:rPr>
        <w:t xml:space="preserve">IIT Madras · BDM Capstone Project · Student 22f1001645 · December 2025</w:t>
      </w:r>
    </w:p>
    <w:p>
      <w:pPr>
        <w:jc w:val="center"/>
      </w:pPr>
      <w:r>
        <w:rPr>
          <w:rFonts w:ascii="Arial" w:cs="Arial" w:eastAsia="Arial" w:hAnsi="Arial"/>
          <w:color w:val="aaaaaa"/>
          <w:sz w:val="16"/>
          <w:szCs w:val="16"/>
        </w:rPr>
        <w:t xml:space="preserve">Pure'O Naturals, Branch 0007-ANJANEYA NAGER · Analysis Period: April–September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2d" w:sz="4" w:space="4"/>
      </w:pBdr>
      <w:jc w:val="right"/>
    </w:pPr>
    <w:r>
      <w:rPr>
        <w:rFonts w:ascii="Arial" w:cs="Arial" w:eastAsia="Arial" w:hAnsi="Arial"/>
        <w:color w:val="888888"/>
        <w:sz w:val="18"/>
        <w:szCs w:val="18"/>
      </w:rPr>
      <w:t xml:space="preserve">Pure'O Naturals · BDM Capstone · IIT Madras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1a4a1a"/>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d6a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2026-03-07T06:20:06.919Z</dcterms:created>
  <dcterms:modified xsi:type="dcterms:W3CDTF">2026-03-07T06:20:06.921Z</dcterms:modified>
</cp:coreProperties>
</file>

<file path=docProps/custom.xml><?xml version="1.0" encoding="utf-8"?>
<Properties xmlns="http://schemas.openxmlformats.org/officeDocument/2006/custom-properties" xmlns:vt="http://schemas.openxmlformats.org/officeDocument/2006/docPropsVTypes"/>
</file>