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b/>
          <w:bCs/>
          <w:color w:val="1F3864"/>
          <w:sz w:val="44"/>
          <w:szCs w:val="44"/>
        </w:rPr>
        <w:t xml:space="preserve">Information Security Risk Assessment Report</w:t>
      </w:r>
    </w:p>
    <w:p>
      <w:pPr>
        <w:spacing w:after="800" w:before="200"/>
        <w:jc w:val="center"/>
      </w:pPr>
      <w:r>
        <w:rPr>
          <w:rFonts w:ascii="Calibri" w:cs="Calibri" w:eastAsia="Calibri" w:hAnsi="Calibri"/>
          <w:color w:val="404040"/>
          <w:sz w:val="30"/>
          <w:szCs w:val="30"/>
        </w:rPr>
        <w:t xml:space="preserve">Blue Ridge Family Health Clinic</w:t>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2600"/>
        <w:gridCol w:w="6980"/>
      </w:tblGrid>
      <w:t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Prepared By</w:t>
            </w:r>
          </w:p>
        </w:tc>
        <w:tc>
          <w:tcPr>
            <w:tcW w:type="dxa" w:w="6980"/>
            <w:tcMar>
              <w:top w:type="dxa" w:w="80"/>
              <w:left w:type="dxa" w:w="100"/>
              <w:bottom w:type="dxa" w:w="80"/>
              <w:right w:type="dxa" w:w="100"/>
            </w:tcMar>
          </w:tcPr>
          <w:p>
            <w:r>
              <w:rPr>
                <w:rFonts w:ascii="Calibri" w:cs="Calibri" w:eastAsia="Calibri" w:hAnsi="Calibri"/>
                <w:b w:val="false"/>
                <w:bCs w:val="false"/>
                <w:color w:val="000000"/>
                <w:sz w:val="20"/>
                <w:szCs w:val="20"/>
              </w:rPr>
              <w:t xml:space="preserve">GRC Analyst (Portfolio Project)</w:t>
            </w:r>
          </w:p>
        </w:tc>
      </w:tr>
      <w:t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Date</w:t>
            </w:r>
          </w:p>
        </w:tc>
        <w:tc>
          <w:tcPr>
            <w:tcW w:type="dxa" w:w="6980"/>
            <w:tcMar>
              <w:top w:type="dxa" w:w="80"/>
              <w:left w:type="dxa" w:w="100"/>
              <w:bottom w:type="dxa" w:w="80"/>
              <w:right w:type="dxa" w:w="100"/>
            </w:tcMar>
          </w:tcPr>
          <w:p>
            <w:r>
              <w:rPr>
                <w:rFonts w:ascii="Calibri" w:cs="Calibri" w:eastAsia="Calibri" w:hAnsi="Calibri"/>
                <w:b w:val="false"/>
                <w:bCs w:val="false"/>
                <w:color w:val="000000"/>
                <w:sz w:val="20"/>
                <w:szCs w:val="20"/>
              </w:rPr>
              <w:t xml:space="preserve">July 28, 2026</w:t>
            </w:r>
          </w:p>
        </w:tc>
      </w:tr>
      <w:t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Methodology</w:t>
            </w:r>
          </w:p>
        </w:tc>
        <w:tc>
          <w:tcPr>
            <w:tcW w:type="dxa" w:w="6980"/>
            <w:tcMar>
              <w:top w:type="dxa" w:w="80"/>
              <w:left w:type="dxa" w:w="100"/>
              <w:bottom w:type="dxa" w:w="80"/>
              <w:right w:type="dxa" w:w="100"/>
            </w:tcMar>
          </w:tcPr>
          <w:p>
            <w:r>
              <w:rPr>
                <w:rFonts w:ascii="Calibri" w:cs="Calibri" w:eastAsia="Calibri" w:hAnsi="Calibri"/>
                <w:b w:val="false"/>
                <w:bCs w:val="false"/>
                <w:color w:val="000000"/>
                <w:sz w:val="20"/>
                <w:szCs w:val="20"/>
              </w:rPr>
              <w:t xml:space="preserve">NIST SP 800-30 Rev. 1, Guide for Conducting Risk Assessments</w:t>
            </w:r>
          </w:p>
        </w:tc>
      </w:tr>
      <w:t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Scope</w:t>
            </w:r>
          </w:p>
        </w:tc>
        <w:tc>
          <w:tcPr>
            <w:tcW w:type="dxa" w:w="6980"/>
            <w:tcMar>
              <w:top w:type="dxa" w:w="80"/>
              <w:left w:type="dxa" w:w="100"/>
              <w:bottom w:type="dxa" w:w="80"/>
              <w:right w:type="dxa" w:w="100"/>
            </w:tcMar>
          </w:tcPr>
          <w:p>
            <w:r>
              <w:rPr>
                <w:rFonts w:ascii="Calibri" w:cs="Calibri" w:eastAsia="Calibri" w:hAnsi="Calibri"/>
                <w:b w:val="false"/>
                <w:bCs w:val="false"/>
                <w:color w:val="000000"/>
                <w:sz w:val="20"/>
                <w:szCs w:val="20"/>
              </w:rPr>
              <w:t xml:space="preserve">Clinical, administrative, and IT systems supporting patient care operations</w:t>
            </w:r>
          </w:p>
        </w:tc>
      </w:tr>
      <w:t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Classification</w:t>
            </w:r>
          </w:p>
        </w:tc>
        <w:tc>
          <w:tcPr>
            <w:tcW w:type="dxa" w:w="6980"/>
            <w:tcMar>
              <w:top w:type="dxa" w:w="80"/>
              <w:left w:type="dxa" w:w="100"/>
              <w:bottom w:type="dxa" w:w="80"/>
              <w:right w:type="dxa" w:w="100"/>
            </w:tcMar>
          </w:tcPr>
          <w:p>
            <w:r>
              <w:rPr>
                <w:rFonts w:ascii="Calibri" w:cs="Calibri" w:eastAsia="Calibri" w:hAnsi="Calibri"/>
                <w:b w:val="false"/>
                <w:bCs w:val="false"/>
                <w:color w:val="000000"/>
                <w:sz w:val="20"/>
                <w:szCs w:val="20"/>
              </w:rPr>
              <w:t xml:space="preserve">Internal Use Only</w:t>
            </w:r>
          </w:p>
        </w:tc>
      </w:tr>
    </w:tbl>
    <w:p>
      <w:r>
        <w:br w:type="page"/>
      </w:r>
    </w:p>
    <w:p>
      <w:pPr>
        <w:pStyle w:val="Heading1"/>
        <w:spacing w:after="160" w:before="320"/>
      </w:pPr>
      <w:r>
        <w:t xml:space="preserve">1. Executive Summary</w:t>
      </w:r>
    </w:p>
    <w:p>
      <w:pPr>
        <w:spacing w:after="160"/>
      </w:pPr>
      <w:r>
        <w:rPr>
          <w:rFonts w:ascii="Calibri" w:cs="Calibri" w:eastAsia="Calibri" w:hAnsi="Calibri"/>
          <w:sz w:val="21"/>
          <w:szCs w:val="21"/>
        </w:rPr>
        <w:t xml:space="preserve">Blue Ridge Family Health Clinic ("the Clinic") is a fictional 45-employee outpatient primary care practice used here as a portfolio scenario to demonstrate a full risk assessment lifecycle. The Clinic operates a cloud-hosted Electronic Health Record (EHR) system, a practice management platform, networked clinical devices, and a small remote billing team, and is subject to the HIPAA Security Rule.</w:t>
      </w:r>
    </w:p>
    <w:p>
      <w:pPr>
        <w:spacing w:after="160"/>
      </w:pPr>
      <w:r>
        <w:rPr>
          <w:rFonts w:ascii="Calibri" w:cs="Calibri" w:eastAsia="Calibri" w:hAnsi="Calibri"/>
          <w:sz w:val="21"/>
          <w:szCs w:val="21"/>
        </w:rPr>
        <w:t xml:space="preserve">This assessment identified 13 risks spanning technical, administrative, physical, and third-party categories. Of these, 4 risks were rated Critical or High, driven primarily by the absence of multi-factor authentication on remote EHR access, unmanaged endpoint security, and an untested backup and disaster recovery capability. The full scored risk register, including treatment plans, owners, and target dates, is maintained as a companion Excel workbook (Blue_Ridge_Risk_Register.xlsx) and summarized in Section 6.</w:t>
      </w:r>
    </w:p>
    <w:p>
      <w:pPr>
        <w:spacing w:after="160"/>
      </w:pPr>
      <w:r>
        <w:rPr>
          <w:rFonts w:ascii="Calibri" w:cs="Calibri" w:eastAsia="Calibri" w:hAnsi="Calibri"/>
          <w:sz w:val="21"/>
          <w:szCs w:val="21"/>
        </w:rPr>
        <w:t xml:space="preserve">Immediate priorities are enforcing MFA on all remote access, deploying endpoint detection and response (EDR) tooling, and formalizing an incident response plan. These three actions address the highest-scoring risks and align with common HIPAA Security Rule and NIST CSF 2.0 expectations for a covered entity of this size.</w:t>
      </w:r>
    </w:p>
    <w:p>
      <w:pPr>
        <w:pStyle w:val="Heading1"/>
        <w:spacing w:after="160" w:before="320"/>
      </w:pPr>
      <w:r>
        <w:t xml:space="preserve">2. Purpose and Scope</w:t>
      </w:r>
    </w:p>
    <w:p>
      <w:pPr>
        <w:spacing w:after="160"/>
      </w:pPr>
      <w:r>
        <w:rPr>
          <w:rFonts w:ascii="Calibri" w:cs="Calibri" w:eastAsia="Calibri" w:hAnsi="Calibri"/>
          <w:sz w:val="21"/>
          <w:szCs w:val="21"/>
        </w:rPr>
        <w:t xml:space="preserve">The purpose of this assessment is to identify, analyze, and prioritize information security risks to the confidentiality, integrity, and availability of Protected Health Information (PHI) and supporting IT systems at the Clinic, and to recommend risk treatment actions appropriate to the organization's size and resources.</w:t>
      </w:r>
    </w:p>
    <w:p>
      <w:pPr>
        <w:spacing w:after="160"/>
      </w:pPr>
      <w:r>
        <w:rPr>
          <w:rFonts w:ascii="Calibri" w:cs="Calibri" w:eastAsia="Calibri" w:hAnsi="Calibri"/>
          <w:sz w:val="21"/>
          <w:szCs w:val="21"/>
        </w:rPr>
        <w:t xml:space="preserve">The scope includes:</w:t>
      </w:r>
    </w:p>
    <w:p>
      <w:pPr>
        <w:pStyle w:val="ListParagraph"/>
        <w:numPr>
          <w:ilvl w:val="0"/>
          <w:numId w:val="2"/>
        </w:numPr>
        <w:spacing w:after="80"/>
      </w:pPr>
      <w:r>
        <w:rPr>
          <w:rFonts w:ascii="Calibri" w:cs="Calibri" w:eastAsia="Calibri" w:hAnsi="Calibri"/>
          <w:sz w:val="21"/>
          <w:szCs w:val="21"/>
        </w:rPr>
        <w:t xml:space="preserve">Cloud-based EHR and practice management systems</w:t>
      </w:r>
    </w:p>
    <w:p>
      <w:pPr>
        <w:pStyle w:val="ListParagraph"/>
        <w:numPr>
          <w:ilvl w:val="0"/>
          <w:numId w:val="2"/>
        </w:numPr>
        <w:spacing w:after="80"/>
      </w:pPr>
      <w:r>
        <w:rPr>
          <w:rFonts w:ascii="Calibri" w:cs="Calibri" w:eastAsia="Calibri" w:hAnsi="Calibri"/>
          <w:sz w:val="21"/>
          <w:szCs w:val="21"/>
        </w:rPr>
        <w:t xml:space="preserve">Clinic-owned workstations, laptops, and networked medical devices</w:t>
      </w:r>
    </w:p>
    <w:p>
      <w:pPr>
        <w:pStyle w:val="ListParagraph"/>
        <w:numPr>
          <w:ilvl w:val="0"/>
          <w:numId w:val="2"/>
        </w:numPr>
        <w:spacing w:after="80"/>
      </w:pPr>
      <w:r>
        <w:rPr>
          <w:rFonts w:ascii="Calibri" w:cs="Calibri" w:eastAsia="Calibri" w:hAnsi="Calibri"/>
          <w:sz w:val="21"/>
          <w:szCs w:val="21"/>
        </w:rPr>
        <w:t xml:space="preserve">Clinic network infrastructure, including guest and clinical Wi-Fi</w:t>
      </w:r>
    </w:p>
    <w:p>
      <w:pPr>
        <w:pStyle w:val="ListParagraph"/>
        <w:numPr>
          <w:ilvl w:val="0"/>
          <w:numId w:val="2"/>
        </w:numPr>
        <w:spacing w:after="80"/>
      </w:pPr>
      <w:r>
        <w:rPr>
          <w:rFonts w:ascii="Calibri" w:cs="Calibri" w:eastAsia="Calibri" w:hAnsi="Calibri"/>
          <w:sz w:val="21"/>
          <w:szCs w:val="21"/>
        </w:rPr>
        <w:t xml:space="preserve">Third-party billing vendor relationship and associated data flows</w:t>
      </w:r>
    </w:p>
    <w:p>
      <w:pPr>
        <w:pStyle w:val="ListParagraph"/>
        <w:numPr>
          <w:ilvl w:val="0"/>
          <w:numId w:val="2"/>
        </w:numPr>
        <w:spacing w:after="80"/>
      </w:pPr>
      <w:r>
        <w:rPr>
          <w:rFonts w:ascii="Calibri" w:cs="Calibri" w:eastAsia="Calibri" w:hAnsi="Calibri"/>
          <w:sz w:val="21"/>
          <w:szCs w:val="21"/>
        </w:rPr>
        <w:t xml:space="preserve">Administrative processes: onboarding/offboarding, access management, records disposal, and incident handling</w:t>
      </w:r>
    </w:p>
    <w:p>
      <w:pPr>
        <w:spacing w:after="160"/>
      </w:pPr>
      <w:r>
        <w:rPr>
          <w:rFonts w:ascii="Calibri" w:cs="Calibri" w:eastAsia="Calibri" w:hAnsi="Calibri"/>
          <w:sz w:val="21"/>
          <w:szCs w:val="21"/>
        </w:rPr>
        <w:t xml:space="preserve">Out of scope: physical building security systems (badge access, cameras) and financial/accounting controls unrelated to information security.</w:t>
      </w:r>
    </w:p>
    <w:p>
      <w:pPr>
        <w:pStyle w:val="Heading1"/>
        <w:spacing w:after="160" w:before="320"/>
      </w:pPr>
      <w:r>
        <w:t xml:space="preserve">3. Methodology</w:t>
      </w:r>
    </w:p>
    <w:p>
      <w:pPr>
        <w:spacing w:after="160"/>
      </w:pPr>
      <w:r>
        <w:rPr>
          <w:rFonts w:ascii="Calibri" w:cs="Calibri" w:eastAsia="Calibri" w:hAnsi="Calibri"/>
          <w:sz w:val="21"/>
          <w:szCs w:val="21"/>
        </w:rPr>
        <w:t xml:space="preserve">This assessment follows the qualitative risk analysis approach described in NIST SP 800-30 Rev. 1. Each identified risk is scored using a 5x5 Likelihood x Impact matrix, where both factors are rated on a 1 (lowest) to 5 (highest) scale. The Risk Score is calculated as Likelihood x Impact, producing a range of 1 to 25, which maps to four qualitative risk levels:</w:t>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780"/>
      </w:tblGrid>
      <w:tr>
        <w:tc>
          <w:tcPr>
            <w:tcW w:type="dxa" w:w="2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Risk Level</w:t>
            </w:r>
          </w:p>
        </w:tc>
        <w:tc>
          <w:tcPr>
            <w:tcW w:type="dxa" w:w="2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Score Range</w:t>
            </w:r>
          </w:p>
        </w:tc>
        <w:tc>
          <w:tcPr>
            <w:tcW w:type="dxa" w:w="478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General Response</w:t>
            </w:r>
          </w:p>
        </w:tc>
      </w:tr>
      <w:tr>
        <w:tc>
          <w:tcPr>
            <w:tcW w:type="dxa" w:w="2400"/>
            <w:shd w:fill="F8696B"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Critical</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15 - 25</w:t>
            </w:r>
          </w:p>
        </w:tc>
        <w:tc>
          <w:tcPr>
            <w:tcW w:type="dxa" w:w="4780"/>
            <w:tcMar>
              <w:top w:type="dxa" w:w="80"/>
              <w:left w:type="dxa" w:w="100"/>
              <w:bottom w:type="dxa" w:w="80"/>
              <w:right w:type="dxa" w:w="100"/>
            </w:tcMar>
          </w:tcPr>
          <w:p>
            <w:r>
              <w:rPr>
                <w:rFonts w:ascii="Calibri" w:cs="Calibri" w:eastAsia="Calibri" w:hAnsi="Calibri"/>
                <w:b w:val="false"/>
                <w:bCs w:val="false"/>
                <w:color w:val="000000"/>
                <w:sz w:val="20"/>
                <w:szCs w:val="20"/>
              </w:rPr>
              <w:t xml:space="preserve">Remediate immediately; escalate to leadership</w:t>
            </w:r>
          </w:p>
        </w:tc>
      </w:tr>
      <w:tr>
        <w:tc>
          <w:tcPr>
            <w:tcW w:type="dxa" w:w="2400"/>
            <w:shd w:fill="FFC000"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High</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10 - 14</w:t>
            </w:r>
          </w:p>
        </w:tc>
        <w:tc>
          <w:tcPr>
            <w:tcW w:type="dxa" w:w="4780"/>
            <w:tcMar>
              <w:top w:type="dxa" w:w="80"/>
              <w:left w:type="dxa" w:w="100"/>
              <w:bottom w:type="dxa" w:w="80"/>
              <w:right w:type="dxa" w:w="100"/>
            </w:tcMar>
          </w:tcPr>
          <w:p>
            <w:r>
              <w:rPr>
                <w:rFonts w:ascii="Calibri" w:cs="Calibri" w:eastAsia="Calibri" w:hAnsi="Calibri"/>
                <w:b w:val="false"/>
                <w:bCs w:val="false"/>
                <w:color w:val="000000"/>
                <w:sz w:val="20"/>
                <w:szCs w:val="20"/>
              </w:rPr>
              <w:t xml:space="preserve">Remediate within current quarter</w:t>
            </w:r>
          </w:p>
        </w:tc>
      </w:tr>
      <w:tr>
        <w:tc>
          <w:tcPr>
            <w:tcW w:type="dxa" w:w="2400"/>
            <w:shd w:fill="FFEB84"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Medium</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5 - 9</w:t>
            </w:r>
          </w:p>
        </w:tc>
        <w:tc>
          <w:tcPr>
            <w:tcW w:type="dxa" w:w="4780"/>
            <w:tcMar>
              <w:top w:type="dxa" w:w="80"/>
              <w:left w:type="dxa" w:w="100"/>
              <w:bottom w:type="dxa" w:w="80"/>
              <w:right w:type="dxa" w:w="100"/>
            </w:tcMar>
          </w:tcPr>
          <w:p>
            <w:r>
              <w:rPr>
                <w:rFonts w:ascii="Calibri" w:cs="Calibri" w:eastAsia="Calibri" w:hAnsi="Calibri"/>
                <w:b w:val="false"/>
                <w:bCs w:val="false"/>
                <w:color w:val="000000"/>
                <w:sz w:val="20"/>
                <w:szCs w:val="20"/>
              </w:rPr>
              <w:t xml:space="preserve">Remediate within the next two quarters</w:t>
            </w:r>
          </w:p>
        </w:tc>
      </w:tr>
      <w:tr>
        <w:tc>
          <w:tcPr>
            <w:tcW w:type="dxa" w:w="2400"/>
            <w:shd w:fill="63BE7B"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Low</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1 - 4</w:t>
            </w:r>
          </w:p>
        </w:tc>
        <w:tc>
          <w:tcPr>
            <w:tcW w:type="dxa" w:w="4780"/>
            <w:tcMar>
              <w:top w:type="dxa" w:w="80"/>
              <w:left w:type="dxa" w:w="100"/>
              <w:bottom w:type="dxa" w:w="80"/>
              <w:right w:type="dxa" w:w="100"/>
            </w:tcMar>
          </w:tcPr>
          <w:p>
            <w:r>
              <w:rPr>
                <w:rFonts w:ascii="Calibri" w:cs="Calibri" w:eastAsia="Calibri" w:hAnsi="Calibri"/>
                <w:b w:val="false"/>
                <w:bCs w:val="false"/>
                <w:color w:val="000000"/>
                <w:sz w:val="20"/>
                <w:szCs w:val="20"/>
              </w:rPr>
              <w:t xml:space="preserve">Monitor; address opportunistically</w:t>
            </w:r>
          </w:p>
        </w:tc>
      </w:tr>
    </w:tbl>
    <w:p>
      <w:pPr>
        <w:spacing w:after="160"/>
      </w:pPr>
      <w:r>
        <w:rPr>
          <w:rFonts w:ascii="Calibri" w:cs="Calibri" w:eastAsia="Calibri" w:hAnsi="Calibri"/>
          <w:sz w:val="21"/>
          <w:szCs w:val="21"/>
        </w:rPr>
        <w:t xml:space="preserve"> </w:t>
      </w:r>
    </w:p>
    <w:p>
      <w:pPr>
        <w:spacing w:after="160"/>
      </w:pPr>
      <w:r>
        <w:rPr>
          <w:rFonts w:ascii="Calibri" w:cs="Calibri" w:eastAsia="Calibri" w:hAnsi="Calibri"/>
          <w:sz w:val="21"/>
          <w:szCs w:val="21"/>
        </w:rPr>
        <w:t xml:space="preserve">Risks were identified through a structured review of system architecture, interviews with clinic operations staff (simulated for this exercise), and mapping against common threat and vulnerability catalogs referenced in NIST SP 800-30 Appendix D and E.</w:t>
      </w:r>
    </w:p>
    <w:p>
      <w:pPr>
        <w:pStyle w:val="Heading1"/>
        <w:spacing w:after="160" w:before="320"/>
      </w:pPr>
      <w:r>
        <w:t xml:space="preserve">4. System Characterization</w:t>
      </w:r>
    </w:p>
    <w:p>
      <w:pPr>
        <w:spacing w:after="160"/>
      </w:pPr>
      <w:r>
        <w:rPr>
          <w:rFonts w:ascii="Calibri" w:cs="Calibri" w:eastAsia="Calibri" w:hAnsi="Calibri"/>
          <w:sz w:val="21"/>
          <w:szCs w:val="21"/>
        </w:rPr>
        <w:t xml:space="preserve">The Clinic's environment consists of the following components relevant to this assessment:</w:t>
      </w:r>
    </w:p>
    <w:p>
      <w:pPr>
        <w:pStyle w:val="ListParagraph"/>
        <w:numPr>
          <w:ilvl w:val="0"/>
          <w:numId w:val="2"/>
        </w:numPr>
        <w:spacing w:after="80"/>
      </w:pPr>
      <w:r>
        <w:rPr>
          <w:rFonts w:ascii="Calibri" w:cs="Calibri" w:eastAsia="Calibri" w:hAnsi="Calibri"/>
          <w:sz w:val="21"/>
          <w:szCs w:val="21"/>
        </w:rPr>
        <w:t xml:space="preserve">Cloud EHR platform (SaaS, vendor-hosted, accessed via VPN and web portal)</w:t>
      </w:r>
    </w:p>
    <w:p>
      <w:pPr>
        <w:pStyle w:val="ListParagraph"/>
        <w:numPr>
          <w:ilvl w:val="0"/>
          <w:numId w:val="2"/>
        </w:numPr>
        <w:spacing w:after="80"/>
      </w:pPr>
      <w:r>
        <w:rPr>
          <w:rFonts w:ascii="Calibri" w:cs="Calibri" w:eastAsia="Calibri" w:hAnsi="Calibri"/>
          <w:sz w:val="21"/>
          <w:szCs w:val="21"/>
        </w:rPr>
        <w:t xml:space="preserve">Practice management / billing system, integrated with a third-party billing vendor</w:t>
      </w:r>
    </w:p>
    <w:p>
      <w:pPr>
        <w:pStyle w:val="ListParagraph"/>
        <w:numPr>
          <w:ilvl w:val="0"/>
          <w:numId w:val="2"/>
        </w:numPr>
        <w:spacing w:after="80"/>
      </w:pPr>
      <w:r>
        <w:rPr>
          <w:rFonts w:ascii="Calibri" w:cs="Calibri" w:eastAsia="Calibri" w:hAnsi="Calibri"/>
          <w:sz w:val="21"/>
          <w:szCs w:val="21"/>
        </w:rPr>
        <w:t xml:space="preserve">Microsoft 365 (email, file storage, collaboration) for all staff</w:t>
      </w:r>
    </w:p>
    <w:p>
      <w:pPr>
        <w:pStyle w:val="ListParagraph"/>
        <w:numPr>
          <w:ilvl w:val="0"/>
          <w:numId w:val="2"/>
        </w:numPr>
        <w:spacing w:after="80"/>
      </w:pPr>
      <w:r>
        <w:rPr>
          <w:rFonts w:ascii="Calibri" w:cs="Calibri" w:eastAsia="Calibri" w:hAnsi="Calibri"/>
          <w:sz w:val="21"/>
          <w:szCs w:val="21"/>
        </w:rPr>
        <w:t xml:space="preserve">~35 clinical and administrative workstations, 8 remote-capable laptops</w:t>
      </w:r>
    </w:p>
    <w:p>
      <w:pPr>
        <w:pStyle w:val="ListParagraph"/>
        <w:numPr>
          <w:ilvl w:val="0"/>
          <w:numId w:val="2"/>
        </w:numPr>
        <w:spacing w:after="80"/>
      </w:pPr>
      <w:r>
        <w:rPr>
          <w:rFonts w:ascii="Calibri" w:cs="Calibri" w:eastAsia="Calibri" w:hAnsi="Calibri"/>
          <w:sz w:val="21"/>
          <w:szCs w:val="21"/>
        </w:rPr>
        <w:t xml:space="preserve">Networked medical devices (blood pressure monitors, scales) on a shared VLAN</w:t>
      </w:r>
    </w:p>
    <w:p>
      <w:pPr>
        <w:pStyle w:val="ListParagraph"/>
        <w:numPr>
          <w:ilvl w:val="0"/>
          <w:numId w:val="2"/>
        </w:numPr>
        <w:spacing w:after="80"/>
      </w:pPr>
      <w:r>
        <w:rPr>
          <w:rFonts w:ascii="Calibri" w:cs="Calibri" w:eastAsia="Calibri" w:hAnsi="Calibri"/>
          <w:sz w:val="21"/>
          <w:szCs w:val="21"/>
        </w:rPr>
        <w:t xml:space="preserve">Guest Wi-Fi network for patients, currently on the same network segment as clinical systems</w:t>
      </w:r>
    </w:p>
    <w:p>
      <w:pPr>
        <w:pStyle w:val="ListParagraph"/>
        <w:numPr>
          <w:ilvl w:val="0"/>
          <w:numId w:val="2"/>
        </w:numPr>
        <w:spacing w:after="80"/>
      </w:pPr>
      <w:r>
        <w:rPr>
          <w:rFonts w:ascii="Calibri" w:cs="Calibri" w:eastAsia="Calibri" w:hAnsi="Calibri"/>
          <w:sz w:val="21"/>
          <w:szCs w:val="21"/>
        </w:rPr>
        <w:t xml:space="preserve">Approximately 45 staff: clinicians, front-desk/administrative staff, billing (partially remote), and one IT Manager</w:t>
      </w:r>
    </w:p>
    <w:p>
      <w:pPr>
        <w:pStyle w:val="Heading1"/>
        <w:spacing w:after="160" w:before="320"/>
      </w:pPr>
      <w:r>
        <w:t xml:space="preserve">5. Threat and Vulnerability Identification</w:t>
      </w:r>
    </w:p>
    <w:p>
      <w:pPr>
        <w:spacing w:after="160"/>
      </w:pPr>
      <w:r>
        <w:rPr>
          <w:rFonts w:ascii="Calibri" w:cs="Calibri" w:eastAsia="Calibri" w:hAnsi="Calibri"/>
          <w:sz w:val="21"/>
          <w:szCs w:val="21"/>
        </w:rPr>
        <w:t xml:space="preserve">Threat sources considered include external attackers (opportunistic and targeted), malicious and unintentional insiders, third-party/vendor failures, and environmental/process gaps. Key vulnerability themes identified across the environment:</w:t>
      </w:r>
    </w:p>
    <w:p>
      <w:pPr>
        <w:pStyle w:val="ListParagraph"/>
        <w:numPr>
          <w:ilvl w:val="0"/>
          <w:numId w:val="2"/>
        </w:numPr>
        <w:spacing w:after="80"/>
      </w:pPr>
      <w:r>
        <w:rPr>
          <w:rFonts w:ascii="Calibri" w:cs="Calibri" w:eastAsia="Calibri" w:hAnsi="Calibri"/>
          <w:sz w:val="21"/>
          <w:szCs w:val="21"/>
        </w:rPr>
        <w:t xml:space="preserve">Authentication: absence of multi-factor authentication on remote access to the EHR and VPN</w:t>
      </w:r>
    </w:p>
    <w:p>
      <w:pPr>
        <w:pStyle w:val="ListParagraph"/>
        <w:numPr>
          <w:ilvl w:val="0"/>
          <w:numId w:val="2"/>
        </w:numPr>
        <w:spacing w:after="80"/>
      </w:pPr>
      <w:r>
        <w:rPr>
          <w:rFonts w:ascii="Calibri" w:cs="Calibri" w:eastAsia="Calibri" w:hAnsi="Calibri"/>
          <w:sz w:val="21"/>
          <w:szCs w:val="21"/>
        </w:rPr>
        <w:t xml:space="preserve">Endpoint security: signature-based antivirus only, no EDR, inconsistent patch management</w:t>
      </w:r>
    </w:p>
    <w:p>
      <w:pPr>
        <w:pStyle w:val="ListParagraph"/>
        <w:numPr>
          <w:ilvl w:val="0"/>
          <w:numId w:val="2"/>
        </w:numPr>
        <w:spacing w:after="80"/>
      </w:pPr>
      <w:r>
        <w:rPr>
          <w:rFonts w:ascii="Calibri" w:cs="Calibri" w:eastAsia="Calibri" w:hAnsi="Calibri"/>
          <w:sz w:val="21"/>
          <w:szCs w:val="21"/>
        </w:rPr>
        <w:t xml:space="preserve">Network architecture: flat network with guest Wi-Fi and clinical systems on the same segment</w:t>
      </w:r>
    </w:p>
    <w:p>
      <w:pPr>
        <w:pStyle w:val="ListParagraph"/>
        <w:numPr>
          <w:ilvl w:val="0"/>
          <w:numId w:val="2"/>
        </w:numPr>
        <w:spacing w:after="80"/>
      </w:pPr>
      <w:r>
        <w:rPr>
          <w:rFonts w:ascii="Calibri" w:cs="Calibri" w:eastAsia="Calibri" w:hAnsi="Calibri"/>
          <w:sz w:val="21"/>
          <w:szCs w:val="21"/>
        </w:rPr>
        <w:t xml:space="preserve">Third-party oversight: no recurring security review of the billing vendor despite PHI access</w:t>
      </w:r>
    </w:p>
    <w:p>
      <w:pPr>
        <w:pStyle w:val="ListParagraph"/>
        <w:numPr>
          <w:ilvl w:val="0"/>
          <w:numId w:val="2"/>
        </w:numPr>
        <w:spacing w:after="80"/>
      </w:pPr>
      <w:r>
        <w:rPr>
          <w:rFonts w:ascii="Calibri" w:cs="Calibri" w:eastAsia="Calibri" w:hAnsi="Calibri"/>
          <w:sz w:val="21"/>
          <w:szCs w:val="21"/>
        </w:rPr>
        <w:t xml:space="preserve">Governance: no formal incident response plan, and backup restoration has never been tested</w:t>
      </w:r>
    </w:p>
    <w:p>
      <w:pPr>
        <w:pStyle w:val="ListParagraph"/>
        <w:numPr>
          <w:ilvl w:val="0"/>
          <w:numId w:val="2"/>
        </w:numPr>
        <w:spacing w:after="80"/>
      </w:pPr>
      <w:r>
        <w:rPr>
          <w:rFonts w:ascii="Calibri" w:cs="Calibri" w:eastAsia="Calibri" w:hAnsi="Calibri"/>
          <w:sz w:val="21"/>
          <w:szCs w:val="21"/>
        </w:rPr>
        <w:t xml:space="preserve">Awareness: security training limited to a single HIPAA session at hire, no phishing simulation</w:t>
      </w:r>
    </w:p>
    <w:p>
      <w:pPr>
        <w:pStyle w:val="Heading1"/>
        <w:spacing w:after="160" w:before="320"/>
      </w:pPr>
      <w:r>
        <w:t xml:space="preserve">6. Risk Determination Summary</w:t>
      </w:r>
    </w:p>
    <w:p>
      <w:pPr>
        <w:spacing w:after="160"/>
      </w:pPr>
      <w:r>
        <w:rPr>
          <w:rFonts w:ascii="Calibri" w:cs="Calibri" w:eastAsia="Calibri" w:hAnsi="Calibri"/>
          <w:sz w:val="21"/>
          <w:szCs w:val="21"/>
        </w:rPr>
        <w:t xml:space="preserve">The table below summarizes the highest-priority risks. The complete register with all 13 risks, existing controls, recommended treatments, owners, and target dates is maintained in the companion workbook, Blue_Ridge_Risk_Register.xlsx, which recalculates automatically as likelihood or impact ratings change.</w:t>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400"/>
        <w:gridCol w:w="1400"/>
        <w:gridCol w:w="2480"/>
      </w:tblGrid>
      <w:tr>
        <w:tc>
          <w:tcPr>
            <w:tcW w:type="dxa" w:w="9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Risk</w:t>
            </w:r>
          </w:p>
        </w:tc>
        <w:tc>
          <w:tcPr>
            <w:tcW w:type="dxa" w:w="1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Score</w:t>
            </w:r>
          </w:p>
        </w:tc>
        <w:tc>
          <w:tcPr>
            <w:tcW w:type="dxa" w:w="1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Level</w:t>
            </w:r>
          </w:p>
        </w:tc>
        <w:tc>
          <w:tcPr>
            <w:tcW w:type="dxa" w:w="248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Owner</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R-02</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Ransomware via compromised endpoint reaching EHR-connected systems</w:t>
            </w:r>
          </w:p>
        </w:tc>
        <w:tc>
          <w:tcPr>
            <w:tcW w:type="dxa" w:w="1400"/>
            <w:shd w:fill="F8696B"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15</w:t>
            </w:r>
          </w:p>
        </w:tc>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Critical</w:t>
            </w:r>
          </w:p>
        </w:tc>
        <w:tc>
          <w:tcPr>
            <w:tcW w:type="dxa" w:w="2480"/>
            <w:tcMar>
              <w:top w:type="dxa" w:w="80"/>
              <w:left w:type="dxa" w:w="100"/>
              <w:bottom w:type="dxa" w:w="80"/>
              <w:right w:type="dxa" w:w="100"/>
            </w:tcMar>
          </w:tcPr>
          <w:p>
            <w:r>
              <w:rPr>
                <w:rFonts w:ascii="Calibri" w:cs="Calibri" w:eastAsia="Calibri" w:hAnsi="Calibri"/>
                <w:b w:val="false"/>
                <w:bCs w:val="false"/>
                <w:color w:val="000000"/>
                <w:sz w:val="20"/>
                <w:szCs w:val="20"/>
              </w:rPr>
              <w:t xml:space="preserve">IT Manager</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R-06</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EHR remote access lacks multi-factor authentication</w:t>
            </w:r>
          </w:p>
        </w:tc>
        <w:tc>
          <w:tcPr>
            <w:tcW w:type="dxa" w:w="1400"/>
            <w:shd w:fill="F8696B"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15</w:t>
            </w:r>
          </w:p>
        </w:tc>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Critical</w:t>
            </w:r>
          </w:p>
        </w:tc>
        <w:tc>
          <w:tcPr>
            <w:tcW w:type="dxa" w:w="2480"/>
            <w:tcMar>
              <w:top w:type="dxa" w:w="80"/>
              <w:left w:type="dxa" w:w="100"/>
              <w:bottom w:type="dxa" w:w="80"/>
              <w:right w:type="dxa" w:w="100"/>
            </w:tcMar>
          </w:tcPr>
          <w:p>
            <w:r>
              <w:rPr>
                <w:rFonts w:ascii="Calibri" w:cs="Calibri" w:eastAsia="Calibri" w:hAnsi="Calibri"/>
                <w:b w:val="false"/>
                <w:bCs w:val="false"/>
                <w:color w:val="000000"/>
                <w:sz w:val="20"/>
                <w:szCs w:val="20"/>
              </w:rPr>
              <w:t xml:space="preserve">IT Manager</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R-04</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Third-party billing vendor data breach exposing PHI</w:t>
            </w:r>
          </w:p>
        </w:tc>
        <w:tc>
          <w:tcPr>
            <w:tcW w:type="dxa" w:w="1400"/>
            <w:shd w:fill="FFC000"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10</w:t>
            </w:r>
          </w:p>
        </w:tc>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High</w:t>
            </w:r>
          </w:p>
        </w:tc>
        <w:tc>
          <w:tcPr>
            <w:tcW w:type="dxa" w:w="2480"/>
            <w:tcMar>
              <w:top w:type="dxa" w:w="80"/>
              <w:left w:type="dxa" w:w="100"/>
              <w:bottom w:type="dxa" w:w="80"/>
              <w:right w:type="dxa" w:w="100"/>
            </w:tcMar>
          </w:tcPr>
          <w:p>
            <w:r>
              <w:rPr>
                <w:rFonts w:ascii="Calibri" w:cs="Calibri" w:eastAsia="Calibri" w:hAnsi="Calibri"/>
                <w:b w:val="false"/>
                <w:bCs w:val="false"/>
                <w:color w:val="000000"/>
                <w:sz w:val="20"/>
                <w:szCs w:val="20"/>
              </w:rPr>
              <w:t xml:space="preserve">Compliance Officer</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R-13</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Backup failure / untested disaster recovery</w:t>
            </w:r>
          </w:p>
        </w:tc>
        <w:tc>
          <w:tcPr>
            <w:tcW w:type="dxa" w:w="1400"/>
            <w:shd w:fill="FFC000"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10</w:t>
            </w:r>
          </w:p>
        </w:tc>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High</w:t>
            </w:r>
          </w:p>
        </w:tc>
        <w:tc>
          <w:tcPr>
            <w:tcW w:type="dxa" w:w="2480"/>
            <w:tcMar>
              <w:top w:type="dxa" w:w="80"/>
              <w:left w:type="dxa" w:w="100"/>
              <w:bottom w:type="dxa" w:w="80"/>
              <w:right w:type="dxa" w:w="100"/>
            </w:tcMar>
          </w:tcPr>
          <w:p>
            <w:r>
              <w:rPr>
                <w:rFonts w:ascii="Calibri" w:cs="Calibri" w:eastAsia="Calibri" w:hAnsi="Calibri"/>
                <w:b w:val="false"/>
                <w:bCs w:val="false"/>
                <w:color w:val="000000"/>
                <w:sz w:val="20"/>
                <w:szCs w:val="20"/>
              </w:rPr>
              <w:t xml:space="preserve">IT Manager</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R-01</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Phishing compromises staff O365 credentials</w:t>
            </w:r>
          </w:p>
        </w:tc>
        <w:tc>
          <w:tcPr>
            <w:tcW w:type="dxa" w:w="1400"/>
            <w:shd w:fill="F8696B"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16</w:t>
            </w:r>
          </w:p>
        </w:tc>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Critical</w:t>
            </w:r>
          </w:p>
        </w:tc>
        <w:tc>
          <w:tcPr>
            <w:tcW w:type="dxa" w:w="2480"/>
            <w:tcMar>
              <w:top w:type="dxa" w:w="80"/>
              <w:left w:type="dxa" w:w="100"/>
              <w:bottom w:type="dxa" w:w="80"/>
              <w:right w:type="dxa" w:w="100"/>
            </w:tcMar>
          </w:tcPr>
          <w:p>
            <w:r>
              <w:rPr>
                <w:rFonts w:ascii="Calibri" w:cs="Calibri" w:eastAsia="Calibri" w:hAnsi="Calibri"/>
                <w:b w:val="false"/>
                <w:bCs w:val="false"/>
                <w:color w:val="000000"/>
                <w:sz w:val="20"/>
                <w:szCs w:val="20"/>
              </w:rPr>
              <w:t xml:space="preserve">IT Manager</w:t>
            </w:r>
          </w:p>
        </w:tc>
      </w:tr>
    </w:tbl>
    <w:p>
      <w:pPr>
        <w:spacing w:after="160"/>
      </w:pPr>
      <w:r>
        <w:rPr>
          <w:rFonts w:ascii="Calibri" w:cs="Calibri" w:eastAsia="Calibri" w:hAnsi="Calibri"/>
          <w:sz w:val="21"/>
          <w:szCs w:val="21"/>
        </w:rPr>
        <w:t xml:space="preserve"> </w:t>
      </w:r>
    </w:p>
    <w:p>
      <w:pPr>
        <w:spacing w:after="160"/>
      </w:pPr>
      <w:r>
        <w:rPr>
          <w:rFonts w:ascii="Calibri" w:cs="Calibri" w:eastAsia="Calibri" w:hAnsi="Calibri"/>
          <w:sz w:val="21"/>
          <w:szCs w:val="21"/>
        </w:rPr>
        <w:t xml:space="preserve">Note: R-01 recalculates to 16 (Likelihood 4 x Impact 4) and is included here as a top-priority item alongside the two highest-scoring risks; see the workbook for the fully sorted register.</w:t>
      </w:r>
    </w:p>
    <w:p>
      <w:pPr>
        <w:pStyle w:val="Heading1"/>
        <w:spacing w:after="160" w:before="320"/>
      </w:pPr>
      <w:r>
        <w:t xml:space="preserve">7. Recommendations</w:t>
      </w:r>
    </w:p>
    <w:p>
      <w:pPr>
        <w:spacing w:after="160"/>
      </w:pPr>
      <w:r>
        <w:rPr>
          <w:rFonts w:ascii="Calibri" w:cs="Calibri" w:eastAsia="Calibri" w:hAnsi="Calibri"/>
          <w:sz w:val="21"/>
          <w:szCs w:val="21"/>
        </w:rPr>
        <w:t xml:space="preserve">The following actions are recommended in priority order, reflecting risk score and implementation feasibility for an organization of this size:</w:t>
      </w:r>
    </w:p>
    <w:p>
      <w:pPr>
        <w:pStyle w:val="ListParagraph"/>
        <w:numPr>
          <w:ilvl w:val="0"/>
          <w:numId w:val="2"/>
        </w:numPr>
        <w:spacing w:after="80"/>
      </w:pPr>
      <w:r>
        <w:rPr>
          <w:rFonts w:ascii="Calibri" w:cs="Calibri" w:eastAsia="Calibri" w:hAnsi="Calibri"/>
          <w:sz w:val="21"/>
          <w:szCs w:val="21"/>
        </w:rPr>
        <w:t xml:space="preserve">1. Enforce multi-factor authentication on all remote access to the VPN and EHR portal (addresses R-06, reduces R-01 exposure)</w:t>
      </w:r>
    </w:p>
    <w:p>
      <w:pPr>
        <w:pStyle w:val="ListParagraph"/>
        <w:numPr>
          <w:ilvl w:val="0"/>
          <w:numId w:val="2"/>
        </w:numPr>
        <w:spacing w:after="80"/>
      </w:pPr>
      <w:r>
        <w:rPr>
          <w:rFonts w:ascii="Calibri" w:cs="Calibri" w:eastAsia="Calibri" w:hAnsi="Calibri"/>
          <w:sz w:val="21"/>
          <w:szCs w:val="21"/>
        </w:rPr>
        <w:t xml:space="preserve">2. Deploy endpoint detection and response (EDR) and automate patch management across all workstations and laptops (addresses R-02)</w:t>
      </w:r>
    </w:p>
    <w:p>
      <w:pPr>
        <w:pStyle w:val="ListParagraph"/>
        <w:numPr>
          <w:ilvl w:val="0"/>
          <w:numId w:val="2"/>
        </w:numPr>
        <w:spacing w:after="80"/>
      </w:pPr>
      <w:r>
        <w:rPr>
          <w:rFonts w:ascii="Calibri" w:cs="Calibri" w:eastAsia="Calibri" w:hAnsi="Calibri"/>
          <w:sz w:val="21"/>
          <w:szCs w:val="21"/>
        </w:rPr>
        <w:t xml:space="preserve">3. Formalize and test an incident response plan aligned to NIST SP 800-61, including a tabletop exercise (addresses R-09)</w:t>
      </w:r>
    </w:p>
    <w:p>
      <w:pPr>
        <w:pStyle w:val="ListParagraph"/>
        <w:numPr>
          <w:ilvl w:val="0"/>
          <w:numId w:val="2"/>
        </w:numPr>
        <w:spacing w:after="80"/>
      </w:pPr>
      <w:r>
        <w:rPr>
          <w:rFonts w:ascii="Calibri" w:cs="Calibri" w:eastAsia="Calibri" w:hAnsi="Calibri"/>
          <w:sz w:val="21"/>
          <w:szCs w:val="21"/>
        </w:rPr>
        <w:t xml:space="preserve">4. Document a disaster recovery/business continuity plan with defined RTO/RPO and perform an annual restoration test (addresses R-13)</w:t>
      </w:r>
    </w:p>
    <w:p>
      <w:pPr>
        <w:pStyle w:val="ListParagraph"/>
        <w:numPr>
          <w:ilvl w:val="0"/>
          <w:numId w:val="2"/>
        </w:numPr>
        <w:spacing w:after="80"/>
      </w:pPr>
      <w:r>
        <w:rPr>
          <w:rFonts w:ascii="Calibri" w:cs="Calibri" w:eastAsia="Calibri" w:hAnsi="Calibri"/>
          <w:sz w:val="21"/>
          <w:szCs w:val="21"/>
        </w:rPr>
        <w:t xml:space="preserve">5. Require an annual SOC 2 report or equivalent from the third-party billing vendor and add a breach-notification SLA to the BAA (addresses R-04)</w:t>
      </w:r>
    </w:p>
    <w:p>
      <w:pPr>
        <w:pStyle w:val="ListParagraph"/>
        <w:numPr>
          <w:ilvl w:val="0"/>
          <w:numId w:val="2"/>
        </w:numPr>
        <w:spacing w:after="80"/>
      </w:pPr>
      <w:r>
        <w:rPr>
          <w:rFonts w:ascii="Calibri" w:cs="Calibri" w:eastAsia="Calibri" w:hAnsi="Calibri"/>
          <w:sz w:val="21"/>
          <w:szCs w:val="21"/>
        </w:rPr>
        <w:t xml:space="preserve">6. Segment guest Wi-Fi from the clinical network and implement role-based access control with quarterly access reviews (addresses R-12, R-11)</w:t>
      </w:r>
    </w:p>
    <w:p>
      <w:pPr>
        <w:pStyle w:val="ListParagraph"/>
        <w:numPr>
          <w:ilvl w:val="0"/>
          <w:numId w:val="2"/>
        </w:numPr>
        <w:spacing w:after="80"/>
      </w:pPr>
      <w:r>
        <w:rPr>
          <w:rFonts w:ascii="Calibri" w:cs="Calibri" w:eastAsia="Calibri" w:hAnsi="Calibri"/>
          <w:sz w:val="21"/>
          <w:szCs w:val="21"/>
        </w:rPr>
        <w:t xml:space="preserve">7. Launch annual mandatory security awareness training with quarterly phishing simulations (addresses R-01, R-08)</w:t>
      </w:r>
    </w:p>
    <w:p>
      <w:pPr>
        <w:pStyle w:val="Heading1"/>
        <w:spacing w:after="160" w:before="320"/>
      </w:pPr>
      <w:r>
        <w:t xml:space="preserve">8. Conclusion</w:t>
      </w:r>
    </w:p>
    <w:p>
      <w:pPr>
        <w:spacing w:after="160"/>
      </w:pPr>
      <w:r>
        <w:rPr>
          <w:rFonts w:ascii="Calibri" w:cs="Calibri" w:eastAsia="Calibri" w:hAnsi="Calibri"/>
          <w:sz w:val="21"/>
          <w:szCs w:val="21"/>
        </w:rPr>
        <w:t xml:space="preserve">The Clinic's overall risk posture reflects common gaps seen in small healthcare organizations: strong baseline controls such as encrypted vendor backups and a signed BAA, paired with under-resourced areas like multi-factor authentication, endpoint monitoring, and incident response planning. Addressing the five Critical and High risks identified in this assessment would materially reduce the organization's exposure to the most likely and highest-impact scenarios: credential compromise and ransomware. This assessment should be refreshed at least annually, or immediately following any significant change to the Clinic's systems, vendors, or threat landscape.</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r>
      <w:rPr>
        <w:rFonts w:ascii="Calibri" w:cs="Calibri" w:eastAsia="Calibri" w:hAnsi="Calibri"/>
        <w:color w:val="808080"/>
        <w:sz w:val="16"/>
        <w:szCs w:val="16"/>
      </w:rPr>
      <w:t xml:space="preserve">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Blue Ridge Family Health Clinic — Information Security Risk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2026-07-29T02:28:28.942Z</dcterms:created>
  <dcterms:modified xsi:type="dcterms:W3CDTF">2026-07-29T02:28:28.942Z</dcterms:modified>
</cp:coreProperties>
</file>

<file path=docProps/custom.xml><?xml version="1.0" encoding="utf-8"?>
<Properties xmlns="http://schemas.openxmlformats.org/officeDocument/2006/custom-properties" xmlns:vt="http://schemas.openxmlformats.org/officeDocument/2006/docPropsVTypes"/>
</file>