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A850" w14:textId="77777777" w:rsidR="007F710A" w:rsidRDefault="007F710A">
      <w:pPr>
        <w:spacing w:before="3" w:line="180" w:lineRule="exact"/>
        <w:rPr>
          <w:sz w:val="19"/>
          <w:szCs w:val="19"/>
        </w:rPr>
      </w:pPr>
    </w:p>
    <w:p w14:paraId="69C6BCE2" w14:textId="77777777" w:rsidR="007F710A" w:rsidRDefault="00412679" w:rsidP="00BC7D2B">
      <w:pPr>
        <w:spacing w:before="14"/>
        <w:rPr>
          <w:rFonts w:ascii="Arial" w:eastAsia="Arial" w:hAnsi="Arial" w:cs="Arial"/>
          <w:sz w:val="36"/>
          <w:szCs w:val="36"/>
        </w:rPr>
      </w:pPr>
      <w:r>
        <w:rPr>
          <w:rFonts w:ascii="Arial" w:eastAsia="Arial" w:hAnsi="Arial" w:cs="Arial"/>
          <w:b/>
          <w:sz w:val="36"/>
          <w:szCs w:val="36"/>
        </w:rPr>
        <w:t>Estimate the Impact of Opioid Control Policies</w:t>
      </w:r>
    </w:p>
    <w:p w14:paraId="0849104F" w14:textId="77777777" w:rsidR="007F710A" w:rsidRDefault="007F710A">
      <w:pPr>
        <w:spacing w:before="4" w:line="100" w:lineRule="exact"/>
        <w:rPr>
          <w:sz w:val="11"/>
          <w:szCs w:val="11"/>
        </w:rPr>
      </w:pPr>
    </w:p>
    <w:p w14:paraId="760350E2" w14:textId="77777777" w:rsidR="007F710A" w:rsidRDefault="007F710A">
      <w:pPr>
        <w:spacing w:line="200" w:lineRule="exact"/>
      </w:pPr>
    </w:p>
    <w:p w14:paraId="7842D20E" w14:textId="06EA0E5D" w:rsidR="007F710A" w:rsidRDefault="00412679" w:rsidP="00BC7D2B">
      <w:pPr>
        <w:rPr>
          <w:rFonts w:ascii="Arial" w:eastAsia="Arial" w:hAnsi="Arial" w:cs="Arial"/>
          <w:sz w:val="24"/>
          <w:szCs w:val="24"/>
        </w:rPr>
      </w:pPr>
      <w:r>
        <w:rPr>
          <w:rFonts w:ascii="Arial" w:eastAsia="Arial" w:hAnsi="Arial" w:cs="Arial"/>
          <w:b/>
          <w:sz w:val="24"/>
          <w:szCs w:val="24"/>
        </w:rPr>
        <w:t xml:space="preserve">Motivation for the </w:t>
      </w:r>
      <w:r w:rsidR="00631BF7">
        <w:rPr>
          <w:rFonts w:ascii="Arial" w:eastAsia="Arial" w:hAnsi="Arial" w:cs="Arial"/>
          <w:b/>
          <w:sz w:val="24"/>
          <w:szCs w:val="24"/>
        </w:rPr>
        <w:t>project:</w:t>
      </w:r>
    </w:p>
    <w:p w14:paraId="368148EA" w14:textId="77777777" w:rsidR="007F710A" w:rsidRDefault="007F710A">
      <w:pPr>
        <w:spacing w:before="18" w:line="280" w:lineRule="exact"/>
        <w:rPr>
          <w:sz w:val="28"/>
          <w:szCs w:val="28"/>
        </w:rPr>
      </w:pPr>
    </w:p>
    <w:p w14:paraId="18D70D28" w14:textId="77777777" w:rsidR="007F710A" w:rsidRPr="00F068A5" w:rsidRDefault="00412679" w:rsidP="00BC7D2B">
      <w:pPr>
        <w:spacing w:line="284" w:lineRule="auto"/>
        <w:ind w:right="245"/>
        <w:jc w:val="both"/>
        <w:rPr>
          <w:rFonts w:ascii="Arial" w:eastAsia="Arial" w:hAnsi="Arial" w:cs="Arial"/>
          <w:sz w:val="24"/>
          <w:szCs w:val="24"/>
        </w:rPr>
      </w:pPr>
      <w:r w:rsidRPr="00F068A5">
        <w:rPr>
          <w:rFonts w:ascii="Arial" w:eastAsia="Arial" w:hAnsi="Arial" w:cs="Arial"/>
          <w:sz w:val="24"/>
          <w:szCs w:val="24"/>
        </w:rPr>
        <w:t>Over the past two decades, the United States has seen a tremendous increase in the use and abuse of prescription opioids. As a result, there has been a rise in drug overdose deaths from prescription as well as non-prescription opioids like heroin and fentanyl.</w:t>
      </w:r>
    </w:p>
    <w:p w14:paraId="0D206A56" w14:textId="77777777" w:rsidR="007F710A" w:rsidRPr="00F068A5" w:rsidRDefault="007F710A">
      <w:pPr>
        <w:spacing w:before="8" w:line="260" w:lineRule="exact"/>
        <w:rPr>
          <w:sz w:val="24"/>
          <w:szCs w:val="24"/>
        </w:rPr>
      </w:pPr>
    </w:p>
    <w:p w14:paraId="2F9C1E90" w14:textId="77777777" w:rsidR="007F710A" w:rsidRPr="00F068A5" w:rsidRDefault="00F379B7">
      <w:pPr>
        <w:ind w:left="1675"/>
        <w:rPr>
          <w:sz w:val="24"/>
          <w:szCs w:val="24"/>
        </w:rPr>
      </w:pPr>
      <w:r w:rsidRPr="00F379B7">
        <w:rPr>
          <w:noProof/>
          <w:sz w:val="24"/>
          <w:szCs w:val="24"/>
        </w:rPr>
        <w:pict w14:anchorId="62005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35pt;height:251.05pt;mso-width-percent:0;mso-height-percent:0;mso-width-percent:0;mso-height-percent:0">
            <v:imagedata r:id="rId5" o:title=""/>
          </v:shape>
        </w:pict>
      </w:r>
    </w:p>
    <w:p w14:paraId="134D526E" w14:textId="77777777" w:rsidR="007F710A" w:rsidRPr="00F068A5" w:rsidRDefault="007F710A">
      <w:pPr>
        <w:spacing w:before="4" w:line="120" w:lineRule="exact"/>
        <w:rPr>
          <w:sz w:val="24"/>
          <w:szCs w:val="24"/>
        </w:rPr>
      </w:pPr>
    </w:p>
    <w:p w14:paraId="04B823B4" w14:textId="5ED10C61" w:rsidR="007F710A" w:rsidRPr="00F068A5" w:rsidRDefault="00412679" w:rsidP="00F068A5">
      <w:pPr>
        <w:rPr>
          <w:rFonts w:ascii="Arial" w:eastAsia="Arial" w:hAnsi="Arial" w:cs="Arial"/>
          <w:sz w:val="24"/>
          <w:szCs w:val="24"/>
        </w:rPr>
      </w:pPr>
      <w:r w:rsidRPr="00F068A5">
        <w:rPr>
          <w:rFonts w:ascii="Arial" w:eastAsia="Arial" w:hAnsi="Arial" w:cs="Arial"/>
          <w:sz w:val="24"/>
          <w:szCs w:val="24"/>
        </w:rPr>
        <w:t>Owing to this, several states such as Florida (in 2010</w:t>
      </w:r>
      <w:r w:rsidR="00E67A7C" w:rsidRPr="00F068A5">
        <w:rPr>
          <w:rFonts w:ascii="Arial" w:eastAsia="Arial" w:hAnsi="Arial" w:cs="Arial"/>
          <w:sz w:val="24"/>
          <w:szCs w:val="24"/>
        </w:rPr>
        <w:t>),</w:t>
      </w:r>
      <w:r w:rsidRPr="00F068A5">
        <w:rPr>
          <w:rFonts w:ascii="Arial" w:eastAsia="Arial" w:hAnsi="Arial" w:cs="Arial"/>
          <w:sz w:val="24"/>
          <w:szCs w:val="24"/>
        </w:rPr>
        <w:t xml:space="preserve"> Texas (in 2007) and Washington (in2011) have passed laws to make the prescription of opioid drugs more stringent.</w:t>
      </w:r>
    </w:p>
    <w:p w14:paraId="273E5A0D" w14:textId="77777777" w:rsidR="007F710A" w:rsidRPr="00F068A5" w:rsidRDefault="007F710A">
      <w:pPr>
        <w:spacing w:before="7" w:line="280" w:lineRule="exact"/>
        <w:rPr>
          <w:sz w:val="24"/>
          <w:szCs w:val="24"/>
        </w:rPr>
      </w:pPr>
    </w:p>
    <w:p w14:paraId="1E117E44" w14:textId="77777777" w:rsidR="007F710A" w:rsidRPr="00F068A5" w:rsidRDefault="00412679" w:rsidP="00BC7D2B">
      <w:pPr>
        <w:spacing w:line="284" w:lineRule="auto"/>
        <w:ind w:right="137"/>
        <w:rPr>
          <w:rFonts w:ascii="Arial" w:eastAsia="Arial" w:hAnsi="Arial" w:cs="Arial"/>
          <w:sz w:val="24"/>
          <w:szCs w:val="24"/>
        </w:rPr>
      </w:pPr>
      <w:r w:rsidRPr="00F068A5">
        <w:rPr>
          <w:rFonts w:ascii="Arial" w:eastAsia="Arial" w:hAnsi="Arial" w:cs="Arial"/>
          <w:sz w:val="24"/>
          <w:szCs w:val="24"/>
        </w:rPr>
        <w:t>Assess the effectiveness of these policy changes can be of vital importance for the respective states for course correction in this area as well as serve as guidelines for other states who may want to act on the issue of opioid regulation.</w:t>
      </w:r>
    </w:p>
    <w:p w14:paraId="2025AC81" w14:textId="77777777" w:rsidR="007F710A" w:rsidRPr="00F068A5" w:rsidRDefault="007F710A">
      <w:pPr>
        <w:spacing w:before="1" w:line="240" w:lineRule="exact"/>
        <w:rPr>
          <w:sz w:val="24"/>
          <w:szCs w:val="24"/>
        </w:rPr>
      </w:pPr>
    </w:p>
    <w:p w14:paraId="1AE3F39B" w14:textId="2821E437" w:rsidR="007F710A" w:rsidRPr="00F068A5" w:rsidRDefault="00412679" w:rsidP="00F068A5">
      <w:pPr>
        <w:spacing w:line="284" w:lineRule="auto"/>
        <w:ind w:right="196"/>
        <w:rPr>
          <w:rFonts w:ascii="Arial" w:eastAsia="Arial" w:hAnsi="Arial" w:cs="Arial"/>
          <w:sz w:val="24"/>
          <w:szCs w:val="24"/>
        </w:rPr>
      </w:pPr>
      <w:r w:rsidRPr="00F068A5">
        <w:rPr>
          <w:rFonts w:ascii="Arial" w:eastAsia="Arial" w:hAnsi="Arial" w:cs="Arial"/>
          <w:sz w:val="24"/>
          <w:szCs w:val="24"/>
        </w:rPr>
        <w:t xml:space="preserve">To get a good understanding of the impact of the policy change, we would want to observe the patterns in opioid prescriptions as well as mortality </w:t>
      </w:r>
      <w:r w:rsidR="00AC4DA4" w:rsidRPr="00F068A5">
        <w:rPr>
          <w:rFonts w:ascii="Arial" w:eastAsia="Arial" w:hAnsi="Arial" w:cs="Arial"/>
          <w:sz w:val="24"/>
          <w:szCs w:val="24"/>
        </w:rPr>
        <w:t>in regard to</w:t>
      </w:r>
      <w:r w:rsidRPr="00F068A5">
        <w:rPr>
          <w:rFonts w:ascii="Arial" w:eastAsia="Arial" w:hAnsi="Arial" w:cs="Arial"/>
          <w:sz w:val="24"/>
          <w:szCs w:val="24"/>
        </w:rPr>
        <w:t xml:space="preserve"> drug</w:t>
      </w:r>
      <w:r w:rsidR="00F068A5">
        <w:rPr>
          <w:rFonts w:ascii="Arial" w:eastAsia="Arial" w:hAnsi="Arial" w:cs="Arial"/>
          <w:sz w:val="24"/>
          <w:szCs w:val="24"/>
        </w:rPr>
        <w:t xml:space="preserve"> </w:t>
      </w:r>
      <w:r w:rsidRPr="00F068A5">
        <w:rPr>
          <w:rFonts w:ascii="Arial" w:eastAsia="Arial" w:hAnsi="Arial" w:cs="Arial"/>
          <w:sz w:val="24"/>
          <w:szCs w:val="24"/>
        </w:rPr>
        <w:t>overdoses.</w:t>
      </w:r>
    </w:p>
    <w:p w14:paraId="433E8C81" w14:textId="77777777" w:rsidR="00F068A5" w:rsidRDefault="00F068A5" w:rsidP="00F068A5">
      <w:pPr>
        <w:spacing w:line="284" w:lineRule="auto"/>
        <w:ind w:right="64"/>
        <w:rPr>
          <w:rFonts w:ascii="Arial" w:eastAsia="Arial" w:hAnsi="Arial" w:cs="Arial"/>
          <w:sz w:val="24"/>
          <w:szCs w:val="24"/>
        </w:rPr>
      </w:pPr>
    </w:p>
    <w:p w14:paraId="00C6D4B2" w14:textId="42A25B45" w:rsidR="007F710A" w:rsidRPr="00F068A5" w:rsidRDefault="00412679" w:rsidP="00F068A5">
      <w:pPr>
        <w:spacing w:line="284" w:lineRule="auto"/>
        <w:ind w:right="64"/>
        <w:rPr>
          <w:rFonts w:ascii="Arial" w:eastAsia="Arial" w:hAnsi="Arial" w:cs="Arial"/>
          <w:sz w:val="24"/>
          <w:szCs w:val="24"/>
        </w:rPr>
        <w:sectPr w:rsidR="007F710A" w:rsidRPr="00F068A5">
          <w:pgSz w:w="12240" w:h="15840"/>
          <w:pgMar w:top="1480" w:right="1400" w:bottom="280" w:left="1340" w:header="720" w:footer="720" w:gutter="0"/>
          <w:cols w:space="720"/>
        </w:sectPr>
      </w:pPr>
      <w:r w:rsidRPr="00F068A5">
        <w:rPr>
          <w:rFonts w:ascii="Arial" w:eastAsia="Arial" w:hAnsi="Arial" w:cs="Arial"/>
          <w:sz w:val="24"/>
          <w:szCs w:val="24"/>
        </w:rPr>
        <w:t xml:space="preserve">Our interest in examining mortality as well as opioid prescriptions comes from the fact that while restricting access to opioids may reduce the likelihood that future patients will end up </w:t>
      </w:r>
      <w:r w:rsidR="00F068A5" w:rsidRPr="00F068A5">
        <w:rPr>
          <w:rFonts w:ascii="Arial" w:eastAsia="Arial" w:hAnsi="Arial" w:cs="Arial"/>
          <w:sz w:val="24"/>
          <w:szCs w:val="24"/>
        </w:rPr>
        <w:t>addicted to</w:t>
      </w:r>
      <w:r w:rsidRPr="00F068A5">
        <w:rPr>
          <w:rFonts w:ascii="Arial" w:eastAsia="Arial" w:hAnsi="Arial" w:cs="Arial"/>
          <w:sz w:val="24"/>
          <w:szCs w:val="24"/>
        </w:rPr>
        <w:t xml:space="preserve"> opioids, it may drive already addicted patients to turn to alternative forms of opioids, be those illegally purchased prescription drugs, heroin, or fentanyl. This possibility is deeply troubling because the likelihood of overdosing on these illegal drugs is much higher than on (monitored) prescription drug</w:t>
      </w:r>
    </w:p>
    <w:p w14:paraId="66DA63B0" w14:textId="56560923" w:rsidR="007F710A" w:rsidRPr="00F068A5" w:rsidRDefault="00412679" w:rsidP="00F068A5">
      <w:pPr>
        <w:spacing w:before="60"/>
        <w:rPr>
          <w:rFonts w:ascii="Arial" w:eastAsia="Arial" w:hAnsi="Arial" w:cs="Arial"/>
          <w:sz w:val="24"/>
          <w:szCs w:val="24"/>
        </w:rPr>
      </w:pPr>
      <w:r w:rsidRPr="00F068A5">
        <w:rPr>
          <w:rFonts w:ascii="Arial" w:eastAsia="Arial" w:hAnsi="Arial" w:cs="Arial"/>
          <w:b/>
          <w:sz w:val="24"/>
          <w:szCs w:val="24"/>
        </w:rPr>
        <w:lastRenderedPageBreak/>
        <w:t xml:space="preserve">Motivation for the design of the </w:t>
      </w:r>
      <w:r w:rsidR="00AC4DA4" w:rsidRPr="00F068A5">
        <w:rPr>
          <w:rFonts w:ascii="Arial" w:eastAsia="Arial" w:hAnsi="Arial" w:cs="Arial"/>
          <w:b/>
          <w:sz w:val="24"/>
          <w:szCs w:val="24"/>
        </w:rPr>
        <w:t>project:</w:t>
      </w:r>
    </w:p>
    <w:p w14:paraId="632F4B86" w14:textId="77777777" w:rsidR="007F710A" w:rsidRPr="00F068A5" w:rsidRDefault="007F710A">
      <w:pPr>
        <w:spacing w:before="18" w:line="280" w:lineRule="exact"/>
        <w:rPr>
          <w:sz w:val="24"/>
          <w:szCs w:val="24"/>
        </w:rPr>
      </w:pPr>
    </w:p>
    <w:p w14:paraId="625C1780" w14:textId="3D55110B" w:rsidR="00E67A7C" w:rsidRPr="00F068A5" w:rsidRDefault="00412679" w:rsidP="00BC7D2B">
      <w:pPr>
        <w:spacing w:line="284" w:lineRule="auto"/>
        <w:ind w:right="66"/>
        <w:rPr>
          <w:rFonts w:ascii="Arial" w:eastAsia="Arial" w:hAnsi="Arial" w:cs="Arial"/>
          <w:sz w:val="24"/>
          <w:szCs w:val="24"/>
        </w:rPr>
      </w:pPr>
      <w:r w:rsidRPr="00F068A5">
        <w:rPr>
          <w:rFonts w:ascii="Arial" w:eastAsia="Arial" w:hAnsi="Arial" w:cs="Arial"/>
          <w:sz w:val="24"/>
          <w:szCs w:val="24"/>
        </w:rPr>
        <w:t xml:space="preserve">This project aims to answer a causal question, and the most </w:t>
      </w:r>
      <w:r w:rsidR="00AC4DA4" w:rsidRPr="00F068A5">
        <w:rPr>
          <w:rFonts w:ascii="Arial" w:eastAsia="Arial" w:hAnsi="Arial" w:cs="Arial"/>
          <w:sz w:val="24"/>
          <w:szCs w:val="24"/>
        </w:rPr>
        <w:t>standardized</w:t>
      </w:r>
      <w:r w:rsidRPr="00F068A5">
        <w:rPr>
          <w:rFonts w:ascii="Arial" w:eastAsia="Arial" w:hAnsi="Arial" w:cs="Arial"/>
          <w:sz w:val="24"/>
          <w:szCs w:val="24"/>
        </w:rPr>
        <w:t xml:space="preserve"> approach to study the effect of policy change is a ‘pre-post analysis’. </w:t>
      </w:r>
      <w:r w:rsidR="00D77481" w:rsidRPr="00F068A5">
        <w:rPr>
          <w:rFonts w:ascii="Arial" w:eastAsia="Arial" w:hAnsi="Arial" w:cs="Arial"/>
          <w:sz w:val="24"/>
          <w:szCs w:val="24"/>
        </w:rPr>
        <w:t>In this</w:t>
      </w:r>
      <w:r w:rsidR="00AC4DA4" w:rsidRPr="00F068A5">
        <w:rPr>
          <w:rFonts w:ascii="Arial" w:eastAsia="Arial" w:hAnsi="Arial" w:cs="Arial"/>
          <w:sz w:val="24"/>
          <w:szCs w:val="24"/>
        </w:rPr>
        <w:t xml:space="preserve"> </w:t>
      </w:r>
      <w:r w:rsidR="00D77481" w:rsidRPr="00F068A5">
        <w:rPr>
          <w:rFonts w:ascii="Arial" w:eastAsia="Arial" w:hAnsi="Arial" w:cs="Arial"/>
          <w:sz w:val="24"/>
          <w:szCs w:val="24"/>
        </w:rPr>
        <w:t>technique one looks at the trend/data of the metric of interest before and after a certain change has occurred, hoping to understand the impact of that change on the metric. This technique attributes the difference in trends completely to the change that has occurred or implemented.</w:t>
      </w:r>
    </w:p>
    <w:p w14:paraId="037BB109" w14:textId="77777777" w:rsidR="00BC7D2B" w:rsidRPr="00F068A5" w:rsidRDefault="00BC7D2B" w:rsidP="00BC7D2B">
      <w:pPr>
        <w:spacing w:line="284" w:lineRule="auto"/>
        <w:ind w:right="66"/>
        <w:rPr>
          <w:rFonts w:ascii="Arial" w:eastAsia="Arial" w:hAnsi="Arial" w:cs="Arial"/>
          <w:sz w:val="24"/>
          <w:szCs w:val="24"/>
        </w:rPr>
      </w:pPr>
    </w:p>
    <w:p w14:paraId="3029EEDF" w14:textId="3787D7BD" w:rsidR="00E67A7C" w:rsidRPr="00F068A5" w:rsidRDefault="00D77481" w:rsidP="00BC7D2B">
      <w:pPr>
        <w:spacing w:line="284" w:lineRule="auto"/>
        <w:ind w:right="66"/>
        <w:rPr>
          <w:rFonts w:ascii="Arial" w:eastAsia="Arial" w:hAnsi="Arial" w:cs="Arial"/>
          <w:sz w:val="24"/>
          <w:szCs w:val="24"/>
        </w:rPr>
      </w:pPr>
      <w:r w:rsidRPr="00F068A5">
        <w:rPr>
          <w:rFonts w:ascii="Arial" w:eastAsia="Arial" w:hAnsi="Arial" w:cs="Arial"/>
          <w:sz w:val="24"/>
          <w:szCs w:val="24"/>
        </w:rPr>
        <w:t>A better approach compared to the ‘pre-post analysis’ is the ‘difference-in-difference’ analysis wh</w:t>
      </w:r>
      <w:r w:rsidR="00E67A7C" w:rsidRPr="00F068A5">
        <w:rPr>
          <w:rFonts w:ascii="Arial" w:eastAsia="Arial" w:hAnsi="Arial" w:cs="Arial"/>
          <w:sz w:val="24"/>
          <w:szCs w:val="24"/>
        </w:rPr>
        <w:t xml:space="preserve">ere we even take into consideration the trends of the metric of interest in the control population (where the change hasn’t occurred) and compare it with the trends in the treated population (where the change has occurred). This technique is far better </w:t>
      </w:r>
      <w:r w:rsidR="005C6E30">
        <w:rPr>
          <w:rFonts w:ascii="Arial" w:eastAsia="Arial" w:hAnsi="Arial" w:cs="Arial"/>
          <w:sz w:val="24"/>
          <w:szCs w:val="24"/>
        </w:rPr>
        <w:t xml:space="preserve">in </w:t>
      </w:r>
      <w:r w:rsidR="00E67A7C" w:rsidRPr="00F068A5">
        <w:rPr>
          <w:rFonts w:ascii="Arial" w:eastAsia="Arial" w:hAnsi="Arial" w:cs="Arial"/>
          <w:sz w:val="24"/>
          <w:szCs w:val="24"/>
        </w:rPr>
        <w:t>control</w:t>
      </w:r>
      <w:r w:rsidR="005C6E30">
        <w:rPr>
          <w:rFonts w:ascii="Arial" w:eastAsia="Arial" w:hAnsi="Arial" w:cs="Arial"/>
          <w:sz w:val="24"/>
          <w:szCs w:val="24"/>
        </w:rPr>
        <w:t xml:space="preserve">ling for other factors that may have caused fluctuations in the metric of interest apart from the change being studied. </w:t>
      </w:r>
    </w:p>
    <w:p w14:paraId="3BB25723" w14:textId="77777777" w:rsidR="00BC7D2B" w:rsidRPr="00F068A5" w:rsidRDefault="00BC7D2B" w:rsidP="00BC7D2B">
      <w:pPr>
        <w:spacing w:line="284" w:lineRule="auto"/>
        <w:ind w:right="66"/>
        <w:rPr>
          <w:rFonts w:ascii="Arial" w:eastAsia="Arial" w:hAnsi="Arial" w:cs="Arial"/>
          <w:sz w:val="24"/>
          <w:szCs w:val="24"/>
        </w:rPr>
      </w:pPr>
    </w:p>
    <w:p w14:paraId="3FA03576" w14:textId="0F9AC1E3" w:rsidR="00632626" w:rsidRPr="00F068A5" w:rsidRDefault="00E67A7C" w:rsidP="00020578">
      <w:pPr>
        <w:spacing w:line="276" w:lineRule="auto"/>
        <w:ind w:right="66"/>
        <w:rPr>
          <w:rFonts w:ascii="Arial" w:eastAsia="Arial" w:hAnsi="Arial" w:cs="Arial"/>
          <w:sz w:val="24"/>
          <w:szCs w:val="24"/>
        </w:rPr>
      </w:pPr>
      <w:r w:rsidRPr="00F068A5">
        <w:rPr>
          <w:rFonts w:ascii="Arial" w:eastAsia="Arial" w:hAnsi="Arial" w:cs="Arial"/>
          <w:sz w:val="24"/>
          <w:szCs w:val="24"/>
        </w:rPr>
        <w:t xml:space="preserve">For out study, we will be conducting both a ‘pre-post’ analysis as well as the ‘difference-in-difference’ analysis for the 3 states under study. The control group for the analysis will be all the 47 states where the policy changes haven’t been made. This gives us the maximum statistical power in the analysis. </w:t>
      </w:r>
    </w:p>
    <w:p w14:paraId="3F0CD1CB" w14:textId="77777777" w:rsidR="00BC7D2B" w:rsidRPr="00F068A5" w:rsidRDefault="00BC7D2B" w:rsidP="00BC7D2B">
      <w:pPr>
        <w:spacing w:line="284" w:lineRule="auto"/>
        <w:ind w:right="66"/>
        <w:rPr>
          <w:rFonts w:ascii="Arial" w:eastAsia="Arial" w:hAnsi="Arial" w:cs="Arial"/>
          <w:sz w:val="24"/>
          <w:szCs w:val="24"/>
        </w:rPr>
      </w:pPr>
    </w:p>
    <w:p w14:paraId="60F9D6DD" w14:textId="731C8581" w:rsidR="00BC7D2B" w:rsidRPr="00F068A5" w:rsidRDefault="00E67A7C" w:rsidP="00BC7D2B">
      <w:pPr>
        <w:spacing w:line="284" w:lineRule="auto"/>
        <w:ind w:right="66"/>
        <w:rPr>
          <w:rFonts w:ascii="Arial" w:hAnsi="Arial" w:cs="Arial"/>
          <w:sz w:val="24"/>
          <w:szCs w:val="24"/>
        </w:rPr>
      </w:pPr>
      <w:r w:rsidRPr="00F068A5">
        <w:rPr>
          <w:rFonts w:ascii="Arial" w:hAnsi="Arial" w:cs="Arial"/>
          <w:sz w:val="24"/>
          <w:szCs w:val="24"/>
        </w:rPr>
        <w:t>The scope of the analyses on both the opioid transactions and the mortality arising from drug overdoses have been summarised in the following tables</w:t>
      </w:r>
      <w:r w:rsidR="00BC7D2B" w:rsidRPr="00F068A5">
        <w:rPr>
          <w:rFonts w:ascii="Arial" w:hAnsi="Arial" w:cs="Arial"/>
          <w:sz w:val="24"/>
          <w:szCs w:val="24"/>
        </w:rPr>
        <w:t>:</w:t>
      </w:r>
    </w:p>
    <w:p w14:paraId="283A99DB" w14:textId="77777777" w:rsidR="00BC7D2B" w:rsidRPr="00F068A5" w:rsidRDefault="00BC7D2B" w:rsidP="00BC7D2B">
      <w:pPr>
        <w:spacing w:line="284" w:lineRule="auto"/>
        <w:ind w:right="66"/>
        <w:rPr>
          <w:rFonts w:ascii="Arial" w:hAnsi="Arial" w:cs="Arial"/>
          <w:sz w:val="24"/>
          <w:szCs w:val="24"/>
        </w:rPr>
      </w:pPr>
    </w:p>
    <w:tbl>
      <w:tblPr>
        <w:tblStyle w:val="TableGrid"/>
        <w:tblW w:w="0" w:type="auto"/>
        <w:jc w:val="center"/>
        <w:tblLook w:val="04A0" w:firstRow="1" w:lastRow="0" w:firstColumn="1" w:lastColumn="0" w:noHBand="0" w:noVBand="1"/>
      </w:tblPr>
      <w:tblGrid>
        <w:gridCol w:w="1615"/>
        <w:gridCol w:w="2340"/>
        <w:gridCol w:w="2762"/>
        <w:gridCol w:w="2299"/>
      </w:tblGrid>
      <w:tr w:rsidR="00E67A7C" w:rsidRPr="00F068A5" w14:paraId="1DD8BD0C" w14:textId="77777777" w:rsidTr="00020578">
        <w:trPr>
          <w:jc w:val="center"/>
        </w:trPr>
        <w:tc>
          <w:tcPr>
            <w:tcW w:w="1615" w:type="dxa"/>
            <w:vAlign w:val="center"/>
          </w:tcPr>
          <w:p w14:paraId="25194926" w14:textId="77777777" w:rsidR="00E67A7C" w:rsidRPr="00F068A5" w:rsidRDefault="00E67A7C" w:rsidP="00020578">
            <w:pPr>
              <w:jc w:val="center"/>
              <w:rPr>
                <w:rFonts w:ascii="Arial" w:hAnsi="Arial" w:cs="Arial"/>
                <w:b/>
              </w:rPr>
            </w:pPr>
            <w:r w:rsidRPr="00F068A5">
              <w:rPr>
                <w:rFonts w:ascii="Arial" w:hAnsi="Arial" w:cs="Arial"/>
                <w:b/>
              </w:rPr>
              <w:t>State</w:t>
            </w:r>
          </w:p>
        </w:tc>
        <w:tc>
          <w:tcPr>
            <w:tcW w:w="2340" w:type="dxa"/>
            <w:vAlign w:val="center"/>
          </w:tcPr>
          <w:p w14:paraId="56180E52" w14:textId="77777777" w:rsidR="00E67A7C" w:rsidRPr="00F068A5" w:rsidRDefault="00E67A7C" w:rsidP="00020578">
            <w:pPr>
              <w:jc w:val="center"/>
              <w:rPr>
                <w:rFonts w:ascii="Arial" w:hAnsi="Arial" w:cs="Arial"/>
                <w:b/>
              </w:rPr>
            </w:pPr>
            <w:r w:rsidRPr="00F068A5">
              <w:rPr>
                <w:rFonts w:ascii="Arial" w:hAnsi="Arial" w:cs="Arial"/>
                <w:b/>
              </w:rPr>
              <w:t>Policy change year</w:t>
            </w:r>
          </w:p>
        </w:tc>
        <w:tc>
          <w:tcPr>
            <w:tcW w:w="2762" w:type="dxa"/>
            <w:vAlign w:val="center"/>
          </w:tcPr>
          <w:p w14:paraId="73EA569F" w14:textId="77777777" w:rsidR="00E67A7C" w:rsidRPr="00F068A5" w:rsidRDefault="00E67A7C" w:rsidP="00020578">
            <w:pPr>
              <w:jc w:val="center"/>
              <w:rPr>
                <w:rFonts w:ascii="Arial" w:hAnsi="Arial" w:cs="Arial"/>
                <w:b/>
              </w:rPr>
            </w:pPr>
            <w:r w:rsidRPr="00F068A5">
              <w:rPr>
                <w:rFonts w:ascii="Arial" w:hAnsi="Arial" w:cs="Arial"/>
                <w:b/>
              </w:rPr>
              <w:t>Time period of analysis</w:t>
            </w:r>
          </w:p>
        </w:tc>
        <w:tc>
          <w:tcPr>
            <w:tcW w:w="2299" w:type="dxa"/>
            <w:vAlign w:val="center"/>
          </w:tcPr>
          <w:p w14:paraId="000A151E" w14:textId="77777777" w:rsidR="00E67A7C" w:rsidRPr="00F068A5" w:rsidRDefault="00E67A7C" w:rsidP="00020578">
            <w:pPr>
              <w:jc w:val="center"/>
              <w:rPr>
                <w:rFonts w:ascii="Arial" w:hAnsi="Arial" w:cs="Arial"/>
                <w:b/>
              </w:rPr>
            </w:pPr>
            <w:r w:rsidRPr="00F068A5">
              <w:rPr>
                <w:rFonts w:ascii="Arial" w:hAnsi="Arial" w:cs="Arial"/>
                <w:b/>
              </w:rPr>
              <w:t>Level</w:t>
            </w:r>
          </w:p>
        </w:tc>
      </w:tr>
      <w:tr w:rsidR="00E67A7C" w:rsidRPr="00F068A5" w14:paraId="56C947AA" w14:textId="77777777" w:rsidTr="00020578">
        <w:trPr>
          <w:trHeight w:val="311"/>
          <w:jc w:val="center"/>
        </w:trPr>
        <w:tc>
          <w:tcPr>
            <w:tcW w:w="1615" w:type="dxa"/>
            <w:vAlign w:val="center"/>
          </w:tcPr>
          <w:p w14:paraId="1ED94217" w14:textId="77777777" w:rsidR="00E67A7C" w:rsidRPr="00F068A5" w:rsidRDefault="00E67A7C" w:rsidP="00020578">
            <w:pPr>
              <w:jc w:val="center"/>
              <w:rPr>
                <w:rFonts w:ascii="Arial" w:hAnsi="Arial" w:cs="Arial"/>
              </w:rPr>
            </w:pPr>
            <w:r w:rsidRPr="00F068A5">
              <w:rPr>
                <w:rFonts w:ascii="Arial" w:hAnsi="Arial" w:cs="Arial"/>
              </w:rPr>
              <w:t>Florida</w:t>
            </w:r>
          </w:p>
        </w:tc>
        <w:tc>
          <w:tcPr>
            <w:tcW w:w="2340" w:type="dxa"/>
            <w:vAlign w:val="center"/>
          </w:tcPr>
          <w:p w14:paraId="0FC92D79" w14:textId="77777777" w:rsidR="00E67A7C" w:rsidRPr="00F068A5" w:rsidRDefault="00E67A7C" w:rsidP="00020578">
            <w:pPr>
              <w:jc w:val="center"/>
              <w:rPr>
                <w:rFonts w:ascii="Arial" w:hAnsi="Arial" w:cs="Arial"/>
              </w:rPr>
            </w:pPr>
            <w:r w:rsidRPr="00F068A5">
              <w:rPr>
                <w:rFonts w:ascii="Arial" w:hAnsi="Arial" w:cs="Arial"/>
              </w:rPr>
              <w:t>2010</w:t>
            </w:r>
          </w:p>
        </w:tc>
        <w:tc>
          <w:tcPr>
            <w:tcW w:w="2762" w:type="dxa"/>
            <w:vAlign w:val="center"/>
          </w:tcPr>
          <w:p w14:paraId="33E22884" w14:textId="77777777" w:rsidR="00E67A7C" w:rsidRPr="00F068A5" w:rsidRDefault="00E67A7C" w:rsidP="00020578">
            <w:pPr>
              <w:jc w:val="center"/>
              <w:rPr>
                <w:rFonts w:ascii="Arial" w:hAnsi="Arial" w:cs="Arial"/>
              </w:rPr>
            </w:pPr>
            <w:r w:rsidRPr="00F068A5">
              <w:rPr>
                <w:rFonts w:ascii="Arial" w:hAnsi="Arial" w:cs="Arial"/>
              </w:rPr>
              <w:t>2006 - 2012</w:t>
            </w:r>
          </w:p>
        </w:tc>
        <w:tc>
          <w:tcPr>
            <w:tcW w:w="2299" w:type="dxa"/>
            <w:vAlign w:val="center"/>
          </w:tcPr>
          <w:p w14:paraId="06391437" w14:textId="77777777" w:rsidR="00E67A7C" w:rsidRPr="00F068A5" w:rsidRDefault="00E67A7C" w:rsidP="00020578">
            <w:pPr>
              <w:jc w:val="center"/>
              <w:rPr>
                <w:rFonts w:ascii="Arial" w:hAnsi="Arial" w:cs="Arial"/>
              </w:rPr>
            </w:pPr>
            <w:r w:rsidRPr="00F068A5">
              <w:rPr>
                <w:rFonts w:ascii="Arial" w:hAnsi="Arial" w:cs="Arial"/>
              </w:rPr>
              <w:t>Yearly</w:t>
            </w:r>
          </w:p>
        </w:tc>
      </w:tr>
    </w:tbl>
    <w:p w14:paraId="02CF1BC1" w14:textId="1C8B7E3E" w:rsidR="00E67A7C" w:rsidRPr="00EB2E42" w:rsidRDefault="00E67A7C" w:rsidP="00E67A7C">
      <w:pPr>
        <w:jc w:val="center"/>
        <w:rPr>
          <w:rFonts w:ascii="Arial" w:hAnsi="Arial" w:cs="Arial"/>
          <w:sz w:val="18"/>
          <w:szCs w:val="18"/>
        </w:rPr>
      </w:pPr>
      <w:r w:rsidRPr="00EB2E42">
        <w:rPr>
          <w:rFonts w:ascii="Arial" w:hAnsi="Arial" w:cs="Arial"/>
          <w:b/>
          <w:sz w:val="18"/>
          <w:szCs w:val="18"/>
        </w:rPr>
        <w:t xml:space="preserve">Table 1. </w:t>
      </w:r>
      <w:r w:rsidRPr="00EB2E42">
        <w:rPr>
          <w:rFonts w:ascii="Arial" w:hAnsi="Arial" w:cs="Arial"/>
          <w:sz w:val="18"/>
          <w:szCs w:val="18"/>
        </w:rPr>
        <w:t>Description of the scope of analysis for opioid transactions in Florida.</w:t>
      </w:r>
    </w:p>
    <w:p w14:paraId="1B8FE3ED" w14:textId="77777777" w:rsidR="00BC7D2B" w:rsidRPr="00EB2E42" w:rsidRDefault="00BC7D2B" w:rsidP="00BC7D2B">
      <w:pPr>
        <w:jc w:val="center"/>
        <w:rPr>
          <w:rFonts w:ascii="Arial" w:hAnsi="Arial" w:cs="Arial"/>
          <w:sz w:val="24"/>
          <w:szCs w:val="24"/>
        </w:rPr>
      </w:pPr>
    </w:p>
    <w:p w14:paraId="3D73F2B9" w14:textId="77777777" w:rsidR="00EB2E42" w:rsidRPr="00EB2E42" w:rsidRDefault="00EB2E42" w:rsidP="00EB2E42">
      <w:pPr>
        <w:spacing w:line="276" w:lineRule="auto"/>
        <w:rPr>
          <w:rFonts w:ascii="Arial" w:hAnsi="Arial" w:cs="Arial"/>
          <w:sz w:val="24"/>
          <w:szCs w:val="24"/>
        </w:rPr>
      </w:pPr>
      <w:r w:rsidRPr="00EB2E42">
        <w:rPr>
          <w:rFonts w:ascii="Arial" w:hAnsi="Arial" w:cs="Arial"/>
          <w:sz w:val="24"/>
          <w:szCs w:val="24"/>
        </w:rPr>
        <w:t>For the opioid transaction data, the states of Texas and Washington had only one year prior to the policy change and one year post the policy change respectively. This made analysis at a yearly level not very informative. Breaking this analysis down to the month level wasn’t very useful either as we were still capturing some yearly trends. Therefore, a simple percent increase/decrease in the per-capita opioid transactions of Texas and Washington were calculated and was compared with the average percent increase/decrease in the per-capita opioid transactions of all other (47 non-policy) states.</w:t>
      </w:r>
    </w:p>
    <w:p w14:paraId="63941EB4" w14:textId="77777777" w:rsidR="00BC7D2B" w:rsidRPr="00F068A5" w:rsidRDefault="00BC7D2B" w:rsidP="00BC7D2B">
      <w:pPr>
        <w:rPr>
          <w:rFonts w:ascii="Arial" w:hAnsi="Arial" w:cs="Arial"/>
          <w:sz w:val="24"/>
          <w:szCs w:val="24"/>
        </w:rPr>
      </w:pPr>
    </w:p>
    <w:tbl>
      <w:tblPr>
        <w:tblStyle w:val="TableGrid"/>
        <w:tblW w:w="0" w:type="auto"/>
        <w:jc w:val="center"/>
        <w:tblLook w:val="04A0" w:firstRow="1" w:lastRow="0" w:firstColumn="1" w:lastColumn="0" w:noHBand="0" w:noVBand="1"/>
      </w:tblPr>
      <w:tblGrid>
        <w:gridCol w:w="1615"/>
        <w:gridCol w:w="2070"/>
        <w:gridCol w:w="3054"/>
        <w:gridCol w:w="2254"/>
      </w:tblGrid>
      <w:tr w:rsidR="00BC7D2B" w:rsidRPr="00F068A5" w14:paraId="7E3A3E5D" w14:textId="77777777" w:rsidTr="00020578">
        <w:trPr>
          <w:trHeight w:val="293"/>
          <w:jc w:val="center"/>
        </w:trPr>
        <w:tc>
          <w:tcPr>
            <w:tcW w:w="1615" w:type="dxa"/>
            <w:vAlign w:val="center"/>
          </w:tcPr>
          <w:p w14:paraId="446AD866" w14:textId="77777777" w:rsidR="00BC7D2B" w:rsidRPr="00F068A5" w:rsidRDefault="00BC7D2B" w:rsidP="00020578">
            <w:pPr>
              <w:jc w:val="center"/>
              <w:rPr>
                <w:rFonts w:ascii="Arial" w:hAnsi="Arial" w:cs="Arial"/>
              </w:rPr>
            </w:pPr>
            <w:r w:rsidRPr="00F068A5">
              <w:rPr>
                <w:rFonts w:ascii="Arial" w:hAnsi="Arial" w:cs="Arial"/>
                <w:b/>
              </w:rPr>
              <w:t>State</w:t>
            </w:r>
          </w:p>
        </w:tc>
        <w:tc>
          <w:tcPr>
            <w:tcW w:w="2070" w:type="dxa"/>
            <w:vAlign w:val="center"/>
          </w:tcPr>
          <w:p w14:paraId="51FCA84E" w14:textId="3A32C141" w:rsidR="00BC7D2B" w:rsidRPr="00F068A5" w:rsidRDefault="00BC7D2B" w:rsidP="00020578">
            <w:pPr>
              <w:jc w:val="center"/>
              <w:rPr>
                <w:rFonts w:ascii="Arial" w:hAnsi="Arial" w:cs="Arial"/>
              </w:rPr>
            </w:pPr>
            <w:r w:rsidRPr="00F068A5">
              <w:rPr>
                <w:rFonts w:ascii="Arial" w:hAnsi="Arial" w:cs="Arial"/>
                <w:b/>
              </w:rPr>
              <w:t>Policy change</w:t>
            </w:r>
          </w:p>
        </w:tc>
        <w:tc>
          <w:tcPr>
            <w:tcW w:w="3054" w:type="dxa"/>
            <w:vAlign w:val="center"/>
          </w:tcPr>
          <w:p w14:paraId="64D19DB6" w14:textId="77777777" w:rsidR="00BC7D2B" w:rsidRPr="00F068A5" w:rsidRDefault="00BC7D2B" w:rsidP="00020578">
            <w:pPr>
              <w:jc w:val="center"/>
              <w:rPr>
                <w:rFonts w:ascii="Arial" w:hAnsi="Arial" w:cs="Arial"/>
              </w:rPr>
            </w:pPr>
            <w:r w:rsidRPr="00F068A5">
              <w:rPr>
                <w:rFonts w:ascii="Arial" w:hAnsi="Arial" w:cs="Arial"/>
                <w:b/>
              </w:rPr>
              <w:t>Time period of analysis</w:t>
            </w:r>
          </w:p>
        </w:tc>
        <w:tc>
          <w:tcPr>
            <w:tcW w:w="2254" w:type="dxa"/>
            <w:vAlign w:val="center"/>
          </w:tcPr>
          <w:p w14:paraId="589C461A" w14:textId="77777777" w:rsidR="00BC7D2B" w:rsidRPr="00F068A5" w:rsidRDefault="00BC7D2B" w:rsidP="00020578">
            <w:pPr>
              <w:jc w:val="center"/>
              <w:rPr>
                <w:rFonts w:ascii="Arial" w:hAnsi="Arial" w:cs="Arial"/>
                <w:b/>
              </w:rPr>
            </w:pPr>
            <w:r w:rsidRPr="00F068A5">
              <w:rPr>
                <w:rFonts w:ascii="Arial" w:hAnsi="Arial" w:cs="Arial"/>
                <w:b/>
              </w:rPr>
              <w:t>Method</w:t>
            </w:r>
          </w:p>
        </w:tc>
      </w:tr>
      <w:tr w:rsidR="00BC7D2B" w:rsidRPr="00F068A5" w14:paraId="44C3B4BC" w14:textId="77777777" w:rsidTr="00020578">
        <w:trPr>
          <w:trHeight w:val="304"/>
          <w:jc w:val="center"/>
        </w:trPr>
        <w:tc>
          <w:tcPr>
            <w:tcW w:w="1615" w:type="dxa"/>
            <w:vAlign w:val="center"/>
          </w:tcPr>
          <w:p w14:paraId="1B777DB5" w14:textId="77777777" w:rsidR="00BC7D2B" w:rsidRPr="00F068A5" w:rsidRDefault="00BC7D2B" w:rsidP="00020578">
            <w:pPr>
              <w:jc w:val="center"/>
              <w:rPr>
                <w:rFonts w:ascii="Arial" w:hAnsi="Arial" w:cs="Arial"/>
              </w:rPr>
            </w:pPr>
            <w:r w:rsidRPr="00F068A5">
              <w:rPr>
                <w:rFonts w:ascii="Arial" w:hAnsi="Arial" w:cs="Arial"/>
              </w:rPr>
              <w:t>Texas</w:t>
            </w:r>
          </w:p>
        </w:tc>
        <w:tc>
          <w:tcPr>
            <w:tcW w:w="2070" w:type="dxa"/>
            <w:vAlign w:val="center"/>
          </w:tcPr>
          <w:p w14:paraId="521E4F69" w14:textId="77777777" w:rsidR="00BC7D2B" w:rsidRPr="00F068A5" w:rsidRDefault="00BC7D2B" w:rsidP="00020578">
            <w:pPr>
              <w:jc w:val="center"/>
              <w:rPr>
                <w:rFonts w:ascii="Arial" w:hAnsi="Arial" w:cs="Arial"/>
              </w:rPr>
            </w:pPr>
            <w:r w:rsidRPr="00F068A5">
              <w:rPr>
                <w:rFonts w:ascii="Arial" w:hAnsi="Arial" w:cs="Arial"/>
              </w:rPr>
              <w:t>2007</w:t>
            </w:r>
          </w:p>
        </w:tc>
        <w:tc>
          <w:tcPr>
            <w:tcW w:w="3054" w:type="dxa"/>
            <w:vAlign w:val="center"/>
          </w:tcPr>
          <w:p w14:paraId="6FD953FF" w14:textId="77777777" w:rsidR="00BC7D2B" w:rsidRPr="00F068A5" w:rsidRDefault="00BC7D2B" w:rsidP="00020578">
            <w:pPr>
              <w:jc w:val="center"/>
              <w:rPr>
                <w:rFonts w:ascii="Arial" w:hAnsi="Arial" w:cs="Arial"/>
              </w:rPr>
            </w:pPr>
            <w:r w:rsidRPr="00F068A5">
              <w:rPr>
                <w:rFonts w:ascii="Arial" w:hAnsi="Arial" w:cs="Arial"/>
              </w:rPr>
              <w:t>2006 - 2012</w:t>
            </w:r>
          </w:p>
        </w:tc>
        <w:tc>
          <w:tcPr>
            <w:tcW w:w="2254" w:type="dxa"/>
            <w:vAlign w:val="center"/>
          </w:tcPr>
          <w:p w14:paraId="7F784A34" w14:textId="77777777" w:rsidR="00BC7D2B" w:rsidRPr="00F068A5" w:rsidRDefault="00BC7D2B" w:rsidP="00020578">
            <w:pPr>
              <w:jc w:val="center"/>
              <w:rPr>
                <w:rFonts w:ascii="Arial" w:hAnsi="Arial" w:cs="Arial"/>
              </w:rPr>
            </w:pPr>
            <w:r w:rsidRPr="00F068A5">
              <w:rPr>
                <w:rFonts w:ascii="Arial" w:hAnsi="Arial" w:cs="Arial"/>
              </w:rPr>
              <w:t>Percent Increase</w:t>
            </w:r>
          </w:p>
        </w:tc>
      </w:tr>
      <w:tr w:rsidR="00BC7D2B" w:rsidRPr="00F068A5" w14:paraId="5750540C" w14:textId="77777777" w:rsidTr="00020578">
        <w:trPr>
          <w:trHeight w:val="370"/>
          <w:jc w:val="center"/>
        </w:trPr>
        <w:tc>
          <w:tcPr>
            <w:tcW w:w="1615" w:type="dxa"/>
            <w:vAlign w:val="center"/>
          </w:tcPr>
          <w:p w14:paraId="22F97647" w14:textId="77777777" w:rsidR="00BC7D2B" w:rsidRPr="00F068A5" w:rsidRDefault="00BC7D2B" w:rsidP="00020578">
            <w:pPr>
              <w:jc w:val="center"/>
              <w:rPr>
                <w:rFonts w:ascii="Arial" w:hAnsi="Arial" w:cs="Arial"/>
              </w:rPr>
            </w:pPr>
            <w:r w:rsidRPr="00F068A5">
              <w:rPr>
                <w:rFonts w:ascii="Arial" w:hAnsi="Arial" w:cs="Arial"/>
              </w:rPr>
              <w:t>Washington</w:t>
            </w:r>
          </w:p>
        </w:tc>
        <w:tc>
          <w:tcPr>
            <w:tcW w:w="2070" w:type="dxa"/>
            <w:vAlign w:val="center"/>
          </w:tcPr>
          <w:p w14:paraId="573B3D6F" w14:textId="77777777" w:rsidR="00BC7D2B" w:rsidRPr="00F068A5" w:rsidRDefault="00BC7D2B" w:rsidP="00020578">
            <w:pPr>
              <w:jc w:val="center"/>
              <w:rPr>
                <w:rFonts w:ascii="Arial" w:hAnsi="Arial" w:cs="Arial"/>
              </w:rPr>
            </w:pPr>
            <w:r w:rsidRPr="00F068A5">
              <w:rPr>
                <w:rFonts w:ascii="Arial" w:hAnsi="Arial" w:cs="Arial"/>
              </w:rPr>
              <w:t>2011</w:t>
            </w:r>
          </w:p>
        </w:tc>
        <w:tc>
          <w:tcPr>
            <w:tcW w:w="3054" w:type="dxa"/>
            <w:vAlign w:val="center"/>
          </w:tcPr>
          <w:p w14:paraId="16B0BBA5" w14:textId="77777777" w:rsidR="00BC7D2B" w:rsidRPr="00F068A5" w:rsidRDefault="00BC7D2B" w:rsidP="00020578">
            <w:pPr>
              <w:jc w:val="center"/>
              <w:rPr>
                <w:rFonts w:ascii="Arial" w:hAnsi="Arial" w:cs="Arial"/>
              </w:rPr>
            </w:pPr>
            <w:r w:rsidRPr="00F068A5">
              <w:rPr>
                <w:rFonts w:ascii="Arial" w:hAnsi="Arial" w:cs="Arial"/>
              </w:rPr>
              <w:t>2006 - 2012</w:t>
            </w:r>
          </w:p>
        </w:tc>
        <w:tc>
          <w:tcPr>
            <w:tcW w:w="2254" w:type="dxa"/>
            <w:vAlign w:val="center"/>
          </w:tcPr>
          <w:p w14:paraId="151B6723" w14:textId="77777777" w:rsidR="00BC7D2B" w:rsidRPr="00F068A5" w:rsidRDefault="00BC7D2B" w:rsidP="00020578">
            <w:pPr>
              <w:jc w:val="center"/>
              <w:rPr>
                <w:rFonts w:ascii="Arial" w:hAnsi="Arial" w:cs="Arial"/>
              </w:rPr>
            </w:pPr>
            <w:r w:rsidRPr="00F068A5">
              <w:rPr>
                <w:rFonts w:ascii="Arial" w:hAnsi="Arial" w:cs="Arial"/>
              </w:rPr>
              <w:t>Percent Increase</w:t>
            </w:r>
          </w:p>
        </w:tc>
      </w:tr>
    </w:tbl>
    <w:p w14:paraId="3FB54240" w14:textId="77777777" w:rsidR="00BC7D2B" w:rsidRPr="00EB2E42" w:rsidRDefault="00BC7D2B" w:rsidP="00BC7D2B">
      <w:pPr>
        <w:jc w:val="center"/>
        <w:rPr>
          <w:rFonts w:ascii="Arial" w:hAnsi="Arial" w:cs="Arial"/>
          <w:sz w:val="18"/>
          <w:szCs w:val="18"/>
        </w:rPr>
      </w:pPr>
      <w:r w:rsidRPr="00EB2E42">
        <w:rPr>
          <w:rFonts w:ascii="Arial" w:hAnsi="Arial" w:cs="Arial"/>
          <w:b/>
          <w:sz w:val="18"/>
          <w:szCs w:val="18"/>
        </w:rPr>
        <w:t xml:space="preserve">Table 2. </w:t>
      </w:r>
      <w:r w:rsidRPr="00EB2E42">
        <w:rPr>
          <w:rFonts w:ascii="Arial" w:hAnsi="Arial" w:cs="Arial"/>
          <w:sz w:val="18"/>
          <w:szCs w:val="18"/>
        </w:rPr>
        <w:t>Description of the scope of analysis for opioid transactions in Texas and Washington.</w:t>
      </w:r>
    </w:p>
    <w:p w14:paraId="5841A705" w14:textId="4632D6B8" w:rsidR="00E67A7C" w:rsidRDefault="00E67A7C" w:rsidP="00E67A7C">
      <w:pPr>
        <w:jc w:val="center"/>
        <w:rPr>
          <w:rFonts w:ascii="Arial" w:hAnsi="Arial" w:cs="Arial"/>
          <w:sz w:val="24"/>
          <w:szCs w:val="24"/>
        </w:rPr>
      </w:pPr>
    </w:p>
    <w:p w14:paraId="27642836" w14:textId="77777777" w:rsidR="00F068A5" w:rsidRPr="00F068A5" w:rsidRDefault="00F068A5" w:rsidP="00E67A7C">
      <w:pPr>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1484"/>
        <w:gridCol w:w="2340"/>
        <w:gridCol w:w="2949"/>
        <w:gridCol w:w="2292"/>
      </w:tblGrid>
      <w:tr w:rsidR="00E67A7C" w:rsidRPr="00F068A5" w14:paraId="334AFD50" w14:textId="77777777" w:rsidTr="00020578">
        <w:trPr>
          <w:jc w:val="center"/>
        </w:trPr>
        <w:tc>
          <w:tcPr>
            <w:tcW w:w="1435" w:type="dxa"/>
            <w:vAlign w:val="center"/>
          </w:tcPr>
          <w:p w14:paraId="69B15E21" w14:textId="77777777" w:rsidR="00E67A7C" w:rsidRPr="00F068A5" w:rsidRDefault="00E67A7C" w:rsidP="00020578">
            <w:pPr>
              <w:jc w:val="center"/>
              <w:rPr>
                <w:rFonts w:ascii="Arial" w:hAnsi="Arial" w:cs="Arial"/>
                <w:b/>
              </w:rPr>
            </w:pPr>
            <w:r w:rsidRPr="00F068A5">
              <w:rPr>
                <w:rFonts w:ascii="Arial" w:hAnsi="Arial" w:cs="Arial"/>
                <w:b/>
              </w:rPr>
              <w:lastRenderedPageBreak/>
              <w:t>State</w:t>
            </w:r>
          </w:p>
        </w:tc>
        <w:tc>
          <w:tcPr>
            <w:tcW w:w="2340" w:type="dxa"/>
            <w:vAlign w:val="center"/>
          </w:tcPr>
          <w:p w14:paraId="547506BB" w14:textId="77777777" w:rsidR="00E67A7C" w:rsidRPr="00F068A5" w:rsidRDefault="00E67A7C" w:rsidP="00020578">
            <w:pPr>
              <w:jc w:val="center"/>
              <w:rPr>
                <w:rFonts w:ascii="Arial" w:hAnsi="Arial" w:cs="Arial"/>
                <w:b/>
              </w:rPr>
            </w:pPr>
            <w:r w:rsidRPr="00F068A5">
              <w:rPr>
                <w:rFonts w:ascii="Arial" w:hAnsi="Arial" w:cs="Arial"/>
                <w:b/>
              </w:rPr>
              <w:t>Policy change year</w:t>
            </w:r>
          </w:p>
        </w:tc>
        <w:tc>
          <w:tcPr>
            <w:tcW w:w="2949" w:type="dxa"/>
            <w:vAlign w:val="center"/>
          </w:tcPr>
          <w:p w14:paraId="28901F9B" w14:textId="77777777" w:rsidR="00E67A7C" w:rsidRPr="00F068A5" w:rsidRDefault="00E67A7C" w:rsidP="00020578">
            <w:pPr>
              <w:jc w:val="center"/>
              <w:rPr>
                <w:rFonts w:ascii="Arial" w:hAnsi="Arial" w:cs="Arial"/>
                <w:b/>
              </w:rPr>
            </w:pPr>
            <w:r w:rsidRPr="00F068A5">
              <w:rPr>
                <w:rFonts w:ascii="Arial" w:hAnsi="Arial" w:cs="Arial"/>
                <w:b/>
              </w:rPr>
              <w:t>Time period of analysis</w:t>
            </w:r>
          </w:p>
        </w:tc>
        <w:tc>
          <w:tcPr>
            <w:tcW w:w="2292" w:type="dxa"/>
            <w:vAlign w:val="center"/>
          </w:tcPr>
          <w:p w14:paraId="3C1957D3" w14:textId="77777777" w:rsidR="00E67A7C" w:rsidRPr="00F068A5" w:rsidRDefault="00E67A7C" w:rsidP="00020578">
            <w:pPr>
              <w:jc w:val="center"/>
              <w:rPr>
                <w:rFonts w:ascii="Arial" w:hAnsi="Arial" w:cs="Arial"/>
                <w:b/>
              </w:rPr>
            </w:pPr>
            <w:r w:rsidRPr="00F068A5">
              <w:rPr>
                <w:rFonts w:ascii="Arial" w:hAnsi="Arial" w:cs="Arial"/>
                <w:b/>
              </w:rPr>
              <w:t>Level</w:t>
            </w:r>
          </w:p>
        </w:tc>
      </w:tr>
      <w:tr w:rsidR="00E67A7C" w:rsidRPr="00F068A5" w14:paraId="03942C5A" w14:textId="77777777" w:rsidTr="00020578">
        <w:trPr>
          <w:trHeight w:val="365"/>
          <w:jc w:val="center"/>
        </w:trPr>
        <w:tc>
          <w:tcPr>
            <w:tcW w:w="1435" w:type="dxa"/>
            <w:vAlign w:val="center"/>
          </w:tcPr>
          <w:p w14:paraId="5EE4C0B9" w14:textId="77777777" w:rsidR="00E67A7C" w:rsidRPr="00F068A5" w:rsidRDefault="00E67A7C" w:rsidP="00020578">
            <w:pPr>
              <w:jc w:val="center"/>
              <w:rPr>
                <w:rFonts w:ascii="Arial" w:hAnsi="Arial" w:cs="Arial"/>
              </w:rPr>
            </w:pPr>
            <w:r w:rsidRPr="00F068A5">
              <w:rPr>
                <w:rFonts w:ascii="Arial" w:hAnsi="Arial" w:cs="Arial"/>
              </w:rPr>
              <w:t>Florida</w:t>
            </w:r>
          </w:p>
        </w:tc>
        <w:tc>
          <w:tcPr>
            <w:tcW w:w="2340" w:type="dxa"/>
            <w:vAlign w:val="center"/>
          </w:tcPr>
          <w:p w14:paraId="08C2712C" w14:textId="77777777" w:rsidR="00E67A7C" w:rsidRPr="00F068A5" w:rsidRDefault="00E67A7C" w:rsidP="00020578">
            <w:pPr>
              <w:jc w:val="center"/>
              <w:rPr>
                <w:rFonts w:ascii="Arial" w:hAnsi="Arial" w:cs="Arial"/>
              </w:rPr>
            </w:pPr>
            <w:r w:rsidRPr="00F068A5">
              <w:rPr>
                <w:rFonts w:ascii="Arial" w:hAnsi="Arial" w:cs="Arial"/>
              </w:rPr>
              <w:t>2010</w:t>
            </w:r>
          </w:p>
        </w:tc>
        <w:tc>
          <w:tcPr>
            <w:tcW w:w="2949" w:type="dxa"/>
            <w:vAlign w:val="center"/>
          </w:tcPr>
          <w:p w14:paraId="267C510B" w14:textId="75759E46" w:rsidR="00E67A7C" w:rsidRPr="00F068A5" w:rsidRDefault="00E67A7C" w:rsidP="00020578">
            <w:pPr>
              <w:jc w:val="center"/>
              <w:rPr>
                <w:rFonts w:ascii="Arial" w:hAnsi="Arial" w:cs="Arial"/>
              </w:rPr>
            </w:pPr>
            <w:r w:rsidRPr="00F068A5">
              <w:rPr>
                <w:rFonts w:ascii="Arial" w:hAnsi="Arial" w:cs="Arial"/>
              </w:rPr>
              <w:t>200</w:t>
            </w:r>
            <w:r w:rsidR="00BC7D2B" w:rsidRPr="00F068A5">
              <w:rPr>
                <w:rFonts w:ascii="Arial" w:hAnsi="Arial" w:cs="Arial"/>
              </w:rPr>
              <w:t>4</w:t>
            </w:r>
            <w:r w:rsidRPr="00F068A5">
              <w:rPr>
                <w:rFonts w:ascii="Arial" w:hAnsi="Arial" w:cs="Arial"/>
              </w:rPr>
              <w:t xml:space="preserve"> - 201</w:t>
            </w:r>
            <w:r w:rsidR="00BC7D2B" w:rsidRPr="00F068A5">
              <w:rPr>
                <w:rFonts w:ascii="Arial" w:hAnsi="Arial" w:cs="Arial"/>
              </w:rPr>
              <w:t>5</w:t>
            </w:r>
          </w:p>
        </w:tc>
        <w:tc>
          <w:tcPr>
            <w:tcW w:w="2292" w:type="dxa"/>
            <w:vAlign w:val="center"/>
          </w:tcPr>
          <w:p w14:paraId="0A3DE559" w14:textId="77777777" w:rsidR="00E67A7C" w:rsidRPr="00F068A5" w:rsidRDefault="00E67A7C" w:rsidP="00020578">
            <w:pPr>
              <w:jc w:val="center"/>
              <w:rPr>
                <w:rFonts w:ascii="Arial" w:hAnsi="Arial" w:cs="Arial"/>
              </w:rPr>
            </w:pPr>
            <w:r w:rsidRPr="00F068A5">
              <w:rPr>
                <w:rFonts w:ascii="Arial" w:hAnsi="Arial" w:cs="Arial"/>
              </w:rPr>
              <w:t>Yearly</w:t>
            </w:r>
          </w:p>
        </w:tc>
      </w:tr>
      <w:tr w:rsidR="00E67A7C" w:rsidRPr="00F068A5" w14:paraId="7B5FF9B2" w14:textId="77777777" w:rsidTr="00020578">
        <w:trPr>
          <w:trHeight w:val="338"/>
          <w:jc w:val="center"/>
        </w:trPr>
        <w:tc>
          <w:tcPr>
            <w:tcW w:w="1435" w:type="dxa"/>
            <w:vAlign w:val="center"/>
          </w:tcPr>
          <w:p w14:paraId="667621D4" w14:textId="77777777" w:rsidR="00E67A7C" w:rsidRPr="00F068A5" w:rsidRDefault="00E67A7C" w:rsidP="00020578">
            <w:pPr>
              <w:jc w:val="center"/>
              <w:rPr>
                <w:rFonts w:ascii="Arial" w:hAnsi="Arial" w:cs="Arial"/>
              </w:rPr>
            </w:pPr>
            <w:r w:rsidRPr="00F068A5">
              <w:rPr>
                <w:rFonts w:ascii="Arial" w:hAnsi="Arial" w:cs="Arial"/>
              </w:rPr>
              <w:t>Texas</w:t>
            </w:r>
          </w:p>
        </w:tc>
        <w:tc>
          <w:tcPr>
            <w:tcW w:w="2340" w:type="dxa"/>
            <w:vAlign w:val="center"/>
          </w:tcPr>
          <w:p w14:paraId="5CFCB780" w14:textId="77777777" w:rsidR="00E67A7C" w:rsidRPr="00F068A5" w:rsidRDefault="00E67A7C" w:rsidP="00020578">
            <w:pPr>
              <w:jc w:val="center"/>
              <w:rPr>
                <w:rFonts w:ascii="Arial" w:hAnsi="Arial" w:cs="Arial"/>
              </w:rPr>
            </w:pPr>
            <w:r w:rsidRPr="00F068A5">
              <w:rPr>
                <w:rFonts w:ascii="Arial" w:hAnsi="Arial" w:cs="Arial"/>
              </w:rPr>
              <w:t>2007</w:t>
            </w:r>
          </w:p>
        </w:tc>
        <w:tc>
          <w:tcPr>
            <w:tcW w:w="2949" w:type="dxa"/>
            <w:vAlign w:val="center"/>
          </w:tcPr>
          <w:p w14:paraId="6618A282" w14:textId="605D0E0B" w:rsidR="00E67A7C" w:rsidRPr="00F068A5" w:rsidRDefault="00E67A7C" w:rsidP="00020578">
            <w:pPr>
              <w:jc w:val="center"/>
              <w:rPr>
                <w:rFonts w:ascii="Arial" w:hAnsi="Arial" w:cs="Arial"/>
              </w:rPr>
            </w:pPr>
            <w:r w:rsidRPr="00F068A5">
              <w:rPr>
                <w:rFonts w:ascii="Arial" w:hAnsi="Arial" w:cs="Arial"/>
              </w:rPr>
              <w:t>200</w:t>
            </w:r>
            <w:r w:rsidR="00BC7D2B" w:rsidRPr="00F068A5">
              <w:rPr>
                <w:rFonts w:ascii="Arial" w:hAnsi="Arial" w:cs="Arial"/>
              </w:rPr>
              <w:t>4</w:t>
            </w:r>
            <w:r w:rsidRPr="00F068A5">
              <w:rPr>
                <w:rFonts w:ascii="Arial" w:hAnsi="Arial" w:cs="Arial"/>
              </w:rPr>
              <w:t xml:space="preserve"> - 201</w:t>
            </w:r>
            <w:r w:rsidR="00BC7D2B" w:rsidRPr="00F068A5">
              <w:rPr>
                <w:rFonts w:ascii="Arial" w:hAnsi="Arial" w:cs="Arial"/>
              </w:rPr>
              <w:t>5</w:t>
            </w:r>
          </w:p>
        </w:tc>
        <w:tc>
          <w:tcPr>
            <w:tcW w:w="2292" w:type="dxa"/>
            <w:vAlign w:val="center"/>
          </w:tcPr>
          <w:p w14:paraId="5A1F3C7A" w14:textId="77777777" w:rsidR="00E67A7C" w:rsidRPr="00F068A5" w:rsidRDefault="00E67A7C" w:rsidP="00020578">
            <w:pPr>
              <w:jc w:val="center"/>
              <w:rPr>
                <w:rFonts w:ascii="Arial" w:hAnsi="Arial" w:cs="Arial"/>
              </w:rPr>
            </w:pPr>
            <w:r w:rsidRPr="00F068A5">
              <w:rPr>
                <w:rFonts w:ascii="Arial" w:hAnsi="Arial" w:cs="Arial"/>
              </w:rPr>
              <w:t>Yearly</w:t>
            </w:r>
          </w:p>
        </w:tc>
      </w:tr>
      <w:tr w:rsidR="00E67A7C" w:rsidRPr="00F068A5" w14:paraId="5E73CC8D" w14:textId="77777777" w:rsidTr="00020578">
        <w:trPr>
          <w:trHeight w:val="347"/>
          <w:jc w:val="center"/>
        </w:trPr>
        <w:tc>
          <w:tcPr>
            <w:tcW w:w="1435" w:type="dxa"/>
            <w:vAlign w:val="center"/>
          </w:tcPr>
          <w:p w14:paraId="2BFB18A7" w14:textId="77777777" w:rsidR="00E67A7C" w:rsidRPr="00F068A5" w:rsidRDefault="00E67A7C" w:rsidP="00020578">
            <w:pPr>
              <w:jc w:val="center"/>
              <w:rPr>
                <w:rFonts w:ascii="Arial" w:hAnsi="Arial" w:cs="Arial"/>
              </w:rPr>
            </w:pPr>
            <w:r w:rsidRPr="00F068A5">
              <w:rPr>
                <w:rFonts w:ascii="Arial" w:hAnsi="Arial" w:cs="Arial"/>
              </w:rPr>
              <w:t>Washington</w:t>
            </w:r>
          </w:p>
        </w:tc>
        <w:tc>
          <w:tcPr>
            <w:tcW w:w="2340" w:type="dxa"/>
            <w:vAlign w:val="center"/>
          </w:tcPr>
          <w:p w14:paraId="5AED833A" w14:textId="77777777" w:rsidR="00E67A7C" w:rsidRPr="00F068A5" w:rsidRDefault="00E67A7C" w:rsidP="00020578">
            <w:pPr>
              <w:jc w:val="center"/>
              <w:rPr>
                <w:rFonts w:ascii="Arial" w:hAnsi="Arial" w:cs="Arial"/>
              </w:rPr>
            </w:pPr>
            <w:r w:rsidRPr="00F068A5">
              <w:rPr>
                <w:rFonts w:ascii="Arial" w:hAnsi="Arial" w:cs="Arial"/>
              </w:rPr>
              <w:t>2011</w:t>
            </w:r>
          </w:p>
        </w:tc>
        <w:tc>
          <w:tcPr>
            <w:tcW w:w="2949" w:type="dxa"/>
            <w:vAlign w:val="center"/>
          </w:tcPr>
          <w:p w14:paraId="64D029A0" w14:textId="69C16A16" w:rsidR="00E67A7C" w:rsidRPr="00F068A5" w:rsidRDefault="00E67A7C" w:rsidP="00020578">
            <w:pPr>
              <w:jc w:val="center"/>
              <w:rPr>
                <w:rFonts w:ascii="Arial" w:hAnsi="Arial" w:cs="Arial"/>
              </w:rPr>
            </w:pPr>
            <w:r w:rsidRPr="00F068A5">
              <w:rPr>
                <w:rFonts w:ascii="Arial" w:hAnsi="Arial" w:cs="Arial"/>
              </w:rPr>
              <w:t>200</w:t>
            </w:r>
            <w:r w:rsidR="00BC7D2B" w:rsidRPr="00F068A5">
              <w:rPr>
                <w:rFonts w:ascii="Arial" w:hAnsi="Arial" w:cs="Arial"/>
              </w:rPr>
              <w:t>4</w:t>
            </w:r>
            <w:r w:rsidRPr="00F068A5">
              <w:rPr>
                <w:rFonts w:ascii="Arial" w:hAnsi="Arial" w:cs="Arial"/>
              </w:rPr>
              <w:t xml:space="preserve"> - 2015</w:t>
            </w:r>
          </w:p>
        </w:tc>
        <w:tc>
          <w:tcPr>
            <w:tcW w:w="2292" w:type="dxa"/>
            <w:vAlign w:val="center"/>
          </w:tcPr>
          <w:p w14:paraId="20D9CBFF" w14:textId="77777777" w:rsidR="00E67A7C" w:rsidRPr="00F068A5" w:rsidRDefault="00E67A7C" w:rsidP="00020578">
            <w:pPr>
              <w:jc w:val="center"/>
              <w:rPr>
                <w:rFonts w:ascii="Arial" w:hAnsi="Arial" w:cs="Arial"/>
              </w:rPr>
            </w:pPr>
            <w:r w:rsidRPr="00F068A5">
              <w:rPr>
                <w:rFonts w:ascii="Arial" w:hAnsi="Arial" w:cs="Arial"/>
              </w:rPr>
              <w:t>Yearly</w:t>
            </w:r>
          </w:p>
        </w:tc>
      </w:tr>
    </w:tbl>
    <w:p w14:paraId="42C58419" w14:textId="7E07356F" w:rsidR="00BC7D2B" w:rsidRPr="00EB2E42" w:rsidRDefault="00E67A7C" w:rsidP="00BC7D2B">
      <w:pPr>
        <w:jc w:val="center"/>
        <w:rPr>
          <w:rFonts w:ascii="Arial" w:hAnsi="Arial" w:cs="Arial"/>
          <w:sz w:val="18"/>
          <w:szCs w:val="18"/>
        </w:rPr>
      </w:pPr>
      <w:r w:rsidRPr="00EB2E42">
        <w:rPr>
          <w:rFonts w:ascii="Arial" w:hAnsi="Arial" w:cs="Arial"/>
          <w:b/>
          <w:sz w:val="18"/>
          <w:szCs w:val="18"/>
        </w:rPr>
        <w:t xml:space="preserve">Table </w:t>
      </w:r>
      <w:r w:rsidR="00BC7D2B" w:rsidRPr="00EB2E42">
        <w:rPr>
          <w:rFonts w:ascii="Arial" w:hAnsi="Arial" w:cs="Arial"/>
          <w:b/>
          <w:sz w:val="18"/>
          <w:szCs w:val="18"/>
        </w:rPr>
        <w:t>3</w:t>
      </w:r>
      <w:r w:rsidRPr="00EB2E42">
        <w:rPr>
          <w:rFonts w:ascii="Arial" w:hAnsi="Arial" w:cs="Arial"/>
          <w:b/>
          <w:sz w:val="18"/>
          <w:szCs w:val="18"/>
        </w:rPr>
        <w:t xml:space="preserve">. </w:t>
      </w:r>
      <w:r w:rsidRPr="00EB2E42">
        <w:rPr>
          <w:rFonts w:ascii="Arial" w:hAnsi="Arial" w:cs="Arial"/>
          <w:sz w:val="18"/>
          <w:szCs w:val="18"/>
        </w:rPr>
        <w:t>Description of the scope of analysis for drug overdose mortality in Florida, Texas and Washington.</w:t>
      </w:r>
    </w:p>
    <w:p w14:paraId="55365CF0" w14:textId="77777777" w:rsidR="00412679" w:rsidRPr="00F068A5" w:rsidRDefault="00412679" w:rsidP="00412679">
      <w:pPr>
        <w:spacing w:line="276" w:lineRule="auto"/>
        <w:rPr>
          <w:rFonts w:ascii="Arial" w:eastAsia="Arial" w:hAnsi="Arial" w:cs="Arial"/>
          <w:sz w:val="24"/>
          <w:szCs w:val="24"/>
        </w:rPr>
      </w:pPr>
    </w:p>
    <w:p w14:paraId="5511D1FF" w14:textId="4B0335DE" w:rsidR="00AC4DA4" w:rsidRPr="00F068A5" w:rsidRDefault="00AC4DA4" w:rsidP="00412679">
      <w:pPr>
        <w:spacing w:line="276" w:lineRule="auto"/>
        <w:rPr>
          <w:rFonts w:ascii="Arial" w:hAnsi="Arial" w:cs="Arial"/>
          <w:b/>
          <w:sz w:val="24"/>
          <w:szCs w:val="24"/>
        </w:rPr>
      </w:pPr>
      <w:r w:rsidRPr="00F068A5">
        <w:rPr>
          <w:rFonts w:ascii="Arial" w:hAnsi="Arial" w:cs="Arial"/>
          <w:b/>
          <w:sz w:val="24"/>
          <w:szCs w:val="24"/>
        </w:rPr>
        <w:t>Data</w:t>
      </w:r>
      <w:r w:rsidR="00412679" w:rsidRPr="00F068A5">
        <w:rPr>
          <w:rFonts w:ascii="Arial" w:hAnsi="Arial" w:cs="Arial"/>
          <w:b/>
          <w:sz w:val="24"/>
          <w:szCs w:val="24"/>
        </w:rPr>
        <w:t xml:space="preserve"> Sources &amp; Transformations:</w:t>
      </w:r>
    </w:p>
    <w:p w14:paraId="2B050719" w14:textId="77777777" w:rsidR="00412679" w:rsidRPr="00F068A5" w:rsidRDefault="00412679" w:rsidP="00412679">
      <w:pPr>
        <w:spacing w:line="276" w:lineRule="auto"/>
        <w:rPr>
          <w:rFonts w:ascii="Arial" w:hAnsi="Arial" w:cs="Arial"/>
          <w:sz w:val="24"/>
          <w:szCs w:val="24"/>
        </w:rPr>
      </w:pPr>
    </w:p>
    <w:p w14:paraId="2436D34B" w14:textId="3609A4D3" w:rsidR="003C3168" w:rsidRPr="00F068A5" w:rsidRDefault="00AC4DA4" w:rsidP="00412679">
      <w:pPr>
        <w:spacing w:line="276" w:lineRule="auto"/>
        <w:rPr>
          <w:rFonts w:ascii="Arial" w:hAnsi="Arial" w:cs="Arial"/>
          <w:sz w:val="24"/>
          <w:szCs w:val="24"/>
        </w:rPr>
      </w:pPr>
      <w:r w:rsidRPr="00F068A5">
        <w:rPr>
          <w:rFonts w:ascii="Arial" w:hAnsi="Arial" w:cs="Arial"/>
          <w:sz w:val="24"/>
          <w:szCs w:val="24"/>
        </w:rPr>
        <w:t>There were three main sources of data that were used in this analysis</w:t>
      </w:r>
      <w:r w:rsidR="009B7B53" w:rsidRPr="00F068A5">
        <w:rPr>
          <w:rFonts w:ascii="Arial" w:hAnsi="Arial" w:cs="Arial"/>
          <w:sz w:val="24"/>
          <w:szCs w:val="24"/>
        </w:rPr>
        <w:t>:</w:t>
      </w:r>
    </w:p>
    <w:p w14:paraId="791A1686" w14:textId="77777777" w:rsidR="003C3168" w:rsidRPr="00F068A5" w:rsidRDefault="003C3168" w:rsidP="009B7B53">
      <w:pPr>
        <w:spacing w:line="276" w:lineRule="auto"/>
        <w:rPr>
          <w:rFonts w:ascii="Arial" w:hAnsi="Arial" w:cs="Arial"/>
          <w:sz w:val="24"/>
          <w:szCs w:val="24"/>
        </w:rPr>
      </w:pPr>
    </w:p>
    <w:p w14:paraId="0F7FF5E5" w14:textId="77777777" w:rsidR="00412679" w:rsidRPr="00F068A5" w:rsidRDefault="00AC4DA4" w:rsidP="00412679">
      <w:pPr>
        <w:spacing w:line="276" w:lineRule="auto"/>
        <w:rPr>
          <w:rFonts w:ascii="Arial" w:hAnsi="Arial" w:cs="Arial"/>
          <w:sz w:val="24"/>
          <w:szCs w:val="24"/>
        </w:rPr>
      </w:pPr>
      <w:r w:rsidRPr="00F068A5">
        <w:rPr>
          <w:rFonts w:ascii="Arial" w:hAnsi="Arial" w:cs="Arial"/>
          <w:b/>
          <w:sz w:val="24"/>
          <w:szCs w:val="24"/>
        </w:rPr>
        <w:t>Opioid Transactions:</w:t>
      </w:r>
      <w:r w:rsidR="003C3168" w:rsidRPr="00F068A5">
        <w:rPr>
          <w:rFonts w:ascii="Arial" w:hAnsi="Arial" w:cs="Arial"/>
          <w:sz w:val="24"/>
          <w:szCs w:val="24"/>
        </w:rPr>
        <w:t xml:space="preserve"> </w:t>
      </w:r>
      <w:r w:rsidRPr="00F068A5">
        <w:rPr>
          <w:rFonts w:ascii="Arial" w:hAnsi="Arial" w:cs="Arial"/>
          <w:sz w:val="24"/>
          <w:szCs w:val="24"/>
        </w:rPr>
        <w:t>The data on the county-wise transaction of drugs was obtained from the extensive database maintained by The Washington Post</w:t>
      </w:r>
      <w:r w:rsidRPr="00F068A5">
        <w:rPr>
          <w:rFonts w:ascii="Arial" w:hAnsi="Arial" w:cs="Arial"/>
          <w:sz w:val="24"/>
          <w:szCs w:val="24"/>
          <w:vertAlign w:val="superscript"/>
        </w:rPr>
        <w:t>1</w:t>
      </w:r>
      <w:r w:rsidRPr="00F068A5">
        <w:rPr>
          <w:rFonts w:ascii="Arial" w:hAnsi="Arial" w:cs="Arial"/>
          <w:sz w:val="24"/>
          <w:szCs w:val="24"/>
        </w:rPr>
        <w:t>. This dataset essentially tracks every opioid pill (hydrocodone or oxycodone) from the manufacturer to the pharmacy at a transaction (including the date on which the transaction occurred) level. Naturally, this dataset also included details on the location of the seller at the county level, date of transaction, volume of drug transaction, the Milligram Morphine Equivalent (a conversion factor based on the opioid Morphine), buyer location at the county level etc. Overall, this dataset was very comprehensive with data on over 180 million transactions between 2006-12 and was used to calculate per-capita opioid transactions in conjunction with the population dataset.</w:t>
      </w:r>
    </w:p>
    <w:p w14:paraId="26E9B956" w14:textId="77777777" w:rsidR="00412679" w:rsidRPr="00F068A5" w:rsidRDefault="00412679" w:rsidP="00412679">
      <w:pPr>
        <w:spacing w:line="276" w:lineRule="auto"/>
        <w:rPr>
          <w:rFonts w:ascii="Arial" w:hAnsi="Arial" w:cs="Arial"/>
          <w:bCs/>
          <w:color w:val="000000" w:themeColor="text1"/>
          <w:sz w:val="24"/>
          <w:szCs w:val="24"/>
        </w:rPr>
      </w:pPr>
    </w:p>
    <w:p w14:paraId="35691B99" w14:textId="09B1E4F1" w:rsidR="00412679" w:rsidRPr="00F068A5" w:rsidRDefault="00412679" w:rsidP="00412679">
      <w:pPr>
        <w:spacing w:line="276" w:lineRule="auto"/>
        <w:rPr>
          <w:rFonts w:ascii="Arial" w:hAnsi="Arial" w:cs="Arial"/>
          <w:color w:val="000000" w:themeColor="text1"/>
          <w:sz w:val="24"/>
          <w:szCs w:val="24"/>
        </w:rPr>
      </w:pPr>
      <w:r w:rsidRPr="00F068A5">
        <w:rPr>
          <w:rFonts w:ascii="Arial" w:hAnsi="Arial" w:cs="Arial"/>
          <w:bCs/>
          <w:i/>
          <w:iCs/>
          <w:color w:val="000000" w:themeColor="text1"/>
          <w:sz w:val="24"/>
          <w:szCs w:val="24"/>
        </w:rPr>
        <w:t>Transformations:</w:t>
      </w:r>
      <w:r w:rsidRPr="00F068A5">
        <w:rPr>
          <w:rFonts w:ascii="Arial" w:hAnsi="Arial" w:cs="Arial"/>
          <w:bCs/>
          <w:color w:val="000000" w:themeColor="text1"/>
          <w:sz w:val="24"/>
          <w:szCs w:val="24"/>
        </w:rPr>
        <w:t xml:space="preserve"> The final dataset used for plotting the trends for opioids analysis is mentioned below:</w:t>
      </w:r>
    </w:p>
    <w:p w14:paraId="3D7A8DF7" w14:textId="77777777" w:rsidR="00412679" w:rsidRPr="00F068A5" w:rsidRDefault="00412679" w:rsidP="00412679">
      <w:pPr>
        <w:pStyle w:val="ListParagraph"/>
        <w:spacing w:before="7" w:line="240" w:lineRule="exact"/>
        <w:ind w:left="360"/>
        <w:rPr>
          <w:rFonts w:ascii="Arial" w:hAnsi="Arial" w:cs="Arial"/>
          <w:sz w:val="24"/>
          <w:szCs w:val="24"/>
        </w:rPr>
      </w:pPr>
    </w:p>
    <w:tbl>
      <w:tblPr>
        <w:tblStyle w:val="TableGrid"/>
        <w:tblW w:w="0" w:type="auto"/>
        <w:jc w:val="center"/>
        <w:tblLook w:val="04A0" w:firstRow="1" w:lastRow="0" w:firstColumn="1" w:lastColumn="0" w:noHBand="0" w:noVBand="1"/>
      </w:tblPr>
      <w:tblGrid>
        <w:gridCol w:w="1069"/>
        <w:gridCol w:w="990"/>
        <w:gridCol w:w="1080"/>
        <w:gridCol w:w="990"/>
        <w:gridCol w:w="2128"/>
        <w:gridCol w:w="1327"/>
        <w:gridCol w:w="1427"/>
      </w:tblGrid>
      <w:tr w:rsidR="00412679" w:rsidRPr="00F068A5" w14:paraId="7C54883D" w14:textId="77777777" w:rsidTr="00412679">
        <w:trPr>
          <w:jc w:val="center"/>
        </w:trPr>
        <w:tc>
          <w:tcPr>
            <w:tcW w:w="1069" w:type="dxa"/>
            <w:vAlign w:val="center"/>
          </w:tcPr>
          <w:p w14:paraId="1C547E72" w14:textId="77777777" w:rsidR="00412679" w:rsidRPr="00F068A5" w:rsidRDefault="00412679" w:rsidP="00412679">
            <w:pPr>
              <w:jc w:val="center"/>
              <w:rPr>
                <w:b/>
              </w:rPr>
            </w:pPr>
            <w:r w:rsidRPr="00F068A5">
              <w:rPr>
                <w:b/>
              </w:rPr>
              <w:t>County</w:t>
            </w:r>
          </w:p>
        </w:tc>
        <w:tc>
          <w:tcPr>
            <w:tcW w:w="990" w:type="dxa"/>
            <w:vAlign w:val="center"/>
          </w:tcPr>
          <w:p w14:paraId="7083A84A" w14:textId="77777777" w:rsidR="00412679" w:rsidRPr="00F068A5" w:rsidRDefault="00412679" w:rsidP="00412679">
            <w:pPr>
              <w:jc w:val="center"/>
              <w:rPr>
                <w:b/>
              </w:rPr>
            </w:pPr>
            <w:r w:rsidRPr="00F068A5">
              <w:rPr>
                <w:b/>
              </w:rPr>
              <w:t>State</w:t>
            </w:r>
          </w:p>
        </w:tc>
        <w:tc>
          <w:tcPr>
            <w:tcW w:w="1080" w:type="dxa"/>
            <w:vAlign w:val="center"/>
          </w:tcPr>
          <w:p w14:paraId="05DC06AA" w14:textId="77777777" w:rsidR="00412679" w:rsidRPr="00F068A5" w:rsidRDefault="00412679" w:rsidP="00412679">
            <w:pPr>
              <w:jc w:val="center"/>
              <w:rPr>
                <w:b/>
              </w:rPr>
            </w:pPr>
            <w:r w:rsidRPr="00F068A5">
              <w:rPr>
                <w:b/>
              </w:rPr>
              <w:t>Month</w:t>
            </w:r>
          </w:p>
        </w:tc>
        <w:tc>
          <w:tcPr>
            <w:tcW w:w="990" w:type="dxa"/>
            <w:vAlign w:val="center"/>
          </w:tcPr>
          <w:p w14:paraId="64F84AE6" w14:textId="77777777" w:rsidR="00412679" w:rsidRPr="00F068A5" w:rsidRDefault="00412679" w:rsidP="00412679">
            <w:pPr>
              <w:jc w:val="center"/>
              <w:rPr>
                <w:b/>
              </w:rPr>
            </w:pPr>
            <w:r w:rsidRPr="00F068A5">
              <w:rPr>
                <w:b/>
              </w:rPr>
              <w:t>Year</w:t>
            </w:r>
          </w:p>
        </w:tc>
        <w:tc>
          <w:tcPr>
            <w:tcW w:w="1329" w:type="dxa"/>
            <w:vAlign w:val="center"/>
          </w:tcPr>
          <w:p w14:paraId="245E3AAA" w14:textId="1425D9CD" w:rsidR="00412679" w:rsidRPr="00F068A5" w:rsidRDefault="00412679" w:rsidP="00412679">
            <w:pPr>
              <w:jc w:val="center"/>
              <w:rPr>
                <w:b/>
              </w:rPr>
            </w:pPr>
            <w:proofErr w:type="spellStart"/>
            <w:r w:rsidRPr="00F068A5">
              <w:rPr>
                <w:b/>
              </w:rPr>
              <w:t>opioids_per_capita</w:t>
            </w:r>
            <w:proofErr w:type="spellEnd"/>
          </w:p>
        </w:tc>
        <w:tc>
          <w:tcPr>
            <w:tcW w:w="1327" w:type="dxa"/>
            <w:vAlign w:val="center"/>
          </w:tcPr>
          <w:p w14:paraId="4DFD4ED1" w14:textId="42F7504F" w:rsidR="00412679" w:rsidRPr="00F068A5" w:rsidRDefault="00412679" w:rsidP="00412679">
            <w:pPr>
              <w:jc w:val="center"/>
              <w:rPr>
                <w:b/>
              </w:rPr>
            </w:pPr>
            <w:proofErr w:type="spellStart"/>
            <w:r w:rsidRPr="00F068A5">
              <w:rPr>
                <w:b/>
              </w:rPr>
              <w:t>pre_post</w:t>
            </w:r>
            <w:proofErr w:type="spellEnd"/>
          </w:p>
        </w:tc>
        <w:tc>
          <w:tcPr>
            <w:tcW w:w="1145" w:type="dxa"/>
            <w:vAlign w:val="center"/>
          </w:tcPr>
          <w:p w14:paraId="09C59793" w14:textId="1E396919" w:rsidR="00412679" w:rsidRPr="00F068A5" w:rsidRDefault="00412679" w:rsidP="00412679">
            <w:pPr>
              <w:jc w:val="center"/>
              <w:rPr>
                <w:b/>
              </w:rPr>
            </w:pPr>
            <w:proofErr w:type="spellStart"/>
            <w:r w:rsidRPr="00F068A5">
              <w:rPr>
                <w:b/>
              </w:rPr>
              <w:t>policy_state</w:t>
            </w:r>
            <w:proofErr w:type="spellEnd"/>
          </w:p>
        </w:tc>
      </w:tr>
      <w:tr w:rsidR="00412679" w:rsidRPr="00F068A5" w14:paraId="05E07FBA" w14:textId="77777777" w:rsidTr="00412679">
        <w:trPr>
          <w:jc w:val="center"/>
        </w:trPr>
        <w:tc>
          <w:tcPr>
            <w:tcW w:w="1069" w:type="dxa"/>
            <w:vAlign w:val="center"/>
          </w:tcPr>
          <w:p w14:paraId="51FB81F2" w14:textId="77777777" w:rsidR="00412679" w:rsidRPr="00F068A5" w:rsidRDefault="00412679" w:rsidP="00412679">
            <w:pPr>
              <w:jc w:val="center"/>
            </w:pPr>
          </w:p>
        </w:tc>
        <w:tc>
          <w:tcPr>
            <w:tcW w:w="990" w:type="dxa"/>
            <w:vAlign w:val="center"/>
          </w:tcPr>
          <w:p w14:paraId="38B50F6F" w14:textId="77777777" w:rsidR="00412679" w:rsidRPr="00F068A5" w:rsidRDefault="00412679" w:rsidP="00412679">
            <w:pPr>
              <w:jc w:val="center"/>
            </w:pPr>
          </w:p>
        </w:tc>
        <w:tc>
          <w:tcPr>
            <w:tcW w:w="1080" w:type="dxa"/>
            <w:vAlign w:val="center"/>
          </w:tcPr>
          <w:p w14:paraId="151DEC18" w14:textId="77777777" w:rsidR="00412679" w:rsidRPr="00F068A5" w:rsidRDefault="00412679" w:rsidP="00412679">
            <w:pPr>
              <w:jc w:val="center"/>
            </w:pPr>
          </w:p>
        </w:tc>
        <w:tc>
          <w:tcPr>
            <w:tcW w:w="990" w:type="dxa"/>
            <w:vAlign w:val="center"/>
          </w:tcPr>
          <w:p w14:paraId="37F7153C" w14:textId="77777777" w:rsidR="00412679" w:rsidRPr="00F068A5" w:rsidRDefault="00412679" w:rsidP="00412679">
            <w:pPr>
              <w:jc w:val="center"/>
            </w:pPr>
          </w:p>
        </w:tc>
        <w:tc>
          <w:tcPr>
            <w:tcW w:w="1329" w:type="dxa"/>
            <w:vAlign w:val="center"/>
          </w:tcPr>
          <w:p w14:paraId="1CF66156" w14:textId="77777777" w:rsidR="00412679" w:rsidRPr="00F068A5" w:rsidRDefault="00412679" w:rsidP="00412679">
            <w:pPr>
              <w:jc w:val="center"/>
            </w:pPr>
          </w:p>
        </w:tc>
        <w:tc>
          <w:tcPr>
            <w:tcW w:w="1327" w:type="dxa"/>
            <w:vAlign w:val="center"/>
          </w:tcPr>
          <w:p w14:paraId="3300DF1C" w14:textId="77777777" w:rsidR="00412679" w:rsidRPr="00F068A5" w:rsidRDefault="00412679" w:rsidP="00412679">
            <w:pPr>
              <w:jc w:val="center"/>
            </w:pPr>
          </w:p>
        </w:tc>
        <w:tc>
          <w:tcPr>
            <w:tcW w:w="1145" w:type="dxa"/>
            <w:vAlign w:val="center"/>
          </w:tcPr>
          <w:p w14:paraId="437BF7DC" w14:textId="77777777" w:rsidR="00412679" w:rsidRPr="00F068A5" w:rsidRDefault="00412679" w:rsidP="00412679">
            <w:pPr>
              <w:jc w:val="center"/>
            </w:pPr>
          </w:p>
        </w:tc>
      </w:tr>
    </w:tbl>
    <w:p w14:paraId="034DE7C7" w14:textId="77777777" w:rsidR="00412679" w:rsidRPr="00F068A5" w:rsidRDefault="00412679" w:rsidP="00412679">
      <w:pPr>
        <w:spacing w:before="18" w:line="280" w:lineRule="exact"/>
        <w:rPr>
          <w:rFonts w:ascii="Arial" w:hAnsi="Arial" w:cs="Arial"/>
          <w:bCs/>
          <w:sz w:val="24"/>
          <w:szCs w:val="24"/>
        </w:rPr>
      </w:pPr>
    </w:p>
    <w:p w14:paraId="6C2CD5B1" w14:textId="437A9CE2" w:rsidR="00412679" w:rsidRPr="00F068A5" w:rsidRDefault="00412679" w:rsidP="00412679">
      <w:pPr>
        <w:spacing w:before="18" w:line="280" w:lineRule="exact"/>
        <w:rPr>
          <w:rFonts w:ascii="Arial" w:hAnsi="Arial" w:cs="Arial"/>
          <w:bCs/>
          <w:sz w:val="24"/>
          <w:szCs w:val="24"/>
        </w:rPr>
      </w:pPr>
      <w:r w:rsidRPr="00F068A5">
        <w:rPr>
          <w:rFonts w:ascii="Arial" w:hAnsi="Arial" w:cs="Arial"/>
          <w:bCs/>
          <w:sz w:val="24"/>
          <w:szCs w:val="24"/>
        </w:rPr>
        <w:t>The data related to the buyer was used to identify the county and the state. The month and the year columns were extracted from the date of transaction. The quantity of opioids was calculated as the product of the ‘</w:t>
      </w:r>
      <w:proofErr w:type="spellStart"/>
      <w:r w:rsidRPr="00F068A5">
        <w:rPr>
          <w:rFonts w:ascii="Arial" w:hAnsi="Arial" w:cs="Arial"/>
          <w:bCs/>
          <w:sz w:val="24"/>
          <w:szCs w:val="24"/>
        </w:rPr>
        <w:t>calc_base_wt_in_gm</w:t>
      </w:r>
      <w:proofErr w:type="spellEnd"/>
      <w:r w:rsidRPr="00F068A5">
        <w:rPr>
          <w:rFonts w:ascii="Arial" w:hAnsi="Arial" w:cs="Arial"/>
          <w:bCs/>
          <w:sz w:val="24"/>
          <w:szCs w:val="24"/>
        </w:rPr>
        <w:t>’ and the ‘</w:t>
      </w:r>
      <w:proofErr w:type="spellStart"/>
      <w:r w:rsidRPr="00F068A5">
        <w:rPr>
          <w:rFonts w:ascii="Arial" w:hAnsi="Arial" w:cs="Arial"/>
          <w:bCs/>
          <w:sz w:val="24"/>
          <w:szCs w:val="24"/>
        </w:rPr>
        <w:t>MME_conversion_factor</w:t>
      </w:r>
      <w:proofErr w:type="spellEnd"/>
      <w:r w:rsidRPr="00F068A5">
        <w:rPr>
          <w:rFonts w:ascii="Arial" w:hAnsi="Arial" w:cs="Arial"/>
          <w:bCs/>
          <w:sz w:val="24"/>
          <w:szCs w:val="24"/>
        </w:rPr>
        <w:t>’ columns.</w:t>
      </w:r>
      <w:r w:rsidR="00F068A5">
        <w:rPr>
          <w:rFonts w:ascii="Arial" w:hAnsi="Arial" w:cs="Arial"/>
          <w:bCs/>
          <w:sz w:val="24"/>
          <w:szCs w:val="24"/>
        </w:rPr>
        <w:t xml:space="preserve"> </w:t>
      </w:r>
      <w:r w:rsidRPr="00F068A5">
        <w:rPr>
          <w:rFonts w:ascii="Arial" w:hAnsi="Arial" w:cs="Arial"/>
          <w:bCs/>
          <w:sz w:val="24"/>
          <w:szCs w:val="24"/>
        </w:rPr>
        <w:t>This data was collapsed at a ‘State, ‘County and ‘Year’ level for the state of Florida and at a ‘State, ‘County, ‘Year’ and ‘Month’ level for the states of Washington and Texas, leading to 2 different datasets.</w:t>
      </w:r>
    </w:p>
    <w:p w14:paraId="0F0ED78C" w14:textId="77777777" w:rsidR="00412679" w:rsidRPr="00F068A5" w:rsidRDefault="00412679" w:rsidP="00412679">
      <w:pPr>
        <w:spacing w:before="18" w:line="280" w:lineRule="exact"/>
        <w:rPr>
          <w:rFonts w:ascii="Arial" w:hAnsi="Arial" w:cs="Arial"/>
          <w:bCs/>
          <w:sz w:val="24"/>
          <w:szCs w:val="24"/>
        </w:rPr>
      </w:pPr>
    </w:p>
    <w:p w14:paraId="476FCD3B" w14:textId="77777777" w:rsidR="00412679" w:rsidRPr="00F068A5" w:rsidRDefault="00412679" w:rsidP="00412679">
      <w:pPr>
        <w:spacing w:before="18" w:line="280" w:lineRule="exact"/>
        <w:rPr>
          <w:rFonts w:ascii="Arial" w:hAnsi="Arial" w:cs="Arial"/>
          <w:bCs/>
          <w:sz w:val="24"/>
          <w:szCs w:val="24"/>
        </w:rPr>
      </w:pPr>
      <w:r w:rsidRPr="00F068A5">
        <w:rPr>
          <w:rFonts w:ascii="Arial" w:hAnsi="Arial" w:cs="Arial"/>
          <w:bCs/>
          <w:sz w:val="24"/>
          <w:szCs w:val="24"/>
        </w:rPr>
        <w:t>The column ‘</w:t>
      </w:r>
      <w:proofErr w:type="spellStart"/>
      <w:r w:rsidRPr="00F068A5">
        <w:rPr>
          <w:rFonts w:ascii="Arial" w:hAnsi="Arial" w:cs="Arial"/>
          <w:bCs/>
          <w:sz w:val="24"/>
          <w:szCs w:val="24"/>
        </w:rPr>
        <w:t>pre_post</w:t>
      </w:r>
      <w:proofErr w:type="spellEnd"/>
      <w:r w:rsidRPr="00F068A5">
        <w:rPr>
          <w:rFonts w:ascii="Arial" w:hAnsi="Arial" w:cs="Arial"/>
          <w:bCs/>
          <w:sz w:val="24"/>
          <w:szCs w:val="24"/>
        </w:rPr>
        <w:t>’ and ‘</w:t>
      </w:r>
      <w:proofErr w:type="spellStart"/>
      <w:r w:rsidRPr="00F068A5">
        <w:rPr>
          <w:rFonts w:ascii="Arial" w:hAnsi="Arial" w:cs="Arial"/>
          <w:bCs/>
          <w:sz w:val="24"/>
          <w:szCs w:val="24"/>
        </w:rPr>
        <w:t>policy_state</w:t>
      </w:r>
      <w:proofErr w:type="spellEnd"/>
      <w:r w:rsidRPr="00F068A5">
        <w:rPr>
          <w:rFonts w:ascii="Arial" w:hAnsi="Arial" w:cs="Arial"/>
          <w:bCs/>
          <w:sz w:val="24"/>
          <w:szCs w:val="24"/>
        </w:rPr>
        <w:t>’ were created considering the state under analysis, leading to 3 different datasets, one for each state. The population data was merged to these datasets and the ‘</w:t>
      </w:r>
      <w:proofErr w:type="spellStart"/>
      <w:r w:rsidRPr="00F068A5">
        <w:rPr>
          <w:rFonts w:ascii="Arial" w:hAnsi="Arial" w:cs="Arial"/>
          <w:bCs/>
          <w:sz w:val="24"/>
          <w:szCs w:val="24"/>
        </w:rPr>
        <w:t>opioids_per_capita</w:t>
      </w:r>
      <w:proofErr w:type="spellEnd"/>
      <w:r w:rsidRPr="00F068A5">
        <w:rPr>
          <w:rFonts w:ascii="Arial" w:hAnsi="Arial" w:cs="Arial"/>
          <w:bCs/>
          <w:sz w:val="24"/>
          <w:szCs w:val="24"/>
        </w:rPr>
        <w:t xml:space="preserve">’ was calculated. </w:t>
      </w:r>
    </w:p>
    <w:p w14:paraId="27213331" w14:textId="77777777" w:rsidR="00412679" w:rsidRPr="00F068A5" w:rsidRDefault="00412679" w:rsidP="00412679">
      <w:pPr>
        <w:spacing w:before="18" w:line="280" w:lineRule="exact"/>
        <w:rPr>
          <w:rFonts w:ascii="Arial" w:hAnsi="Arial" w:cs="Arial"/>
          <w:bCs/>
          <w:sz w:val="24"/>
          <w:szCs w:val="24"/>
        </w:rPr>
      </w:pPr>
    </w:p>
    <w:p w14:paraId="6CA42DD4" w14:textId="12D3830E" w:rsidR="00412679" w:rsidRPr="00F068A5" w:rsidRDefault="00412679" w:rsidP="00412679">
      <w:pPr>
        <w:spacing w:before="18" w:line="280" w:lineRule="exact"/>
        <w:rPr>
          <w:rFonts w:ascii="Arial" w:hAnsi="Arial" w:cs="Arial"/>
          <w:bCs/>
          <w:sz w:val="24"/>
          <w:szCs w:val="24"/>
        </w:rPr>
      </w:pPr>
      <w:r w:rsidRPr="00F068A5">
        <w:rPr>
          <w:rFonts w:ascii="Arial" w:hAnsi="Arial" w:cs="Arial"/>
          <w:bCs/>
          <w:sz w:val="24"/>
          <w:szCs w:val="24"/>
        </w:rPr>
        <w:t>It is important to mention that there were certain counties in a few states where the transactions of opioids were not substantial enough to be reported in the dataset. These counties were dropped in the analysis.</w:t>
      </w:r>
    </w:p>
    <w:p w14:paraId="3391E948" w14:textId="51E17253" w:rsidR="00412679" w:rsidRDefault="00412679" w:rsidP="00412679">
      <w:pPr>
        <w:spacing w:line="276" w:lineRule="auto"/>
        <w:rPr>
          <w:rFonts w:ascii="Arial" w:hAnsi="Arial" w:cs="Arial"/>
          <w:sz w:val="24"/>
          <w:szCs w:val="24"/>
        </w:rPr>
      </w:pPr>
    </w:p>
    <w:p w14:paraId="50EBCD64" w14:textId="01335D1C" w:rsidR="00F068A5" w:rsidRDefault="00F068A5" w:rsidP="00412679">
      <w:pPr>
        <w:spacing w:line="276" w:lineRule="auto"/>
        <w:rPr>
          <w:rFonts w:ascii="Arial" w:hAnsi="Arial" w:cs="Arial"/>
          <w:sz w:val="24"/>
          <w:szCs w:val="24"/>
        </w:rPr>
      </w:pPr>
    </w:p>
    <w:p w14:paraId="2A879E3D" w14:textId="77777777" w:rsidR="00F068A5" w:rsidRPr="00F068A5" w:rsidRDefault="00F068A5" w:rsidP="00412679">
      <w:pPr>
        <w:spacing w:line="276" w:lineRule="auto"/>
        <w:rPr>
          <w:rFonts w:ascii="Arial" w:hAnsi="Arial" w:cs="Arial"/>
          <w:sz w:val="24"/>
          <w:szCs w:val="24"/>
        </w:rPr>
      </w:pPr>
    </w:p>
    <w:p w14:paraId="16E6F45B" w14:textId="2FCE644D" w:rsidR="00412679" w:rsidRPr="00F068A5" w:rsidRDefault="00AC4DA4" w:rsidP="00412679">
      <w:pPr>
        <w:spacing w:line="276" w:lineRule="auto"/>
        <w:rPr>
          <w:rFonts w:ascii="Arial" w:hAnsi="Arial" w:cs="Arial"/>
          <w:sz w:val="24"/>
          <w:szCs w:val="24"/>
        </w:rPr>
      </w:pPr>
      <w:r w:rsidRPr="00F068A5">
        <w:rPr>
          <w:rFonts w:ascii="Arial" w:hAnsi="Arial" w:cs="Arial"/>
          <w:b/>
          <w:sz w:val="24"/>
          <w:szCs w:val="24"/>
        </w:rPr>
        <w:lastRenderedPageBreak/>
        <w:t>Drug Overdoses:</w:t>
      </w:r>
      <w:r w:rsidR="003C3168" w:rsidRPr="00F068A5">
        <w:rPr>
          <w:rFonts w:ascii="Arial" w:hAnsi="Arial" w:cs="Arial"/>
          <w:b/>
          <w:sz w:val="24"/>
          <w:szCs w:val="24"/>
        </w:rPr>
        <w:t xml:space="preserve"> </w:t>
      </w:r>
      <w:r w:rsidRPr="00F068A5">
        <w:rPr>
          <w:rFonts w:ascii="Arial" w:hAnsi="Arial" w:cs="Arial"/>
          <w:sz w:val="24"/>
          <w:szCs w:val="24"/>
        </w:rPr>
        <w:t>This is another comprehensive dataset maintained by the US Centers for Disease Control and Prevention (CDC) under its National Vital Statistics System</w:t>
      </w:r>
      <w:r w:rsidRPr="00F068A5">
        <w:rPr>
          <w:rFonts w:ascii="Arial" w:hAnsi="Arial" w:cs="Arial"/>
          <w:sz w:val="24"/>
          <w:szCs w:val="24"/>
          <w:vertAlign w:val="superscript"/>
        </w:rPr>
        <w:t>2</w:t>
      </w:r>
      <w:r w:rsidRPr="00F068A5">
        <w:rPr>
          <w:rFonts w:ascii="Arial" w:hAnsi="Arial" w:cs="Arial"/>
          <w:sz w:val="24"/>
          <w:szCs w:val="24"/>
        </w:rPr>
        <w:t xml:space="preserve">. This serves as a record for the number of deaths by county at a yearly level. The dataset also classifies death based on the cause of death. We are concerned only with the death caused due to drug overdoses to calculate mortality arising from drug overdoses. </w:t>
      </w:r>
    </w:p>
    <w:p w14:paraId="677439FB" w14:textId="77777777" w:rsidR="00412679" w:rsidRPr="00F068A5" w:rsidRDefault="00412679" w:rsidP="00412679">
      <w:pPr>
        <w:spacing w:line="276" w:lineRule="auto"/>
        <w:rPr>
          <w:rFonts w:ascii="Arial" w:hAnsi="Arial" w:cs="Arial"/>
          <w:sz w:val="24"/>
          <w:szCs w:val="24"/>
        </w:rPr>
      </w:pPr>
    </w:p>
    <w:p w14:paraId="0FE69E80" w14:textId="353904A7" w:rsidR="00412679" w:rsidRPr="00F068A5" w:rsidRDefault="00AC4DA4" w:rsidP="00412679">
      <w:pPr>
        <w:spacing w:line="276" w:lineRule="auto"/>
        <w:rPr>
          <w:rFonts w:ascii="Arial" w:hAnsi="Arial" w:cs="Arial"/>
          <w:sz w:val="24"/>
          <w:szCs w:val="24"/>
        </w:rPr>
      </w:pPr>
      <w:r w:rsidRPr="00F068A5">
        <w:rPr>
          <w:rFonts w:ascii="Arial" w:hAnsi="Arial" w:cs="Arial"/>
          <w:sz w:val="24"/>
          <w:szCs w:val="24"/>
        </w:rPr>
        <w:t xml:space="preserve">It also has to be noted that the dataset does not include the name of the exact drug involved in a death. Hence, this data is just a proxy to measure opioid related deaths.  </w:t>
      </w:r>
    </w:p>
    <w:p w14:paraId="0C2E73A7" w14:textId="77777777" w:rsidR="00412679" w:rsidRPr="00F068A5" w:rsidRDefault="00412679" w:rsidP="00412679">
      <w:pPr>
        <w:spacing w:line="276" w:lineRule="auto"/>
        <w:rPr>
          <w:rFonts w:ascii="Arial" w:hAnsi="Arial" w:cs="Arial"/>
          <w:bCs/>
          <w:i/>
          <w:iCs/>
          <w:color w:val="000000" w:themeColor="text1"/>
          <w:sz w:val="24"/>
          <w:szCs w:val="24"/>
        </w:rPr>
      </w:pPr>
    </w:p>
    <w:p w14:paraId="1BB94DF4" w14:textId="70E13EAD" w:rsidR="00412679" w:rsidRPr="00F068A5" w:rsidRDefault="00412679" w:rsidP="00412679">
      <w:pPr>
        <w:spacing w:line="276" w:lineRule="auto"/>
        <w:rPr>
          <w:rFonts w:ascii="Arial" w:hAnsi="Arial" w:cs="Arial"/>
          <w:sz w:val="24"/>
          <w:szCs w:val="24"/>
        </w:rPr>
      </w:pPr>
      <w:r w:rsidRPr="00F068A5">
        <w:rPr>
          <w:rFonts w:ascii="Arial" w:hAnsi="Arial" w:cs="Arial"/>
          <w:bCs/>
          <w:i/>
          <w:iCs/>
          <w:color w:val="000000" w:themeColor="text1"/>
          <w:sz w:val="24"/>
          <w:szCs w:val="24"/>
        </w:rPr>
        <w:t>Transformations:</w:t>
      </w:r>
      <w:r w:rsidRPr="00F068A5">
        <w:rPr>
          <w:rFonts w:ascii="Arial" w:hAnsi="Arial" w:cs="Arial"/>
          <w:bCs/>
          <w:color w:val="000000" w:themeColor="text1"/>
          <w:sz w:val="24"/>
          <w:szCs w:val="24"/>
        </w:rPr>
        <w:t xml:space="preserve"> </w:t>
      </w:r>
      <w:r w:rsidRPr="00F068A5">
        <w:rPr>
          <w:rFonts w:ascii="Arial" w:hAnsi="Arial" w:cs="Arial"/>
          <w:sz w:val="24"/>
          <w:szCs w:val="24"/>
        </w:rPr>
        <w:t xml:space="preserve">US Vital Statistics data sets (.txt) were separated by year, we </w:t>
      </w:r>
    </w:p>
    <w:p w14:paraId="2EF056D1" w14:textId="77777777" w:rsidR="00412679" w:rsidRPr="00F068A5" w:rsidRDefault="00412679" w:rsidP="00412679">
      <w:pPr>
        <w:spacing w:line="276" w:lineRule="auto"/>
        <w:rPr>
          <w:rFonts w:ascii="Arial" w:hAnsi="Arial" w:cs="Arial"/>
          <w:sz w:val="24"/>
          <w:szCs w:val="24"/>
        </w:rPr>
      </w:pPr>
      <w:r w:rsidRPr="00F068A5">
        <w:rPr>
          <w:rFonts w:ascii="Arial" w:hAnsi="Arial" w:cs="Arial"/>
          <w:sz w:val="24"/>
          <w:szCs w:val="24"/>
        </w:rPr>
        <w:t xml:space="preserve">combined all the data sets into one file. After concatenating 12 txt files, we split the </w:t>
      </w:r>
    </w:p>
    <w:p w14:paraId="7F4DD5D4" w14:textId="0BF4318E" w:rsidR="00412679" w:rsidRPr="00F068A5" w:rsidRDefault="00412679" w:rsidP="00412679">
      <w:pPr>
        <w:spacing w:line="276" w:lineRule="auto"/>
        <w:rPr>
          <w:rFonts w:ascii="Arial" w:hAnsi="Arial" w:cs="Arial"/>
          <w:sz w:val="24"/>
          <w:szCs w:val="24"/>
        </w:rPr>
      </w:pPr>
      <w:r w:rsidRPr="00F068A5">
        <w:rPr>
          <w:rFonts w:ascii="Arial" w:hAnsi="Arial" w:cs="Arial"/>
          <w:sz w:val="24"/>
          <w:szCs w:val="24"/>
        </w:rPr>
        <w:t>name of ‘County’ into ‘County’ and ‘State’ (e.g. Autauga County, AL-&gt;AL Baldwin County). Then, we removed non-</w:t>
      </w:r>
      <w:proofErr w:type="spellStart"/>
      <w:r w:rsidRPr="00F068A5">
        <w:rPr>
          <w:rFonts w:ascii="Arial" w:hAnsi="Arial" w:cs="Arial"/>
          <w:sz w:val="24"/>
          <w:szCs w:val="24"/>
        </w:rPr>
        <w:t>unseful</w:t>
      </w:r>
      <w:proofErr w:type="spellEnd"/>
      <w:r w:rsidRPr="00F068A5">
        <w:rPr>
          <w:rFonts w:ascii="Arial" w:hAnsi="Arial" w:cs="Arial"/>
          <w:sz w:val="24"/>
          <w:szCs w:val="24"/>
        </w:rPr>
        <w:t xml:space="preserve"> columns and rows with missing values and </w:t>
      </w:r>
    </w:p>
    <w:p w14:paraId="6811168E" w14:textId="4FCE9201" w:rsidR="00412679" w:rsidRPr="00F068A5" w:rsidRDefault="00412679" w:rsidP="00412679">
      <w:pPr>
        <w:spacing w:line="276" w:lineRule="auto"/>
        <w:rPr>
          <w:rFonts w:ascii="Arial" w:hAnsi="Arial" w:cs="Arial"/>
          <w:sz w:val="24"/>
          <w:szCs w:val="24"/>
        </w:rPr>
      </w:pPr>
      <w:r w:rsidRPr="00F068A5">
        <w:rPr>
          <w:rFonts w:ascii="Arial" w:hAnsi="Arial" w:cs="Arial"/>
          <w:sz w:val="24"/>
          <w:szCs w:val="24"/>
        </w:rPr>
        <w:t xml:space="preserve">change the data types (e.g. string data to numeric data). We primarily focused on </w:t>
      </w:r>
    </w:p>
    <w:p w14:paraId="729B3F31" w14:textId="77777777" w:rsidR="00412679" w:rsidRPr="00F068A5" w:rsidRDefault="00412679" w:rsidP="00412679">
      <w:pPr>
        <w:spacing w:line="276" w:lineRule="auto"/>
        <w:rPr>
          <w:rFonts w:ascii="Arial" w:hAnsi="Arial" w:cs="Arial"/>
          <w:sz w:val="24"/>
          <w:szCs w:val="24"/>
        </w:rPr>
      </w:pPr>
      <w:r w:rsidRPr="00F068A5">
        <w:rPr>
          <w:rFonts w:ascii="Arial" w:hAnsi="Arial" w:cs="Arial"/>
          <w:sz w:val="24"/>
          <w:szCs w:val="24"/>
        </w:rPr>
        <w:t xml:space="preserve">number death by 'Drug poisonings (overdose) Unintentional (X40-X44)', 'Drug </w:t>
      </w:r>
    </w:p>
    <w:p w14:paraId="48D4336F" w14:textId="77777777" w:rsidR="00412679" w:rsidRPr="00F068A5" w:rsidRDefault="00412679" w:rsidP="00412679">
      <w:pPr>
        <w:spacing w:line="276" w:lineRule="auto"/>
        <w:rPr>
          <w:rFonts w:ascii="Arial" w:hAnsi="Arial" w:cs="Arial"/>
          <w:sz w:val="24"/>
          <w:szCs w:val="24"/>
        </w:rPr>
      </w:pPr>
      <w:r w:rsidRPr="00F068A5">
        <w:rPr>
          <w:rFonts w:ascii="Arial" w:hAnsi="Arial" w:cs="Arial"/>
          <w:sz w:val="24"/>
          <w:szCs w:val="24"/>
        </w:rPr>
        <w:t xml:space="preserve">poisonings (overdose) Undetermined (Y10-Y14)', 'Drug poisonings (overdose) </w:t>
      </w:r>
    </w:p>
    <w:p w14:paraId="577F7591" w14:textId="3BE8D466" w:rsidR="00412679" w:rsidRPr="00F068A5" w:rsidRDefault="00412679" w:rsidP="00412679">
      <w:pPr>
        <w:spacing w:line="276" w:lineRule="auto"/>
        <w:rPr>
          <w:rFonts w:ascii="Arial" w:hAnsi="Arial" w:cs="Arial"/>
          <w:sz w:val="24"/>
          <w:szCs w:val="24"/>
        </w:rPr>
      </w:pPr>
      <w:r w:rsidRPr="00F068A5">
        <w:rPr>
          <w:rFonts w:ascii="Arial" w:hAnsi="Arial" w:cs="Arial"/>
          <w:sz w:val="24"/>
          <w:szCs w:val="24"/>
        </w:rPr>
        <w:t>Suicide (X60-X64)'. We merged this dataset with the population data on ‘State’ and ‘County’. We calculated ‘</w:t>
      </w:r>
      <w:proofErr w:type="spellStart"/>
      <w:r w:rsidRPr="00F068A5">
        <w:rPr>
          <w:rFonts w:ascii="Arial" w:hAnsi="Arial" w:cs="Arial"/>
          <w:sz w:val="24"/>
          <w:szCs w:val="24"/>
        </w:rPr>
        <w:t>Death_Rate</w:t>
      </w:r>
      <w:proofErr w:type="spellEnd"/>
      <w:r w:rsidRPr="00F068A5">
        <w:rPr>
          <w:rFonts w:ascii="Arial" w:hAnsi="Arial" w:cs="Arial"/>
          <w:sz w:val="24"/>
          <w:szCs w:val="24"/>
        </w:rPr>
        <w:t xml:space="preserve">’ by dividing ‘Death’ by ’pop2010’. We </w:t>
      </w:r>
      <w:r w:rsidR="00F068A5" w:rsidRPr="00F068A5">
        <w:rPr>
          <w:rFonts w:ascii="Arial" w:hAnsi="Arial" w:cs="Arial"/>
          <w:sz w:val="24"/>
          <w:szCs w:val="24"/>
        </w:rPr>
        <w:t>then added</w:t>
      </w:r>
      <w:r w:rsidRPr="00F068A5">
        <w:rPr>
          <w:rFonts w:ascii="Arial" w:hAnsi="Arial" w:cs="Arial"/>
          <w:sz w:val="24"/>
          <w:szCs w:val="24"/>
        </w:rPr>
        <w:t xml:space="preserve"> ‘Policy State’ column to indicate the states where changed the policy and ‘Post’ column to indicate the timeline that before and after the policy in effective. </w:t>
      </w:r>
    </w:p>
    <w:p w14:paraId="33553582" w14:textId="77777777" w:rsidR="00412679" w:rsidRPr="00F068A5" w:rsidRDefault="00412679" w:rsidP="00412679">
      <w:pPr>
        <w:spacing w:line="276" w:lineRule="auto"/>
        <w:rPr>
          <w:rFonts w:ascii="Arial" w:hAnsi="Arial" w:cs="Arial"/>
          <w:sz w:val="24"/>
          <w:szCs w:val="24"/>
        </w:rPr>
      </w:pPr>
    </w:p>
    <w:p w14:paraId="2451367A" w14:textId="4245CE8A" w:rsidR="00412679" w:rsidRPr="00F068A5" w:rsidRDefault="00412679" w:rsidP="00412679">
      <w:pPr>
        <w:spacing w:line="276" w:lineRule="auto"/>
        <w:rPr>
          <w:rFonts w:ascii="Arial" w:hAnsi="Arial" w:cs="Arial"/>
          <w:sz w:val="24"/>
          <w:szCs w:val="24"/>
        </w:rPr>
      </w:pPr>
      <w:r w:rsidRPr="00F068A5">
        <w:rPr>
          <w:rFonts w:ascii="Arial" w:hAnsi="Arial" w:cs="Arial"/>
          <w:sz w:val="24"/>
          <w:szCs w:val="24"/>
        </w:rPr>
        <w:t>In addition to the final dataset, there will be 3 sub datasets for each state (TX, FL, WA) under consideration for the 3 states of study, especially for Difference-in-Difference between 3 states and non-policy states. The final dataset would have the following columns.</w:t>
      </w:r>
    </w:p>
    <w:p w14:paraId="548E54D7" w14:textId="310AC492" w:rsidR="00412679" w:rsidRPr="00F068A5" w:rsidRDefault="00412679" w:rsidP="00412679">
      <w:pPr>
        <w:spacing w:line="276" w:lineRule="auto"/>
        <w:rPr>
          <w:rFonts w:ascii="Arial" w:hAnsi="Arial" w:cs="Arial"/>
          <w:sz w:val="24"/>
          <w:szCs w:val="24"/>
        </w:rPr>
      </w:pPr>
    </w:p>
    <w:tbl>
      <w:tblPr>
        <w:tblStyle w:val="TableGrid"/>
        <w:tblW w:w="6665" w:type="dxa"/>
        <w:jc w:val="center"/>
        <w:tblLook w:val="04A0" w:firstRow="1" w:lastRow="0" w:firstColumn="1" w:lastColumn="0" w:noHBand="0" w:noVBand="1"/>
      </w:tblPr>
      <w:tblGrid>
        <w:gridCol w:w="803"/>
        <w:gridCol w:w="1043"/>
        <w:gridCol w:w="737"/>
        <w:gridCol w:w="1537"/>
        <w:gridCol w:w="1644"/>
        <w:gridCol w:w="1244"/>
      </w:tblGrid>
      <w:tr w:rsidR="00412679" w:rsidRPr="00F068A5" w14:paraId="243B5E4E" w14:textId="77777777" w:rsidTr="00412679">
        <w:trPr>
          <w:trHeight w:val="680"/>
          <w:jc w:val="center"/>
        </w:trPr>
        <w:tc>
          <w:tcPr>
            <w:tcW w:w="951" w:type="dxa"/>
            <w:vAlign w:val="center"/>
          </w:tcPr>
          <w:p w14:paraId="4CB8949E" w14:textId="77777777" w:rsidR="00412679" w:rsidRPr="00F068A5" w:rsidRDefault="00412679" w:rsidP="00412679">
            <w:pPr>
              <w:pStyle w:val="NormalWeb"/>
              <w:spacing w:before="240" w:beforeAutospacing="0" w:after="240" w:afterAutospacing="0"/>
              <w:jc w:val="center"/>
              <w:rPr>
                <w:rFonts w:ascii="Helvetica" w:hAnsi="Helvetica"/>
                <w:b/>
                <w:bCs/>
                <w:color w:val="000000"/>
              </w:rPr>
            </w:pPr>
          </w:p>
          <w:p w14:paraId="602A6277" w14:textId="77777777" w:rsidR="00412679" w:rsidRPr="00F068A5" w:rsidRDefault="00412679" w:rsidP="00412679">
            <w:pPr>
              <w:pStyle w:val="NormalWeb"/>
              <w:spacing w:before="240" w:beforeAutospacing="0" w:after="240" w:afterAutospacing="0"/>
              <w:jc w:val="center"/>
              <w:rPr>
                <w:rFonts w:asciiTheme="majorHAnsi" w:hAnsiTheme="majorHAnsi" w:cstheme="majorHAnsi"/>
              </w:rPr>
            </w:pPr>
            <w:r w:rsidRPr="00F068A5">
              <w:rPr>
                <w:rFonts w:ascii="Helvetica" w:hAnsi="Helvetica"/>
                <w:b/>
                <w:bCs/>
                <w:color w:val="000000"/>
              </w:rPr>
              <w:t>State</w:t>
            </w:r>
          </w:p>
        </w:tc>
        <w:tc>
          <w:tcPr>
            <w:tcW w:w="993" w:type="dxa"/>
            <w:vAlign w:val="center"/>
          </w:tcPr>
          <w:p w14:paraId="55104CBD" w14:textId="77777777" w:rsidR="00412679" w:rsidRPr="00F068A5" w:rsidRDefault="00412679" w:rsidP="00412679">
            <w:pPr>
              <w:pStyle w:val="NormalWeb"/>
              <w:spacing w:before="240" w:beforeAutospacing="0" w:after="240" w:afterAutospacing="0"/>
              <w:jc w:val="center"/>
              <w:rPr>
                <w:rFonts w:ascii="Helvetica" w:hAnsi="Helvetica"/>
                <w:b/>
                <w:bCs/>
                <w:color w:val="000000"/>
              </w:rPr>
            </w:pPr>
          </w:p>
          <w:p w14:paraId="6D5CE2DF" w14:textId="77777777" w:rsidR="00412679" w:rsidRPr="00F068A5" w:rsidRDefault="00412679" w:rsidP="00412679">
            <w:pPr>
              <w:pStyle w:val="NormalWeb"/>
              <w:spacing w:before="240" w:beforeAutospacing="0" w:after="240" w:afterAutospacing="0"/>
              <w:jc w:val="center"/>
              <w:rPr>
                <w:rFonts w:asciiTheme="majorHAnsi" w:hAnsiTheme="majorHAnsi" w:cstheme="majorHAnsi"/>
              </w:rPr>
            </w:pPr>
            <w:r w:rsidRPr="00F068A5">
              <w:rPr>
                <w:rFonts w:ascii="Helvetica" w:hAnsi="Helvetica"/>
                <w:b/>
                <w:bCs/>
                <w:color w:val="000000"/>
              </w:rPr>
              <w:t>County</w:t>
            </w:r>
          </w:p>
        </w:tc>
        <w:tc>
          <w:tcPr>
            <w:tcW w:w="940" w:type="dxa"/>
            <w:vAlign w:val="center"/>
          </w:tcPr>
          <w:p w14:paraId="6C061309" w14:textId="77777777" w:rsidR="00412679" w:rsidRPr="00F068A5" w:rsidRDefault="00412679" w:rsidP="00412679">
            <w:pPr>
              <w:pStyle w:val="NormalWeb"/>
              <w:spacing w:before="240" w:beforeAutospacing="0" w:after="240" w:afterAutospacing="0"/>
              <w:jc w:val="center"/>
              <w:rPr>
                <w:rFonts w:ascii="Helvetica" w:hAnsi="Helvetica"/>
                <w:b/>
                <w:bCs/>
                <w:color w:val="000000"/>
              </w:rPr>
            </w:pPr>
          </w:p>
          <w:p w14:paraId="40152D37" w14:textId="77777777" w:rsidR="00412679" w:rsidRPr="00F068A5" w:rsidRDefault="00412679" w:rsidP="00412679">
            <w:pPr>
              <w:pStyle w:val="NormalWeb"/>
              <w:spacing w:before="240" w:beforeAutospacing="0" w:after="240" w:afterAutospacing="0"/>
              <w:jc w:val="center"/>
              <w:rPr>
                <w:rFonts w:asciiTheme="majorHAnsi" w:hAnsiTheme="majorHAnsi" w:cstheme="majorHAnsi"/>
              </w:rPr>
            </w:pPr>
            <w:r w:rsidRPr="00F068A5">
              <w:rPr>
                <w:rFonts w:ascii="Helvetica" w:hAnsi="Helvetica"/>
                <w:b/>
                <w:bCs/>
                <w:color w:val="000000"/>
              </w:rPr>
              <w:t>Year</w:t>
            </w:r>
          </w:p>
        </w:tc>
        <w:tc>
          <w:tcPr>
            <w:tcW w:w="1207" w:type="dxa"/>
            <w:vAlign w:val="center"/>
          </w:tcPr>
          <w:p w14:paraId="1E1D422F" w14:textId="77777777" w:rsidR="00412679" w:rsidRPr="00F068A5" w:rsidRDefault="00412679" w:rsidP="00412679">
            <w:pPr>
              <w:pStyle w:val="NormalWeb"/>
              <w:spacing w:before="240" w:beforeAutospacing="0" w:after="240" w:afterAutospacing="0"/>
              <w:jc w:val="center"/>
              <w:rPr>
                <w:rFonts w:ascii="Helvetica" w:hAnsi="Helvetica"/>
                <w:b/>
                <w:bCs/>
                <w:color w:val="000000"/>
              </w:rPr>
            </w:pPr>
          </w:p>
          <w:p w14:paraId="6380C0DD" w14:textId="77777777" w:rsidR="00412679" w:rsidRPr="00F068A5" w:rsidRDefault="00412679" w:rsidP="00412679">
            <w:pPr>
              <w:pStyle w:val="NormalWeb"/>
              <w:spacing w:before="240" w:beforeAutospacing="0" w:after="240" w:afterAutospacing="0"/>
              <w:jc w:val="center"/>
              <w:rPr>
                <w:rFonts w:asciiTheme="majorHAnsi" w:hAnsiTheme="majorHAnsi" w:cstheme="majorHAnsi"/>
              </w:rPr>
            </w:pPr>
            <w:proofErr w:type="spellStart"/>
            <w:r w:rsidRPr="00F068A5">
              <w:rPr>
                <w:rFonts w:ascii="Helvetica" w:hAnsi="Helvetica"/>
                <w:b/>
                <w:bCs/>
                <w:color w:val="000000"/>
              </w:rPr>
              <w:t>Death_Rate</w:t>
            </w:r>
            <w:proofErr w:type="spellEnd"/>
          </w:p>
        </w:tc>
        <w:tc>
          <w:tcPr>
            <w:tcW w:w="1287" w:type="dxa"/>
            <w:vAlign w:val="center"/>
          </w:tcPr>
          <w:p w14:paraId="5D73DC8A" w14:textId="77777777" w:rsidR="00412679" w:rsidRPr="00F068A5" w:rsidRDefault="00412679" w:rsidP="00412679">
            <w:pPr>
              <w:pStyle w:val="NormalWeb"/>
              <w:spacing w:before="240" w:beforeAutospacing="0" w:after="240" w:afterAutospacing="0"/>
              <w:jc w:val="center"/>
              <w:rPr>
                <w:rFonts w:ascii="Helvetica" w:hAnsi="Helvetica"/>
                <w:b/>
                <w:bCs/>
                <w:color w:val="000000"/>
              </w:rPr>
            </w:pPr>
          </w:p>
          <w:p w14:paraId="40E07672" w14:textId="77777777" w:rsidR="00412679" w:rsidRPr="00F068A5" w:rsidRDefault="00412679" w:rsidP="00412679">
            <w:pPr>
              <w:pStyle w:val="NormalWeb"/>
              <w:spacing w:before="240" w:beforeAutospacing="0" w:after="240" w:afterAutospacing="0"/>
              <w:jc w:val="center"/>
              <w:rPr>
                <w:rFonts w:asciiTheme="majorHAnsi" w:hAnsiTheme="majorHAnsi" w:cstheme="majorHAnsi"/>
              </w:rPr>
            </w:pPr>
            <w:proofErr w:type="spellStart"/>
            <w:r w:rsidRPr="00F068A5">
              <w:rPr>
                <w:rFonts w:ascii="Helvetica" w:hAnsi="Helvetica"/>
                <w:b/>
                <w:bCs/>
                <w:color w:val="000000"/>
              </w:rPr>
              <w:t>Policy_State</w:t>
            </w:r>
            <w:proofErr w:type="spellEnd"/>
          </w:p>
        </w:tc>
        <w:tc>
          <w:tcPr>
            <w:tcW w:w="1287" w:type="dxa"/>
            <w:vAlign w:val="center"/>
          </w:tcPr>
          <w:p w14:paraId="7E2CC4DC" w14:textId="77777777" w:rsidR="00412679" w:rsidRPr="00F068A5" w:rsidRDefault="00412679" w:rsidP="00412679">
            <w:pPr>
              <w:pStyle w:val="NormalWeb"/>
              <w:spacing w:before="240" w:beforeAutospacing="0" w:after="240" w:afterAutospacing="0"/>
              <w:jc w:val="center"/>
              <w:rPr>
                <w:rFonts w:ascii="Helvetica" w:hAnsi="Helvetica"/>
                <w:b/>
                <w:bCs/>
                <w:color w:val="000000"/>
              </w:rPr>
            </w:pPr>
          </w:p>
          <w:p w14:paraId="168916C6" w14:textId="5C5FE89C" w:rsidR="00412679" w:rsidRPr="00F068A5" w:rsidRDefault="00412679" w:rsidP="00412679">
            <w:pPr>
              <w:pStyle w:val="NormalWeb"/>
              <w:spacing w:before="240" w:beforeAutospacing="0" w:after="240" w:afterAutospacing="0"/>
              <w:jc w:val="center"/>
              <w:rPr>
                <w:rFonts w:ascii="Helvetica" w:hAnsi="Helvetica"/>
                <w:b/>
                <w:bCs/>
                <w:color w:val="000000"/>
              </w:rPr>
            </w:pPr>
            <w:proofErr w:type="spellStart"/>
            <w:r w:rsidRPr="00F068A5">
              <w:rPr>
                <w:rFonts w:ascii="Helvetica" w:hAnsi="Helvetica"/>
                <w:b/>
                <w:bCs/>
                <w:color w:val="000000"/>
              </w:rPr>
              <w:t>Pre_post</w:t>
            </w:r>
            <w:proofErr w:type="spellEnd"/>
          </w:p>
        </w:tc>
      </w:tr>
    </w:tbl>
    <w:p w14:paraId="489A045D" w14:textId="77777777" w:rsidR="00F068A5" w:rsidRPr="00F068A5" w:rsidRDefault="00F068A5" w:rsidP="003C3168">
      <w:pPr>
        <w:spacing w:line="276" w:lineRule="auto"/>
        <w:rPr>
          <w:rFonts w:ascii="Arial" w:hAnsi="Arial" w:cs="Arial"/>
          <w:sz w:val="24"/>
          <w:szCs w:val="24"/>
        </w:rPr>
      </w:pPr>
    </w:p>
    <w:p w14:paraId="71E33AA1" w14:textId="1B021038" w:rsidR="003C3168" w:rsidRPr="00F068A5" w:rsidRDefault="00AC4DA4" w:rsidP="00412679">
      <w:pPr>
        <w:spacing w:line="276" w:lineRule="auto"/>
        <w:rPr>
          <w:rFonts w:ascii="Arial" w:hAnsi="Arial" w:cs="Arial"/>
          <w:sz w:val="24"/>
          <w:szCs w:val="24"/>
        </w:rPr>
      </w:pPr>
      <w:r w:rsidRPr="00F068A5">
        <w:rPr>
          <w:rFonts w:ascii="Arial" w:hAnsi="Arial" w:cs="Arial"/>
          <w:b/>
          <w:sz w:val="24"/>
          <w:szCs w:val="24"/>
        </w:rPr>
        <w:t>Population:</w:t>
      </w:r>
      <w:r w:rsidR="003C3168" w:rsidRPr="00F068A5">
        <w:rPr>
          <w:rFonts w:ascii="Arial" w:hAnsi="Arial" w:cs="Arial"/>
          <w:b/>
          <w:sz w:val="24"/>
          <w:szCs w:val="24"/>
        </w:rPr>
        <w:t xml:space="preserve"> </w:t>
      </w:r>
      <w:r w:rsidRPr="00F068A5">
        <w:rPr>
          <w:rFonts w:ascii="Arial" w:hAnsi="Arial" w:cs="Arial"/>
          <w:sz w:val="24"/>
          <w:szCs w:val="24"/>
        </w:rPr>
        <w:t>This dataset contains data on the US population at a county level</w:t>
      </w:r>
      <w:r w:rsidRPr="00F068A5">
        <w:rPr>
          <w:rFonts w:ascii="Arial" w:hAnsi="Arial" w:cs="Arial"/>
          <w:sz w:val="24"/>
          <w:szCs w:val="24"/>
          <w:vertAlign w:val="superscript"/>
        </w:rPr>
        <w:t>3</w:t>
      </w:r>
      <w:r w:rsidRPr="00F068A5">
        <w:rPr>
          <w:rFonts w:ascii="Arial" w:hAnsi="Arial" w:cs="Arial"/>
          <w:sz w:val="24"/>
          <w:szCs w:val="24"/>
        </w:rPr>
        <w:t xml:space="preserve">. It has to be noted that the US census is taken once in ten years – with the last one being in 2010. The population for the year 2010 was the most relevant to this analysis as it was the closest to the years under consideration. We chose to use the population for 2010 for all the years under consideration as using rate of change of population assumes a linear rate of increase and may not be ideal for all the counties. This made using 2010 population data throughout, more reasonable. </w:t>
      </w:r>
    </w:p>
    <w:p w14:paraId="3934F887" w14:textId="402F381F" w:rsidR="00412679" w:rsidRPr="00F068A5" w:rsidRDefault="00412679" w:rsidP="00412679">
      <w:pPr>
        <w:spacing w:line="276" w:lineRule="auto"/>
        <w:rPr>
          <w:rFonts w:ascii="Arial" w:hAnsi="Arial" w:cs="Arial"/>
          <w:sz w:val="24"/>
          <w:szCs w:val="24"/>
        </w:rPr>
      </w:pPr>
    </w:p>
    <w:p w14:paraId="21F299A4" w14:textId="77777777" w:rsidR="00F068A5" w:rsidRDefault="00F068A5" w:rsidP="00F068A5">
      <w:pPr>
        <w:spacing w:before="18" w:line="276" w:lineRule="auto"/>
        <w:rPr>
          <w:rFonts w:ascii="Arial" w:hAnsi="Arial" w:cs="Arial"/>
          <w:bCs/>
          <w:i/>
          <w:iCs/>
          <w:color w:val="000000" w:themeColor="text1"/>
          <w:sz w:val="24"/>
          <w:szCs w:val="24"/>
        </w:rPr>
      </w:pPr>
    </w:p>
    <w:p w14:paraId="6C0B3A4E" w14:textId="77777777" w:rsidR="00F068A5" w:rsidRDefault="00F068A5" w:rsidP="00F068A5">
      <w:pPr>
        <w:spacing w:before="18" w:line="276" w:lineRule="auto"/>
        <w:rPr>
          <w:rFonts w:ascii="Arial" w:hAnsi="Arial" w:cs="Arial"/>
          <w:bCs/>
          <w:i/>
          <w:iCs/>
          <w:color w:val="000000" w:themeColor="text1"/>
          <w:sz w:val="24"/>
          <w:szCs w:val="24"/>
        </w:rPr>
      </w:pPr>
    </w:p>
    <w:p w14:paraId="7E2D244C" w14:textId="77777777" w:rsidR="00F068A5" w:rsidRDefault="00F068A5" w:rsidP="00F068A5">
      <w:pPr>
        <w:spacing w:before="18" w:line="276" w:lineRule="auto"/>
        <w:rPr>
          <w:rFonts w:ascii="Arial" w:hAnsi="Arial" w:cs="Arial"/>
          <w:bCs/>
          <w:i/>
          <w:iCs/>
          <w:color w:val="000000" w:themeColor="text1"/>
          <w:sz w:val="24"/>
          <w:szCs w:val="24"/>
        </w:rPr>
      </w:pPr>
    </w:p>
    <w:p w14:paraId="2167F26E" w14:textId="24D660F6" w:rsidR="00412679" w:rsidRPr="00F068A5" w:rsidRDefault="00F068A5" w:rsidP="00F068A5">
      <w:pPr>
        <w:spacing w:before="18" w:line="276" w:lineRule="auto"/>
        <w:rPr>
          <w:rFonts w:ascii="Arial" w:hAnsi="Arial" w:cs="Arial"/>
          <w:bCs/>
          <w:sz w:val="24"/>
          <w:szCs w:val="24"/>
        </w:rPr>
      </w:pPr>
      <w:r w:rsidRPr="00F068A5">
        <w:rPr>
          <w:rFonts w:ascii="Arial" w:hAnsi="Arial" w:cs="Arial"/>
          <w:bCs/>
          <w:i/>
          <w:iCs/>
          <w:color w:val="000000" w:themeColor="text1"/>
          <w:sz w:val="24"/>
          <w:szCs w:val="24"/>
        </w:rPr>
        <w:lastRenderedPageBreak/>
        <w:t>Transformations:</w:t>
      </w:r>
      <w:r w:rsidRPr="00F068A5">
        <w:rPr>
          <w:rFonts w:ascii="Arial" w:hAnsi="Arial" w:cs="Arial"/>
          <w:bCs/>
          <w:sz w:val="24"/>
          <w:szCs w:val="24"/>
        </w:rPr>
        <w:t xml:space="preserve"> </w:t>
      </w:r>
      <w:r w:rsidR="00412679" w:rsidRPr="00F068A5">
        <w:rPr>
          <w:rFonts w:ascii="Arial" w:hAnsi="Arial" w:cs="Arial"/>
          <w:sz w:val="24"/>
          <w:szCs w:val="24"/>
        </w:rPr>
        <w:t xml:space="preserve">We were trying to find every year population data, but we could find only partial population data. So, we decided to use 2010 population data for 50 states </w:t>
      </w:r>
    </w:p>
    <w:p w14:paraId="2E059790" w14:textId="6E4E3FD4" w:rsidR="00412679" w:rsidRPr="00F068A5" w:rsidRDefault="00412679" w:rsidP="00F068A5">
      <w:pPr>
        <w:spacing w:line="276" w:lineRule="auto"/>
        <w:rPr>
          <w:rFonts w:ascii="Arial" w:hAnsi="Arial" w:cs="Arial"/>
          <w:sz w:val="24"/>
          <w:szCs w:val="24"/>
        </w:rPr>
      </w:pPr>
      <w:r w:rsidRPr="00F068A5">
        <w:rPr>
          <w:rFonts w:ascii="Arial" w:hAnsi="Arial" w:cs="Arial"/>
          <w:sz w:val="24"/>
          <w:szCs w:val="24"/>
        </w:rPr>
        <w:t>(https://data.ers.usda.gov/reports.aspx?ID=17827&amp;AspxAutoDetectCookieSupport=1</w:t>
      </w:r>
    </w:p>
    <w:p w14:paraId="5983753A" w14:textId="2AFEC647" w:rsidR="00F068A5" w:rsidRPr="00F068A5" w:rsidRDefault="00412679" w:rsidP="00F068A5">
      <w:pPr>
        <w:spacing w:line="276" w:lineRule="auto"/>
        <w:rPr>
          <w:rFonts w:ascii="Arial" w:hAnsi="Arial" w:cs="Arial"/>
          <w:sz w:val="24"/>
          <w:szCs w:val="24"/>
        </w:rPr>
      </w:pPr>
      <w:r w:rsidRPr="00F068A5">
        <w:rPr>
          <w:rFonts w:ascii="Arial" w:hAnsi="Arial" w:cs="Arial"/>
          <w:sz w:val="24"/>
          <w:szCs w:val="24"/>
        </w:rPr>
        <w:t>) and apply to 2006-2015 US Vital Statistics data sets, because</w:t>
      </w:r>
      <w:r w:rsidR="00F068A5" w:rsidRPr="00F068A5">
        <w:rPr>
          <w:rFonts w:ascii="Arial" w:hAnsi="Arial" w:cs="Arial"/>
          <w:sz w:val="24"/>
          <w:szCs w:val="24"/>
        </w:rPr>
        <w:t xml:space="preserve"> </w:t>
      </w:r>
      <w:r w:rsidRPr="00F068A5">
        <w:rPr>
          <w:rFonts w:ascii="Arial" w:hAnsi="Arial" w:cs="Arial"/>
          <w:sz w:val="24"/>
          <w:szCs w:val="24"/>
        </w:rPr>
        <w:t>the population for the year 2010 will be the most relevant to this analysis as it is the closest to the years under consideration.</w:t>
      </w:r>
    </w:p>
    <w:p w14:paraId="03E09F87" w14:textId="77777777" w:rsidR="00F068A5" w:rsidRPr="00F068A5" w:rsidRDefault="00F068A5" w:rsidP="001F2B1B">
      <w:pPr>
        <w:spacing w:before="18" w:line="280" w:lineRule="exact"/>
        <w:rPr>
          <w:rFonts w:ascii="Arial" w:hAnsi="Arial" w:cs="Arial"/>
          <w:bCs/>
          <w:sz w:val="24"/>
          <w:szCs w:val="24"/>
        </w:rPr>
      </w:pPr>
    </w:p>
    <w:p w14:paraId="7C01515C" w14:textId="6590B126" w:rsidR="00CA055C" w:rsidRDefault="009B0DA2" w:rsidP="009B0DA2">
      <w:pPr>
        <w:spacing w:before="60" w:line="276" w:lineRule="auto"/>
        <w:rPr>
          <w:rFonts w:ascii="Arial" w:hAnsi="Arial" w:cs="Arial"/>
          <w:b/>
          <w:sz w:val="24"/>
          <w:szCs w:val="24"/>
        </w:rPr>
      </w:pPr>
      <w:r w:rsidRPr="009B0DA2">
        <w:rPr>
          <w:rFonts w:ascii="Arial" w:hAnsi="Arial" w:cs="Arial"/>
          <w:b/>
          <w:sz w:val="24"/>
          <w:szCs w:val="24"/>
        </w:rPr>
        <w:t>Analysis</w:t>
      </w:r>
      <w:r w:rsidR="00784817">
        <w:rPr>
          <w:rFonts w:ascii="Arial" w:hAnsi="Arial" w:cs="Arial"/>
          <w:b/>
          <w:sz w:val="24"/>
          <w:szCs w:val="24"/>
        </w:rPr>
        <w:t xml:space="preserve"> &amp; Interpretation:</w:t>
      </w:r>
    </w:p>
    <w:p w14:paraId="394D4B14" w14:textId="77777777" w:rsidR="004229BF" w:rsidRPr="009B0DA2" w:rsidRDefault="004229BF" w:rsidP="009B0DA2">
      <w:pPr>
        <w:spacing w:before="60" w:line="276" w:lineRule="auto"/>
        <w:rPr>
          <w:rFonts w:ascii="Arial" w:eastAsia="Arial" w:hAnsi="Arial" w:cs="Arial"/>
          <w:b/>
          <w:sz w:val="24"/>
          <w:szCs w:val="24"/>
        </w:rPr>
      </w:pPr>
    </w:p>
    <w:p w14:paraId="4B262B66" w14:textId="3B803B54" w:rsidR="009B0DA2" w:rsidRPr="00CA055C" w:rsidRDefault="009B0DA2" w:rsidP="009B0DA2">
      <w:pPr>
        <w:spacing w:before="16" w:line="276" w:lineRule="auto"/>
        <w:rPr>
          <w:rFonts w:ascii="Arial" w:hAnsi="Arial" w:cs="Arial"/>
          <w:b/>
          <w:bCs/>
          <w:sz w:val="22"/>
          <w:szCs w:val="22"/>
        </w:rPr>
      </w:pPr>
      <w:r w:rsidRPr="00CA055C">
        <w:rPr>
          <w:rFonts w:ascii="Arial" w:hAnsi="Arial" w:cs="Arial"/>
          <w:b/>
          <w:bCs/>
          <w:sz w:val="22"/>
          <w:szCs w:val="22"/>
        </w:rPr>
        <w:t>Florida (Jan 1</w:t>
      </w:r>
      <w:r w:rsidRPr="00CA055C">
        <w:rPr>
          <w:rFonts w:ascii="Arial" w:hAnsi="Arial" w:cs="Arial"/>
          <w:b/>
          <w:bCs/>
          <w:sz w:val="22"/>
          <w:szCs w:val="22"/>
          <w:vertAlign w:val="superscript"/>
        </w:rPr>
        <w:t>st</w:t>
      </w:r>
      <w:r w:rsidRPr="00CA055C">
        <w:rPr>
          <w:rFonts w:ascii="Arial" w:hAnsi="Arial" w:cs="Arial"/>
          <w:b/>
          <w:bCs/>
          <w:sz w:val="22"/>
          <w:szCs w:val="22"/>
        </w:rPr>
        <w:t>, 2010)</w:t>
      </w:r>
    </w:p>
    <w:p w14:paraId="68365498" w14:textId="2493AAA6" w:rsidR="009B0DA2" w:rsidRPr="00CA055C" w:rsidRDefault="00CA055C" w:rsidP="009B0DA2">
      <w:pPr>
        <w:spacing w:before="16" w:line="276" w:lineRule="auto"/>
        <w:rPr>
          <w:rFonts w:ascii="Arial" w:hAnsi="Arial" w:cs="Arial"/>
          <w:b/>
          <w:bCs/>
          <w:sz w:val="22"/>
          <w:szCs w:val="22"/>
        </w:rPr>
      </w:pPr>
      <w:r w:rsidRPr="00CA055C">
        <w:rPr>
          <w:rFonts w:ascii="Arial" w:hAnsi="Arial" w:cs="Arial"/>
          <w:b/>
          <w:bCs/>
          <w:sz w:val="22"/>
          <w:szCs w:val="22"/>
        </w:rPr>
        <w:t>Opioids Analysis:</w:t>
      </w:r>
    </w:p>
    <w:p w14:paraId="29E9C806" w14:textId="08AB683F" w:rsidR="009B0DA2" w:rsidRDefault="009B0DA2" w:rsidP="009B0DA2">
      <w:pPr>
        <w:spacing w:before="16" w:line="276" w:lineRule="auto"/>
        <w:rPr>
          <w:rFonts w:ascii="Arial" w:hAnsi="Arial" w:cs="Arial"/>
          <w:b/>
          <w:bCs/>
          <w:sz w:val="24"/>
          <w:szCs w:val="24"/>
        </w:rPr>
      </w:pPr>
    </w:p>
    <w:p w14:paraId="6A9FA15B" w14:textId="0E84441A" w:rsidR="009B0DA2" w:rsidRDefault="009B0DA2" w:rsidP="00784817">
      <w:pPr>
        <w:spacing w:before="16" w:line="276" w:lineRule="auto"/>
        <w:jc w:val="center"/>
        <w:rPr>
          <w:rFonts w:ascii="Arial" w:hAnsi="Arial" w:cs="Arial"/>
          <w:b/>
          <w:bCs/>
          <w:sz w:val="24"/>
          <w:szCs w:val="24"/>
        </w:rPr>
      </w:pPr>
      <w:r w:rsidRPr="009B0DA2">
        <w:rPr>
          <w:rFonts w:ascii="Arial" w:hAnsi="Arial" w:cs="Arial"/>
          <w:noProof/>
          <w:sz w:val="24"/>
          <w:szCs w:val="24"/>
        </w:rPr>
        <w:drawing>
          <wp:inline distT="0" distB="0" distL="0" distR="0" wp14:anchorId="6CCE1C4E" wp14:editId="60A92C43">
            <wp:extent cx="2651760" cy="2050790"/>
            <wp:effectExtent l="0" t="0" r="2540" b="0"/>
            <wp:docPr id="142" name="Picture 1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re_post_florida_opioid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1760" cy="2050790"/>
                    </a:xfrm>
                    <a:prstGeom prst="rect">
                      <a:avLst/>
                    </a:prstGeom>
                  </pic:spPr>
                </pic:pic>
              </a:graphicData>
            </a:graphic>
          </wp:inline>
        </w:drawing>
      </w:r>
      <w:r w:rsidR="00CA055C" w:rsidRPr="009B0DA2">
        <w:rPr>
          <w:rFonts w:ascii="Arial" w:hAnsi="Arial" w:cs="Arial"/>
          <w:noProof/>
          <w:sz w:val="24"/>
          <w:szCs w:val="24"/>
        </w:rPr>
        <w:drawing>
          <wp:inline distT="0" distB="0" distL="0" distR="0" wp14:anchorId="21EBD6D4" wp14:editId="5A455120">
            <wp:extent cx="3058795" cy="2054360"/>
            <wp:effectExtent l="0" t="0" r="1905" b="3175"/>
            <wp:docPr id="140" name="Picture 1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diff_in_diff_florida_opioi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682" cy="2060328"/>
                    </a:xfrm>
                    <a:prstGeom prst="rect">
                      <a:avLst/>
                    </a:prstGeom>
                  </pic:spPr>
                </pic:pic>
              </a:graphicData>
            </a:graphic>
          </wp:inline>
        </w:drawing>
      </w:r>
    </w:p>
    <w:p w14:paraId="768096E6" w14:textId="77777777" w:rsidR="00CA055C" w:rsidRDefault="00CA055C" w:rsidP="009B0DA2">
      <w:pPr>
        <w:spacing w:before="16" w:line="276" w:lineRule="auto"/>
        <w:rPr>
          <w:rFonts w:ascii="Arial" w:hAnsi="Arial" w:cs="Arial"/>
          <w:b/>
          <w:bCs/>
          <w:sz w:val="24"/>
          <w:szCs w:val="24"/>
        </w:rPr>
      </w:pPr>
    </w:p>
    <w:p w14:paraId="676D4BC3" w14:textId="26A47778" w:rsidR="00CA055C" w:rsidRPr="00784817" w:rsidRDefault="00784817" w:rsidP="009B0DA2">
      <w:pPr>
        <w:spacing w:before="16" w:line="276" w:lineRule="auto"/>
        <w:rPr>
          <w:rFonts w:ascii="Arial" w:hAnsi="Arial" w:cs="Arial"/>
          <w:sz w:val="24"/>
          <w:szCs w:val="24"/>
        </w:rPr>
      </w:pPr>
      <w:r w:rsidRPr="00784817">
        <w:rPr>
          <w:rFonts w:ascii="Arial" w:hAnsi="Arial" w:cs="Arial"/>
          <w:sz w:val="24"/>
          <w:szCs w:val="24"/>
        </w:rPr>
        <w:t>The pre-post analysis definitely suggests a sharp change in trend of opioid prescriptions</w:t>
      </w:r>
      <w:r>
        <w:rPr>
          <w:rFonts w:ascii="Arial" w:hAnsi="Arial" w:cs="Arial"/>
          <w:sz w:val="24"/>
          <w:szCs w:val="24"/>
        </w:rPr>
        <w:t xml:space="preserve"> after the policy change</w:t>
      </w:r>
      <w:r w:rsidRPr="00784817">
        <w:rPr>
          <w:rFonts w:ascii="Arial" w:hAnsi="Arial" w:cs="Arial"/>
          <w:sz w:val="24"/>
          <w:szCs w:val="24"/>
        </w:rPr>
        <w:t xml:space="preserve">. </w:t>
      </w:r>
      <w:r>
        <w:rPr>
          <w:rFonts w:ascii="Arial" w:hAnsi="Arial" w:cs="Arial"/>
          <w:sz w:val="24"/>
          <w:szCs w:val="24"/>
        </w:rPr>
        <w:t xml:space="preserve">The trend can definitely be attributed to policy change after looking at diff-in-diff plot as we see that the trend in opioid shipments for the non-policy states does not change over time. </w:t>
      </w:r>
    </w:p>
    <w:p w14:paraId="46E14F76" w14:textId="77777777" w:rsidR="00784817" w:rsidRDefault="00784817" w:rsidP="009B0DA2">
      <w:pPr>
        <w:spacing w:before="16" w:line="276" w:lineRule="auto"/>
        <w:rPr>
          <w:rFonts w:ascii="Arial" w:hAnsi="Arial" w:cs="Arial"/>
          <w:b/>
          <w:bCs/>
          <w:sz w:val="24"/>
          <w:szCs w:val="24"/>
        </w:rPr>
      </w:pPr>
    </w:p>
    <w:p w14:paraId="23943DC5" w14:textId="2495CCF6" w:rsidR="009B0DA2" w:rsidRPr="00CA055C" w:rsidRDefault="00CA055C" w:rsidP="009B0DA2">
      <w:pPr>
        <w:spacing w:before="16" w:line="276" w:lineRule="auto"/>
        <w:rPr>
          <w:rFonts w:ascii="Arial" w:hAnsi="Arial" w:cs="Arial"/>
          <w:b/>
          <w:bCs/>
          <w:sz w:val="22"/>
          <w:szCs w:val="22"/>
        </w:rPr>
      </w:pPr>
      <w:r w:rsidRPr="00CA055C">
        <w:rPr>
          <w:rFonts w:ascii="Arial" w:hAnsi="Arial" w:cs="Arial"/>
          <w:b/>
          <w:bCs/>
          <w:sz w:val="22"/>
          <w:szCs w:val="22"/>
        </w:rPr>
        <w:t>Mortality Analysis:</w:t>
      </w:r>
    </w:p>
    <w:p w14:paraId="471AEC66" w14:textId="629AD7E8" w:rsidR="009B0DA2" w:rsidRDefault="00CA055C" w:rsidP="00784817">
      <w:pPr>
        <w:spacing w:before="16" w:line="276" w:lineRule="auto"/>
        <w:jc w:val="center"/>
        <w:rPr>
          <w:rFonts w:ascii="Arial" w:hAnsi="Arial" w:cs="Arial"/>
          <w:b/>
          <w:bCs/>
          <w:sz w:val="24"/>
          <w:szCs w:val="24"/>
        </w:rPr>
      </w:pPr>
      <w:r>
        <w:rPr>
          <w:rFonts w:ascii="Arial" w:hAnsi="Arial" w:cs="Arial"/>
          <w:b/>
          <w:bCs/>
          <w:noProof/>
          <w:sz w:val="24"/>
          <w:szCs w:val="24"/>
        </w:rPr>
        <w:drawing>
          <wp:inline distT="0" distB="0" distL="0" distR="0" wp14:anchorId="38E9A42C" wp14:editId="6A9D4F7D">
            <wp:extent cx="2720895" cy="2083258"/>
            <wp:effectExtent l="0" t="0" r="0" b="0"/>
            <wp:docPr id="146" name="Picture 1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repost_F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4438" cy="2101284"/>
                    </a:xfrm>
                    <a:prstGeom prst="rect">
                      <a:avLst/>
                    </a:prstGeom>
                  </pic:spPr>
                </pic:pic>
              </a:graphicData>
            </a:graphic>
          </wp:inline>
        </w:drawing>
      </w:r>
      <w:r w:rsidRPr="009B0DA2">
        <w:rPr>
          <w:rFonts w:ascii="Arial" w:hAnsi="Arial" w:cs="Arial"/>
          <w:noProof/>
          <w:sz w:val="24"/>
          <w:szCs w:val="24"/>
        </w:rPr>
        <w:drawing>
          <wp:inline distT="0" distB="0" distL="0" distR="0" wp14:anchorId="464E8622" wp14:editId="23042D87">
            <wp:extent cx="3079115" cy="2083766"/>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562" cy="2098280"/>
                    </a:xfrm>
                    <a:prstGeom prst="rect">
                      <a:avLst/>
                    </a:prstGeom>
                  </pic:spPr>
                </pic:pic>
              </a:graphicData>
            </a:graphic>
          </wp:inline>
        </w:drawing>
      </w:r>
    </w:p>
    <w:p w14:paraId="0A5D8E4B" w14:textId="42289BDA" w:rsidR="004229BF" w:rsidRDefault="004229BF" w:rsidP="009B0DA2">
      <w:pPr>
        <w:spacing w:before="16" w:line="276" w:lineRule="auto"/>
        <w:rPr>
          <w:rFonts w:ascii="Arial" w:hAnsi="Arial" w:cs="Arial"/>
          <w:b/>
          <w:bCs/>
          <w:sz w:val="24"/>
          <w:szCs w:val="24"/>
        </w:rPr>
      </w:pPr>
    </w:p>
    <w:p w14:paraId="0098D860" w14:textId="77777777" w:rsidR="00F068A5" w:rsidRDefault="00F068A5" w:rsidP="0079240A">
      <w:pPr>
        <w:spacing w:line="276" w:lineRule="auto"/>
        <w:rPr>
          <w:rFonts w:ascii="Arial" w:hAnsi="Arial" w:cs="Arial"/>
          <w:sz w:val="24"/>
          <w:szCs w:val="24"/>
        </w:rPr>
      </w:pPr>
    </w:p>
    <w:p w14:paraId="72415243" w14:textId="77777777" w:rsidR="00F068A5" w:rsidRDefault="00F068A5" w:rsidP="0079240A">
      <w:pPr>
        <w:spacing w:line="276" w:lineRule="auto"/>
        <w:rPr>
          <w:rFonts w:ascii="Arial" w:hAnsi="Arial" w:cs="Arial"/>
          <w:sz w:val="24"/>
          <w:szCs w:val="24"/>
        </w:rPr>
      </w:pPr>
    </w:p>
    <w:p w14:paraId="4376AB96" w14:textId="02B198D8" w:rsidR="002B0D5D" w:rsidRPr="009B0DA2" w:rsidRDefault="00784817" w:rsidP="0079240A">
      <w:pPr>
        <w:spacing w:line="276" w:lineRule="auto"/>
        <w:rPr>
          <w:rFonts w:ascii="Arial" w:hAnsi="Arial" w:cs="Arial"/>
          <w:sz w:val="24"/>
          <w:szCs w:val="24"/>
        </w:rPr>
      </w:pPr>
      <w:r>
        <w:rPr>
          <w:rFonts w:ascii="Arial" w:hAnsi="Arial" w:cs="Arial"/>
          <w:sz w:val="24"/>
          <w:szCs w:val="24"/>
        </w:rPr>
        <w:lastRenderedPageBreak/>
        <w:t>From the pre-post analysis, the death rate due to</w:t>
      </w:r>
      <w:r w:rsidR="002B0D5D" w:rsidRPr="009B0DA2">
        <w:rPr>
          <w:rFonts w:ascii="Arial" w:hAnsi="Arial" w:cs="Arial"/>
          <w:sz w:val="24"/>
          <w:szCs w:val="24"/>
        </w:rPr>
        <w:t xml:space="preserve"> drug overdose </w:t>
      </w:r>
      <w:r>
        <w:rPr>
          <w:rFonts w:ascii="Arial" w:hAnsi="Arial" w:cs="Arial"/>
          <w:sz w:val="24"/>
          <w:szCs w:val="24"/>
        </w:rPr>
        <w:t>was</w:t>
      </w:r>
      <w:r w:rsidR="002B0D5D" w:rsidRPr="009B0DA2">
        <w:rPr>
          <w:rFonts w:ascii="Arial" w:hAnsi="Arial" w:cs="Arial"/>
          <w:sz w:val="24"/>
          <w:szCs w:val="24"/>
        </w:rPr>
        <w:t xml:space="preserve"> increasing </w:t>
      </w:r>
      <w:r>
        <w:rPr>
          <w:rFonts w:ascii="Arial" w:hAnsi="Arial" w:cs="Arial"/>
          <w:sz w:val="24"/>
          <w:szCs w:val="24"/>
        </w:rPr>
        <w:t xml:space="preserve">steadily </w:t>
      </w:r>
      <w:r w:rsidR="002B0D5D" w:rsidRPr="009B0DA2">
        <w:rPr>
          <w:rFonts w:ascii="Arial" w:hAnsi="Arial" w:cs="Arial"/>
          <w:sz w:val="24"/>
          <w:szCs w:val="24"/>
        </w:rPr>
        <w:t xml:space="preserve">before the policy </w:t>
      </w:r>
      <w:r>
        <w:rPr>
          <w:rFonts w:ascii="Arial" w:hAnsi="Arial" w:cs="Arial"/>
          <w:sz w:val="24"/>
          <w:szCs w:val="24"/>
        </w:rPr>
        <w:t xml:space="preserve">change </w:t>
      </w:r>
      <w:r w:rsidR="002B0D5D" w:rsidRPr="009B0DA2">
        <w:rPr>
          <w:rFonts w:ascii="Arial" w:hAnsi="Arial" w:cs="Arial"/>
          <w:sz w:val="24"/>
          <w:szCs w:val="24"/>
        </w:rPr>
        <w:t>went into effect in 2010</w:t>
      </w:r>
      <w:r>
        <w:rPr>
          <w:rFonts w:ascii="Arial" w:hAnsi="Arial" w:cs="Arial"/>
          <w:sz w:val="24"/>
          <w:szCs w:val="24"/>
        </w:rPr>
        <w:t xml:space="preserve">. Since then, the death rate has been a slightly decreasing trend. The diff-in-diff </w:t>
      </w:r>
      <w:r w:rsidR="002B0D5D" w:rsidRPr="009B0DA2">
        <w:rPr>
          <w:rFonts w:ascii="Arial" w:hAnsi="Arial" w:cs="Arial"/>
          <w:sz w:val="24"/>
          <w:szCs w:val="24"/>
        </w:rPr>
        <w:t xml:space="preserve">analysis </w:t>
      </w:r>
      <w:r>
        <w:rPr>
          <w:rFonts w:ascii="Arial" w:hAnsi="Arial" w:cs="Arial"/>
          <w:sz w:val="24"/>
          <w:szCs w:val="24"/>
        </w:rPr>
        <w:t xml:space="preserve">helps in attributing the </w:t>
      </w:r>
      <w:r w:rsidR="0079240A">
        <w:rPr>
          <w:rFonts w:ascii="Arial" w:hAnsi="Arial" w:cs="Arial"/>
          <w:sz w:val="24"/>
          <w:szCs w:val="24"/>
        </w:rPr>
        <w:t>change in trend to the policy change</w:t>
      </w:r>
      <w:r w:rsidR="002B0D5D" w:rsidRPr="009B0DA2">
        <w:rPr>
          <w:rFonts w:ascii="Arial" w:hAnsi="Arial" w:cs="Arial"/>
          <w:sz w:val="24"/>
          <w:szCs w:val="24"/>
        </w:rPr>
        <w:t xml:space="preserve"> </w:t>
      </w:r>
    </w:p>
    <w:p w14:paraId="4B2856B7" w14:textId="77777777" w:rsidR="00F068A5" w:rsidRPr="004229BF" w:rsidRDefault="00F068A5" w:rsidP="009B0DA2">
      <w:pPr>
        <w:spacing w:before="16" w:line="276" w:lineRule="auto"/>
        <w:rPr>
          <w:rFonts w:ascii="Arial" w:hAnsi="Arial" w:cs="Arial"/>
          <w:b/>
          <w:bCs/>
          <w:sz w:val="24"/>
          <w:szCs w:val="24"/>
        </w:rPr>
      </w:pPr>
    </w:p>
    <w:p w14:paraId="714BB611" w14:textId="0BC890D0" w:rsidR="00CA055C" w:rsidRPr="00CA055C" w:rsidRDefault="00CA055C" w:rsidP="00CA055C">
      <w:pPr>
        <w:spacing w:before="16" w:line="276" w:lineRule="auto"/>
        <w:rPr>
          <w:rFonts w:ascii="Arial" w:hAnsi="Arial" w:cs="Arial"/>
          <w:b/>
          <w:bCs/>
          <w:sz w:val="22"/>
          <w:szCs w:val="22"/>
        </w:rPr>
      </w:pPr>
      <w:r>
        <w:rPr>
          <w:rFonts w:ascii="Arial" w:hAnsi="Arial" w:cs="Arial"/>
          <w:b/>
          <w:bCs/>
          <w:sz w:val="22"/>
          <w:szCs w:val="22"/>
        </w:rPr>
        <w:t>Texas</w:t>
      </w:r>
      <w:r w:rsidRPr="00CA055C">
        <w:rPr>
          <w:rFonts w:ascii="Arial" w:hAnsi="Arial" w:cs="Arial"/>
          <w:b/>
          <w:bCs/>
          <w:sz w:val="22"/>
          <w:szCs w:val="22"/>
        </w:rPr>
        <w:t xml:space="preserve"> (Jan 1</w:t>
      </w:r>
      <w:r w:rsidRPr="00CA055C">
        <w:rPr>
          <w:rFonts w:ascii="Arial" w:hAnsi="Arial" w:cs="Arial"/>
          <w:b/>
          <w:bCs/>
          <w:sz w:val="22"/>
          <w:szCs w:val="22"/>
          <w:vertAlign w:val="superscript"/>
        </w:rPr>
        <w:t>st</w:t>
      </w:r>
      <w:r w:rsidRPr="00CA055C">
        <w:rPr>
          <w:rFonts w:ascii="Arial" w:hAnsi="Arial" w:cs="Arial"/>
          <w:b/>
          <w:bCs/>
          <w:sz w:val="22"/>
          <w:szCs w:val="22"/>
        </w:rPr>
        <w:t>, 20</w:t>
      </w:r>
      <w:r>
        <w:rPr>
          <w:rFonts w:ascii="Arial" w:hAnsi="Arial" w:cs="Arial"/>
          <w:b/>
          <w:bCs/>
          <w:sz w:val="22"/>
          <w:szCs w:val="22"/>
        </w:rPr>
        <w:t>07</w:t>
      </w:r>
      <w:r w:rsidRPr="00CA055C">
        <w:rPr>
          <w:rFonts w:ascii="Arial" w:hAnsi="Arial" w:cs="Arial"/>
          <w:b/>
          <w:bCs/>
          <w:sz w:val="22"/>
          <w:szCs w:val="22"/>
        </w:rPr>
        <w:t>)</w:t>
      </w:r>
    </w:p>
    <w:p w14:paraId="00949002" w14:textId="1F140BDD" w:rsidR="00CA055C" w:rsidRDefault="00CA055C" w:rsidP="00CA055C">
      <w:pPr>
        <w:spacing w:before="16" w:line="276" w:lineRule="auto"/>
        <w:rPr>
          <w:rFonts w:ascii="Arial" w:hAnsi="Arial" w:cs="Arial"/>
          <w:b/>
          <w:bCs/>
          <w:sz w:val="22"/>
          <w:szCs w:val="22"/>
        </w:rPr>
      </w:pPr>
      <w:r w:rsidRPr="00CA055C">
        <w:rPr>
          <w:rFonts w:ascii="Arial" w:hAnsi="Arial" w:cs="Arial"/>
          <w:b/>
          <w:bCs/>
          <w:sz w:val="22"/>
          <w:szCs w:val="22"/>
        </w:rPr>
        <w:t>Opioids Analysis:</w:t>
      </w:r>
    </w:p>
    <w:p w14:paraId="5F17E776" w14:textId="77777777" w:rsidR="00F068A5" w:rsidRPr="00CA055C" w:rsidRDefault="00F068A5" w:rsidP="00CA055C">
      <w:pPr>
        <w:spacing w:before="16" w:line="276" w:lineRule="auto"/>
        <w:rPr>
          <w:rFonts w:ascii="Arial" w:hAnsi="Arial" w:cs="Arial"/>
          <w:b/>
          <w:bCs/>
          <w:sz w:val="22"/>
          <w:szCs w:val="22"/>
        </w:rPr>
      </w:pPr>
    </w:p>
    <w:p w14:paraId="078668E4" w14:textId="1B4BC407" w:rsidR="009B0DA2" w:rsidRDefault="009B0DA2" w:rsidP="009B0DA2">
      <w:pPr>
        <w:spacing w:before="16" w:line="276" w:lineRule="auto"/>
        <w:rPr>
          <w:rFonts w:ascii="Arial" w:hAnsi="Arial" w:cs="Arial"/>
          <w:sz w:val="24"/>
          <w:szCs w:val="24"/>
        </w:rPr>
      </w:pPr>
    </w:p>
    <w:p w14:paraId="23CD3E80" w14:textId="6959C183" w:rsidR="009B0DA2" w:rsidRDefault="00CA055C" w:rsidP="00784817">
      <w:pPr>
        <w:spacing w:before="16" w:line="276" w:lineRule="auto"/>
        <w:jc w:val="center"/>
        <w:rPr>
          <w:rFonts w:ascii="Arial" w:hAnsi="Arial" w:cs="Arial"/>
          <w:sz w:val="24"/>
          <w:szCs w:val="24"/>
        </w:rPr>
      </w:pPr>
      <w:r w:rsidRPr="009B0DA2">
        <w:rPr>
          <w:rFonts w:ascii="Arial" w:hAnsi="Arial" w:cs="Arial"/>
          <w:noProof/>
          <w:sz w:val="24"/>
          <w:szCs w:val="24"/>
        </w:rPr>
        <w:drawing>
          <wp:inline distT="0" distB="0" distL="0" distR="0" wp14:anchorId="519FA2D7" wp14:editId="42766972">
            <wp:extent cx="2651760" cy="2052809"/>
            <wp:effectExtent l="0" t="0" r="2540" b="5080"/>
            <wp:docPr id="143" name="Picture 14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re_post_texas_opioi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1760" cy="2052809"/>
                    </a:xfrm>
                    <a:prstGeom prst="rect">
                      <a:avLst/>
                    </a:prstGeom>
                  </pic:spPr>
                </pic:pic>
              </a:graphicData>
            </a:graphic>
          </wp:inline>
        </w:drawing>
      </w:r>
      <w:r w:rsidRPr="009B0DA2">
        <w:rPr>
          <w:rFonts w:ascii="Arial" w:hAnsi="Arial" w:cs="Arial"/>
          <w:noProof/>
          <w:sz w:val="24"/>
          <w:szCs w:val="24"/>
        </w:rPr>
        <w:drawing>
          <wp:inline distT="0" distB="0" distL="0" distR="0" wp14:anchorId="0D5E153A" wp14:editId="1AA0E88B">
            <wp:extent cx="3053080" cy="2051948"/>
            <wp:effectExtent l="0" t="0" r="0" b="5715"/>
            <wp:docPr id="141" name="Picture 14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diff_in_diff_texas_opioi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8694" cy="2062442"/>
                    </a:xfrm>
                    <a:prstGeom prst="rect">
                      <a:avLst/>
                    </a:prstGeom>
                  </pic:spPr>
                </pic:pic>
              </a:graphicData>
            </a:graphic>
          </wp:inline>
        </w:drawing>
      </w:r>
    </w:p>
    <w:p w14:paraId="168BAE52" w14:textId="07AB4DCB" w:rsidR="009B0DA2" w:rsidRDefault="009B0DA2" w:rsidP="00784817">
      <w:pPr>
        <w:spacing w:before="16" w:line="276" w:lineRule="auto"/>
        <w:jc w:val="center"/>
        <w:rPr>
          <w:rFonts w:ascii="Arial" w:hAnsi="Arial" w:cs="Arial"/>
          <w:sz w:val="24"/>
          <w:szCs w:val="24"/>
        </w:rPr>
      </w:pPr>
    </w:p>
    <w:p w14:paraId="63E947D3" w14:textId="3118202B" w:rsidR="003A4F84" w:rsidRDefault="003A4F84" w:rsidP="009B0DA2">
      <w:pPr>
        <w:spacing w:before="16" w:line="276" w:lineRule="auto"/>
        <w:rPr>
          <w:rFonts w:ascii="Arial" w:hAnsi="Arial" w:cs="Arial"/>
          <w:sz w:val="24"/>
          <w:szCs w:val="24"/>
        </w:rPr>
      </w:pPr>
      <w:r>
        <w:rPr>
          <w:rFonts w:ascii="Arial" w:hAnsi="Arial" w:cs="Arial"/>
          <w:sz w:val="24"/>
          <w:szCs w:val="24"/>
        </w:rPr>
        <w:t>At the first glance, t</w:t>
      </w:r>
      <w:r w:rsidR="0079240A">
        <w:rPr>
          <w:rFonts w:ascii="Arial" w:hAnsi="Arial" w:cs="Arial"/>
          <w:sz w:val="24"/>
          <w:szCs w:val="24"/>
        </w:rPr>
        <w:t xml:space="preserve">hough the pre-post analysis suggests that </w:t>
      </w:r>
      <w:r>
        <w:rPr>
          <w:rFonts w:ascii="Arial" w:hAnsi="Arial" w:cs="Arial"/>
          <w:sz w:val="24"/>
          <w:szCs w:val="24"/>
        </w:rPr>
        <w:t xml:space="preserve">the rate of increase in opioid shipments decreased after the policy change, the diff-in-diff analysis seems to suggest a similar decrease across the non-policy states as well, which seemed strange. </w:t>
      </w:r>
    </w:p>
    <w:p w14:paraId="0596D104" w14:textId="05DD2D32" w:rsidR="003A4F84" w:rsidRDefault="003A4F84" w:rsidP="009B0DA2">
      <w:pPr>
        <w:spacing w:before="16" w:line="276" w:lineRule="auto"/>
        <w:rPr>
          <w:rFonts w:ascii="Arial" w:hAnsi="Arial" w:cs="Arial"/>
          <w:sz w:val="24"/>
          <w:szCs w:val="24"/>
        </w:rPr>
      </w:pPr>
    </w:p>
    <w:p w14:paraId="205ED19F" w14:textId="4EFDB7BB" w:rsidR="00F068A5" w:rsidRDefault="003A4F84" w:rsidP="009B0DA2">
      <w:pPr>
        <w:spacing w:before="16" w:line="276" w:lineRule="auto"/>
        <w:rPr>
          <w:rFonts w:ascii="Arial" w:hAnsi="Arial" w:cs="Arial"/>
          <w:sz w:val="24"/>
          <w:szCs w:val="24"/>
        </w:rPr>
      </w:pPr>
      <w:r>
        <w:rPr>
          <w:rFonts w:ascii="Arial" w:hAnsi="Arial" w:cs="Arial"/>
          <w:sz w:val="24"/>
          <w:szCs w:val="24"/>
        </w:rPr>
        <w:t>Upon digging deeper, we saw that the ‘</w:t>
      </w:r>
      <w:r w:rsidR="00FE73C8">
        <w:rPr>
          <w:rFonts w:ascii="Arial" w:hAnsi="Arial" w:cs="Arial"/>
          <w:sz w:val="24"/>
          <w:szCs w:val="24"/>
        </w:rPr>
        <w:t>pre’ part</w:t>
      </w:r>
      <w:r>
        <w:rPr>
          <w:rFonts w:ascii="Arial" w:hAnsi="Arial" w:cs="Arial"/>
          <w:sz w:val="24"/>
          <w:szCs w:val="24"/>
        </w:rPr>
        <w:t xml:space="preserve"> of both the plots did not have enough data to show the trend across years, rather, it was capturing a yearly trend. This was conclusive when we plotted the yearly trend across several years, as can be seen from below. </w:t>
      </w:r>
    </w:p>
    <w:p w14:paraId="3DF5F064" w14:textId="77777777" w:rsidR="00F068A5" w:rsidRDefault="00F068A5" w:rsidP="009B0DA2">
      <w:pPr>
        <w:spacing w:before="16" w:line="276" w:lineRule="auto"/>
        <w:rPr>
          <w:rFonts w:ascii="Arial" w:hAnsi="Arial" w:cs="Arial"/>
          <w:sz w:val="24"/>
          <w:szCs w:val="24"/>
        </w:rPr>
      </w:pPr>
    </w:p>
    <w:p w14:paraId="5EF91391" w14:textId="357C7979" w:rsidR="00CA055C" w:rsidRDefault="00CA055C" w:rsidP="00CA055C">
      <w:pPr>
        <w:spacing w:before="16" w:line="276" w:lineRule="auto"/>
        <w:jc w:val="center"/>
        <w:rPr>
          <w:rFonts w:ascii="Arial" w:hAnsi="Arial" w:cs="Arial"/>
          <w:sz w:val="24"/>
          <w:szCs w:val="24"/>
        </w:rPr>
      </w:pPr>
      <w:r w:rsidRPr="009B0DA2">
        <w:rPr>
          <w:rFonts w:ascii="Arial" w:hAnsi="Arial" w:cs="Arial"/>
          <w:noProof/>
          <w:sz w:val="24"/>
          <w:szCs w:val="24"/>
        </w:rPr>
        <w:drawing>
          <wp:inline distT="0" distB="0" distL="0" distR="0" wp14:anchorId="77117EB6" wp14:editId="2B8D5B11">
            <wp:extent cx="3017520" cy="2282491"/>
            <wp:effectExtent l="0" t="0" r="5080" b="3810"/>
            <wp:docPr id="144" name="Picture 14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yearly_trends_tex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2282491"/>
                    </a:xfrm>
                    <a:prstGeom prst="rect">
                      <a:avLst/>
                    </a:prstGeom>
                  </pic:spPr>
                </pic:pic>
              </a:graphicData>
            </a:graphic>
          </wp:inline>
        </w:drawing>
      </w:r>
    </w:p>
    <w:p w14:paraId="034CF60C" w14:textId="2CBEA826" w:rsidR="00CA055C" w:rsidRDefault="00CA055C" w:rsidP="00CA055C">
      <w:pPr>
        <w:spacing w:before="16" w:line="276" w:lineRule="auto"/>
        <w:jc w:val="center"/>
        <w:rPr>
          <w:rFonts w:ascii="Arial" w:hAnsi="Arial" w:cs="Arial"/>
          <w:sz w:val="24"/>
          <w:szCs w:val="24"/>
        </w:rPr>
      </w:pPr>
    </w:p>
    <w:p w14:paraId="29457EE4" w14:textId="04E924D0" w:rsidR="003A4F84" w:rsidRDefault="003A4F84" w:rsidP="00FE73C8">
      <w:pPr>
        <w:spacing w:before="16" w:line="276" w:lineRule="auto"/>
        <w:rPr>
          <w:rFonts w:ascii="Arial" w:hAnsi="Arial" w:cs="Arial"/>
          <w:sz w:val="24"/>
          <w:szCs w:val="24"/>
        </w:rPr>
      </w:pPr>
      <w:r>
        <w:rPr>
          <w:rFonts w:ascii="Arial" w:hAnsi="Arial" w:cs="Arial"/>
          <w:sz w:val="24"/>
          <w:szCs w:val="24"/>
        </w:rPr>
        <w:lastRenderedPageBreak/>
        <w:t>Since, comparing a yearly trend in ‘pre’ with a year over year trend in ‘post’ time period wasn’t the correct way of analysis, we resorted to taking the average of the ‘</w:t>
      </w:r>
      <w:proofErr w:type="spellStart"/>
      <w:r>
        <w:rPr>
          <w:rFonts w:ascii="Arial" w:hAnsi="Arial" w:cs="Arial"/>
          <w:sz w:val="24"/>
          <w:szCs w:val="24"/>
        </w:rPr>
        <w:t>opioids_per_capita</w:t>
      </w:r>
      <w:proofErr w:type="spellEnd"/>
      <w:r>
        <w:rPr>
          <w:rFonts w:ascii="Arial" w:hAnsi="Arial" w:cs="Arial"/>
          <w:sz w:val="24"/>
          <w:szCs w:val="24"/>
        </w:rPr>
        <w:t>’ across counties at a month level separately for the ‘pre-</w:t>
      </w:r>
      <w:proofErr w:type="spellStart"/>
      <w:r>
        <w:rPr>
          <w:rFonts w:ascii="Arial" w:hAnsi="Arial" w:cs="Arial"/>
          <w:sz w:val="24"/>
          <w:szCs w:val="24"/>
        </w:rPr>
        <w:t>post’periods</w:t>
      </w:r>
      <w:proofErr w:type="spellEnd"/>
      <w:r>
        <w:rPr>
          <w:rFonts w:ascii="Arial" w:hAnsi="Arial" w:cs="Arial"/>
          <w:sz w:val="24"/>
          <w:szCs w:val="24"/>
        </w:rPr>
        <w:t xml:space="preserve"> and viewed it across ‘</w:t>
      </w:r>
      <w:proofErr w:type="spellStart"/>
      <w:r>
        <w:rPr>
          <w:rFonts w:ascii="Arial" w:hAnsi="Arial" w:cs="Arial"/>
          <w:sz w:val="24"/>
          <w:szCs w:val="24"/>
        </w:rPr>
        <w:t>policy_state</w:t>
      </w:r>
      <w:proofErr w:type="spellEnd"/>
      <w:r>
        <w:rPr>
          <w:rFonts w:ascii="Arial" w:hAnsi="Arial" w:cs="Arial"/>
          <w:sz w:val="24"/>
          <w:szCs w:val="24"/>
        </w:rPr>
        <w:t>’. The results are mentioned below:</w:t>
      </w:r>
    </w:p>
    <w:p w14:paraId="0838ED95" w14:textId="767E54ED" w:rsidR="003A4F84" w:rsidRDefault="003A4F84" w:rsidP="003A4F84">
      <w:pPr>
        <w:spacing w:before="16" w:line="276" w:lineRule="auto"/>
        <w:rPr>
          <w:rFonts w:ascii="Arial" w:hAnsi="Arial" w:cs="Arial"/>
          <w:sz w:val="24"/>
          <w:szCs w:val="24"/>
        </w:rPr>
      </w:pPr>
    </w:p>
    <w:p w14:paraId="678CF9B0" w14:textId="77777777" w:rsidR="00F068A5" w:rsidRDefault="00F068A5" w:rsidP="003A4F84">
      <w:pPr>
        <w:spacing w:before="16" w:line="276" w:lineRule="auto"/>
        <w:rPr>
          <w:rFonts w:ascii="Arial" w:hAnsi="Arial" w:cs="Arial"/>
          <w:sz w:val="24"/>
          <w:szCs w:val="24"/>
        </w:rPr>
      </w:pPr>
    </w:p>
    <w:tbl>
      <w:tblPr>
        <w:tblW w:w="3955" w:type="dxa"/>
        <w:jc w:val="center"/>
        <w:tblLook w:val="04A0" w:firstRow="1" w:lastRow="0" w:firstColumn="1" w:lastColumn="0" w:noHBand="0" w:noVBand="1"/>
      </w:tblPr>
      <w:tblGrid>
        <w:gridCol w:w="1165"/>
        <w:gridCol w:w="1170"/>
        <w:gridCol w:w="1170"/>
        <w:gridCol w:w="727"/>
      </w:tblGrid>
      <w:tr w:rsidR="00CA055C" w:rsidRPr="0018469C" w14:paraId="18449AD5" w14:textId="77777777" w:rsidTr="003C2187">
        <w:trPr>
          <w:trHeight w:val="212"/>
          <w:jc w:val="center"/>
        </w:trPr>
        <w:tc>
          <w:tcPr>
            <w:tcW w:w="350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709B83" w14:textId="77777777" w:rsidR="00CA055C" w:rsidRPr="0018469C" w:rsidRDefault="00CA055C"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Texas</w:t>
            </w:r>
          </w:p>
        </w:tc>
        <w:tc>
          <w:tcPr>
            <w:tcW w:w="450" w:type="dxa"/>
            <w:tcBorders>
              <w:top w:val="nil"/>
              <w:left w:val="nil"/>
              <w:bottom w:val="nil"/>
              <w:right w:val="nil"/>
            </w:tcBorders>
            <w:shd w:val="clear" w:color="auto" w:fill="auto"/>
            <w:noWrap/>
            <w:vAlign w:val="center"/>
            <w:hideMark/>
          </w:tcPr>
          <w:p w14:paraId="3F0AB167" w14:textId="77777777" w:rsidR="00CA055C" w:rsidRPr="0018469C" w:rsidRDefault="00CA055C" w:rsidP="003C2187">
            <w:pPr>
              <w:spacing w:line="276" w:lineRule="auto"/>
              <w:jc w:val="center"/>
              <w:rPr>
                <w:rFonts w:ascii="Arial" w:hAnsi="Arial" w:cs="Arial"/>
                <w:b/>
                <w:bCs/>
                <w:color w:val="000000"/>
                <w:sz w:val="18"/>
                <w:szCs w:val="18"/>
              </w:rPr>
            </w:pPr>
          </w:p>
        </w:tc>
      </w:tr>
      <w:tr w:rsidR="00CA055C" w:rsidRPr="0018469C" w14:paraId="365ADA17" w14:textId="77777777" w:rsidTr="003C2187">
        <w:trPr>
          <w:trHeight w:val="140"/>
          <w:jc w:val="center"/>
        </w:trPr>
        <w:tc>
          <w:tcPr>
            <w:tcW w:w="116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F48BC3" w14:textId="77777777" w:rsidR="00CA055C" w:rsidRPr="0018469C" w:rsidRDefault="00CA055C" w:rsidP="003C2187">
            <w:pPr>
              <w:spacing w:line="276" w:lineRule="auto"/>
              <w:jc w:val="center"/>
              <w:rPr>
                <w:rFonts w:ascii="Arial" w:hAnsi="Arial" w:cs="Arial"/>
                <w:b/>
                <w:bCs/>
                <w:color w:val="000000"/>
                <w:sz w:val="18"/>
                <w:szCs w:val="18"/>
              </w:rPr>
            </w:pPr>
            <w:proofErr w:type="spellStart"/>
            <w:r w:rsidRPr="0018469C">
              <w:rPr>
                <w:rFonts w:ascii="Arial" w:hAnsi="Arial" w:cs="Arial"/>
                <w:b/>
                <w:bCs/>
                <w:color w:val="000000"/>
                <w:sz w:val="18"/>
                <w:szCs w:val="18"/>
              </w:rPr>
              <w:t>pre_post</w:t>
            </w:r>
            <w:proofErr w:type="spellEnd"/>
          </w:p>
        </w:tc>
        <w:tc>
          <w:tcPr>
            <w:tcW w:w="23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2A27C07" w14:textId="77777777" w:rsidR="00CA055C" w:rsidRPr="0018469C" w:rsidRDefault="00CA055C" w:rsidP="003C2187">
            <w:pPr>
              <w:spacing w:line="276" w:lineRule="auto"/>
              <w:jc w:val="center"/>
              <w:rPr>
                <w:rFonts w:ascii="Arial" w:hAnsi="Arial" w:cs="Arial"/>
                <w:b/>
                <w:bCs/>
                <w:color w:val="000000"/>
                <w:sz w:val="18"/>
                <w:szCs w:val="18"/>
              </w:rPr>
            </w:pPr>
            <w:proofErr w:type="spellStart"/>
            <w:r w:rsidRPr="0018469C">
              <w:rPr>
                <w:rFonts w:ascii="Arial" w:hAnsi="Arial" w:cs="Arial"/>
                <w:b/>
                <w:bCs/>
                <w:color w:val="000000"/>
                <w:sz w:val="18"/>
                <w:szCs w:val="18"/>
              </w:rPr>
              <w:t>policy_state</w:t>
            </w:r>
            <w:proofErr w:type="spellEnd"/>
          </w:p>
        </w:tc>
        <w:tc>
          <w:tcPr>
            <w:tcW w:w="450" w:type="dxa"/>
            <w:tcBorders>
              <w:top w:val="nil"/>
              <w:left w:val="nil"/>
              <w:bottom w:val="nil"/>
              <w:right w:val="nil"/>
            </w:tcBorders>
            <w:shd w:val="clear" w:color="auto" w:fill="auto"/>
            <w:noWrap/>
            <w:vAlign w:val="center"/>
            <w:hideMark/>
          </w:tcPr>
          <w:p w14:paraId="1E7CD743" w14:textId="77777777" w:rsidR="00CA055C" w:rsidRPr="0018469C" w:rsidRDefault="00CA055C" w:rsidP="003C2187">
            <w:pPr>
              <w:spacing w:line="276" w:lineRule="auto"/>
              <w:jc w:val="center"/>
              <w:rPr>
                <w:rFonts w:ascii="Arial" w:hAnsi="Arial" w:cs="Arial"/>
                <w:b/>
                <w:bCs/>
                <w:color w:val="000000"/>
                <w:sz w:val="18"/>
                <w:szCs w:val="18"/>
              </w:rPr>
            </w:pPr>
          </w:p>
        </w:tc>
      </w:tr>
      <w:tr w:rsidR="00CA055C" w:rsidRPr="0018469C" w14:paraId="24889BE8" w14:textId="77777777" w:rsidTr="003C2187">
        <w:trPr>
          <w:trHeight w:val="77"/>
          <w:jc w:val="center"/>
        </w:trPr>
        <w:tc>
          <w:tcPr>
            <w:tcW w:w="1165" w:type="dxa"/>
            <w:vMerge/>
            <w:tcBorders>
              <w:top w:val="nil"/>
              <w:left w:val="single" w:sz="4" w:space="0" w:color="auto"/>
              <w:bottom w:val="single" w:sz="4" w:space="0" w:color="000000"/>
              <w:right w:val="single" w:sz="4" w:space="0" w:color="auto"/>
            </w:tcBorders>
            <w:vAlign w:val="center"/>
            <w:hideMark/>
          </w:tcPr>
          <w:p w14:paraId="566D7966" w14:textId="77777777" w:rsidR="00CA055C" w:rsidRPr="0018469C" w:rsidRDefault="00CA055C" w:rsidP="003C2187">
            <w:pPr>
              <w:spacing w:line="276" w:lineRule="auto"/>
              <w:jc w:val="center"/>
              <w:rPr>
                <w:rFonts w:ascii="Arial" w:hAnsi="Arial" w:cs="Arial"/>
                <w:b/>
                <w:bCs/>
                <w:color w:val="000000"/>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40D71E1D" w14:textId="77777777" w:rsidR="00CA055C" w:rsidRPr="0018469C" w:rsidRDefault="00CA055C"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0</w:t>
            </w:r>
          </w:p>
        </w:tc>
        <w:tc>
          <w:tcPr>
            <w:tcW w:w="1170" w:type="dxa"/>
            <w:tcBorders>
              <w:top w:val="nil"/>
              <w:left w:val="nil"/>
              <w:bottom w:val="single" w:sz="4" w:space="0" w:color="auto"/>
              <w:right w:val="single" w:sz="4" w:space="0" w:color="auto"/>
            </w:tcBorders>
            <w:shd w:val="clear" w:color="auto" w:fill="auto"/>
            <w:noWrap/>
            <w:vAlign w:val="center"/>
            <w:hideMark/>
          </w:tcPr>
          <w:p w14:paraId="17AB1322" w14:textId="77777777" w:rsidR="00CA055C" w:rsidRPr="0018469C" w:rsidRDefault="00CA055C"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1</w:t>
            </w:r>
          </w:p>
        </w:tc>
        <w:tc>
          <w:tcPr>
            <w:tcW w:w="450" w:type="dxa"/>
            <w:tcBorders>
              <w:top w:val="nil"/>
              <w:left w:val="nil"/>
              <w:bottom w:val="nil"/>
              <w:right w:val="nil"/>
            </w:tcBorders>
            <w:shd w:val="clear" w:color="auto" w:fill="auto"/>
            <w:noWrap/>
            <w:vAlign w:val="center"/>
            <w:hideMark/>
          </w:tcPr>
          <w:p w14:paraId="1909B59A" w14:textId="77777777" w:rsidR="00CA055C" w:rsidRPr="0018469C" w:rsidRDefault="00CA055C" w:rsidP="003C2187">
            <w:pPr>
              <w:spacing w:line="276" w:lineRule="auto"/>
              <w:jc w:val="center"/>
              <w:rPr>
                <w:rFonts w:ascii="Arial" w:hAnsi="Arial" w:cs="Arial"/>
                <w:b/>
                <w:bCs/>
                <w:color w:val="000000"/>
                <w:sz w:val="18"/>
                <w:szCs w:val="18"/>
              </w:rPr>
            </w:pPr>
          </w:p>
        </w:tc>
      </w:tr>
      <w:tr w:rsidR="00CA055C" w:rsidRPr="0018469C" w14:paraId="213584AA" w14:textId="77777777" w:rsidTr="003C2187">
        <w:trPr>
          <w:trHeight w:val="275"/>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27D1C749" w14:textId="77777777" w:rsidR="00CA055C" w:rsidRPr="0018469C" w:rsidRDefault="00CA055C"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pre</w:t>
            </w:r>
          </w:p>
        </w:tc>
        <w:tc>
          <w:tcPr>
            <w:tcW w:w="1170" w:type="dxa"/>
            <w:tcBorders>
              <w:top w:val="nil"/>
              <w:left w:val="nil"/>
              <w:bottom w:val="single" w:sz="4" w:space="0" w:color="auto"/>
              <w:right w:val="single" w:sz="4" w:space="0" w:color="auto"/>
            </w:tcBorders>
            <w:shd w:val="clear" w:color="auto" w:fill="auto"/>
            <w:noWrap/>
            <w:vAlign w:val="center"/>
            <w:hideMark/>
          </w:tcPr>
          <w:p w14:paraId="35D6F13E" w14:textId="77777777" w:rsidR="00CA055C" w:rsidRPr="0018469C" w:rsidRDefault="00CA055C"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0.020123</w:t>
            </w:r>
          </w:p>
        </w:tc>
        <w:tc>
          <w:tcPr>
            <w:tcW w:w="1170" w:type="dxa"/>
            <w:tcBorders>
              <w:top w:val="nil"/>
              <w:left w:val="nil"/>
              <w:bottom w:val="single" w:sz="4" w:space="0" w:color="auto"/>
              <w:right w:val="single" w:sz="4" w:space="0" w:color="auto"/>
            </w:tcBorders>
            <w:shd w:val="clear" w:color="auto" w:fill="auto"/>
            <w:noWrap/>
            <w:vAlign w:val="center"/>
            <w:hideMark/>
          </w:tcPr>
          <w:p w14:paraId="11F1BA6F" w14:textId="77777777" w:rsidR="00CA055C" w:rsidRPr="0018469C" w:rsidRDefault="00CA055C"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0.012768</w:t>
            </w:r>
          </w:p>
        </w:tc>
        <w:tc>
          <w:tcPr>
            <w:tcW w:w="450" w:type="dxa"/>
            <w:tcBorders>
              <w:top w:val="nil"/>
              <w:left w:val="nil"/>
              <w:bottom w:val="nil"/>
              <w:right w:val="nil"/>
            </w:tcBorders>
            <w:shd w:val="clear" w:color="auto" w:fill="auto"/>
            <w:noWrap/>
            <w:vAlign w:val="center"/>
            <w:hideMark/>
          </w:tcPr>
          <w:p w14:paraId="0189DED0" w14:textId="77777777" w:rsidR="00CA055C" w:rsidRPr="0018469C" w:rsidRDefault="00CA055C" w:rsidP="003C2187">
            <w:pPr>
              <w:spacing w:line="276" w:lineRule="auto"/>
              <w:jc w:val="center"/>
              <w:rPr>
                <w:rFonts w:ascii="Arial" w:hAnsi="Arial" w:cs="Arial"/>
                <w:color w:val="000000"/>
                <w:sz w:val="18"/>
                <w:szCs w:val="18"/>
              </w:rPr>
            </w:pPr>
          </w:p>
        </w:tc>
      </w:tr>
      <w:tr w:rsidR="00CA055C" w:rsidRPr="0018469C" w14:paraId="30ABAFCB" w14:textId="77777777" w:rsidTr="003C2187">
        <w:trPr>
          <w:trHeight w:val="302"/>
          <w:jc w:val="center"/>
        </w:trPr>
        <w:tc>
          <w:tcPr>
            <w:tcW w:w="1165" w:type="dxa"/>
            <w:tcBorders>
              <w:top w:val="nil"/>
              <w:left w:val="single" w:sz="4" w:space="0" w:color="auto"/>
              <w:bottom w:val="nil"/>
              <w:right w:val="single" w:sz="4" w:space="0" w:color="auto"/>
            </w:tcBorders>
            <w:shd w:val="clear" w:color="auto" w:fill="auto"/>
            <w:noWrap/>
            <w:vAlign w:val="center"/>
            <w:hideMark/>
          </w:tcPr>
          <w:p w14:paraId="1D2F42F4" w14:textId="77777777" w:rsidR="00CA055C" w:rsidRPr="0018469C" w:rsidRDefault="00CA055C"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post</w:t>
            </w:r>
          </w:p>
        </w:tc>
        <w:tc>
          <w:tcPr>
            <w:tcW w:w="1170" w:type="dxa"/>
            <w:tcBorders>
              <w:top w:val="nil"/>
              <w:left w:val="nil"/>
              <w:bottom w:val="nil"/>
              <w:right w:val="single" w:sz="4" w:space="0" w:color="auto"/>
            </w:tcBorders>
            <w:shd w:val="clear" w:color="auto" w:fill="auto"/>
            <w:noWrap/>
            <w:vAlign w:val="center"/>
            <w:hideMark/>
          </w:tcPr>
          <w:p w14:paraId="39285DC6" w14:textId="77777777" w:rsidR="00CA055C" w:rsidRPr="0018469C" w:rsidRDefault="00CA055C"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0.028964</w:t>
            </w:r>
          </w:p>
        </w:tc>
        <w:tc>
          <w:tcPr>
            <w:tcW w:w="1170" w:type="dxa"/>
            <w:tcBorders>
              <w:top w:val="nil"/>
              <w:left w:val="nil"/>
              <w:bottom w:val="nil"/>
              <w:right w:val="single" w:sz="4" w:space="0" w:color="auto"/>
            </w:tcBorders>
            <w:shd w:val="clear" w:color="auto" w:fill="auto"/>
            <w:noWrap/>
            <w:vAlign w:val="center"/>
            <w:hideMark/>
          </w:tcPr>
          <w:p w14:paraId="5CA24FEE" w14:textId="77777777" w:rsidR="00CA055C" w:rsidRPr="0018469C" w:rsidRDefault="00CA055C"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0.017118</w:t>
            </w:r>
          </w:p>
        </w:tc>
        <w:tc>
          <w:tcPr>
            <w:tcW w:w="450" w:type="dxa"/>
            <w:tcBorders>
              <w:top w:val="nil"/>
              <w:left w:val="nil"/>
              <w:bottom w:val="nil"/>
              <w:right w:val="nil"/>
            </w:tcBorders>
            <w:shd w:val="clear" w:color="auto" w:fill="auto"/>
            <w:noWrap/>
            <w:vAlign w:val="center"/>
            <w:hideMark/>
          </w:tcPr>
          <w:p w14:paraId="59E13B45" w14:textId="77777777" w:rsidR="00CA055C" w:rsidRPr="0018469C" w:rsidRDefault="00CA055C" w:rsidP="003C2187">
            <w:pPr>
              <w:spacing w:line="276" w:lineRule="auto"/>
              <w:jc w:val="center"/>
              <w:rPr>
                <w:rFonts w:ascii="Arial" w:hAnsi="Arial" w:cs="Arial"/>
                <w:color w:val="000000"/>
                <w:sz w:val="18"/>
                <w:szCs w:val="18"/>
              </w:rPr>
            </w:pPr>
          </w:p>
        </w:tc>
      </w:tr>
      <w:tr w:rsidR="00CA055C" w:rsidRPr="0018469C" w14:paraId="020CC6F5" w14:textId="77777777" w:rsidTr="003C2187">
        <w:trPr>
          <w:trHeight w:val="148"/>
          <w:jc w:val="center"/>
        </w:trPr>
        <w:tc>
          <w:tcPr>
            <w:tcW w:w="116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583BD89" w14:textId="77777777" w:rsidR="00CA055C" w:rsidRPr="0018469C" w:rsidRDefault="00CA055C"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 increase</w:t>
            </w:r>
          </w:p>
        </w:tc>
        <w:tc>
          <w:tcPr>
            <w:tcW w:w="1170" w:type="dxa"/>
            <w:tcBorders>
              <w:top w:val="single" w:sz="8" w:space="0" w:color="auto"/>
              <w:left w:val="nil"/>
              <w:bottom w:val="single" w:sz="8" w:space="0" w:color="auto"/>
              <w:right w:val="single" w:sz="4" w:space="0" w:color="auto"/>
            </w:tcBorders>
            <w:shd w:val="clear" w:color="auto" w:fill="auto"/>
            <w:noWrap/>
            <w:vAlign w:val="center"/>
            <w:hideMark/>
          </w:tcPr>
          <w:p w14:paraId="6A0B12D9" w14:textId="77777777" w:rsidR="00CA055C" w:rsidRPr="0018469C" w:rsidRDefault="00CA055C"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43.93%</w:t>
            </w:r>
          </w:p>
        </w:tc>
        <w:tc>
          <w:tcPr>
            <w:tcW w:w="1170" w:type="dxa"/>
            <w:tcBorders>
              <w:top w:val="single" w:sz="8" w:space="0" w:color="auto"/>
              <w:left w:val="nil"/>
              <w:bottom w:val="single" w:sz="8" w:space="0" w:color="auto"/>
              <w:right w:val="single" w:sz="4" w:space="0" w:color="auto"/>
            </w:tcBorders>
            <w:shd w:val="clear" w:color="auto" w:fill="auto"/>
            <w:noWrap/>
            <w:vAlign w:val="center"/>
            <w:hideMark/>
          </w:tcPr>
          <w:p w14:paraId="45DF061E" w14:textId="77777777" w:rsidR="00CA055C" w:rsidRPr="0018469C" w:rsidRDefault="00CA055C"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34.07%</w:t>
            </w:r>
          </w:p>
        </w:tc>
        <w:tc>
          <w:tcPr>
            <w:tcW w:w="450" w:type="dxa"/>
            <w:tcBorders>
              <w:top w:val="single" w:sz="8" w:space="0" w:color="auto"/>
              <w:left w:val="nil"/>
              <w:bottom w:val="single" w:sz="8" w:space="0" w:color="auto"/>
              <w:right w:val="single" w:sz="8" w:space="0" w:color="auto"/>
            </w:tcBorders>
            <w:shd w:val="clear" w:color="auto" w:fill="auto"/>
            <w:noWrap/>
            <w:vAlign w:val="center"/>
            <w:hideMark/>
          </w:tcPr>
          <w:p w14:paraId="17FA8D55" w14:textId="77777777" w:rsidR="00CA055C" w:rsidRPr="0018469C" w:rsidRDefault="00CA055C" w:rsidP="003C2187">
            <w:pPr>
              <w:spacing w:line="276" w:lineRule="auto"/>
              <w:jc w:val="center"/>
              <w:rPr>
                <w:rFonts w:ascii="Arial" w:hAnsi="Arial" w:cs="Arial"/>
                <w:b/>
                <w:bCs/>
                <w:color w:val="70AD47"/>
                <w:sz w:val="18"/>
                <w:szCs w:val="18"/>
              </w:rPr>
            </w:pPr>
            <w:r w:rsidRPr="0018469C">
              <w:rPr>
                <w:rFonts w:ascii="Arial" w:hAnsi="Arial" w:cs="Arial"/>
                <w:b/>
                <w:bCs/>
                <w:color w:val="70AD47"/>
                <w:sz w:val="18"/>
                <w:szCs w:val="18"/>
              </w:rPr>
              <w:t>9.87%</w:t>
            </w:r>
          </w:p>
        </w:tc>
      </w:tr>
    </w:tbl>
    <w:p w14:paraId="22C3BE65" w14:textId="2C70A6FD" w:rsidR="004229BF" w:rsidRDefault="004229BF" w:rsidP="009B0DA2">
      <w:pPr>
        <w:spacing w:before="16" w:line="276" w:lineRule="auto"/>
        <w:rPr>
          <w:rFonts w:ascii="Arial" w:hAnsi="Arial" w:cs="Arial"/>
          <w:sz w:val="24"/>
          <w:szCs w:val="24"/>
        </w:rPr>
      </w:pPr>
    </w:p>
    <w:p w14:paraId="758141A6" w14:textId="77777777" w:rsidR="00F068A5" w:rsidRDefault="00F068A5" w:rsidP="009B0DA2">
      <w:pPr>
        <w:spacing w:before="16" w:line="276" w:lineRule="auto"/>
        <w:rPr>
          <w:rFonts w:ascii="Arial" w:hAnsi="Arial" w:cs="Arial"/>
          <w:sz w:val="24"/>
          <w:szCs w:val="24"/>
        </w:rPr>
      </w:pPr>
    </w:p>
    <w:p w14:paraId="78C2F7AC" w14:textId="2653BCDD" w:rsidR="003A4F84" w:rsidRDefault="003A4F84" w:rsidP="009B0DA2">
      <w:pPr>
        <w:spacing w:before="16" w:line="276" w:lineRule="auto"/>
        <w:rPr>
          <w:rFonts w:ascii="Arial" w:hAnsi="Arial" w:cs="Arial"/>
          <w:sz w:val="24"/>
          <w:szCs w:val="24"/>
        </w:rPr>
      </w:pPr>
      <w:r>
        <w:rPr>
          <w:rFonts w:ascii="Arial" w:hAnsi="Arial" w:cs="Arial"/>
          <w:sz w:val="24"/>
          <w:szCs w:val="24"/>
        </w:rPr>
        <w:t xml:space="preserve">We see that though the opioid shipments </w:t>
      </w:r>
      <w:r w:rsidR="007F6EC6">
        <w:rPr>
          <w:rFonts w:ascii="Arial" w:hAnsi="Arial" w:cs="Arial"/>
          <w:sz w:val="24"/>
          <w:szCs w:val="24"/>
        </w:rPr>
        <w:t xml:space="preserve">per county per month per capita have largely on an average increased in the ‘post’ period when compared to the ‘pre’ </w:t>
      </w:r>
      <w:r w:rsidR="00FE73C8">
        <w:rPr>
          <w:rFonts w:ascii="Arial" w:hAnsi="Arial" w:cs="Arial"/>
          <w:sz w:val="24"/>
          <w:szCs w:val="24"/>
        </w:rPr>
        <w:t>period</w:t>
      </w:r>
      <w:r w:rsidR="007F6EC6">
        <w:rPr>
          <w:rFonts w:ascii="Arial" w:hAnsi="Arial" w:cs="Arial"/>
          <w:sz w:val="24"/>
          <w:szCs w:val="24"/>
        </w:rPr>
        <w:t xml:space="preserve"> across all states. However, the %increase in Texas was approximately 10% lower when compared to the rest. </w:t>
      </w:r>
    </w:p>
    <w:p w14:paraId="72179427" w14:textId="77777777" w:rsidR="0088173E" w:rsidRDefault="0088173E" w:rsidP="009B0DA2">
      <w:pPr>
        <w:spacing w:before="16" w:line="276" w:lineRule="auto"/>
        <w:rPr>
          <w:rFonts w:ascii="Arial" w:hAnsi="Arial" w:cs="Arial"/>
          <w:sz w:val="24"/>
          <w:szCs w:val="24"/>
        </w:rPr>
      </w:pPr>
    </w:p>
    <w:p w14:paraId="38D35368" w14:textId="77777777" w:rsidR="00F068A5" w:rsidRDefault="00F068A5" w:rsidP="009B0DA2">
      <w:pPr>
        <w:spacing w:before="16" w:line="276" w:lineRule="auto"/>
        <w:rPr>
          <w:rFonts w:ascii="Arial" w:hAnsi="Arial" w:cs="Arial"/>
          <w:b/>
          <w:bCs/>
          <w:sz w:val="22"/>
          <w:szCs w:val="22"/>
        </w:rPr>
      </w:pPr>
    </w:p>
    <w:p w14:paraId="3ADB188B" w14:textId="516AC074" w:rsidR="00CA055C" w:rsidRPr="00EB2E42" w:rsidRDefault="00CA055C" w:rsidP="00EB2E42">
      <w:pPr>
        <w:spacing w:before="16" w:line="276" w:lineRule="auto"/>
        <w:rPr>
          <w:rFonts w:ascii="Arial" w:hAnsi="Arial" w:cs="Arial"/>
          <w:b/>
          <w:bCs/>
          <w:sz w:val="22"/>
          <w:szCs w:val="22"/>
        </w:rPr>
      </w:pPr>
      <w:r w:rsidRPr="00CA055C">
        <w:rPr>
          <w:rFonts w:ascii="Arial" w:hAnsi="Arial" w:cs="Arial"/>
          <w:b/>
          <w:bCs/>
          <w:sz w:val="22"/>
          <w:szCs w:val="22"/>
        </w:rPr>
        <w:t>Mortality Analysis:</w:t>
      </w:r>
    </w:p>
    <w:p w14:paraId="446B03AF" w14:textId="47518B3C" w:rsidR="00F068A5" w:rsidRDefault="00F068A5" w:rsidP="00784817">
      <w:pPr>
        <w:spacing w:before="16" w:line="276" w:lineRule="auto"/>
        <w:jc w:val="center"/>
        <w:rPr>
          <w:rFonts w:ascii="Arial" w:hAnsi="Arial" w:cs="Arial"/>
          <w:sz w:val="24"/>
          <w:szCs w:val="24"/>
        </w:rPr>
      </w:pPr>
    </w:p>
    <w:p w14:paraId="1E574AF3" w14:textId="77777777" w:rsidR="00EB2E42" w:rsidRDefault="00EB2E42" w:rsidP="00784817">
      <w:pPr>
        <w:spacing w:before="16" w:line="276" w:lineRule="auto"/>
        <w:jc w:val="center"/>
        <w:rPr>
          <w:rFonts w:ascii="Arial" w:hAnsi="Arial" w:cs="Arial"/>
          <w:sz w:val="24"/>
          <w:szCs w:val="24"/>
        </w:rPr>
      </w:pPr>
    </w:p>
    <w:p w14:paraId="6F9C7AA0" w14:textId="33619D73" w:rsidR="00CA055C" w:rsidRDefault="004229BF" w:rsidP="00784817">
      <w:pPr>
        <w:spacing w:before="16" w:line="276" w:lineRule="auto"/>
        <w:jc w:val="center"/>
        <w:rPr>
          <w:rFonts w:ascii="Arial" w:hAnsi="Arial" w:cs="Arial"/>
          <w:sz w:val="24"/>
          <w:szCs w:val="24"/>
        </w:rPr>
      </w:pPr>
      <w:r>
        <w:rPr>
          <w:rFonts w:ascii="Arial" w:hAnsi="Arial" w:cs="Arial"/>
          <w:noProof/>
          <w:sz w:val="24"/>
          <w:szCs w:val="24"/>
        </w:rPr>
        <w:drawing>
          <wp:inline distT="0" distB="0" distL="0" distR="0" wp14:anchorId="4ED9B9C2" wp14:editId="797ACB40">
            <wp:extent cx="2743200" cy="2114948"/>
            <wp:effectExtent l="0" t="0" r="0" b="6350"/>
            <wp:docPr id="147" name="Picture 1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repost_TX.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114948"/>
                    </a:xfrm>
                    <a:prstGeom prst="rect">
                      <a:avLst/>
                    </a:prstGeom>
                  </pic:spPr>
                </pic:pic>
              </a:graphicData>
            </a:graphic>
          </wp:inline>
        </w:drawing>
      </w:r>
      <w:r w:rsidRPr="009B0DA2">
        <w:rPr>
          <w:rFonts w:ascii="Arial" w:hAnsi="Arial" w:cs="Arial"/>
          <w:noProof/>
          <w:sz w:val="24"/>
          <w:szCs w:val="24"/>
        </w:rPr>
        <w:drawing>
          <wp:inline distT="0" distB="0" distL="0" distR="0" wp14:anchorId="66C31668" wp14:editId="4A03C87B">
            <wp:extent cx="3051810" cy="2117883"/>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1052" cy="2145116"/>
                    </a:xfrm>
                    <a:prstGeom prst="rect">
                      <a:avLst/>
                    </a:prstGeom>
                  </pic:spPr>
                </pic:pic>
              </a:graphicData>
            </a:graphic>
          </wp:inline>
        </w:drawing>
      </w:r>
    </w:p>
    <w:p w14:paraId="3DAD11D9" w14:textId="1F857C06" w:rsidR="00F068A5" w:rsidRDefault="00F068A5" w:rsidP="00FE73C8">
      <w:pPr>
        <w:spacing w:line="276" w:lineRule="auto"/>
        <w:rPr>
          <w:rFonts w:ascii="Arial" w:hAnsi="Arial" w:cs="Arial"/>
          <w:sz w:val="24"/>
          <w:szCs w:val="24"/>
        </w:rPr>
      </w:pPr>
    </w:p>
    <w:p w14:paraId="5EF3BAC9" w14:textId="77777777" w:rsidR="00EB2E42" w:rsidRDefault="00EB2E42" w:rsidP="00FE73C8">
      <w:pPr>
        <w:spacing w:line="276" w:lineRule="auto"/>
        <w:rPr>
          <w:rFonts w:ascii="Arial" w:hAnsi="Arial" w:cs="Arial"/>
          <w:sz w:val="24"/>
          <w:szCs w:val="24"/>
        </w:rPr>
      </w:pPr>
    </w:p>
    <w:p w14:paraId="340372D9" w14:textId="1E33A0D0" w:rsidR="00FE73C8" w:rsidRDefault="00FE73C8" w:rsidP="00FE73C8">
      <w:pPr>
        <w:spacing w:line="276" w:lineRule="auto"/>
        <w:rPr>
          <w:rFonts w:ascii="Arial" w:hAnsi="Arial" w:cs="Arial"/>
          <w:sz w:val="24"/>
          <w:szCs w:val="24"/>
        </w:rPr>
      </w:pPr>
      <w:r>
        <w:rPr>
          <w:rFonts w:ascii="Arial" w:hAnsi="Arial" w:cs="Arial"/>
          <w:sz w:val="24"/>
          <w:szCs w:val="24"/>
        </w:rPr>
        <w:t>The p</w:t>
      </w:r>
      <w:r w:rsidR="002B0D5D" w:rsidRPr="009B0DA2">
        <w:rPr>
          <w:rFonts w:ascii="Arial" w:hAnsi="Arial" w:cs="Arial"/>
          <w:sz w:val="24"/>
          <w:szCs w:val="24"/>
        </w:rPr>
        <w:t>re-</w:t>
      </w:r>
      <w:r>
        <w:rPr>
          <w:rFonts w:ascii="Arial" w:hAnsi="Arial" w:cs="Arial"/>
          <w:sz w:val="24"/>
          <w:szCs w:val="24"/>
        </w:rPr>
        <w:t>p</w:t>
      </w:r>
      <w:r w:rsidR="002B0D5D" w:rsidRPr="009B0DA2">
        <w:rPr>
          <w:rFonts w:ascii="Arial" w:hAnsi="Arial" w:cs="Arial"/>
          <w:sz w:val="24"/>
          <w:szCs w:val="24"/>
        </w:rPr>
        <w:t xml:space="preserve">ost comparison </w:t>
      </w:r>
      <w:r>
        <w:rPr>
          <w:rFonts w:ascii="Arial" w:hAnsi="Arial" w:cs="Arial"/>
          <w:sz w:val="24"/>
          <w:szCs w:val="24"/>
        </w:rPr>
        <w:t xml:space="preserve">indicates that the increase in in </w:t>
      </w:r>
      <w:r w:rsidR="002B0D5D" w:rsidRPr="009B0DA2">
        <w:rPr>
          <w:rFonts w:ascii="Arial" w:hAnsi="Arial" w:cs="Arial"/>
          <w:sz w:val="24"/>
          <w:szCs w:val="24"/>
        </w:rPr>
        <w:t>death rates</w:t>
      </w:r>
      <w:r>
        <w:rPr>
          <w:rFonts w:ascii="Arial" w:hAnsi="Arial" w:cs="Arial"/>
          <w:sz w:val="24"/>
          <w:szCs w:val="24"/>
        </w:rPr>
        <w:t xml:space="preserve"> by drug overdose has</w:t>
      </w:r>
      <w:r w:rsidR="002B0D5D" w:rsidRPr="009B0DA2">
        <w:rPr>
          <w:rFonts w:ascii="Arial" w:hAnsi="Arial" w:cs="Arial"/>
          <w:sz w:val="24"/>
          <w:szCs w:val="24"/>
        </w:rPr>
        <w:t xml:space="preserve"> </w:t>
      </w:r>
      <w:r>
        <w:rPr>
          <w:rFonts w:ascii="Arial" w:hAnsi="Arial" w:cs="Arial"/>
          <w:sz w:val="24"/>
          <w:szCs w:val="24"/>
        </w:rPr>
        <w:t xml:space="preserve">been braked by the changes in policy made in the year 2007. </w:t>
      </w:r>
      <w:r w:rsidR="002B0D5D" w:rsidRPr="009B0DA2">
        <w:rPr>
          <w:rFonts w:ascii="Arial" w:hAnsi="Arial" w:cs="Arial"/>
          <w:sz w:val="24"/>
          <w:szCs w:val="24"/>
        </w:rPr>
        <w:t xml:space="preserve"> </w:t>
      </w:r>
      <w:r>
        <w:rPr>
          <w:rFonts w:ascii="Arial" w:hAnsi="Arial" w:cs="Arial"/>
          <w:sz w:val="24"/>
          <w:szCs w:val="24"/>
        </w:rPr>
        <w:t xml:space="preserve">The ‘diff-in-diff’ reaffirms these conclusions. </w:t>
      </w:r>
    </w:p>
    <w:p w14:paraId="4B49FD6B" w14:textId="0359C454" w:rsidR="00CA055C" w:rsidRDefault="00FE73C8" w:rsidP="00FE73C8">
      <w:pPr>
        <w:spacing w:line="276" w:lineRule="auto"/>
        <w:ind w:firstLine="720"/>
        <w:rPr>
          <w:rFonts w:ascii="Arial" w:hAnsi="Arial" w:cs="Arial"/>
          <w:sz w:val="24"/>
          <w:szCs w:val="24"/>
        </w:rPr>
      </w:pPr>
      <w:r>
        <w:rPr>
          <w:rFonts w:ascii="Arial" w:hAnsi="Arial" w:cs="Arial"/>
          <w:sz w:val="24"/>
          <w:szCs w:val="24"/>
        </w:rPr>
        <w:t>It’s interesting to note that the increase in the death rate was significantly higher in Texas in the ‘pre’ period when compared with the rest of the states.</w:t>
      </w:r>
    </w:p>
    <w:p w14:paraId="451A9EF9" w14:textId="77777777" w:rsidR="00466357" w:rsidRDefault="00466357" w:rsidP="009B0DA2">
      <w:pPr>
        <w:spacing w:before="16" w:line="276" w:lineRule="auto"/>
        <w:rPr>
          <w:rFonts w:ascii="Arial" w:hAnsi="Arial" w:cs="Arial"/>
          <w:sz w:val="24"/>
          <w:szCs w:val="24"/>
        </w:rPr>
      </w:pPr>
    </w:p>
    <w:p w14:paraId="70A796C0" w14:textId="77777777" w:rsidR="00F068A5" w:rsidRDefault="00F068A5" w:rsidP="003C2187">
      <w:pPr>
        <w:spacing w:before="16" w:line="276" w:lineRule="auto"/>
        <w:rPr>
          <w:rFonts w:ascii="Arial" w:hAnsi="Arial" w:cs="Arial"/>
          <w:b/>
          <w:bCs/>
          <w:sz w:val="22"/>
          <w:szCs w:val="22"/>
        </w:rPr>
      </w:pPr>
    </w:p>
    <w:p w14:paraId="41B872F1" w14:textId="076611DD" w:rsidR="00F068A5" w:rsidRDefault="00F068A5" w:rsidP="003C2187">
      <w:pPr>
        <w:spacing w:before="16" w:line="276" w:lineRule="auto"/>
        <w:rPr>
          <w:rFonts w:ascii="Arial" w:hAnsi="Arial" w:cs="Arial"/>
          <w:b/>
          <w:bCs/>
          <w:sz w:val="22"/>
          <w:szCs w:val="22"/>
        </w:rPr>
      </w:pPr>
    </w:p>
    <w:p w14:paraId="431262E9" w14:textId="77777777" w:rsidR="00EB2E42" w:rsidRDefault="00EB2E42" w:rsidP="003C2187">
      <w:pPr>
        <w:spacing w:before="16" w:line="276" w:lineRule="auto"/>
        <w:rPr>
          <w:rFonts w:ascii="Arial" w:hAnsi="Arial" w:cs="Arial"/>
          <w:b/>
          <w:bCs/>
          <w:sz w:val="22"/>
          <w:szCs w:val="22"/>
        </w:rPr>
      </w:pPr>
    </w:p>
    <w:p w14:paraId="2D22F6ED" w14:textId="15E31110" w:rsidR="003C2187" w:rsidRPr="00CA055C" w:rsidRDefault="003C2187" w:rsidP="003C2187">
      <w:pPr>
        <w:spacing w:before="16" w:line="276" w:lineRule="auto"/>
        <w:rPr>
          <w:rFonts w:ascii="Arial" w:hAnsi="Arial" w:cs="Arial"/>
          <w:b/>
          <w:bCs/>
          <w:sz w:val="22"/>
          <w:szCs w:val="22"/>
        </w:rPr>
      </w:pPr>
      <w:bookmarkStart w:id="0" w:name="_GoBack"/>
      <w:bookmarkEnd w:id="0"/>
      <w:r>
        <w:rPr>
          <w:rFonts w:ascii="Arial" w:hAnsi="Arial" w:cs="Arial"/>
          <w:b/>
          <w:bCs/>
          <w:sz w:val="22"/>
          <w:szCs w:val="22"/>
        </w:rPr>
        <w:lastRenderedPageBreak/>
        <w:t>Washington</w:t>
      </w:r>
      <w:r w:rsidRPr="00CA055C">
        <w:rPr>
          <w:rFonts w:ascii="Arial" w:hAnsi="Arial" w:cs="Arial"/>
          <w:b/>
          <w:bCs/>
          <w:sz w:val="22"/>
          <w:szCs w:val="22"/>
        </w:rPr>
        <w:t xml:space="preserve"> (Jan 1</w:t>
      </w:r>
      <w:r w:rsidRPr="00CA055C">
        <w:rPr>
          <w:rFonts w:ascii="Arial" w:hAnsi="Arial" w:cs="Arial"/>
          <w:b/>
          <w:bCs/>
          <w:sz w:val="22"/>
          <w:szCs w:val="22"/>
          <w:vertAlign w:val="superscript"/>
        </w:rPr>
        <w:t>st</w:t>
      </w:r>
      <w:r w:rsidRPr="00CA055C">
        <w:rPr>
          <w:rFonts w:ascii="Arial" w:hAnsi="Arial" w:cs="Arial"/>
          <w:b/>
          <w:bCs/>
          <w:sz w:val="22"/>
          <w:szCs w:val="22"/>
        </w:rPr>
        <w:t xml:space="preserve">, </w:t>
      </w:r>
      <w:r>
        <w:rPr>
          <w:rFonts w:ascii="Arial" w:hAnsi="Arial" w:cs="Arial"/>
          <w:b/>
          <w:bCs/>
          <w:sz w:val="22"/>
          <w:szCs w:val="22"/>
        </w:rPr>
        <w:t>2011</w:t>
      </w:r>
      <w:r w:rsidRPr="00CA055C">
        <w:rPr>
          <w:rFonts w:ascii="Arial" w:hAnsi="Arial" w:cs="Arial"/>
          <w:b/>
          <w:bCs/>
          <w:sz w:val="22"/>
          <w:szCs w:val="22"/>
        </w:rPr>
        <w:t>)</w:t>
      </w:r>
    </w:p>
    <w:p w14:paraId="64FF028E" w14:textId="0EF8EBCB" w:rsidR="003C2187" w:rsidRPr="003C2187" w:rsidRDefault="003C2187" w:rsidP="009B0DA2">
      <w:pPr>
        <w:spacing w:before="16" w:line="276" w:lineRule="auto"/>
        <w:rPr>
          <w:rFonts w:ascii="Arial" w:hAnsi="Arial" w:cs="Arial"/>
          <w:b/>
          <w:bCs/>
          <w:sz w:val="22"/>
          <w:szCs w:val="22"/>
        </w:rPr>
      </w:pPr>
      <w:r w:rsidRPr="00CA055C">
        <w:rPr>
          <w:rFonts w:ascii="Arial" w:hAnsi="Arial" w:cs="Arial"/>
          <w:b/>
          <w:bCs/>
          <w:sz w:val="22"/>
          <w:szCs w:val="22"/>
        </w:rPr>
        <w:t>Opioids Analysis:</w:t>
      </w:r>
    </w:p>
    <w:p w14:paraId="1B8817CF" w14:textId="4F0617A5" w:rsidR="003C2187" w:rsidRDefault="003C2187" w:rsidP="009B0DA2">
      <w:pPr>
        <w:spacing w:before="16" w:line="276" w:lineRule="auto"/>
        <w:rPr>
          <w:rFonts w:ascii="Arial" w:hAnsi="Arial" w:cs="Arial"/>
          <w:sz w:val="24"/>
          <w:szCs w:val="24"/>
        </w:rPr>
      </w:pPr>
    </w:p>
    <w:tbl>
      <w:tblPr>
        <w:tblW w:w="4225" w:type="dxa"/>
        <w:jc w:val="center"/>
        <w:tblLook w:val="04A0" w:firstRow="1" w:lastRow="0" w:firstColumn="1" w:lastColumn="0" w:noHBand="0" w:noVBand="1"/>
      </w:tblPr>
      <w:tblGrid>
        <w:gridCol w:w="1165"/>
        <w:gridCol w:w="1080"/>
        <w:gridCol w:w="1080"/>
        <w:gridCol w:w="900"/>
      </w:tblGrid>
      <w:tr w:rsidR="003C2187" w:rsidRPr="0018469C" w14:paraId="79A1907D" w14:textId="77777777" w:rsidTr="003C2187">
        <w:trPr>
          <w:trHeight w:val="320"/>
          <w:jc w:val="center"/>
        </w:trPr>
        <w:tc>
          <w:tcPr>
            <w:tcW w:w="332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C7A4E9" w14:textId="77777777" w:rsidR="003C2187" w:rsidRPr="0018469C" w:rsidRDefault="003C2187"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Washington</w:t>
            </w:r>
          </w:p>
        </w:tc>
        <w:tc>
          <w:tcPr>
            <w:tcW w:w="900" w:type="dxa"/>
            <w:tcBorders>
              <w:top w:val="nil"/>
              <w:left w:val="nil"/>
              <w:bottom w:val="nil"/>
              <w:right w:val="nil"/>
            </w:tcBorders>
            <w:shd w:val="clear" w:color="auto" w:fill="auto"/>
            <w:noWrap/>
            <w:vAlign w:val="center"/>
            <w:hideMark/>
          </w:tcPr>
          <w:p w14:paraId="230E60BA" w14:textId="77777777" w:rsidR="003C2187" w:rsidRPr="0018469C" w:rsidRDefault="003C2187" w:rsidP="003C2187">
            <w:pPr>
              <w:spacing w:line="276" w:lineRule="auto"/>
              <w:jc w:val="center"/>
              <w:rPr>
                <w:rFonts w:ascii="Arial" w:hAnsi="Arial" w:cs="Arial"/>
                <w:b/>
                <w:bCs/>
                <w:color w:val="000000"/>
                <w:sz w:val="18"/>
                <w:szCs w:val="18"/>
              </w:rPr>
            </w:pPr>
          </w:p>
        </w:tc>
      </w:tr>
      <w:tr w:rsidR="003C2187" w:rsidRPr="0018469C" w14:paraId="051E1968" w14:textId="77777777" w:rsidTr="003C2187">
        <w:trPr>
          <w:trHeight w:val="158"/>
          <w:jc w:val="center"/>
        </w:trPr>
        <w:tc>
          <w:tcPr>
            <w:tcW w:w="116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311235" w14:textId="77777777" w:rsidR="003C2187" w:rsidRPr="0018469C" w:rsidRDefault="003C2187" w:rsidP="003C2187">
            <w:pPr>
              <w:spacing w:line="276" w:lineRule="auto"/>
              <w:jc w:val="center"/>
              <w:rPr>
                <w:rFonts w:ascii="Arial" w:hAnsi="Arial" w:cs="Arial"/>
                <w:b/>
                <w:bCs/>
                <w:color w:val="000000"/>
                <w:sz w:val="18"/>
                <w:szCs w:val="18"/>
              </w:rPr>
            </w:pPr>
            <w:proofErr w:type="spellStart"/>
            <w:r w:rsidRPr="0018469C">
              <w:rPr>
                <w:rFonts w:ascii="Arial" w:hAnsi="Arial" w:cs="Arial"/>
                <w:b/>
                <w:bCs/>
                <w:color w:val="000000"/>
                <w:sz w:val="18"/>
                <w:szCs w:val="18"/>
              </w:rPr>
              <w:t>pre_post</w:t>
            </w:r>
            <w:proofErr w:type="spellEnd"/>
          </w:p>
        </w:tc>
        <w:tc>
          <w:tcPr>
            <w:tcW w:w="216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3944C66" w14:textId="77777777" w:rsidR="003C2187" w:rsidRPr="0018469C" w:rsidRDefault="003C2187" w:rsidP="003C2187">
            <w:pPr>
              <w:spacing w:line="276" w:lineRule="auto"/>
              <w:jc w:val="center"/>
              <w:rPr>
                <w:rFonts w:ascii="Arial" w:hAnsi="Arial" w:cs="Arial"/>
                <w:b/>
                <w:bCs/>
                <w:color w:val="000000"/>
                <w:sz w:val="18"/>
                <w:szCs w:val="18"/>
              </w:rPr>
            </w:pPr>
            <w:proofErr w:type="spellStart"/>
            <w:r w:rsidRPr="0018469C">
              <w:rPr>
                <w:rFonts w:ascii="Arial" w:hAnsi="Arial" w:cs="Arial"/>
                <w:b/>
                <w:bCs/>
                <w:color w:val="000000"/>
                <w:sz w:val="18"/>
                <w:szCs w:val="18"/>
              </w:rPr>
              <w:t>policy_state</w:t>
            </w:r>
            <w:proofErr w:type="spellEnd"/>
          </w:p>
        </w:tc>
        <w:tc>
          <w:tcPr>
            <w:tcW w:w="900" w:type="dxa"/>
            <w:tcBorders>
              <w:top w:val="nil"/>
              <w:left w:val="nil"/>
              <w:bottom w:val="nil"/>
              <w:right w:val="nil"/>
            </w:tcBorders>
            <w:shd w:val="clear" w:color="auto" w:fill="auto"/>
            <w:noWrap/>
            <w:vAlign w:val="center"/>
            <w:hideMark/>
          </w:tcPr>
          <w:p w14:paraId="4B43DA64" w14:textId="77777777" w:rsidR="003C2187" w:rsidRPr="0018469C" w:rsidRDefault="003C2187" w:rsidP="003C2187">
            <w:pPr>
              <w:spacing w:line="276" w:lineRule="auto"/>
              <w:jc w:val="center"/>
              <w:rPr>
                <w:rFonts w:ascii="Arial" w:hAnsi="Arial" w:cs="Arial"/>
                <w:b/>
                <w:bCs/>
                <w:color w:val="000000"/>
                <w:sz w:val="18"/>
                <w:szCs w:val="18"/>
              </w:rPr>
            </w:pPr>
          </w:p>
        </w:tc>
      </w:tr>
      <w:tr w:rsidR="003C2187" w:rsidRPr="0018469C" w14:paraId="1A899F30" w14:textId="77777777" w:rsidTr="003C2187">
        <w:trPr>
          <w:trHeight w:val="320"/>
          <w:jc w:val="center"/>
        </w:trPr>
        <w:tc>
          <w:tcPr>
            <w:tcW w:w="1165" w:type="dxa"/>
            <w:vMerge/>
            <w:tcBorders>
              <w:top w:val="nil"/>
              <w:left w:val="single" w:sz="4" w:space="0" w:color="auto"/>
              <w:bottom w:val="single" w:sz="4" w:space="0" w:color="000000"/>
              <w:right w:val="single" w:sz="4" w:space="0" w:color="auto"/>
            </w:tcBorders>
            <w:vAlign w:val="center"/>
            <w:hideMark/>
          </w:tcPr>
          <w:p w14:paraId="6EC14D8C" w14:textId="77777777" w:rsidR="003C2187" w:rsidRPr="0018469C" w:rsidRDefault="003C2187" w:rsidP="003C2187">
            <w:pPr>
              <w:spacing w:line="276" w:lineRule="auto"/>
              <w:jc w:val="center"/>
              <w:rPr>
                <w:rFonts w:ascii="Arial" w:hAnsi="Arial" w:cs="Arial"/>
                <w:b/>
                <w:bCs/>
                <w:color w:val="000000"/>
                <w:sz w:val="18"/>
                <w:szCs w:val="18"/>
              </w:rPr>
            </w:pPr>
          </w:p>
        </w:tc>
        <w:tc>
          <w:tcPr>
            <w:tcW w:w="1080" w:type="dxa"/>
            <w:tcBorders>
              <w:top w:val="nil"/>
              <w:left w:val="nil"/>
              <w:bottom w:val="single" w:sz="4" w:space="0" w:color="auto"/>
              <w:right w:val="single" w:sz="4" w:space="0" w:color="auto"/>
            </w:tcBorders>
            <w:shd w:val="clear" w:color="auto" w:fill="auto"/>
            <w:noWrap/>
            <w:vAlign w:val="center"/>
            <w:hideMark/>
          </w:tcPr>
          <w:p w14:paraId="08C8D87E" w14:textId="77777777" w:rsidR="003C2187" w:rsidRPr="0018469C" w:rsidRDefault="003C2187"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center"/>
            <w:hideMark/>
          </w:tcPr>
          <w:p w14:paraId="1C260B27" w14:textId="77777777" w:rsidR="003C2187" w:rsidRPr="0018469C" w:rsidRDefault="003C2187"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1</w:t>
            </w:r>
          </w:p>
        </w:tc>
        <w:tc>
          <w:tcPr>
            <w:tcW w:w="900" w:type="dxa"/>
            <w:tcBorders>
              <w:top w:val="nil"/>
              <w:left w:val="nil"/>
              <w:bottom w:val="nil"/>
              <w:right w:val="nil"/>
            </w:tcBorders>
            <w:shd w:val="clear" w:color="auto" w:fill="auto"/>
            <w:noWrap/>
            <w:vAlign w:val="center"/>
            <w:hideMark/>
          </w:tcPr>
          <w:p w14:paraId="7A86A58A" w14:textId="77777777" w:rsidR="003C2187" w:rsidRPr="0018469C" w:rsidRDefault="003C2187" w:rsidP="003C2187">
            <w:pPr>
              <w:spacing w:line="276" w:lineRule="auto"/>
              <w:jc w:val="center"/>
              <w:rPr>
                <w:rFonts w:ascii="Arial" w:hAnsi="Arial" w:cs="Arial"/>
                <w:b/>
                <w:bCs/>
                <w:color w:val="000000"/>
                <w:sz w:val="18"/>
                <w:szCs w:val="18"/>
              </w:rPr>
            </w:pPr>
          </w:p>
        </w:tc>
      </w:tr>
      <w:tr w:rsidR="003C2187" w:rsidRPr="0018469C" w14:paraId="1812D10D" w14:textId="77777777" w:rsidTr="003C2187">
        <w:trPr>
          <w:trHeight w:val="32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2CACB840" w14:textId="77777777" w:rsidR="003C2187" w:rsidRPr="0018469C" w:rsidRDefault="003C2187"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pre</w:t>
            </w:r>
          </w:p>
        </w:tc>
        <w:tc>
          <w:tcPr>
            <w:tcW w:w="1080" w:type="dxa"/>
            <w:tcBorders>
              <w:top w:val="nil"/>
              <w:left w:val="nil"/>
              <w:bottom w:val="single" w:sz="4" w:space="0" w:color="auto"/>
              <w:right w:val="single" w:sz="4" w:space="0" w:color="auto"/>
            </w:tcBorders>
            <w:shd w:val="clear" w:color="auto" w:fill="auto"/>
            <w:noWrap/>
            <w:vAlign w:val="center"/>
            <w:hideMark/>
          </w:tcPr>
          <w:p w14:paraId="7925317C" w14:textId="77777777" w:rsidR="003C2187" w:rsidRPr="0018469C" w:rsidRDefault="003C2187"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0.025303</w:t>
            </w:r>
          </w:p>
        </w:tc>
        <w:tc>
          <w:tcPr>
            <w:tcW w:w="1080" w:type="dxa"/>
            <w:tcBorders>
              <w:top w:val="nil"/>
              <w:left w:val="nil"/>
              <w:bottom w:val="single" w:sz="4" w:space="0" w:color="auto"/>
              <w:right w:val="single" w:sz="4" w:space="0" w:color="auto"/>
            </w:tcBorders>
            <w:shd w:val="clear" w:color="auto" w:fill="auto"/>
            <w:noWrap/>
            <w:vAlign w:val="center"/>
            <w:hideMark/>
          </w:tcPr>
          <w:p w14:paraId="22E851C4" w14:textId="77777777" w:rsidR="003C2187" w:rsidRPr="0018469C" w:rsidRDefault="003C2187"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0.029657</w:t>
            </w:r>
          </w:p>
        </w:tc>
        <w:tc>
          <w:tcPr>
            <w:tcW w:w="900" w:type="dxa"/>
            <w:tcBorders>
              <w:top w:val="nil"/>
              <w:left w:val="nil"/>
              <w:bottom w:val="nil"/>
              <w:right w:val="nil"/>
            </w:tcBorders>
            <w:shd w:val="clear" w:color="auto" w:fill="auto"/>
            <w:noWrap/>
            <w:vAlign w:val="center"/>
            <w:hideMark/>
          </w:tcPr>
          <w:p w14:paraId="45959F73" w14:textId="77777777" w:rsidR="003C2187" w:rsidRPr="0018469C" w:rsidRDefault="003C2187" w:rsidP="003C2187">
            <w:pPr>
              <w:spacing w:line="276" w:lineRule="auto"/>
              <w:jc w:val="center"/>
              <w:rPr>
                <w:rFonts w:ascii="Arial" w:hAnsi="Arial" w:cs="Arial"/>
                <w:color w:val="000000"/>
                <w:sz w:val="18"/>
                <w:szCs w:val="18"/>
              </w:rPr>
            </w:pPr>
          </w:p>
        </w:tc>
      </w:tr>
      <w:tr w:rsidR="003C2187" w:rsidRPr="0018469C" w14:paraId="46EE21BA" w14:textId="77777777" w:rsidTr="003C2187">
        <w:trPr>
          <w:trHeight w:val="340"/>
          <w:jc w:val="center"/>
        </w:trPr>
        <w:tc>
          <w:tcPr>
            <w:tcW w:w="1165" w:type="dxa"/>
            <w:tcBorders>
              <w:top w:val="nil"/>
              <w:left w:val="single" w:sz="4" w:space="0" w:color="auto"/>
              <w:bottom w:val="nil"/>
              <w:right w:val="single" w:sz="4" w:space="0" w:color="auto"/>
            </w:tcBorders>
            <w:shd w:val="clear" w:color="auto" w:fill="auto"/>
            <w:noWrap/>
            <w:vAlign w:val="center"/>
            <w:hideMark/>
          </w:tcPr>
          <w:p w14:paraId="24EAA422" w14:textId="77777777" w:rsidR="003C2187" w:rsidRPr="0018469C" w:rsidRDefault="003C2187"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post</w:t>
            </w:r>
          </w:p>
        </w:tc>
        <w:tc>
          <w:tcPr>
            <w:tcW w:w="1080" w:type="dxa"/>
            <w:tcBorders>
              <w:top w:val="nil"/>
              <w:left w:val="nil"/>
              <w:bottom w:val="nil"/>
              <w:right w:val="single" w:sz="4" w:space="0" w:color="auto"/>
            </w:tcBorders>
            <w:shd w:val="clear" w:color="auto" w:fill="auto"/>
            <w:noWrap/>
            <w:vAlign w:val="center"/>
            <w:hideMark/>
          </w:tcPr>
          <w:p w14:paraId="58A77FF8" w14:textId="77777777" w:rsidR="003C2187" w:rsidRPr="0018469C" w:rsidRDefault="003C2187"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0.033672</w:t>
            </w:r>
          </w:p>
        </w:tc>
        <w:tc>
          <w:tcPr>
            <w:tcW w:w="1080" w:type="dxa"/>
            <w:tcBorders>
              <w:top w:val="nil"/>
              <w:left w:val="nil"/>
              <w:bottom w:val="nil"/>
              <w:right w:val="single" w:sz="4" w:space="0" w:color="auto"/>
            </w:tcBorders>
            <w:shd w:val="clear" w:color="auto" w:fill="auto"/>
            <w:noWrap/>
            <w:vAlign w:val="center"/>
            <w:hideMark/>
          </w:tcPr>
          <w:p w14:paraId="2CE54235" w14:textId="77777777" w:rsidR="003C2187" w:rsidRPr="0018469C" w:rsidRDefault="003C2187"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0.033169</w:t>
            </w:r>
          </w:p>
        </w:tc>
        <w:tc>
          <w:tcPr>
            <w:tcW w:w="900" w:type="dxa"/>
            <w:tcBorders>
              <w:top w:val="nil"/>
              <w:left w:val="nil"/>
              <w:bottom w:val="nil"/>
              <w:right w:val="nil"/>
            </w:tcBorders>
            <w:shd w:val="clear" w:color="auto" w:fill="auto"/>
            <w:noWrap/>
            <w:vAlign w:val="center"/>
            <w:hideMark/>
          </w:tcPr>
          <w:p w14:paraId="7229C16B" w14:textId="77777777" w:rsidR="003C2187" w:rsidRPr="0018469C" w:rsidRDefault="003C2187" w:rsidP="003C2187">
            <w:pPr>
              <w:spacing w:line="276" w:lineRule="auto"/>
              <w:jc w:val="center"/>
              <w:rPr>
                <w:rFonts w:ascii="Arial" w:hAnsi="Arial" w:cs="Arial"/>
                <w:color w:val="000000"/>
                <w:sz w:val="18"/>
                <w:szCs w:val="18"/>
              </w:rPr>
            </w:pPr>
          </w:p>
        </w:tc>
      </w:tr>
      <w:tr w:rsidR="003C2187" w:rsidRPr="0018469C" w14:paraId="3F2AD764" w14:textId="77777777" w:rsidTr="003C2187">
        <w:trPr>
          <w:trHeight w:val="340"/>
          <w:jc w:val="center"/>
        </w:trPr>
        <w:tc>
          <w:tcPr>
            <w:tcW w:w="116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890C027" w14:textId="77777777" w:rsidR="003C2187" w:rsidRPr="0018469C" w:rsidRDefault="003C2187" w:rsidP="003C2187">
            <w:pPr>
              <w:spacing w:line="276" w:lineRule="auto"/>
              <w:jc w:val="center"/>
              <w:rPr>
                <w:rFonts w:ascii="Arial" w:hAnsi="Arial" w:cs="Arial"/>
                <w:b/>
                <w:bCs/>
                <w:color w:val="000000"/>
                <w:sz w:val="18"/>
                <w:szCs w:val="18"/>
              </w:rPr>
            </w:pPr>
            <w:r w:rsidRPr="0018469C">
              <w:rPr>
                <w:rFonts w:ascii="Arial" w:hAnsi="Arial" w:cs="Arial"/>
                <w:b/>
                <w:bCs/>
                <w:color w:val="000000"/>
                <w:sz w:val="18"/>
                <w:szCs w:val="18"/>
              </w:rPr>
              <w:t>% increase</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14:paraId="24285B02" w14:textId="77777777" w:rsidR="003C2187" w:rsidRPr="0018469C" w:rsidRDefault="003C2187"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33.08%</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14:paraId="3B38101A" w14:textId="77777777" w:rsidR="003C2187" w:rsidRPr="0018469C" w:rsidRDefault="003C2187" w:rsidP="003C2187">
            <w:pPr>
              <w:spacing w:line="276" w:lineRule="auto"/>
              <w:jc w:val="center"/>
              <w:rPr>
                <w:rFonts w:ascii="Arial" w:hAnsi="Arial" w:cs="Arial"/>
                <w:color w:val="000000"/>
                <w:sz w:val="18"/>
                <w:szCs w:val="18"/>
              </w:rPr>
            </w:pPr>
            <w:r w:rsidRPr="0018469C">
              <w:rPr>
                <w:rFonts w:ascii="Arial" w:hAnsi="Arial" w:cs="Arial"/>
                <w:color w:val="000000"/>
                <w:sz w:val="18"/>
                <w:szCs w:val="18"/>
              </w:rPr>
              <w:t>11.84%</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70CE8E02" w14:textId="77777777" w:rsidR="003C2187" w:rsidRPr="0018469C" w:rsidRDefault="003C2187" w:rsidP="003C2187">
            <w:pPr>
              <w:spacing w:line="276" w:lineRule="auto"/>
              <w:jc w:val="center"/>
              <w:rPr>
                <w:rFonts w:ascii="Arial" w:hAnsi="Arial" w:cs="Arial"/>
                <w:b/>
                <w:bCs/>
                <w:color w:val="70AD47"/>
                <w:sz w:val="18"/>
                <w:szCs w:val="18"/>
              </w:rPr>
            </w:pPr>
            <w:r w:rsidRPr="0018469C">
              <w:rPr>
                <w:rFonts w:ascii="Arial" w:hAnsi="Arial" w:cs="Arial"/>
                <w:b/>
                <w:bCs/>
                <w:color w:val="70AD47"/>
                <w:sz w:val="18"/>
                <w:szCs w:val="18"/>
              </w:rPr>
              <w:t>21.23%</w:t>
            </w:r>
          </w:p>
        </w:tc>
      </w:tr>
    </w:tbl>
    <w:p w14:paraId="2C1FC514" w14:textId="58DA1A43" w:rsidR="00E00F83" w:rsidRPr="00466357" w:rsidRDefault="00E00F83" w:rsidP="009B0DA2">
      <w:pPr>
        <w:spacing w:before="16" w:line="276" w:lineRule="auto"/>
        <w:rPr>
          <w:rFonts w:ascii="Arial" w:hAnsi="Arial" w:cs="Arial"/>
          <w:sz w:val="24"/>
          <w:szCs w:val="24"/>
        </w:rPr>
      </w:pPr>
    </w:p>
    <w:p w14:paraId="667A7710" w14:textId="77777777" w:rsidR="00F068A5" w:rsidRDefault="00F068A5" w:rsidP="009B0DA2">
      <w:pPr>
        <w:spacing w:before="16" w:line="276" w:lineRule="auto"/>
        <w:rPr>
          <w:rFonts w:ascii="Arial" w:hAnsi="Arial" w:cs="Arial"/>
          <w:sz w:val="24"/>
          <w:szCs w:val="24"/>
        </w:rPr>
      </w:pPr>
    </w:p>
    <w:p w14:paraId="13C16D92" w14:textId="60DF02C7" w:rsidR="00E00F83" w:rsidRPr="00466357" w:rsidRDefault="00FE73C8" w:rsidP="009B0DA2">
      <w:pPr>
        <w:spacing w:before="16" w:line="276" w:lineRule="auto"/>
        <w:rPr>
          <w:rFonts w:ascii="Arial" w:hAnsi="Arial" w:cs="Arial"/>
          <w:sz w:val="24"/>
          <w:szCs w:val="24"/>
        </w:rPr>
      </w:pPr>
      <w:r w:rsidRPr="00466357">
        <w:rPr>
          <w:rFonts w:ascii="Arial" w:hAnsi="Arial" w:cs="Arial"/>
          <w:sz w:val="24"/>
          <w:szCs w:val="24"/>
        </w:rPr>
        <w:t xml:space="preserve">Upon facing similar </w:t>
      </w:r>
      <w:r w:rsidR="00472613" w:rsidRPr="00466357">
        <w:rPr>
          <w:rFonts w:ascii="Arial" w:hAnsi="Arial" w:cs="Arial"/>
          <w:sz w:val="24"/>
          <w:szCs w:val="24"/>
        </w:rPr>
        <w:t>issues as with the state of Texas, this time with the ‘post’ period, we went on to calculate the averages of opioids shipments per county per capita per month across a similar matrix as earlier. We can see from the above matrix that the %increase in the opioid shipments</w:t>
      </w:r>
      <w:r w:rsidR="007F477B">
        <w:rPr>
          <w:rFonts w:ascii="Arial" w:hAnsi="Arial" w:cs="Arial"/>
          <w:sz w:val="24"/>
          <w:szCs w:val="24"/>
        </w:rPr>
        <w:t xml:space="preserve"> in Washington was around 21% lesser than that of non-policy states when compared between the pre and the post periods. </w:t>
      </w:r>
    </w:p>
    <w:p w14:paraId="60842F90" w14:textId="4A219349" w:rsidR="007F477B" w:rsidRDefault="007F477B" w:rsidP="009B0DA2">
      <w:pPr>
        <w:spacing w:before="16" w:line="276" w:lineRule="auto"/>
        <w:rPr>
          <w:rFonts w:ascii="Arial" w:hAnsi="Arial" w:cs="Arial"/>
          <w:sz w:val="24"/>
          <w:szCs w:val="24"/>
        </w:rPr>
      </w:pPr>
    </w:p>
    <w:p w14:paraId="051C278C" w14:textId="77777777" w:rsidR="007F477B" w:rsidRPr="00466357" w:rsidRDefault="007F477B" w:rsidP="009B0DA2">
      <w:pPr>
        <w:spacing w:before="16" w:line="276" w:lineRule="auto"/>
        <w:rPr>
          <w:rFonts w:ascii="Arial" w:hAnsi="Arial" w:cs="Arial"/>
          <w:sz w:val="24"/>
          <w:szCs w:val="24"/>
        </w:rPr>
      </w:pPr>
    </w:p>
    <w:p w14:paraId="78E868CB" w14:textId="03369ACD" w:rsidR="00E00F83" w:rsidRDefault="003C2187" w:rsidP="009B0DA2">
      <w:pPr>
        <w:spacing w:before="16" w:line="276" w:lineRule="auto"/>
        <w:rPr>
          <w:rFonts w:ascii="Arial" w:hAnsi="Arial" w:cs="Arial"/>
          <w:b/>
          <w:bCs/>
          <w:sz w:val="22"/>
          <w:szCs w:val="22"/>
        </w:rPr>
      </w:pPr>
      <w:r w:rsidRPr="003C2187">
        <w:rPr>
          <w:rFonts w:ascii="Arial" w:hAnsi="Arial" w:cs="Arial"/>
          <w:b/>
          <w:bCs/>
          <w:sz w:val="22"/>
          <w:szCs w:val="22"/>
        </w:rPr>
        <w:t xml:space="preserve">Mortality Analysis: </w:t>
      </w:r>
    </w:p>
    <w:p w14:paraId="60DD52DB" w14:textId="77777777" w:rsidR="00F068A5" w:rsidRDefault="00F068A5" w:rsidP="009B0DA2">
      <w:pPr>
        <w:spacing w:before="16" w:line="276" w:lineRule="auto"/>
        <w:rPr>
          <w:rFonts w:ascii="Arial" w:hAnsi="Arial" w:cs="Arial"/>
          <w:b/>
          <w:bCs/>
          <w:sz w:val="22"/>
          <w:szCs w:val="22"/>
        </w:rPr>
      </w:pPr>
    </w:p>
    <w:p w14:paraId="07965D8B" w14:textId="550BEC09" w:rsidR="00E00F83" w:rsidRPr="003C2187" w:rsidRDefault="00E00F83" w:rsidP="00784817">
      <w:pPr>
        <w:spacing w:before="16" w:line="276" w:lineRule="auto"/>
        <w:jc w:val="center"/>
        <w:rPr>
          <w:rFonts w:ascii="Arial" w:hAnsi="Arial" w:cs="Arial"/>
          <w:b/>
          <w:bCs/>
          <w:sz w:val="22"/>
          <w:szCs w:val="22"/>
        </w:rPr>
      </w:pPr>
      <w:r>
        <w:rPr>
          <w:rFonts w:ascii="Arial" w:hAnsi="Arial" w:cs="Arial"/>
          <w:b/>
          <w:bCs/>
          <w:noProof/>
          <w:sz w:val="22"/>
          <w:szCs w:val="22"/>
        </w:rPr>
        <w:drawing>
          <wp:inline distT="0" distB="0" distL="0" distR="0" wp14:anchorId="34765782" wp14:editId="0FA9D207">
            <wp:extent cx="2743200" cy="2120911"/>
            <wp:effectExtent l="0" t="0" r="0" b="0"/>
            <wp:docPr id="148" name="Picture 1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repost_W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120911"/>
                    </a:xfrm>
                    <a:prstGeom prst="rect">
                      <a:avLst/>
                    </a:prstGeom>
                  </pic:spPr>
                </pic:pic>
              </a:graphicData>
            </a:graphic>
          </wp:inline>
        </w:drawing>
      </w:r>
      <w:r>
        <w:rPr>
          <w:rFonts w:ascii="Arial" w:hAnsi="Arial" w:cs="Arial"/>
          <w:b/>
          <w:bCs/>
          <w:noProof/>
          <w:sz w:val="22"/>
          <w:szCs w:val="22"/>
        </w:rPr>
        <w:drawing>
          <wp:inline distT="0" distB="0" distL="0" distR="0" wp14:anchorId="456AEF2F" wp14:editId="091BBA47">
            <wp:extent cx="3016846" cy="2111873"/>
            <wp:effectExtent l="0" t="0" r="0" b="0"/>
            <wp:docPr id="149" name="Picture 14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FL DI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8897" cy="2120309"/>
                    </a:xfrm>
                    <a:prstGeom prst="rect">
                      <a:avLst/>
                    </a:prstGeom>
                  </pic:spPr>
                </pic:pic>
              </a:graphicData>
            </a:graphic>
          </wp:inline>
        </w:drawing>
      </w:r>
    </w:p>
    <w:p w14:paraId="451107D6" w14:textId="77777777" w:rsidR="007F477B" w:rsidRDefault="007F477B" w:rsidP="00FE73C8">
      <w:pPr>
        <w:spacing w:line="276" w:lineRule="auto"/>
        <w:rPr>
          <w:rFonts w:ascii="Arial" w:hAnsi="Arial" w:cs="Arial"/>
          <w:bCs/>
          <w:sz w:val="24"/>
          <w:szCs w:val="24"/>
        </w:rPr>
      </w:pPr>
    </w:p>
    <w:p w14:paraId="689796D9" w14:textId="77777777" w:rsidR="00F068A5" w:rsidRDefault="00F068A5" w:rsidP="00FE73C8">
      <w:pPr>
        <w:spacing w:line="276" w:lineRule="auto"/>
        <w:rPr>
          <w:rFonts w:ascii="Arial" w:hAnsi="Arial" w:cs="Arial"/>
          <w:bCs/>
          <w:sz w:val="24"/>
          <w:szCs w:val="24"/>
        </w:rPr>
      </w:pPr>
    </w:p>
    <w:p w14:paraId="6C14711F" w14:textId="25C09818" w:rsidR="002B0D5D" w:rsidRDefault="007F477B" w:rsidP="00FE73C8">
      <w:pPr>
        <w:spacing w:line="276" w:lineRule="auto"/>
        <w:rPr>
          <w:rFonts w:ascii="Arial" w:hAnsi="Arial" w:cs="Arial"/>
          <w:bCs/>
          <w:sz w:val="24"/>
          <w:szCs w:val="24"/>
        </w:rPr>
      </w:pPr>
      <w:r>
        <w:rPr>
          <w:rFonts w:ascii="Arial" w:hAnsi="Arial" w:cs="Arial"/>
          <w:bCs/>
          <w:sz w:val="24"/>
          <w:szCs w:val="24"/>
        </w:rPr>
        <w:t>Based on the above plots,</w:t>
      </w:r>
      <w:r w:rsidR="002B0D5D" w:rsidRPr="009B0DA2">
        <w:rPr>
          <w:rFonts w:ascii="Arial" w:hAnsi="Arial" w:cs="Arial"/>
          <w:bCs/>
          <w:sz w:val="24"/>
          <w:szCs w:val="24"/>
        </w:rPr>
        <w:t xml:space="preserve"> the new policy </w:t>
      </w:r>
      <w:r>
        <w:rPr>
          <w:rFonts w:ascii="Arial" w:hAnsi="Arial" w:cs="Arial"/>
          <w:bCs/>
          <w:sz w:val="24"/>
          <w:szCs w:val="24"/>
        </w:rPr>
        <w:t>change does not seem to be affecting the drug overdose mortality a lot.</w:t>
      </w:r>
      <w:r w:rsidR="002B0D5D" w:rsidRPr="009B0DA2">
        <w:rPr>
          <w:rFonts w:ascii="Arial" w:hAnsi="Arial" w:cs="Arial"/>
          <w:bCs/>
          <w:sz w:val="24"/>
          <w:szCs w:val="24"/>
        </w:rPr>
        <w:t xml:space="preserve"> </w:t>
      </w:r>
      <w:r>
        <w:rPr>
          <w:rFonts w:ascii="Arial" w:hAnsi="Arial" w:cs="Arial"/>
          <w:bCs/>
          <w:sz w:val="24"/>
          <w:szCs w:val="24"/>
        </w:rPr>
        <w:t>The death rates seem to be more or less increasing at the same pace more or less.</w:t>
      </w:r>
    </w:p>
    <w:p w14:paraId="3F58036D" w14:textId="77777777" w:rsidR="007F477B" w:rsidRPr="009B0DA2" w:rsidRDefault="007F477B" w:rsidP="00FE73C8">
      <w:pPr>
        <w:spacing w:line="276" w:lineRule="auto"/>
        <w:rPr>
          <w:rFonts w:ascii="Arial" w:hAnsi="Arial" w:cs="Arial"/>
          <w:sz w:val="24"/>
          <w:szCs w:val="24"/>
        </w:rPr>
      </w:pPr>
    </w:p>
    <w:p w14:paraId="57F7E939" w14:textId="11A3CCA3" w:rsidR="00E00F83" w:rsidRPr="009B0DA2" w:rsidRDefault="00E00F83" w:rsidP="00E00F83">
      <w:pPr>
        <w:spacing w:line="276" w:lineRule="auto"/>
        <w:ind w:left="270"/>
        <w:jc w:val="center"/>
        <w:rPr>
          <w:rFonts w:ascii="Arial" w:hAnsi="Arial" w:cs="Arial"/>
          <w:sz w:val="24"/>
          <w:szCs w:val="24"/>
        </w:rPr>
        <w:sectPr w:rsidR="00E00F83" w:rsidRPr="009B0DA2">
          <w:pgSz w:w="12240" w:h="15840"/>
          <w:pgMar w:top="1380" w:right="1340" w:bottom="280" w:left="1700" w:header="720" w:footer="720" w:gutter="0"/>
          <w:cols w:space="720"/>
        </w:sectPr>
      </w:pPr>
    </w:p>
    <w:p w14:paraId="1ADF8E53" w14:textId="27372876" w:rsidR="00580FA5" w:rsidRDefault="00580FA5" w:rsidP="00FE73C8">
      <w:pPr>
        <w:spacing w:line="276" w:lineRule="auto"/>
        <w:rPr>
          <w:rFonts w:ascii="Arial" w:hAnsi="Arial" w:cs="Arial"/>
          <w:b/>
          <w:sz w:val="24"/>
          <w:szCs w:val="24"/>
        </w:rPr>
      </w:pPr>
      <w:r w:rsidRPr="00E00F83">
        <w:rPr>
          <w:rFonts w:ascii="Arial" w:hAnsi="Arial" w:cs="Arial"/>
          <w:b/>
          <w:sz w:val="24"/>
          <w:szCs w:val="24"/>
        </w:rPr>
        <w:lastRenderedPageBreak/>
        <w:t>Limitations:</w:t>
      </w:r>
    </w:p>
    <w:p w14:paraId="0A18076B" w14:textId="77777777" w:rsidR="00FE73C8" w:rsidRPr="00E00F83" w:rsidRDefault="00FE73C8" w:rsidP="009B0DA2">
      <w:pPr>
        <w:spacing w:line="276" w:lineRule="auto"/>
        <w:ind w:left="270"/>
        <w:rPr>
          <w:rFonts w:ascii="Arial" w:hAnsi="Arial" w:cs="Arial"/>
          <w:b/>
          <w:sz w:val="24"/>
          <w:szCs w:val="24"/>
        </w:rPr>
      </w:pPr>
    </w:p>
    <w:p w14:paraId="0D63BFDA" w14:textId="496E3049" w:rsidR="00580FA5" w:rsidRPr="009B0DA2" w:rsidRDefault="00580FA5" w:rsidP="00FE73C8">
      <w:pPr>
        <w:spacing w:line="276" w:lineRule="auto"/>
        <w:rPr>
          <w:rFonts w:ascii="Arial" w:hAnsi="Arial" w:cs="Arial"/>
          <w:sz w:val="24"/>
          <w:szCs w:val="24"/>
        </w:rPr>
      </w:pPr>
      <w:r w:rsidRPr="009B0DA2">
        <w:rPr>
          <w:rFonts w:ascii="Arial" w:hAnsi="Arial" w:cs="Arial"/>
          <w:b/>
          <w:sz w:val="24"/>
          <w:szCs w:val="24"/>
        </w:rPr>
        <w:tab/>
      </w:r>
      <w:r w:rsidR="007F477B">
        <w:rPr>
          <w:rFonts w:ascii="Arial" w:hAnsi="Arial" w:cs="Arial"/>
          <w:sz w:val="24"/>
          <w:szCs w:val="24"/>
        </w:rPr>
        <w:t>There</w:t>
      </w:r>
      <w:r w:rsidRPr="009B0DA2">
        <w:rPr>
          <w:rFonts w:ascii="Arial" w:hAnsi="Arial" w:cs="Arial"/>
          <w:sz w:val="24"/>
          <w:szCs w:val="24"/>
        </w:rPr>
        <w:t xml:space="preserve"> are a couple of limitations that have to be brought to the attention. Firstly, our data on opioid transactions only contain data on transactions – who sold it and who </w:t>
      </w:r>
      <w:r w:rsidR="00E00F83" w:rsidRPr="009B0DA2">
        <w:rPr>
          <w:rFonts w:ascii="Arial" w:hAnsi="Arial" w:cs="Arial"/>
          <w:sz w:val="24"/>
          <w:szCs w:val="24"/>
        </w:rPr>
        <w:t>bought</w:t>
      </w:r>
      <w:r w:rsidRPr="009B0DA2">
        <w:rPr>
          <w:rFonts w:ascii="Arial" w:hAnsi="Arial" w:cs="Arial"/>
          <w:sz w:val="24"/>
          <w:szCs w:val="24"/>
        </w:rPr>
        <w:t xml:space="preserve"> it. We don’t know if all the opioid transacted were dispensed – we have operated under the assumption that all the drugs transacted were sold and were sold in the same county where they were bought. Secondly, not all opioid transactions have to reported to the DEA. Only transactions exceeding a certain threshold have to be reported to the DEA as mandated by the law. This allows smaller transactions to escape the radar of the DEA and therefore making our analysis not entirely accurate. Thirdly, the dataset on drug overdose mortality contains data on all-drug related deaths – not specifically deaths related to opioid overdosing. This makes our analysis suffer slightly as we have assumed all drug-related deaths to be caused due to opioid overdosing. Fourthly, the not drug-related deaths were reported in the drug overdose mortality dataset. Again, only deaths exceeding a certain threshold (10 deaths) were reported. Finally, insufficient data for Texas and Washington made it difficult to perform a thorough pre – post and difference in difference analysis. We had to resort to calculating percent-difference, which allowed us to gain an insight into the trends but were nevertheless a compromise.  </w:t>
      </w:r>
    </w:p>
    <w:p w14:paraId="05400EAF" w14:textId="77777777" w:rsidR="00FE73C8" w:rsidRDefault="00FE73C8" w:rsidP="00FE73C8">
      <w:pPr>
        <w:spacing w:before="32" w:line="276" w:lineRule="auto"/>
        <w:rPr>
          <w:rFonts w:ascii="Arial" w:hAnsi="Arial" w:cs="Arial"/>
          <w:sz w:val="24"/>
          <w:szCs w:val="24"/>
        </w:rPr>
      </w:pPr>
    </w:p>
    <w:p w14:paraId="5C392F57" w14:textId="7E220D46" w:rsidR="007F477B" w:rsidRDefault="00E00F83" w:rsidP="007F477B">
      <w:pPr>
        <w:spacing w:before="32" w:line="276" w:lineRule="auto"/>
        <w:rPr>
          <w:rFonts w:ascii="Arial" w:eastAsia="Arial" w:hAnsi="Arial" w:cs="Arial"/>
          <w:b/>
          <w:bCs/>
          <w:sz w:val="24"/>
          <w:szCs w:val="24"/>
        </w:rPr>
      </w:pPr>
      <w:r w:rsidRPr="00E00F83">
        <w:rPr>
          <w:rFonts w:ascii="Arial" w:eastAsia="Arial" w:hAnsi="Arial" w:cs="Arial"/>
          <w:b/>
          <w:bCs/>
          <w:sz w:val="24"/>
          <w:szCs w:val="24"/>
        </w:rPr>
        <w:t>Conclusion:</w:t>
      </w:r>
    </w:p>
    <w:p w14:paraId="7B642EFC" w14:textId="77777777" w:rsidR="00A26231" w:rsidRDefault="00A26231" w:rsidP="007F477B">
      <w:pPr>
        <w:spacing w:before="32" w:line="276" w:lineRule="auto"/>
        <w:rPr>
          <w:rFonts w:ascii="Arial" w:eastAsia="Arial" w:hAnsi="Arial" w:cs="Arial"/>
          <w:b/>
          <w:bCs/>
          <w:sz w:val="24"/>
          <w:szCs w:val="24"/>
        </w:rPr>
      </w:pPr>
    </w:p>
    <w:p w14:paraId="2DC70C68" w14:textId="768F94C1" w:rsidR="003318FD" w:rsidRDefault="007F477B" w:rsidP="003318FD">
      <w:pPr>
        <w:spacing w:before="32" w:line="276" w:lineRule="auto"/>
        <w:ind w:firstLine="720"/>
        <w:rPr>
          <w:rFonts w:ascii="Arial" w:eastAsia="Arial" w:hAnsi="Arial" w:cs="Arial"/>
          <w:sz w:val="24"/>
          <w:szCs w:val="24"/>
        </w:rPr>
      </w:pPr>
      <w:r w:rsidRPr="007F477B">
        <w:rPr>
          <w:rFonts w:ascii="Arial" w:eastAsia="Arial" w:hAnsi="Arial" w:cs="Arial"/>
          <w:sz w:val="24"/>
          <w:szCs w:val="24"/>
        </w:rPr>
        <w:t>The overall analysis more or less seemed to be fruitful.</w:t>
      </w:r>
      <w:r w:rsidR="003318FD">
        <w:rPr>
          <w:rFonts w:ascii="Arial" w:eastAsia="Arial" w:hAnsi="Arial" w:cs="Arial"/>
          <w:sz w:val="24"/>
          <w:szCs w:val="24"/>
        </w:rPr>
        <w:t xml:space="preserve"> For the states of Florida and Texas, both the opioid analysis and the drug overdose mortality analysis indicate the success of the policy changes that were made in the respective states. However, for the state of Washington, though the numbers from the opioid analysis seem promising, we cannot make similar conclusions from the mortality analysis.</w:t>
      </w:r>
    </w:p>
    <w:p w14:paraId="7D4AAA2B" w14:textId="7CBFF9A1" w:rsidR="003318FD" w:rsidRPr="003318FD" w:rsidRDefault="003318FD" w:rsidP="003318FD">
      <w:pPr>
        <w:spacing w:before="32" w:line="276" w:lineRule="auto"/>
        <w:ind w:firstLine="720"/>
        <w:rPr>
          <w:rFonts w:ascii="Arial" w:eastAsia="Arial" w:hAnsi="Arial" w:cs="Arial"/>
          <w:sz w:val="24"/>
          <w:szCs w:val="24"/>
        </w:rPr>
      </w:pPr>
      <w:r>
        <w:rPr>
          <w:rFonts w:ascii="Arial" w:eastAsia="Arial" w:hAnsi="Arial" w:cs="Arial"/>
          <w:sz w:val="24"/>
          <w:szCs w:val="24"/>
        </w:rPr>
        <w:t xml:space="preserve">Further analysis maybe carried out on the state of Washington to get to a more conclusive answer. </w:t>
      </w:r>
    </w:p>
    <w:sectPr w:rsidR="003318FD" w:rsidRPr="003318FD">
      <w:pgSz w:w="12240" w:h="15840"/>
      <w:pgMar w:top="1480" w:right="14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B06F1"/>
    <w:multiLevelType w:val="hybridMultilevel"/>
    <w:tmpl w:val="6052944C"/>
    <w:lvl w:ilvl="0" w:tplc="03B0B3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290BD4"/>
    <w:multiLevelType w:val="multilevel"/>
    <w:tmpl w:val="D8C22F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0A52870"/>
    <w:multiLevelType w:val="multilevel"/>
    <w:tmpl w:val="181C282C"/>
    <w:lvl w:ilvl="0">
      <w:start w:val="3"/>
      <w:numFmt w:val="decimal"/>
      <w:lvlText w:val="%1"/>
      <w:lvlJc w:val="left"/>
      <w:pPr>
        <w:ind w:left="360" w:hanging="360"/>
      </w:pPr>
      <w:rPr>
        <w:rFonts w:hint="default"/>
        <w:b w:val="0"/>
        <w:u w:val="none"/>
      </w:rPr>
    </w:lvl>
    <w:lvl w:ilvl="1">
      <w:start w:val="3"/>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10A"/>
    <w:rsid w:val="00020578"/>
    <w:rsid w:val="00107EB4"/>
    <w:rsid w:val="00162E99"/>
    <w:rsid w:val="0018469C"/>
    <w:rsid w:val="001F2B1B"/>
    <w:rsid w:val="00237538"/>
    <w:rsid w:val="00283286"/>
    <w:rsid w:val="002B0D5D"/>
    <w:rsid w:val="003318FD"/>
    <w:rsid w:val="003A4F84"/>
    <w:rsid w:val="003B4E2E"/>
    <w:rsid w:val="003C2187"/>
    <w:rsid w:val="003C3168"/>
    <w:rsid w:val="00412679"/>
    <w:rsid w:val="004229BF"/>
    <w:rsid w:val="00466357"/>
    <w:rsid w:val="00472613"/>
    <w:rsid w:val="00580FA5"/>
    <w:rsid w:val="005C6E30"/>
    <w:rsid w:val="00631BF7"/>
    <w:rsid w:val="00632626"/>
    <w:rsid w:val="00706AC4"/>
    <w:rsid w:val="00784817"/>
    <w:rsid w:val="0079240A"/>
    <w:rsid w:val="007F477B"/>
    <w:rsid w:val="007F6EC6"/>
    <w:rsid w:val="007F710A"/>
    <w:rsid w:val="0088173E"/>
    <w:rsid w:val="009B0DA2"/>
    <w:rsid w:val="009B7B53"/>
    <w:rsid w:val="009D4A5B"/>
    <w:rsid w:val="00A26231"/>
    <w:rsid w:val="00AC4DA4"/>
    <w:rsid w:val="00BC7D2B"/>
    <w:rsid w:val="00C6575D"/>
    <w:rsid w:val="00CA055C"/>
    <w:rsid w:val="00D51E38"/>
    <w:rsid w:val="00D77481"/>
    <w:rsid w:val="00E00F83"/>
    <w:rsid w:val="00E67A7C"/>
    <w:rsid w:val="00EB2E42"/>
    <w:rsid w:val="00EC78B1"/>
    <w:rsid w:val="00F068A5"/>
    <w:rsid w:val="00F379B7"/>
    <w:rsid w:val="00FE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A56A"/>
  <w15:docId w15:val="{D5BBA80B-70FB-474E-B3CF-3E8E4103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C4DA4"/>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AC4DA4"/>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2679"/>
    <w:pPr>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020">
      <w:bodyDiv w:val="1"/>
      <w:marLeft w:val="0"/>
      <w:marRight w:val="0"/>
      <w:marTop w:val="0"/>
      <w:marBottom w:val="0"/>
      <w:divBdr>
        <w:top w:val="none" w:sz="0" w:space="0" w:color="auto"/>
        <w:left w:val="none" w:sz="0" w:space="0" w:color="auto"/>
        <w:bottom w:val="none" w:sz="0" w:space="0" w:color="auto"/>
        <w:right w:val="none" w:sz="0" w:space="0" w:color="auto"/>
      </w:divBdr>
      <w:divsChild>
        <w:div w:id="871771856">
          <w:marLeft w:val="0"/>
          <w:marRight w:val="0"/>
          <w:marTop w:val="0"/>
          <w:marBottom w:val="0"/>
          <w:divBdr>
            <w:top w:val="none" w:sz="0" w:space="0" w:color="auto"/>
            <w:left w:val="none" w:sz="0" w:space="0" w:color="auto"/>
            <w:bottom w:val="none" w:sz="0" w:space="0" w:color="auto"/>
            <w:right w:val="none" w:sz="0" w:space="0" w:color="auto"/>
          </w:divBdr>
        </w:div>
        <w:div w:id="2124419259">
          <w:marLeft w:val="0"/>
          <w:marRight w:val="0"/>
          <w:marTop w:val="0"/>
          <w:marBottom w:val="0"/>
          <w:divBdr>
            <w:top w:val="none" w:sz="0" w:space="0" w:color="auto"/>
            <w:left w:val="none" w:sz="0" w:space="0" w:color="auto"/>
            <w:bottom w:val="none" w:sz="0" w:space="0" w:color="auto"/>
            <w:right w:val="none" w:sz="0" w:space="0" w:color="auto"/>
          </w:divBdr>
        </w:div>
        <w:div w:id="1776947395">
          <w:marLeft w:val="0"/>
          <w:marRight w:val="0"/>
          <w:marTop w:val="0"/>
          <w:marBottom w:val="0"/>
          <w:divBdr>
            <w:top w:val="none" w:sz="0" w:space="0" w:color="auto"/>
            <w:left w:val="none" w:sz="0" w:space="0" w:color="auto"/>
            <w:bottom w:val="none" w:sz="0" w:space="0" w:color="auto"/>
            <w:right w:val="none" w:sz="0" w:space="0" w:color="auto"/>
          </w:divBdr>
        </w:div>
        <w:div w:id="472336298">
          <w:marLeft w:val="0"/>
          <w:marRight w:val="0"/>
          <w:marTop w:val="0"/>
          <w:marBottom w:val="0"/>
          <w:divBdr>
            <w:top w:val="none" w:sz="0" w:space="0" w:color="auto"/>
            <w:left w:val="none" w:sz="0" w:space="0" w:color="auto"/>
            <w:bottom w:val="none" w:sz="0" w:space="0" w:color="auto"/>
            <w:right w:val="none" w:sz="0" w:space="0" w:color="auto"/>
          </w:divBdr>
        </w:div>
        <w:div w:id="1439988195">
          <w:marLeft w:val="0"/>
          <w:marRight w:val="0"/>
          <w:marTop w:val="0"/>
          <w:marBottom w:val="0"/>
          <w:divBdr>
            <w:top w:val="none" w:sz="0" w:space="0" w:color="auto"/>
            <w:left w:val="none" w:sz="0" w:space="0" w:color="auto"/>
            <w:bottom w:val="none" w:sz="0" w:space="0" w:color="auto"/>
            <w:right w:val="none" w:sz="0" w:space="0" w:color="auto"/>
          </w:divBdr>
        </w:div>
        <w:div w:id="649554997">
          <w:marLeft w:val="0"/>
          <w:marRight w:val="0"/>
          <w:marTop w:val="0"/>
          <w:marBottom w:val="0"/>
          <w:divBdr>
            <w:top w:val="none" w:sz="0" w:space="0" w:color="auto"/>
            <w:left w:val="none" w:sz="0" w:space="0" w:color="auto"/>
            <w:bottom w:val="none" w:sz="0" w:space="0" w:color="auto"/>
            <w:right w:val="none" w:sz="0" w:space="0" w:color="auto"/>
          </w:divBdr>
        </w:div>
        <w:div w:id="1490247776">
          <w:marLeft w:val="0"/>
          <w:marRight w:val="0"/>
          <w:marTop w:val="0"/>
          <w:marBottom w:val="0"/>
          <w:divBdr>
            <w:top w:val="none" w:sz="0" w:space="0" w:color="auto"/>
            <w:left w:val="none" w:sz="0" w:space="0" w:color="auto"/>
            <w:bottom w:val="none" w:sz="0" w:space="0" w:color="auto"/>
            <w:right w:val="none" w:sz="0" w:space="0" w:color="auto"/>
          </w:divBdr>
        </w:div>
        <w:div w:id="1996495569">
          <w:marLeft w:val="0"/>
          <w:marRight w:val="0"/>
          <w:marTop w:val="0"/>
          <w:marBottom w:val="0"/>
          <w:divBdr>
            <w:top w:val="none" w:sz="0" w:space="0" w:color="auto"/>
            <w:left w:val="none" w:sz="0" w:space="0" w:color="auto"/>
            <w:bottom w:val="none" w:sz="0" w:space="0" w:color="auto"/>
            <w:right w:val="none" w:sz="0" w:space="0" w:color="auto"/>
          </w:divBdr>
        </w:div>
        <w:div w:id="1258831953">
          <w:marLeft w:val="0"/>
          <w:marRight w:val="0"/>
          <w:marTop w:val="0"/>
          <w:marBottom w:val="0"/>
          <w:divBdr>
            <w:top w:val="none" w:sz="0" w:space="0" w:color="auto"/>
            <w:left w:val="none" w:sz="0" w:space="0" w:color="auto"/>
            <w:bottom w:val="none" w:sz="0" w:space="0" w:color="auto"/>
            <w:right w:val="none" w:sz="0" w:space="0" w:color="auto"/>
          </w:divBdr>
        </w:div>
        <w:div w:id="2111702830">
          <w:marLeft w:val="0"/>
          <w:marRight w:val="0"/>
          <w:marTop w:val="0"/>
          <w:marBottom w:val="0"/>
          <w:divBdr>
            <w:top w:val="none" w:sz="0" w:space="0" w:color="auto"/>
            <w:left w:val="none" w:sz="0" w:space="0" w:color="auto"/>
            <w:bottom w:val="none" w:sz="0" w:space="0" w:color="auto"/>
            <w:right w:val="none" w:sz="0" w:space="0" w:color="auto"/>
          </w:divBdr>
        </w:div>
        <w:div w:id="2042971123">
          <w:marLeft w:val="0"/>
          <w:marRight w:val="0"/>
          <w:marTop w:val="0"/>
          <w:marBottom w:val="0"/>
          <w:divBdr>
            <w:top w:val="none" w:sz="0" w:space="0" w:color="auto"/>
            <w:left w:val="none" w:sz="0" w:space="0" w:color="auto"/>
            <w:bottom w:val="none" w:sz="0" w:space="0" w:color="auto"/>
            <w:right w:val="none" w:sz="0" w:space="0" w:color="auto"/>
          </w:divBdr>
        </w:div>
        <w:div w:id="1296714974">
          <w:marLeft w:val="0"/>
          <w:marRight w:val="0"/>
          <w:marTop w:val="0"/>
          <w:marBottom w:val="0"/>
          <w:divBdr>
            <w:top w:val="none" w:sz="0" w:space="0" w:color="auto"/>
            <w:left w:val="none" w:sz="0" w:space="0" w:color="auto"/>
            <w:bottom w:val="none" w:sz="0" w:space="0" w:color="auto"/>
            <w:right w:val="none" w:sz="0" w:space="0" w:color="auto"/>
          </w:divBdr>
        </w:div>
        <w:div w:id="1861702080">
          <w:marLeft w:val="0"/>
          <w:marRight w:val="0"/>
          <w:marTop w:val="0"/>
          <w:marBottom w:val="0"/>
          <w:divBdr>
            <w:top w:val="none" w:sz="0" w:space="0" w:color="auto"/>
            <w:left w:val="none" w:sz="0" w:space="0" w:color="auto"/>
            <w:bottom w:val="none" w:sz="0" w:space="0" w:color="auto"/>
            <w:right w:val="none" w:sz="0" w:space="0" w:color="auto"/>
          </w:divBdr>
        </w:div>
        <w:div w:id="1218055218">
          <w:marLeft w:val="0"/>
          <w:marRight w:val="0"/>
          <w:marTop w:val="0"/>
          <w:marBottom w:val="0"/>
          <w:divBdr>
            <w:top w:val="none" w:sz="0" w:space="0" w:color="auto"/>
            <w:left w:val="none" w:sz="0" w:space="0" w:color="auto"/>
            <w:bottom w:val="none" w:sz="0" w:space="0" w:color="auto"/>
            <w:right w:val="none" w:sz="0" w:space="0" w:color="auto"/>
          </w:divBdr>
        </w:div>
        <w:div w:id="1657034472">
          <w:marLeft w:val="0"/>
          <w:marRight w:val="0"/>
          <w:marTop w:val="0"/>
          <w:marBottom w:val="0"/>
          <w:divBdr>
            <w:top w:val="none" w:sz="0" w:space="0" w:color="auto"/>
            <w:left w:val="none" w:sz="0" w:space="0" w:color="auto"/>
            <w:bottom w:val="none" w:sz="0" w:space="0" w:color="auto"/>
            <w:right w:val="none" w:sz="0" w:space="0" w:color="auto"/>
          </w:divBdr>
        </w:div>
        <w:div w:id="646517746">
          <w:marLeft w:val="0"/>
          <w:marRight w:val="0"/>
          <w:marTop w:val="0"/>
          <w:marBottom w:val="0"/>
          <w:divBdr>
            <w:top w:val="none" w:sz="0" w:space="0" w:color="auto"/>
            <w:left w:val="none" w:sz="0" w:space="0" w:color="auto"/>
            <w:bottom w:val="none" w:sz="0" w:space="0" w:color="auto"/>
            <w:right w:val="none" w:sz="0" w:space="0" w:color="auto"/>
          </w:divBdr>
        </w:div>
        <w:div w:id="1230119158">
          <w:marLeft w:val="0"/>
          <w:marRight w:val="0"/>
          <w:marTop w:val="0"/>
          <w:marBottom w:val="0"/>
          <w:divBdr>
            <w:top w:val="none" w:sz="0" w:space="0" w:color="auto"/>
            <w:left w:val="none" w:sz="0" w:space="0" w:color="auto"/>
            <w:bottom w:val="none" w:sz="0" w:space="0" w:color="auto"/>
            <w:right w:val="none" w:sz="0" w:space="0" w:color="auto"/>
          </w:divBdr>
        </w:div>
        <w:div w:id="250699194">
          <w:marLeft w:val="0"/>
          <w:marRight w:val="0"/>
          <w:marTop w:val="0"/>
          <w:marBottom w:val="0"/>
          <w:divBdr>
            <w:top w:val="none" w:sz="0" w:space="0" w:color="auto"/>
            <w:left w:val="none" w:sz="0" w:space="0" w:color="auto"/>
            <w:bottom w:val="none" w:sz="0" w:space="0" w:color="auto"/>
            <w:right w:val="none" w:sz="0" w:space="0" w:color="auto"/>
          </w:divBdr>
        </w:div>
        <w:div w:id="1261254855">
          <w:marLeft w:val="0"/>
          <w:marRight w:val="0"/>
          <w:marTop w:val="0"/>
          <w:marBottom w:val="0"/>
          <w:divBdr>
            <w:top w:val="none" w:sz="0" w:space="0" w:color="auto"/>
            <w:left w:val="none" w:sz="0" w:space="0" w:color="auto"/>
            <w:bottom w:val="none" w:sz="0" w:space="0" w:color="auto"/>
            <w:right w:val="none" w:sz="0" w:space="0" w:color="auto"/>
          </w:divBdr>
        </w:div>
        <w:div w:id="1054767368">
          <w:marLeft w:val="0"/>
          <w:marRight w:val="0"/>
          <w:marTop w:val="0"/>
          <w:marBottom w:val="0"/>
          <w:divBdr>
            <w:top w:val="none" w:sz="0" w:space="0" w:color="auto"/>
            <w:left w:val="none" w:sz="0" w:space="0" w:color="auto"/>
            <w:bottom w:val="none" w:sz="0" w:space="0" w:color="auto"/>
            <w:right w:val="none" w:sz="0" w:space="0" w:color="auto"/>
          </w:divBdr>
        </w:div>
        <w:div w:id="1730375995">
          <w:marLeft w:val="0"/>
          <w:marRight w:val="0"/>
          <w:marTop w:val="0"/>
          <w:marBottom w:val="0"/>
          <w:divBdr>
            <w:top w:val="none" w:sz="0" w:space="0" w:color="auto"/>
            <w:left w:val="none" w:sz="0" w:space="0" w:color="auto"/>
            <w:bottom w:val="none" w:sz="0" w:space="0" w:color="auto"/>
            <w:right w:val="none" w:sz="0" w:space="0" w:color="auto"/>
          </w:divBdr>
        </w:div>
        <w:div w:id="437919492">
          <w:marLeft w:val="0"/>
          <w:marRight w:val="0"/>
          <w:marTop w:val="0"/>
          <w:marBottom w:val="0"/>
          <w:divBdr>
            <w:top w:val="none" w:sz="0" w:space="0" w:color="auto"/>
            <w:left w:val="none" w:sz="0" w:space="0" w:color="auto"/>
            <w:bottom w:val="none" w:sz="0" w:space="0" w:color="auto"/>
            <w:right w:val="none" w:sz="0" w:space="0" w:color="auto"/>
          </w:divBdr>
        </w:div>
        <w:div w:id="2038852562">
          <w:marLeft w:val="0"/>
          <w:marRight w:val="0"/>
          <w:marTop w:val="0"/>
          <w:marBottom w:val="0"/>
          <w:divBdr>
            <w:top w:val="none" w:sz="0" w:space="0" w:color="auto"/>
            <w:left w:val="none" w:sz="0" w:space="0" w:color="auto"/>
            <w:bottom w:val="none" w:sz="0" w:space="0" w:color="auto"/>
            <w:right w:val="none" w:sz="0" w:space="0" w:color="auto"/>
          </w:divBdr>
        </w:div>
        <w:div w:id="2046901950">
          <w:marLeft w:val="0"/>
          <w:marRight w:val="0"/>
          <w:marTop w:val="0"/>
          <w:marBottom w:val="0"/>
          <w:divBdr>
            <w:top w:val="none" w:sz="0" w:space="0" w:color="auto"/>
            <w:left w:val="none" w:sz="0" w:space="0" w:color="auto"/>
            <w:bottom w:val="none" w:sz="0" w:space="0" w:color="auto"/>
            <w:right w:val="none" w:sz="0" w:space="0" w:color="auto"/>
          </w:divBdr>
        </w:div>
        <w:div w:id="444471599">
          <w:marLeft w:val="0"/>
          <w:marRight w:val="0"/>
          <w:marTop w:val="0"/>
          <w:marBottom w:val="0"/>
          <w:divBdr>
            <w:top w:val="none" w:sz="0" w:space="0" w:color="auto"/>
            <w:left w:val="none" w:sz="0" w:space="0" w:color="auto"/>
            <w:bottom w:val="none" w:sz="0" w:space="0" w:color="auto"/>
            <w:right w:val="none" w:sz="0" w:space="0" w:color="auto"/>
          </w:divBdr>
        </w:div>
        <w:div w:id="847521578">
          <w:marLeft w:val="0"/>
          <w:marRight w:val="0"/>
          <w:marTop w:val="0"/>
          <w:marBottom w:val="0"/>
          <w:divBdr>
            <w:top w:val="none" w:sz="0" w:space="0" w:color="auto"/>
            <w:left w:val="none" w:sz="0" w:space="0" w:color="auto"/>
            <w:bottom w:val="none" w:sz="0" w:space="0" w:color="auto"/>
            <w:right w:val="none" w:sz="0" w:space="0" w:color="auto"/>
          </w:divBdr>
        </w:div>
        <w:div w:id="309407439">
          <w:marLeft w:val="0"/>
          <w:marRight w:val="0"/>
          <w:marTop w:val="0"/>
          <w:marBottom w:val="0"/>
          <w:divBdr>
            <w:top w:val="none" w:sz="0" w:space="0" w:color="auto"/>
            <w:left w:val="none" w:sz="0" w:space="0" w:color="auto"/>
            <w:bottom w:val="none" w:sz="0" w:space="0" w:color="auto"/>
            <w:right w:val="none" w:sz="0" w:space="0" w:color="auto"/>
          </w:divBdr>
        </w:div>
        <w:div w:id="1525905019">
          <w:marLeft w:val="0"/>
          <w:marRight w:val="0"/>
          <w:marTop w:val="0"/>
          <w:marBottom w:val="0"/>
          <w:divBdr>
            <w:top w:val="none" w:sz="0" w:space="0" w:color="auto"/>
            <w:left w:val="none" w:sz="0" w:space="0" w:color="auto"/>
            <w:bottom w:val="none" w:sz="0" w:space="0" w:color="auto"/>
            <w:right w:val="none" w:sz="0" w:space="0" w:color="auto"/>
          </w:divBdr>
        </w:div>
        <w:div w:id="1997222167">
          <w:marLeft w:val="0"/>
          <w:marRight w:val="0"/>
          <w:marTop w:val="0"/>
          <w:marBottom w:val="0"/>
          <w:divBdr>
            <w:top w:val="none" w:sz="0" w:space="0" w:color="auto"/>
            <w:left w:val="none" w:sz="0" w:space="0" w:color="auto"/>
            <w:bottom w:val="none" w:sz="0" w:space="0" w:color="auto"/>
            <w:right w:val="none" w:sz="0" w:space="0" w:color="auto"/>
          </w:divBdr>
        </w:div>
        <w:div w:id="1388721183">
          <w:marLeft w:val="0"/>
          <w:marRight w:val="0"/>
          <w:marTop w:val="0"/>
          <w:marBottom w:val="0"/>
          <w:divBdr>
            <w:top w:val="none" w:sz="0" w:space="0" w:color="auto"/>
            <w:left w:val="none" w:sz="0" w:space="0" w:color="auto"/>
            <w:bottom w:val="none" w:sz="0" w:space="0" w:color="auto"/>
            <w:right w:val="none" w:sz="0" w:space="0" w:color="auto"/>
          </w:divBdr>
        </w:div>
        <w:div w:id="851577033">
          <w:marLeft w:val="0"/>
          <w:marRight w:val="0"/>
          <w:marTop w:val="0"/>
          <w:marBottom w:val="0"/>
          <w:divBdr>
            <w:top w:val="none" w:sz="0" w:space="0" w:color="auto"/>
            <w:left w:val="none" w:sz="0" w:space="0" w:color="auto"/>
            <w:bottom w:val="none" w:sz="0" w:space="0" w:color="auto"/>
            <w:right w:val="none" w:sz="0" w:space="0" w:color="auto"/>
          </w:divBdr>
        </w:div>
      </w:divsChild>
    </w:div>
    <w:div w:id="1244292166">
      <w:bodyDiv w:val="1"/>
      <w:marLeft w:val="0"/>
      <w:marRight w:val="0"/>
      <w:marTop w:val="0"/>
      <w:marBottom w:val="0"/>
      <w:divBdr>
        <w:top w:val="none" w:sz="0" w:space="0" w:color="auto"/>
        <w:left w:val="none" w:sz="0" w:space="0" w:color="auto"/>
        <w:bottom w:val="none" w:sz="0" w:space="0" w:color="auto"/>
        <w:right w:val="none" w:sz="0" w:space="0" w:color="auto"/>
      </w:divBdr>
    </w:div>
    <w:div w:id="140144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Abhiraj Vinnakota</cp:lastModifiedBy>
  <cp:revision>40</cp:revision>
  <cp:lastPrinted>2019-11-27T01:51:00Z</cp:lastPrinted>
  <dcterms:created xsi:type="dcterms:W3CDTF">2019-11-26T22:50:00Z</dcterms:created>
  <dcterms:modified xsi:type="dcterms:W3CDTF">2019-11-27T02:38:00Z</dcterms:modified>
</cp:coreProperties>
</file>