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45D53" w14:textId="77777777" w:rsidR="00DF7788" w:rsidRPr="00DF7788" w:rsidRDefault="00DF7788" w:rsidP="00DF7788">
      <w:pPr>
        <w:jc w:val="center"/>
        <w:rPr>
          <w:rFonts w:ascii="Times New Roman" w:hAnsi="Times New Roman" w:cs="Times New Roman"/>
          <w:b/>
          <w:sz w:val="28"/>
          <w:szCs w:val="28"/>
          <w:lang w:val="en-US"/>
        </w:rPr>
      </w:pPr>
      <w:r w:rsidRPr="00DF7788">
        <w:rPr>
          <w:rFonts w:ascii="Times New Roman" w:hAnsi="Times New Roman" w:cs="Times New Roman"/>
          <w:b/>
          <w:sz w:val="28"/>
          <w:szCs w:val="28"/>
          <w:lang w:val="en-US"/>
        </w:rPr>
        <w:t>Report to the Policymaker</w:t>
      </w:r>
    </w:p>
    <w:p w14:paraId="670D0906" w14:textId="77777777" w:rsidR="0094160E" w:rsidRPr="00B36DAE" w:rsidRDefault="00DF7788" w:rsidP="00DF7788">
      <w:pPr>
        <w:jc w:val="center"/>
        <w:rPr>
          <w:rFonts w:ascii="Times New Roman" w:hAnsi="Times New Roman" w:cs="Times New Roman"/>
          <w:sz w:val="28"/>
          <w:szCs w:val="28"/>
          <w:u w:val="single"/>
          <w:lang w:val="en-US"/>
        </w:rPr>
      </w:pPr>
      <w:r w:rsidRPr="00B36DAE">
        <w:rPr>
          <w:rFonts w:ascii="Times New Roman" w:hAnsi="Times New Roman" w:cs="Times New Roman"/>
          <w:sz w:val="28"/>
          <w:szCs w:val="28"/>
          <w:u w:val="single"/>
          <w:lang w:val="en-US"/>
        </w:rPr>
        <w:t>Effects of Policy Changes on Opioid Transactions and Mortality in the States of Florida, Texas and Washington</w:t>
      </w:r>
    </w:p>
    <w:p w14:paraId="7A201D24" w14:textId="77777777" w:rsidR="00DF7788" w:rsidRPr="00B36DAE" w:rsidRDefault="00DF7788" w:rsidP="00DF7788">
      <w:pPr>
        <w:jc w:val="center"/>
        <w:rPr>
          <w:rFonts w:ascii="Times New Roman" w:hAnsi="Times New Roman" w:cs="Times New Roman"/>
          <w:sz w:val="24"/>
          <w:szCs w:val="24"/>
          <w:lang w:val="en-US"/>
        </w:rPr>
      </w:pPr>
      <w:r w:rsidRPr="00B36DAE">
        <w:rPr>
          <w:rFonts w:ascii="Times New Roman" w:hAnsi="Times New Roman" w:cs="Times New Roman"/>
          <w:i/>
          <w:sz w:val="24"/>
          <w:szCs w:val="24"/>
          <w:lang w:val="en-US"/>
        </w:rPr>
        <w:t xml:space="preserve">Authors: </w:t>
      </w:r>
      <w:proofErr w:type="spellStart"/>
      <w:r w:rsidRPr="00B36DAE">
        <w:rPr>
          <w:rFonts w:ascii="Times New Roman" w:hAnsi="Times New Roman" w:cs="Times New Roman"/>
          <w:i/>
          <w:sz w:val="24"/>
          <w:szCs w:val="24"/>
          <w:lang w:val="en-US"/>
        </w:rPr>
        <w:t>Vishaal</w:t>
      </w:r>
      <w:proofErr w:type="spellEnd"/>
      <w:r w:rsidRPr="00B36DAE">
        <w:rPr>
          <w:rFonts w:ascii="Times New Roman" w:hAnsi="Times New Roman" w:cs="Times New Roman"/>
          <w:i/>
          <w:sz w:val="24"/>
          <w:szCs w:val="24"/>
          <w:lang w:val="en-US"/>
        </w:rPr>
        <w:t xml:space="preserve"> Venkatesh, </w:t>
      </w:r>
      <w:proofErr w:type="spellStart"/>
      <w:r w:rsidRPr="00B36DAE">
        <w:rPr>
          <w:rFonts w:ascii="Times New Roman" w:hAnsi="Times New Roman" w:cs="Times New Roman"/>
          <w:i/>
          <w:sz w:val="24"/>
          <w:szCs w:val="24"/>
          <w:lang w:val="en-US"/>
        </w:rPr>
        <w:t>Abhiraj</w:t>
      </w:r>
      <w:proofErr w:type="spellEnd"/>
      <w:r w:rsidRPr="00B36DAE">
        <w:rPr>
          <w:rFonts w:ascii="Times New Roman" w:hAnsi="Times New Roman" w:cs="Times New Roman"/>
          <w:i/>
          <w:sz w:val="24"/>
          <w:szCs w:val="24"/>
          <w:lang w:val="en-US"/>
        </w:rPr>
        <w:t xml:space="preserve"> </w:t>
      </w:r>
      <w:proofErr w:type="spellStart"/>
      <w:r w:rsidRPr="00B36DAE">
        <w:rPr>
          <w:rFonts w:ascii="Times New Roman" w:hAnsi="Times New Roman" w:cs="Times New Roman"/>
          <w:i/>
          <w:sz w:val="24"/>
          <w:szCs w:val="24"/>
          <w:lang w:val="en-US"/>
        </w:rPr>
        <w:t>Vinnakota</w:t>
      </w:r>
      <w:proofErr w:type="spellEnd"/>
      <w:r w:rsidRPr="00B36DAE">
        <w:rPr>
          <w:rFonts w:ascii="Times New Roman" w:hAnsi="Times New Roman" w:cs="Times New Roman"/>
          <w:i/>
          <w:sz w:val="24"/>
          <w:szCs w:val="24"/>
          <w:lang w:val="en-US"/>
        </w:rPr>
        <w:t>, Roderick Whang</w:t>
      </w:r>
    </w:p>
    <w:p w14:paraId="3D0AF8D9" w14:textId="77777777" w:rsidR="00DF7788" w:rsidRDefault="00DF7788" w:rsidP="00DF7788">
      <w:pPr>
        <w:jc w:val="center"/>
        <w:rPr>
          <w:rFonts w:ascii="Times New Roman" w:hAnsi="Times New Roman" w:cs="Times New Roman"/>
          <w:sz w:val="24"/>
          <w:szCs w:val="24"/>
          <w:u w:val="single"/>
          <w:lang w:val="en-US"/>
        </w:rPr>
      </w:pPr>
    </w:p>
    <w:p w14:paraId="68F95F97" w14:textId="77777777" w:rsidR="00DF7788" w:rsidRPr="00855093" w:rsidRDefault="00855093" w:rsidP="00855093">
      <w:pPr>
        <w:rPr>
          <w:rFonts w:ascii="Times New Roman" w:hAnsi="Times New Roman" w:cs="Times New Roman"/>
          <w:sz w:val="24"/>
          <w:szCs w:val="24"/>
          <w:u w:val="single"/>
          <w:lang w:val="en-US"/>
        </w:rPr>
      </w:pPr>
      <w:r w:rsidRPr="00855093">
        <w:rPr>
          <w:rFonts w:ascii="Times New Roman" w:hAnsi="Times New Roman" w:cs="Times New Roman"/>
          <w:sz w:val="24"/>
          <w:szCs w:val="24"/>
          <w:lang w:val="en-US"/>
        </w:rPr>
        <w:t xml:space="preserve">1.  </w:t>
      </w:r>
      <w:r w:rsidR="00DF7788" w:rsidRPr="006B748A">
        <w:rPr>
          <w:rFonts w:ascii="Times New Roman" w:hAnsi="Times New Roman" w:cs="Times New Roman"/>
          <w:b/>
          <w:sz w:val="24"/>
          <w:szCs w:val="24"/>
          <w:u w:val="single"/>
          <w:lang w:val="en-US"/>
        </w:rPr>
        <w:t>Abstract:</w:t>
      </w:r>
      <w:r w:rsidR="00DF7788" w:rsidRPr="00855093">
        <w:rPr>
          <w:rFonts w:ascii="Times New Roman" w:hAnsi="Times New Roman" w:cs="Times New Roman"/>
          <w:sz w:val="24"/>
          <w:szCs w:val="24"/>
          <w:u w:val="single"/>
          <w:lang w:val="en-US"/>
        </w:rPr>
        <w:t xml:space="preserve"> </w:t>
      </w:r>
    </w:p>
    <w:p w14:paraId="41D51DFD" w14:textId="77777777" w:rsidR="00DF7788" w:rsidRDefault="00DF7788" w:rsidP="00DF7788">
      <w:pPr>
        <w:rPr>
          <w:rFonts w:ascii="Times New Roman" w:hAnsi="Times New Roman" w:cs="Times New Roman"/>
          <w:sz w:val="24"/>
          <w:szCs w:val="24"/>
          <w:u w:val="single"/>
          <w:lang w:val="en-US"/>
        </w:rPr>
      </w:pPr>
    </w:p>
    <w:p w14:paraId="27EC4F99" w14:textId="77777777" w:rsidR="00DF7788" w:rsidRDefault="00DF7788" w:rsidP="00DF7788">
      <w:pPr>
        <w:rPr>
          <w:rFonts w:ascii="Times New Roman" w:hAnsi="Times New Roman" w:cs="Times New Roman"/>
          <w:sz w:val="24"/>
          <w:szCs w:val="24"/>
          <w:u w:val="single"/>
          <w:lang w:val="en-US"/>
        </w:rPr>
      </w:pPr>
    </w:p>
    <w:p w14:paraId="2FB66E82" w14:textId="77777777" w:rsidR="00855093" w:rsidRDefault="00855093" w:rsidP="00DF7788">
      <w:pPr>
        <w:rPr>
          <w:rFonts w:ascii="Times New Roman" w:hAnsi="Times New Roman" w:cs="Times New Roman"/>
          <w:sz w:val="24"/>
          <w:szCs w:val="24"/>
          <w:u w:val="single"/>
          <w:lang w:val="en-US"/>
        </w:rPr>
      </w:pPr>
      <w:r w:rsidRPr="00855093">
        <w:rPr>
          <w:rFonts w:ascii="Times New Roman" w:hAnsi="Times New Roman" w:cs="Times New Roman"/>
          <w:sz w:val="24"/>
          <w:szCs w:val="24"/>
          <w:lang w:val="en-US"/>
        </w:rPr>
        <w:t xml:space="preserve">2.  </w:t>
      </w:r>
      <w:r w:rsidR="00DF7788" w:rsidRPr="006B748A">
        <w:rPr>
          <w:rFonts w:ascii="Times New Roman" w:hAnsi="Times New Roman" w:cs="Times New Roman"/>
          <w:b/>
          <w:sz w:val="24"/>
          <w:szCs w:val="24"/>
          <w:u w:val="single"/>
          <w:lang w:val="en-US"/>
        </w:rPr>
        <w:t>Motivation:</w:t>
      </w:r>
      <w:r w:rsidR="00DF7788">
        <w:rPr>
          <w:rFonts w:ascii="Times New Roman" w:hAnsi="Times New Roman" w:cs="Times New Roman"/>
          <w:sz w:val="24"/>
          <w:szCs w:val="24"/>
          <w:u w:val="single"/>
          <w:lang w:val="en-US"/>
        </w:rPr>
        <w:t xml:space="preserve"> </w:t>
      </w:r>
    </w:p>
    <w:p w14:paraId="04BA4779" w14:textId="77777777" w:rsidR="00855093" w:rsidRPr="00855093" w:rsidRDefault="00855093" w:rsidP="00DF7788">
      <w:pPr>
        <w:rPr>
          <w:rFonts w:ascii="Times New Roman" w:hAnsi="Times New Roman" w:cs="Times New Roman"/>
          <w:sz w:val="24"/>
          <w:szCs w:val="24"/>
          <w:u w:val="single"/>
          <w:lang w:val="en-US"/>
        </w:rPr>
      </w:pPr>
    </w:p>
    <w:p w14:paraId="7954A30D" w14:textId="77777777" w:rsidR="00DF7788" w:rsidRDefault="00DF7788" w:rsidP="0085509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Addiction to opioids is a very serious problem </w:t>
      </w:r>
      <w:r w:rsidR="008C0891">
        <w:rPr>
          <w:rFonts w:ascii="Times New Roman" w:hAnsi="Times New Roman" w:cs="Times New Roman"/>
          <w:sz w:val="24"/>
          <w:szCs w:val="24"/>
          <w:lang w:val="en-US"/>
        </w:rPr>
        <w:t xml:space="preserve">all around the world. What initially starts as simple cases of medically unjustified, overprescribing of painkilling opioids by physicians may quickly evolve to put millions of people at the risk of severe addiction ultimately leading to their deaths by overdose. While ostensibly it might seem that a simple change in policy to curb such rampant, careless prescriptions might be the solution to the problem – in reality, the situation is vastly more complicated. Substance abuse isn’t best treated by simply restricting access to drugs/opioids. </w:t>
      </w:r>
      <w:r w:rsidR="007E6910">
        <w:rPr>
          <w:rFonts w:ascii="Times New Roman" w:hAnsi="Times New Roman" w:cs="Times New Roman"/>
          <w:sz w:val="24"/>
          <w:szCs w:val="24"/>
          <w:lang w:val="en-US"/>
        </w:rPr>
        <w:t>Rehabilitation</w:t>
      </w:r>
      <w:r w:rsidR="008C0891">
        <w:rPr>
          <w:rFonts w:ascii="Times New Roman" w:hAnsi="Times New Roman" w:cs="Times New Roman"/>
          <w:sz w:val="24"/>
          <w:szCs w:val="24"/>
          <w:lang w:val="en-US"/>
        </w:rPr>
        <w:t xml:space="preserve"> is </w:t>
      </w:r>
      <w:r w:rsidR="007E6910">
        <w:rPr>
          <w:rFonts w:ascii="Times New Roman" w:hAnsi="Times New Roman" w:cs="Times New Roman"/>
          <w:sz w:val="24"/>
          <w:szCs w:val="24"/>
          <w:lang w:val="en-US"/>
        </w:rPr>
        <w:t xml:space="preserve">often </w:t>
      </w:r>
      <w:r w:rsidR="008C0891">
        <w:rPr>
          <w:rFonts w:ascii="Times New Roman" w:hAnsi="Times New Roman" w:cs="Times New Roman"/>
          <w:sz w:val="24"/>
          <w:szCs w:val="24"/>
          <w:lang w:val="en-US"/>
        </w:rPr>
        <w:t>a carefully curated program where individuals are navigated through a series of phases to reliev</w:t>
      </w:r>
      <w:r w:rsidR="007E6910">
        <w:rPr>
          <w:rFonts w:ascii="Times New Roman" w:hAnsi="Times New Roman" w:cs="Times New Roman"/>
          <w:sz w:val="24"/>
          <w:szCs w:val="24"/>
          <w:lang w:val="en-US"/>
        </w:rPr>
        <w:t xml:space="preserve">e them of their addictions. Simply curbing the supply of opioids might result in negative outcomes - which may include but not be limited to individuals seeking out illegal, more potent opioids. This may not only result in more serious addictions, but may also increase the chances of overdosing, as some of these illegally manufactured/circulated opioids such as heroin and fentanyl are far more potent than the average painkilling opioids such as oxycodone and hydrocodone. Moreover, </w:t>
      </w:r>
      <w:r w:rsidR="00855093">
        <w:rPr>
          <w:rFonts w:ascii="Times New Roman" w:hAnsi="Times New Roman" w:cs="Times New Roman"/>
          <w:sz w:val="24"/>
          <w:szCs w:val="24"/>
          <w:lang w:val="en-US"/>
        </w:rPr>
        <w:t xml:space="preserve">such illegal transactions are not tracked by the Drug Enforcement Administration (DEA), which makes it impossible to accurately determine the magnitude of the problem. This strongly suggests that any piece of legislation aiming to regulate the flow opioids into a state must carefully consider the consequences. In this analysis, we aim to study the effects of policy changes on the per capita opioid transactions and opioid mortality in three different states where policy changes were made in the recent past – Florida, Texas and Washington state. We hope this analysis will serve the future policymaker well when it comes to enacting legislations regulating the flow of opioids.  </w:t>
      </w:r>
    </w:p>
    <w:p w14:paraId="3F002F78" w14:textId="77777777" w:rsidR="00243721" w:rsidRDefault="00243721" w:rsidP="00855093">
      <w:pPr>
        <w:spacing w:line="360" w:lineRule="auto"/>
        <w:rPr>
          <w:rFonts w:ascii="Times New Roman" w:hAnsi="Times New Roman" w:cs="Times New Roman"/>
          <w:sz w:val="24"/>
          <w:szCs w:val="24"/>
          <w:lang w:val="en-US"/>
        </w:rPr>
      </w:pPr>
    </w:p>
    <w:p w14:paraId="0529F147" w14:textId="77777777" w:rsidR="00243721" w:rsidRDefault="00243721" w:rsidP="00855093">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lang w:val="en-US"/>
        </w:rPr>
        <w:lastRenderedPageBreak/>
        <w:t xml:space="preserve">3.  </w:t>
      </w:r>
      <w:r w:rsidRPr="006B748A">
        <w:rPr>
          <w:rFonts w:ascii="Times New Roman" w:hAnsi="Times New Roman" w:cs="Times New Roman"/>
          <w:b/>
          <w:sz w:val="24"/>
          <w:szCs w:val="24"/>
          <w:u w:val="single"/>
          <w:lang w:val="en-US"/>
        </w:rPr>
        <w:t>Data</w:t>
      </w:r>
      <w:r w:rsidR="006B748A">
        <w:rPr>
          <w:rFonts w:ascii="Times New Roman" w:hAnsi="Times New Roman" w:cs="Times New Roman"/>
          <w:b/>
          <w:sz w:val="24"/>
          <w:szCs w:val="24"/>
          <w:u w:val="single"/>
          <w:lang w:val="en-US"/>
        </w:rPr>
        <w:t>:</w:t>
      </w:r>
    </w:p>
    <w:p w14:paraId="3519ECBD" w14:textId="77777777" w:rsidR="006B748A" w:rsidRPr="006B748A" w:rsidRDefault="006B748A" w:rsidP="0085509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There were three main sources of data that were used in this analysis.</w:t>
      </w:r>
    </w:p>
    <w:p w14:paraId="3E9BCE20" w14:textId="77777777" w:rsidR="00243721" w:rsidRDefault="00243721" w:rsidP="00855093">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ab/>
        <w:t xml:space="preserve">3.1 </w:t>
      </w:r>
      <w:r w:rsidRPr="006B748A">
        <w:rPr>
          <w:rFonts w:ascii="Times New Roman" w:hAnsi="Times New Roman" w:cs="Times New Roman"/>
          <w:b/>
          <w:sz w:val="24"/>
          <w:szCs w:val="24"/>
          <w:u w:val="single"/>
          <w:lang w:val="en-US"/>
        </w:rPr>
        <w:t>Opioid Transactions</w:t>
      </w:r>
      <w:r w:rsidR="006B748A">
        <w:rPr>
          <w:rFonts w:ascii="Times New Roman" w:hAnsi="Times New Roman" w:cs="Times New Roman"/>
          <w:b/>
          <w:sz w:val="24"/>
          <w:szCs w:val="24"/>
          <w:u w:val="single"/>
          <w:lang w:val="en-US"/>
        </w:rPr>
        <w:t>:</w:t>
      </w:r>
    </w:p>
    <w:p w14:paraId="7A3F75B1" w14:textId="77777777" w:rsidR="006B748A" w:rsidRDefault="00243721" w:rsidP="00243721">
      <w:pPr>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b/>
        <w:t>The data on the county-wise transaction of drugs was obtained from the extensive database maintained by The Washington Post</w:t>
      </w:r>
      <w:r w:rsidRPr="00243721">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This dataset essentially tracks every opioid pill (hydrocodone or oxycodone)</w:t>
      </w:r>
      <w:r w:rsidR="006B748A">
        <w:rPr>
          <w:rFonts w:ascii="Times New Roman" w:hAnsi="Times New Roman" w:cs="Times New Roman"/>
          <w:sz w:val="24"/>
          <w:szCs w:val="24"/>
          <w:lang w:val="en-US"/>
        </w:rPr>
        <w:t xml:space="preserve"> from the manufacturer to the pharmacy</w:t>
      </w:r>
      <w:r w:rsidR="00B36DAE">
        <w:rPr>
          <w:rFonts w:ascii="Times New Roman" w:hAnsi="Times New Roman" w:cs="Times New Roman"/>
          <w:sz w:val="24"/>
          <w:szCs w:val="24"/>
          <w:lang w:val="en-US"/>
        </w:rPr>
        <w:t xml:space="preserve"> at a </w:t>
      </w:r>
      <w:r w:rsidR="009A17FD" w:rsidRPr="009A17FD">
        <w:rPr>
          <w:rFonts w:ascii="Times New Roman" w:hAnsi="Times New Roman" w:cs="Times New Roman"/>
          <w:sz w:val="24"/>
          <w:szCs w:val="24"/>
          <w:lang w:val="en-US"/>
        </w:rPr>
        <w:t>transaction (including the date on which the transaction occurred)</w:t>
      </w:r>
      <w:r w:rsidR="00B36DAE" w:rsidRPr="009A17FD">
        <w:rPr>
          <w:rFonts w:ascii="Times New Roman" w:hAnsi="Times New Roman" w:cs="Times New Roman"/>
          <w:sz w:val="24"/>
          <w:szCs w:val="24"/>
          <w:lang w:val="en-US"/>
        </w:rPr>
        <w:t xml:space="preserve"> </w:t>
      </w:r>
      <w:r w:rsidR="00B36DAE">
        <w:rPr>
          <w:rFonts w:ascii="Times New Roman" w:hAnsi="Times New Roman" w:cs="Times New Roman"/>
          <w:sz w:val="24"/>
          <w:szCs w:val="24"/>
          <w:lang w:val="en-US"/>
        </w:rPr>
        <w:t>level</w:t>
      </w:r>
      <w:r w:rsidR="006B748A">
        <w:rPr>
          <w:rFonts w:ascii="Times New Roman" w:hAnsi="Times New Roman" w:cs="Times New Roman"/>
          <w:sz w:val="24"/>
          <w:szCs w:val="24"/>
          <w:lang w:val="en-US"/>
        </w:rPr>
        <w:t xml:space="preserve">. Naturally, this dataset also included details on the location of the seller at the county level, date of transaction, volume of drug transaction, the Milligram Morphine Equivalent (a conversion factor based on </w:t>
      </w:r>
      <w:r w:rsidR="00A154D8">
        <w:rPr>
          <w:rFonts w:ascii="Times New Roman" w:hAnsi="Times New Roman" w:cs="Times New Roman"/>
          <w:sz w:val="24"/>
          <w:szCs w:val="24"/>
          <w:lang w:val="en-US"/>
        </w:rPr>
        <w:t xml:space="preserve">the </w:t>
      </w:r>
      <w:r w:rsidR="006B748A">
        <w:rPr>
          <w:rFonts w:ascii="Times New Roman" w:hAnsi="Times New Roman" w:cs="Times New Roman"/>
          <w:sz w:val="24"/>
          <w:szCs w:val="24"/>
          <w:lang w:val="en-US"/>
        </w:rPr>
        <w:t>opioid Morphine), buyer location at the county level etc. Overall, this dataset was very comprehensive with data on over 180 million transactions between 2006-12</w:t>
      </w:r>
      <w:r w:rsidR="002A6AB2">
        <w:rPr>
          <w:rFonts w:ascii="Times New Roman" w:hAnsi="Times New Roman" w:cs="Times New Roman"/>
          <w:sz w:val="24"/>
          <w:szCs w:val="24"/>
          <w:lang w:val="en-US"/>
        </w:rPr>
        <w:t xml:space="preserve"> and was used to calculate per-capita opioid transactions in conjunction with the population dataset.</w:t>
      </w:r>
    </w:p>
    <w:p w14:paraId="6F92FFDC" w14:textId="77777777" w:rsidR="00243721" w:rsidRDefault="006B748A" w:rsidP="006B748A">
      <w:pPr>
        <w:spacing w:line="360" w:lineRule="auto"/>
        <w:ind w:left="720"/>
        <w:rPr>
          <w:rFonts w:ascii="Times New Roman" w:hAnsi="Times New Roman" w:cs="Times New Roman"/>
          <w:b/>
          <w:sz w:val="24"/>
          <w:szCs w:val="24"/>
          <w:u w:val="single"/>
          <w:lang w:val="en-US"/>
        </w:rPr>
      </w:pPr>
      <w:r>
        <w:rPr>
          <w:rFonts w:ascii="Times New Roman" w:hAnsi="Times New Roman" w:cs="Times New Roman"/>
          <w:sz w:val="24"/>
          <w:szCs w:val="24"/>
          <w:lang w:val="en-US"/>
        </w:rPr>
        <w:t xml:space="preserve">3.2   </w:t>
      </w:r>
      <w:r w:rsidRPr="006B748A">
        <w:rPr>
          <w:rFonts w:ascii="Times New Roman" w:hAnsi="Times New Roman" w:cs="Times New Roman"/>
          <w:b/>
          <w:sz w:val="24"/>
          <w:szCs w:val="24"/>
          <w:u w:val="single"/>
          <w:lang w:val="en-US"/>
        </w:rPr>
        <w:t>Drug Overdoses:</w:t>
      </w:r>
    </w:p>
    <w:p w14:paraId="756E7ECC" w14:textId="77777777" w:rsidR="006B748A" w:rsidRDefault="006B748A" w:rsidP="006B748A">
      <w:pPr>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b/>
        <w:t xml:space="preserve">This </w:t>
      </w:r>
      <w:r w:rsidR="002A6AB2">
        <w:rPr>
          <w:rFonts w:ascii="Times New Roman" w:hAnsi="Times New Roman" w:cs="Times New Roman"/>
          <w:sz w:val="24"/>
          <w:szCs w:val="24"/>
          <w:lang w:val="en-US"/>
        </w:rPr>
        <w:t>is</w:t>
      </w:r>
      <w:r>
        <w:rPr>
          <w:rFonts w:ascii="Times New Roman" w:hAnsi="Times New Roman" w:cs="Times New Roman"/>
          <w:sz w:val="24"/>
          <w:szCs w:val="24"/>
          <w:lang w:val="en-US"/>
        </w:rPr>
        <w:t xml:space="preserve"> another comprehensive dataset maintained by the US Centers for Disease Control and Prevention (CDC) under its National Vital Statistics System</w:t>
      </w:r>
      <w:r w:rsidR="00B36DAE" w:rsidRPr="00B36DAE">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sidR="00B36DAE">
        <w:rPr>
          <w:rFonts w:ascii="Times New Roman" w:hAnsi="Times New Roman" w:cs="Times New Roman"/>
          <w:sz w:val="24"/>
          <w:szCs w:val="24"/>
          <w:lang w:val="en-US"/>
        </w:rPr>
        <w:t xml:space="preserve">This serves as a record for the number of deaths by county at a </w:t>
      </w:r>
      <w:r w:rsidR="00B36DAE" w:rsidRPr="00B97B8F">
        <w:rPr>
          <w:rFonts w:ascii="Times New Roman" w:hAnsi="Times New Roman" w:cs="Times New Roman"/>
          <w:sz w:val="24"/>
          <w:szCs w:val="24"/>
          <w:lang w:val="en-US"/>
        </w:rPr>
        <w:t>yearly level.</w:t>
      </w:r>
      <w:r w:rsidR="00B36DAE">
        <w:rPr>
          <w:rFonts w:ascii="Times New Roman" w:hAnsi="Times New Roman" w:cs="Times New Roman"/>
          <w:sz w:val="24"/>
          <w:szCs w:val="24"/>
          <w:lang w:val="en-US"/>
        </w:rPr>
        <w:t xml:space="preserve"> The dataset also classifies death based on the cause of death. We are concerned only with the death caused due to drug overdoses to calculate mortality arising from drug overdoses. It also has to be noted that the dataset does not include the name of the exact drug involved in a death. Hence, this data is just a proxy to measure opioid related deaths.  </w:t>
      </w:r>
    </w:p>
    <w:p w14:paraId="2B035D42" w14:textId="77777777" w:rsidR="00B36DAE" w:rsidRPr="00556DAA" w:rsidRDefault="00B36DAE" w:rsidP="00556DAA">
      <w:pPr>
        <w:pStyle w:val="ListParagraph"/>
        <w:numPr>
          <w:ilvl w:val="1"/>
          <w:numId w:val="3"/>
        </w:numPr>
        <w:spacing w:line="360" w:lineRule="auto"/>
        <w:rPr>
          <w:rFonts w:ascii="Times New Roman" w:hAnsi="Times New Roman" w:cs="Times New Roman"/>
          <w:b/>
          <w:sz w:val="24"/>
          <w:szCs w:val="24"/>
          <w:u w:val="single"/>
          <w:lang w:val="en-US"/>
        </w:rPr>
      </w:pPr>
      <w:r w:rsidRPr="00556DAA">
        <w:rPr>
          <w:rFonts w:ascii="Times New Roman" w:hAnsi="Times New Roman" w:cs="Times New Roman"/>
          <w:sz w:val="24"/>
          <w:szCs w:val="24"/>
          <w:lang w:val="en-US"/>
        </w:rPr>
        <w:t xml:space="preserve">  </w:t>
      </w:r>
      <w:r w:rsidRPr="00556DAA">
        <w:rPr>
          <w:rFonts w:ascii="Times New Roman" w:hAnsi="Times New Roman" w:cs="Times New Roman"/>
          <w:b/>
          <w:sz w:val="24"/>
          <w:szCs w:val="24"/>
          <w:u w:val="single"/>
          <w:lang w:val="en-US"/>
        </w:rPr>
        <w:t>Population:</w:t>
      </w:r>
    </w:p>
    <w:p w14:paraId="3B1D7E46" w14:textId="77777777" w:rsidR="00556DAA" w:rsidRDefault="00556DAA" w:rsidP="00556DAA">
      <w:pPr>
        <w:pStyle w:val="ListParagraph"/>
        <w:spacing w:line="360" w:lineRule="auto"/>
        <w:ind w:left="1530"/>
        <w:rPr>
          <w:sz w:val="24"/>
        </w:rPr>
      </w:pPr>
      <w:r>
        <w:rPr>
          <w:rFonts w:ascii="Times New Roman" w:hAnsi="Times New Roman" w:cs="Times New Roman"/>
          <w:sz w:val="24"/>
          <w:szCs w:val="24"/>
          <w:lang w:val="en-US"/>
        </w:rPr>
        <w:tab/>
      </w:r>
      <w:r w:rsidR="00B36DAE">
        <w:rPr>
          <w:rFonts w:ascii="Times New Roman" w:hAnsi="Times New Roman" w:cs="Times New Roman"/>
          <w:sz w:val="24"/>
          <w:szCs w:val="24"/>
          <w:lang w:val="en-US"/>
        </w:rPr>
        <w:t>This dataset contains data on the US population at a county level</w:t>
      </w:r>
      <w:r w:rsidR="00F4397E" w:rsidRPr="00F4397E">
        <w:rPr>
          <w:rFonts w:ascii="Times New Roman" w:hAnsi="Times New Roman" w:cs="Times New Roman"/>
          <w:sz w:val="24"/>
          <w:szCs w:val="24"/>
          <w:vertAlign w:val="superscript"/>
          <w:lang w:val="en-US"/>
        </w:rPr>
        <w:t>3</w:t>
      </w:r>
      <w:r w:rsidR="00B36DAE">
        <w:rPr>
          <w:rFonts w:ascii="Times New Roman" w:hAnsi="Times New Roman" w:cs="Times New Roman"/>
          <w:sz w:val="24"/>
          <w:szCs w:val="24"/>
          <w:lang w:val="en-US"/>
        </w:rPr>
        <w:t xml:space="preserve">. It has to be noted that the US census is taken once in ten years – </w:t>
      </w:r>
      <w:r w:rsidR="00B36DAE" w:rsidRPr="00556DAA">
        <w:rPr>
          <w:rFonts w:ascii="Times New Roman" w:hAnsi="Times New Roman" w:cs="Times New Roman"/>
          <w:sz w:val="24"/>
          <w:szCs w:val="24"/>
          <w:lang w:val="en-US"/>
        </w:rPr>
        <w:t xml:space="preserve">with the last one being in 2010. </w:t>
      </w:r>
      <w:r w:rsidRPr="00556DAA">
        <w:rPr>
          <w:rFonts w:ascii="Times New Roman" w:hAnsi="Times New Roman" w:cs="Times New Roman"/>
          <w:sz w:val="24"/>
          <w:szCs w:val="24"/>
        </w:rPr>
        <w:t xml:space="preserve">The population for the year 2010 was the most relevant to this analysis as it was the closest to the years under consideration. We chose to use the population for 2010 for all the years under consideration as using rate of change of population assumes a linear rate of increase and may not be </w:t>
      </w:r>
      <w:r w:rsidRPr="00556DAA">
        <w:rPr>
          <w:rFonts w:ascii="Times New Roman" w:hAnsi="Times New Roman" w:cs="Times New Roman"/>
          <w:sz w:val="24"/>
          <w:szCs w:val="24"/>
        </w:rPr>
        <w:lastRenderedPageBreak/>
        <w:t>ideal for all the counties. This made using 2010 population data throughout</w:t>
      </w:r>
      <w:r w:rsidR="00F4397E">
        <w:rPr>
          <w:rFonts w:ascii="Times New Roman" w:hAnsi="Times New Roman" w:cs="Times New Roman"/>
          <w:sz w:val="24"/>
          <w:szCs w:val="24"/>
        </w:rPr>
        <w:t>,</w:t>
      </w:r>
      <w:r w:rsidRPr="00556DAA">
        <w:rPr>
          <w:rFonts w:ascii="Times New Roman" w:hAnsi="Times New Roman" w:cs="Times New Roman"/>
          <w:sz w:val="24"/>
          <w:szCs w:val="24"/>
        </w:rPr>
        <w:t xml:space="preserve"> more reasonable.</w:t>
      </w:r>
      <w:r w:rsidRPr="00556DAA">
        <w:rPr>
          <w:sz w:val="24"/>
        </w:rPr>
        <w:t xml:space="preserve"> </w:t>
      </w:r>
    </w:p>
    <w:p w14:paraId="75822056" w14:textId="77777777" w:rsidR="00A154D8" w:rsidRDefault="00A154D8" w:rsidP="00A154D8">
      <w:pPr>
        <w:pStyle w:val="ListParagraph"/>
        <w:spacing w:line="360" w:lineRule="auto"/>
        <w:ind w:left="0"/>
        <w:rPr>
          <w:sz w:val="24"/>
        </w:rPr>
      </w:pPr>
    </w:p>
    <w:p w14:paraId="1C1F8C70" w14:textId="77777777" w:rsidR="00A154D8" w:rsidRPr="00A154D8" w:rsidRDefault="00A154D8" w:rsidP="00A154D8">
      <w:pPr>
        <w:pStyle w:val="ListParagraph"/>
        <w:spacing w:line="360" w:lineRule="auto"/>
        <w:ind w:left="0"/>
        <w:rPr>
          <w:rFonts w:ascii="Times New Roman" w:hAnsi="Times New Roman" w:cs="Times New Roman"/>
          <w:sz w:val="24"/>
        </w:rPr>
      </w:pPr>
      <w:r w:rsidRPr="00A154D8">
        <w:rPr>
          <w:rFonts w:ascii="Times New Roman" w:hAnsi="Times New Roman" w:cs="Times New Roman"/>
          <w:sz w:val="24"/>
        </w:rPr>
        <w:t xml:space="preserve">The scope of the analyses on both the opioid transactions and the mortality arising from drug overdoses have been summarised in the following tables (Table 1 and Table 2). </w:t>
      </w:r>
    </w:p>
    <w:tbl>
      <w:tblPr>
        <w:tblStyle w:val="TableGrid"/>
        <w:tblW w:w="0" w:type="auto"/>
        <w:tblLook w:val="04A0" w:firstRow="1" w:lastRow="0" w:firstColumn="1" w:lastColumn="0" w:noHBand="0" w:noVBand="1"/>
      </w:tblPr>
      <w:tblGrid>
        <w:gridCol w:w="1615"/>
        <w:gridCol w:w="2340"/>
        <w:gridCol w:w="2762"/>
        <w:gridCol w:w="2299"/>
      </w:tblGrid>
      <w:tr w:rsidR="00A154D8" w14:paraId="4CD5CDD5" w14:textId="77777777" w:rsidTr="00A154D8">
        <w:tc>
          <w:tcPr>
            <w:tcW w:w="1615" w:type="dxa"/>
          </w:tcPr>
          <w:p w14:paraId="015B6EA5" w14:textId="77777777" w:rsidR="00A154D8" w:rsidRPr="00A154D8" w:rsidRDefault="00A154D8" w:rsidP="0094160E">
            <w:pPr>
              <w:jc w:val="center"/>
              <w:rPr>
                <w:rFonts w:ascii="Times New Roman" w:hAnsi="Times New Roman" w:cs="Times New Roman"/>
                <w:b/>
              </w:rPr>
            </w:pPr>
            <w:r w:rsidRPr="00A154D8">
              <w:rPr>
                <w:rFonts w:ascii="Times New Roman" w:hAnsi="Times New Roman" w:cs="Times New Roman"/>
                <w:b/>
              </w:rPr>
              <w:t>State</w:t>
            </w:r>
          </w:p>
        </w:tc>
        <w:tc>
          <w:tcPr>
            <w:tcW w:w="2340" w:type="dxa"/>
          </w:tcPr>
          <w:p w14:paraId="2BB06E22" w14:textId="77777777" w:rsidR="00A154D8" w:rsidRPr="00A154D8" w:rsidRDefault="00A154D8" w:rsidP="0094160E">
            <w:pPr>
              <w:jc w:val="center"/>
              <w:rPr>
                <w:rFonts w:ascii="Times New Roman" w:hAnsi="Times New Roman" w:cs="Times New Roman"/>
                <w:b/>
              </w:rPr>
            </w:pPr>
            <w:r w:rsidRPr="00A154D8">
              <w:rPr>
                <w:rFonts w:ascii="Times New Roman" w:hAnsi="Times New Roman" w:cs="Times New Roman"/>
                <w:b/>
              </w:rPr>
              <w:t>Policy change year</w:t>
            </w:r>
          </w:p>
        </w:tc>
        <w:tc>
          <w:tcPr>
            <w:tcW w:w="2762" w:type="dxa"/>
          </w:tcPr>
          <w:p w14:paraId="2A7DDF0D" w14:textId="77777777" w:rsidR="00A154D8" w:rsidRPr="00A154D8" w:rsidRDefault="00A154D8" w:rsidP="0094160E">
            <w:pPr>
              <w:jc w:val="center"/>
              <w:rPr>
                <w:rFonts w:ascii="Times New Roman" w:hAnsi="Times New Roman" w:cs="Times New Roman"/>
                <w:b/>
              </w:rPr>
            </w:pPr>
            <w:r w:rsidRPr="00A154D8">
              <w:rPr>
                <w:rFonts w:ascii="Times New Roman" w:hAnsi="Times New Roman" w:cs="Times New Roman"/>
                <w:b/>
              </w:rPr>
              <w:t>Time period of analysis</w:t>
            </w:r>
          </w:p>
        </w:tc>
        <w:tc>
          <w:tcPr>
            <w:tcW w:w="2299" w:type="dxa"/>
          </w:tcPr>
          <w:p w14:paraId="39E2CCC1" w14:textId="77777777" w:rsidR="00A154D8" w:rsidRPr="00A154D8" w:rsidRDefault="00A154D8" w:rsidP="0094160E">
            <w:pPr>
              <w:jc w:val="center"/>
              <w:rPr>
                <w:rFonts w:ascii="Times New Roman" w:hAnsi="Times New Roman" w:cs="Times New Roman"/>
                <w:b/>
              </w:rPr>
            </w:pPr>
            <w:r>
              <w:rPr>
                <w:rFonts w:ascii="Times New Roman" w:hAnsi="Times New Roman" w:cs="Times New Roman"/>
                <w:b/>
              </w:rPr>
              <w:t>Level</w:t>
            </w:r>
          </w:p>
        </w:tc>
      </w:tr>
      <w:tr w:rsidR="00A154D8" w14:paraId="2D349334" w14:textId="77777777" w:rsidTr="00A154D8">
        <w:tc>
          <w:tcPr>
            <w:tcW w:w="1615" w:type="dxa"/>
          </w:tcPr>
          <w:p w14:paraId="41465213" w14:textId="77777777" w:rsidR="00A154D8" w:rsidRPr="00A154D8" w:rsidRDefault="00A154D8" w:rsidP="0094160E">
            <w:pPr>
              <w:rPr>
                <w:rFonts w:ascii="Times New Roman" w:hAnsi="Times New Roman" w:cs="Times New Roman"/>
              </w:rPr>
            </w:pPr>
            <w:r w:rsidRPr="00A154D8">
              <w:rPr>
                <w:rFonts w:ascii="Times New Roman" w:hAnsi="Times New Roman" w:cs="Times New Roman"/>
              </w:rPr>
              <w:t>Florida</w:t>
            </w:r>
          </w:p>
        </w:tc>
        <w:tc>
          <w:tcPr>
            <w:tcW w:w="2340" w:type="dxa"/>
          </w:tcPr>
          <w:p w14:paraId="41C779BF" w14:textId="77777777" w:rsidR="00A154D8" w:rsidRPr="00A154D8" w:rsidRDefault="00A154D8" w:rsidP="0094160E">
            <w:pPr>
              <w:rPr>
                <w:rFonts w:ascii="Times New Roman" w:hAnsi="Times New Roman" w:cs="Times New Roman"/>
              </w:rPr>
            </w:pPr>
            <w:r w:rsidRPr="00A154D8">
              <w:rPr>
                <w:rFonts w:ascii="Times New Roman" w:hAnsi="Times New Roman" w:cs="Times New Roman"/>
              </w:rPr>
              <w:t>2010</w:t>
            </w:r>
          </w:p>
        </w:tc>
        <w:tc>
          <w:tcPr>
            <w:tcW w:w="2762" w:type="dxa"/>
          </w:tcPr>
          <w:p w14:paraId="1C965BDF" w14:textId="77777777" w:rsidR="00A154D8" w:rsidRPr="00A154D8" w:rsidRDefault="00A154D8" w:rsidP="0094160E">
            <w:pPr>
              <w:rPr>
                <w:rFonts w:ascii="Times New Roman" w:hAnsi="Times New Roman" w:cs="Times New Roman"/>
              </w:rPr>
            </w:pPr>
            <w:r w:rsidRPr="00A154D8">
              <w:rPr>
                <w:rFonts w:ascii="Times New Roman" w:hAnsi="Times New Roman" w:cs="Times New Roman"/>
              </w:rPr>
              <w:t>200</w:t>
            </w:r>
            <w:r w:rsidR="00986355">
              <w:rPr>
                <w:rFonts w:ascii="Times New Roman" w:hAnsi="Times New Roman" w:cs="Times New Roman"/>
              </w:rPr>
              <w:t>6</w:t>
            </w:r>
            <w:r w:rsidRPr="00A154D8">
              <w:rPr>
                <w:rFonts w:ascii="Times New Roman" w:hAnsi="Times New Roman" w:cs="Times New Roman"/>
              </w:rPr>
              <w:t xml:space="preserve"> - 2012</w:t>
            </w:r>
          </w:p>
        </w:tc>
        <w:tc>
          <w:tcPr>
            <w:tcW w:w="2299" w:type="dxa"/>
          </w:tcPr>
          <w:p w14:paraId="4F4F386D" w14:textId="77777777" w:rsidR="00A154D8" w:rsidRPr="00A154D8" w:rsidRDefault="00A154D8" w:rsidP="0094160E">
            <w:pPr>
              <w:rPr>
                <w:rFonts w:ascii="Times New Roman" w:hAnsi="Times New Roman" w:cs="Times New Roman"/>
              </w:rPr>
            </w:pPr>
            <w:r w:rsidRPr="00A154D8">
              <w:rPr>
                <w:rFonts w:ascii="Times New Roman" w:hAnsi="Times New Roman" w:cs="Times New Roman"/>
              </w:rPr>
              <w:t>Yearly</w:t>
            </w:r>
          </w:p>
        </w:tc>
      </w:tr>
    </w:tbl>
    <w:p w14:paraId="54FFF10E" w14:textId="77777777" w:rsidR="00CB3C4D" w:rsidRDefault="00A154D8" w:rsidP="00A154D8">
      <w:pPr>
        <w:spacing w:line="240" w:lineRule="auto"/>
        <w:jc w:val="center"/>
        <w:rPr>
          <w:rFonts w:ascii="Times New Roman" w:hAnsi="Times New Roman" w:cs="Times New Roman"/>
          <w:sz w:val="24"/>
          <w:szCs w:val="24"/>
          <w:lang w:val="en-US"/>
        </w:rPr>
      </w:pPr>
      <w:r w:rsidRPr="00A154D8">
        <w:rPr>
          <w:rFonts w:ascii="Times New Roman" w:hAnsi="Times New Roman" w:cs="Times New Roman"/>
          <w:b/>
          <w:sz w:val="24"/>
          <w:szCs w:val="24"/>
          <w:lang w:val="en-US"/>
        </w:rPr>
        <w:t>Table 1.</w:t>
      </w:r>
      <w:r>
        <w:rPr>
          <w:rFonts w:ascii="Times New Roman" w:hAnsi="Times New Roman" w:cs="Times New Roman"/>
          <w:b/>
          <w:sz w:val="24"/>
          <w:szCs w:val="24"/>
          <w:lang w:val="en-US"/>
        </w:rPr>
        <w:t xml:space="preserve"> </w:t>
      </w:r>
      <w:r w:rsidRPr="00A154D8">
        <w:rPr>
          <w:rFonts w:ascii="Times New Roman" w:hAnsi="Times New Roman" w:cs="Times New Roman"/>
          <w:sz w:val="24"/>
          <w:szCs w:val="24"/>
          <w:lang w:val="en-US"/>
        </w:rPr>
        <w:t>Description of the scope of analysis for opioid transactions</w:t>
      </w:r>
      <w:r w:rsidR="009A17FD">
        <w:rPr>
          <w:rFonts w:ascii="Times New Roman" w:hAnsi="Times New Roman" w:cs="Times New Roman"/>
          <w:sz w:val="24"/>
          <w:szCs w:val="24"/>
          <w:lang w:val="en-US"/>
        </w:rPr>
        <w:t xml:space="preserve"> in Florida</w:t>
      </w:r>
      <w:r w:rsidR="00CB3C4D">
        <w:rPr>
          <w:rFonts w:ascii="Times New Roman" w:hAnsi="Times New Roman" w:cs="Times New Roman"/>
          <w:sz w:val="24"/>
          <w:szCs w:val="24"/>
          <w:lang w:val="en-US"/>
        </w:rPr>
        <w:t>.</w:t>
      </w:r>
    </w:p>
    <w:p w14:paraId="79CF84A4" w14:textId="77777777" w:rsidR="00CB3C4D" w:rsidRDefault="00CB3C4D" w:rsidP="00A154D8">
      <w:pPr>
        <w:spacing w:line="240" w:lineRule="auto"/>
        <w:jc w:val="center"/>
        <w:rPr>
          <w:rFonts w:ascii="Times New Roman" w:hAnsi="Times New Roman" w:cs="Times New Roman"/>
          <w:sz w:val="24"/>
          <w:szCs w:val="24"/>
          <w:lang w:val="en-US"/>
        </w:rPr>
      </w:pPr>
    </w:p>
    <w:p w14:paraId="292090A0" w14:textId="77777777" w:rsidR="00CB3C4D" w:rsidRDefault="00CB3C4D" w:rsidP="00CB3C4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For the states of Texas and Washington, data was sparse at a yearly level. This is evident from us only having data for only 1 year post the year in which the policy was enforced. This makes analysis at a yearly level not very informative. Breaking this analysis down to the month level wasn’t very useful either as we were still capturing some yearly trends. Therefore, a simple percent increase/decrease in the per-capita opioid transactions of Texas and Washington were calculated and was compared with the average percent increase/decrease in the per-capita opioid transactions of all other (47 non-policy) states.</w:t>
      </w:r>
    </w:p>
    <w:p w14:paraId="61590624" w14:textId="77777777" w:rsidR="00CB3C4D" w:rsidRDefault="00CB3C4D" w:rsidP="00CB3C4D">
      <w:pPr>
        <w:spacing w:line="36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856"/>
        <w:gridCol w:w="2254"/>
        <w:gridCol w:w="2629"/>
        <w:gridCol w:w="2254"/>
      </w:tblGrid>
      <w:tr w:rsidR="00CB3C4D" w:rsidRPr="00A154D8" w14:paraId="0D319FFD" w14:textId="77777777" w:rsidTr="0094160E">
        <w:trPr>
          <w:trHeight w:val="619"/>
        </w:trPr>
        <w:tc>
          <w:tcPr>
            <w:tcW w:w="1856" w:type="dxa"/>
          </w:tcPr>
          <w:p w14:paraId="2F4D7FE0" w14:textId="77777777" w:rsidR="00CB3C4D" w:rsidRPr="00A154D8" w:rsidRDefault="00CB3C4D" w:rsidP="0094160E">
            <w:pPr>
              <w:jc w:val="center"/>
              <w:rPr>
                <w:rFonts w:ascii="Times New Roman" w:hAnsi="Times New Roman" w:cs="Times New Roman"/>
              </w:rPr>
            </w:pPr>
            <w:r w:rsidRPr="00A154D8">
              <w:rPr>
                <w:rFonts w:ascii="Times New Roman" w:hAnsi="Times New Roman" w:cs="Times New Roman"/>
                <w:b/>
              </w:rPr>
              <w:t>State</w:t>
            </w:r>
          </w:p>
        </w:tc>
        <w:tc>
          <w:tcPr>
            <w:tcW w:w="2254" w:type="dxa"/>
          </w:tcPr>
          <w:p w14:paraId="4B2F8453" w14:textId="77777777" w:rsidR="00CB3C4D" w:rsidRPr="00A154D8" w:rsidRDefault="00CB3C4D" w:rsidP="0094160E">
            <w:pPr>
              <w:rPr>
                <w:rFonts w:ascii="Times New Roman" w:hAnsi="Times New Roman" w:cs="Times New Roman"/>
              </w:rPr>
            </w:pPr>
            <w:r w:rsidRPr="00A154D8">
              <w:rPr>
                <w:rFonts w:ascii="Times New Roman" w:hAnsi="Times New Roman" w:cs="Times New Roman"/>
                <w:b/>
              </w:rPr>
              <w:t>Policy change year</w:t>
            </w:r>
          </w:p>
        </w:tc>
        <w:tc>
          <w:tcPr>
            <w:tcW w:w="2629" w:type="dxa"/>
          </w:tcPr>
          <w:p w14:paraId="78F436B8" w14:textId="77777777" w:rsidR="00CB3C4D" w:rsidRPr="00A154D8" w:rsidRDefault="00CB3C4D" w:rsidP="0094160E">
            <w:pPr>
              <w:jc w:val="center"/>
              <w:rPr>
                <w:rFonts w:ascii="Times New Roman" w:hAnsi="Times New Roman" w:cs="Times New Roman"/>
              </w:rPr>
            </w:pPr>
            <w:r w:rsidRPr="00A154D8">
              <w:rPr>
                <w:rFonts w:ascii="Times New Roman" w:hAnsi="Times New Roman" w:cs="Times New Roman"/>
                <w:b/>
              </w:rPr>
              <w:t>Time period of analysis</w:t>
            </w:r>
          </w:p>
        </w:tc>
        <w:tc>
          <w:tcPr>
            <w:tcW w:w="2254" w:type="dxa"/>
          </w:tcPr>
          <w:p w14:paraId="4BE4377D" w14:textId="77777777" w:rsidR="00CB3C4D" w:rsidRPr="009A17FD" w:rsidRDefault="00CB3C4D" w:rsidP="0094160E">
            <w:pPr>
              <w:jc w:val="center"/>
              <w:rPr>
                <w:rFonts w:ascii="Times New Roman" w:hAnsi="Times New Roman" w:cs="Times New Roman"/>
                <w:b/>
              </w:rPr>
            </w:pPr>
            <w:r w:rsidRPr="009A17FD">
              <w:rPr>
                <w:rFonts w:ascii="Times New Roman" w:hAnsi="Times New Roman" w:cs="Times New Roman"/>
                <w:b/>
              </w:rPr>
              <w:t>Method</w:t>
            </w:r>
          </w:p>
        </w:tc>
      </w:tr>
      <w:tr w:rsidR="00CB3C4D" w:rsidRPr="00A154D8" w14:paraId="2990629C" w14:textId="77777777" w:rsidTr="0094160E">
        <w:trPr>
          <w:trHeight w:val="304"/>
        </w:trPr>
        <w:tc>
          <w:tcPr>
            <w:tcW w:w="1856" w:type="dxa"/>
          </w:tcPr>
          <w:p w14:paraId="43D35DC3" w14:textId="77777777" w:rsidR="00CB3C4D" w:rsidRPr="00A154D8" w:rsidRDefault="00CB3C4D" w:rsidP="0094160E">
            <w:pPr>
              <w:rPr>
                <w:rFonts w:ascii="Times New Roman" w:hAnsi="Times New Roman" w:cs="Times New Roman"/>
              </w:rPr>
            </w:pPr>
            <w:r w:rsidRPr="00A154D8">
              <w:rPr>
                <w:rFonts w:ascii="Times New Roman" w:hAnsi="Times New Roman" w:cs="Times New Roman"/>
              </w:rPr>
              <w:t>Texas</w:t>
            </w:r>
          </w:p>
        </w:tc>
        <w:tc>
          <w:tcPr>
            <w:tcW w:w="2254" w:type="dxa"/>
          </w:tcPr>
          <w:p w14:paraId="1EC0EC2A" w14:textId="77777777" w:rsidR="00CB3C4D" w:rsidRPr="00A154D8" w:rsidRDefault="00CB3C4D" w:rsidP="0094160E">
            <w:pPr>
              <w:rPr>
                <w:rFonts w:ascii="Times New Roman" w:hAnsi="Times New Roman" w:cs="Times New Roman"/>
              </w:rPr>
            </w:pPr>
            <w:r w:rsidRPr="00A154D8">
              <w:rPr>
                <w:rFonts w:ascii="Times New Roman" w:hAnsi="Times New Roman" w:cs="Times New Roman"/>
              </w:rPr>
              <w:t>2007</w:t>
            </w:r>
          </w:p>
        </w:tc>
        <w:tc>
          <w:tcPr>
            <w:tcW w:w="2629" w:type="dxa"/>
          </w:tcPr>
          <w:p w14:paraId="6A30D76E" w14:textId="77777777" w:rsidR="00CB3C4D" w:rsidRPr="00A154D8" w:rsidRDefault="00CB3C4D" w:rsidP="0094160E">
            <w:pPr>
              <w:rPr>
                <w:rFonts w:ascii="Times New Roman" w:hAnsi="Times New Roman" w:cs="Times New Roman"/>
              </w:rPr>
            </w:pPr>
            <w:r w:rsidRPr="00A154D8">
              <w:rPr>
                <w:rFonts w:ascii="Times New Roman" w:hAnsi="Times New Roman" w:cs="Times New Roman"/>
              </w:rPr>
              <w:t>2006 - 20</w:t>
            </w:r>
            <w:r w:rsidR="00986355">
              <w:rPr>
                <w:rFonts w:ascii="Times New Roman" w:hAnsi="Times New Roman" w:cs="Times New Roman"/>
              </w:rPr>
              <w:t>12</w:t>
            </w:r>
          </w:p>
        </w:tc>
        <w:tc>
          <w:tcPr>
            <w:tcW w:w="2254" w:type="dxa"/>
          </w:tcPr>
          <w:p w14:paraId="6EC57E6F" w14:textId="77777777" w:rsidR="00CB3C4D" w:rsidRPr="00A154D8" w:rsidRDefault="00CB3C4D" w:rsidP="0094160E">
            <w:pPr>
              <w:rPr>
                <w:rFonts w:ascii="Times New Roman" w:hAnsi="Times New Roman" w:cs="Times New Roman"/>
              </w:rPr>
            </w:pPr>
            <w:r>
              <w:rPr>
                <w:rFonts w:ascii="Times New Roman" w:hAnsi="Times New Roman" w:cs="Times New Roman"/>
              </w:rPr>
              <w:t>Percent Increase</w:t>
            </w:r>
          </w:p>
        </w:tc>
      </w:tr>
      <w:tr w:rsidR="00CB3C4D" w:rsidRPr="00A154D8" w14:paraId="60033860" w14:textId="77777777" w:rsidTr="0094160E">
        <w:trPr>
          <w:trHeight w:val="370"/>
        </w:trPr>
        <w:tc>
          <w:tcPr>
            <w:tcW w:w="1856" w:type="dxa"/>
          </w:tcPr>
          <w:p w14:paraId="2323BEEF" w14:textId="77777777" w:rsidR="00CB3C4D" w:rsidRPr="00A154D8" w:rsidRDefault="00CB3C4D" w:rsidP="0094160E">
            <w:pPr>
              <w:rPr>
                <w:rFonts w:ascii="Times New Roman" w:hAnsi="Times New Roman" w:cs="Times New Roman"/>
              </w:rPr>
            </w:pPr>
            <w:r w:rsidRPr="00A154D8">
              <w:rPr>
                <w:rFonts w:ascii="Times New Roman" w:hAnsi="Times New Roman" w:cs="Times New Roman"/>
              </w:rPr>
              <w:t>Washington</w:t>
            </w:r>
          </w:p>
        </w:tc>
        <w:tc>
          <w:tcPr>
            <w:tcW w:w="2254" w:type="dxa"/>
          </w:tcPr>
          <w:p w14:paraId="2D609C82" w14:textId="77777777" w:rsidR="00CB3C4D" w:rsidRPr="00A154D8" w:rsidRDefault="00CB3C4D" w:rsidP="0094160E">
            <w:pPr>
              <w:rPr>
                <w:rFonts w:ascii="Times New Roman" w:hAnsi="Times New Roman" w:cs="Times New Roman"/>
              </w:rPr>
            </w:pPr>
            <w:r w:rsidRPr="00A154D8">
              <w:rPr>
                <w:rFonts w:ascii="Times New Roman" w:hAnsi="Times New Roman" w:cs="Times New Roman"/>
              </w:rPr>
              <w:t>2011</w:t>
            </w:r>
          </w:p>
        </w:tc>
        <w:tc>
          <w:tcPr>
            <w:tcW w:w="2629" w:type="dxa"/>
          </w:tcPr>
          <w:p w14:paraId="6E60FE37" w14:textId="77777777" w:rsidR="00CB3C4D" w:rsidRPr="00A154D8" w:rsidRDefault="00CB3C4D" w:rsidP="0094160E">
            <w:pPr>
              <w:rPr>
                <w:rFonts w:ascii="Times New Roman" w:hAnsi="Times New Roman" w:cs="Times New Roman"/>
              </w:rPr>
            </w:pPr>
            <w:r w:rsidRPr="00A154D8">
              <w:rPr>
                <w:rFonts w:ascii="Times New Roman" w:hAnsi="Times New Roman" w:cs="Times New Roman"/>
              </w:rPr>
              <w:t>20</w:t>
            </w:r>
            <w:r w:rsidR="00986355">
              <w:rPr>
                <w:rFonts w:ascii="Times New Roman" w:hAnsi="Times New Roman" w:cs="Times New Roman"/>
              </w:rPr>
              <w:t>06</w:t>
            </w:r>
            <w:r w:rsidRPr="00A154D8">
              <w:rPr>
                <w:rFonts w:ascii="Times New Roman" w:hAnsi="Times New Roman" w:cs="Times New Roman"/>
              </w:rPr>
              <w:t xml:space="preserve"> - 2012</w:t>
            </w:r>
          </w:p>
        </w:tc>
        <w:tc>
          <w:tcPr>
            <w:tcW w:w="2254" w:type="dxa"/>
          </w:tcPr>
          <w:p w14:paraId="1A057FC4" w14:textId="77777777" w:rsidR="00CB3C4D" w:rsidRPr="00A154D8" w:rsidRDefault="00CB3C4D" w:rsidP="0094160E">
            <w:pPr>
              <w:rPr>
                <w:rFonts w:ascii="Times New Roman" w:hAnsi="Times New Roman" w:cs="Times New Roman"/>
              </w:rPr>
            </w:pPr>
            <w:r>
              <w:rPr>
                <w:rFonts w:ascii="Times New Roman" w:hAnsi="Times New Roman" w:cs="Times New Roman"/>
              </w:rPr>
              <w:t>Percent Increase</w:t>
            </w:r>
          </w:p>
        </w:tc>
      </w:tr>
    </w:tbl>
    <w:p w14:paraId="7696A139" w14:textId="77777777" w:rsidR="00CB3C4D" w:rsidRDefault="00CB3C4D" w:rsidP="00A154D8">
      <w:pPr>
        <w:spacing w:line="240" w:lineRule="auto"/>
        <w:jc w:val="center"/>
        <w:rPr>
          <w:rFonts w:ascii="Times New Roman" w:hAnsi="Times New Roman" w:cs="Times New Roman"/>
          <w:sz w:val="24"/>
          <w:szCs w:val="24"/>
          <w:lang w:val="en-US"/>
        </w:rPr>
      </w:pPr>
      <w:r w:rsidRPr="00A154D8">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2</w:t>
      </w:r>
      <w:r w:rsidRPr="00A154D8">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154D8">
        <w:rPr>
          <w:rFonts w:ascii="Times New Roman" w:hAnsi="Times New Roman" w:cs="Times New Roman"/>
          <w:sz w:val="24"/>
          <w:szCs w:val="24"/>
          <w:lang w:val="en-US"/>
        </w:rPr>
        <w:t>Description of the scope of analysis for opioid transactions</w:t>
      </w:r>
      <w:r>
        <w:rPr>
          <w:rFonts w:ascii="Times New Roman" w:hAnsi="Times New Roman" w:cs="Times New Roman"/>
          <w:sz w:val="24"/>
          <w:szCs w:val="24"/>
          <w:lang w:val="en-US"/>
        </w:rPr>
        <w:t xml:space="preserve"> in Texas and Washington.</w:t>
      </w:r>
    </w:p>
    <w:p w14:paraId="0BB40C8F" w14:textId="77777777" w:rsidR="00CB3C4D" w:rsidRDefault="00CB3C4D" w:rsidP="00A154D8">
      <w:pPr>
        <w:spacing w:line="240" w:lineRule="auto"/>
        <w:jc w:val="cente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435"/>
        <w:gridCol w:w="2340"/>
        <w:gridCol w:w="2949"/>
        <w:gridCol w:w="2292"/>
      </w:tblGrid>
      <w:tr w:rsidR="00A154D8" w14:paraId="01996F49" w14:textId="77777777" w:rsidTr="00A154D8">
        <w:tc>
          <w:tcPr>
            <w:tcW w:w="1435" w:type="dxa"/>
          </w:tcPr>
          <w:p w14:paraId="15527F60" w14:textId="77777777" w:rsidR="00A154D8" w:rsidRPr="00A154D8" w:rsidRDefault="00A154D8" w:rsidP="0094160E">
            <w:pPr>
              <w:jc w:val="center"/>
              <w:rPr>
                <w:rFonts w:ascii="Times New Roman" w:hAnsi="Times New Roman" w:cs="Times New Roman"/>
                <w:b/>
              </w:rPr>
            </w:pPr>
            <w:r w:rsidRPr="00A154D8">
              <w:rPr>
                <w:rFonts w:ascii="Times New Roman" w:hAnsi="Times New Roman" w:cs="Times New Roman"/>
                <w:b/>
              </w:rPr>
              <w:t>State</w:t>
            </w:r>
          </w:p>
        </w:tc>
        <w:tc>
          <w:tcPr>
            <w:tcW w:w="2340" w:type="dxa"/>
          </w:tcPr>
          <w:p w14:paraId="18ED4CE9" w14:textId="77777777" w:rsidR="00A154D8" w:rsidRPr="00A154D8" w:rsidRDefault="00A154D8" w:rsidP="0094160E">
            <w:pPr>
              <w:jc w:val="center"/>
              <w:rPr>
                <w:rFonts w:ascii="Times New Roman" w:hAnsi="Times New Roman" w:cs="Times New Roman"/>
                <w:b/>
              </w:rPr>
            </w:pPr>
            <w:r w:rsidRPr="00A154D8">
              <w:rPr>
                <w:rFonts w:ascii="Times New Roman" w:hAnsi="Times New Roman" w:cs="Times New Roman"/>
                <w:b/>
              </w:rPr>
              <w:t>Policy change year</w:t>
            </w:r>
          </w:p>
        </w:tc>
        <w:tc>
          <w:tcPr>
            <w:tcW w:w="2949" w:type="dxa"/>
          </w:tcPr>
          <w:p w14:paraId="62AC419C" w14:textId="77777777" w:rsidR="00A154D8" w:rsidRPr="00A154D8" w:rsidRDefault="00A154D8" w:rsidP="0094160E">
            <w:pPr>
              <w:jc w:val="center"/>
              <w:rPr>
                <w:rFonts w:ascii="Times New Roman" w:hAnsi="Times New Roman" w:cs="Times New Roman"/>
                <w:b/>
              </w:rPr>
            </w:pPr>
            <w:r w:rsidRPr="00A154D8">
              <w:rPr>
                <w:rFonts w:ascii="Times New Roman" w:hAnsi="Times New Roman" w:cs="Times New Roman"/>
                <w:b/>
              </w:rPr>
              <w:t>Time period of analysis</w:t>
            </w:r>
          </w:p>
        </w:tc>
        <w:tc>
          <w:tcPr>
            <w:tcW w:w="2292" w:type="dxa"/>
          </w:tcPr>
          <w:p w14:paraId="055DFC01" w14:textId="77777777" w:rsidR="00A154D8" w:rsidRPr="00A154D8" w:rsidRDefault="00A154D8" w:rsidP="0094160E">
            <w:pPr>
              <w:jc w:val="center"/>
              <w:rPr>
                <w:rFonts w:ascii="Times New Roman" w:hAnsi="Times New Roman" w:cs="Times New Roman"/>
                <w:b/>
              </w:rPr>
            </w:pPr>
            <w:r>
              <w:rPr>
                <w:rFonts w:ascii="Times New Roman" w:hAnsi="Times New Roman" w:cs="Times New Roman"/>
                <w:b/>
              </w:rPr>
              <w:t>Level</w:t>
            </w:r>
          </w:p>
        </w:tc>
      </w:tr>
      <w:tr w:rsidR="00A154D8" w14:paraId="35422C50" w14:textId="77777777" w:rsidTr="00A154D8">
        <w:tc>
          <w:tcPr>
            <w:tcW w:w="1435" w:type="dxa"/>
          </w:tcPr>
          <w:p w14:paraId="764EEA7B" w14:textId="77777777" w:rsidR="00A154D8" w:rsidRPr="00A154D8" w:rsidRDefault="00A154D8" w:rsidP="0094160E">
            <w:pPr>
              <w:rPr>
                <w:rFonts w:ascii="Times New Roman" w:hAnsi="Times New Roman" w:cs="Times New Roman"/>
              </w:rPr>
            </w:pPr>
            <w:r w:rsidRPr="00A154D8">
              <w:rPr>
                <w:rFonts w:ascii="Times New Roman" w:hAnsi="Times New Roman" w:cs="Times New Roman"/>
              </w:rPr>
              <w:t>Florida</w:t>
            </w:r>
          </w:p>
        </w:tc>
        <w:tc>
          <w:tcPr>
            <w:tcW w:w="2340" w:type="dxa"/>
          </w:tcPr>
          <w:p w14:paraId="4C865BE8" w14:textId="77777777" w:rsidR="00A154D8" w:rsidRPr="00A154D8" w:rsidRDefault="00A154D8" w:rsidP="0094160E">
            <w:pPr>
              <w:rPr>
                <w:rFonts w:ascii="Times New Roman" w:hAnsi="Times New Roman" w:cs="Times New Roman"/>
              </w:rPr>
            </w:pPr>
            <w:r w:rsidRPr="00A154D8">
              <w:rPr>
                <w:rFonts w:ascii="Times New Roman" w:hAnsi="Times New Roman" w:cs="Times New Roman"/>
              </w:rPr>
              <w:t>2010</w:t>
            </w:r>
          </w:p>
        </w:tc>
        <w:tc>
          <w:tcPr>
            <w:tcW w:w="2949" w:type="dxa"/>
          </w:tcPr>
          <w:p w14:paraId="5980B5F6" w14:textId="77777777" w:rsidR="00A154D8" w:rsidRPr="00A154D8" w:rsidRDefault="00A154D8" w:rsidP="0094160E">
            <w:pPr>
              <w:rPr>
                <w:rFonts w:ascii="Times New Roman" w:hAnsi="Times New Roman" w:cs="Times New Roman"/>
              </w:rPr>
            </w:pPr>
            <w:r w:rsidRPr="00A154D8">
              <w:rPr>
                <w:rFonts w:ascii="Times New Roman" w:hAnsi="Times New Roman" w:cs="Times New Roman"/>
              </w:rPr>
              <w:t>2006 - 2014</w:t>
            </w:r>
          </w:p>
        </w:tc>
        <w:tc>
          <w:tcPr>
            <w:tcW w:w="2292" w:type="dxa"/>
          </w:tcPr>
          <w:p w14:paraId="39D180AC" w14:textId="77777777" w:rsidR="00A154D8" w:rsidRPr="00A154D8" w:rsidRDefault="00A154D8" w:rsidP="0094160E">
            <w:pPr>
              <w:rPr>
                <w:rFonts w:ascii="Times New Roman" w:hAnsi="Times New Roman" w:cs="Times New Roman"/>
              </w:rPr>
            </w:pPr>
            <w:r w:rsidRPr="00A154D8">
              <w:rPr>
                <w:rFonts w:ascii="Times New Roman" w:hAnsi="Times New Roman" w:cs="Times New Roman"/>
              </w:rPr>
              <w:t>Yearly</w:t>
            </w:r>
          </w:p>
        </w:tc>
      </w:tr>
      <w:tr w:rsidR="00A154D8" w14:paraId="06A4A6E1" w14:textId="77777777" w:rsidTr="00A154D8">
        <w:tc>
          <w:tcPr>
            <w:tcW w:w="1435" w:type="dxa"/>
          </w:tcPr>
          <w:p w14:paraId="46AACD22" w14:textId="77777777" w:rsidR="00A154D8" w:rsidRPr="00A154D8" w:rsidRDefault="00A154D8" w:rsidP="0094160E">
            <w:pPr>
              <w:rPr>
                <w:rFonts w:ascii="Times New Roman" w:hAnsi="Times New Roman" w:cs="Times New Roman"/>
              </w:rPr>
            </w:pPr>
            <w:r w:rsidRPr="00A154D8">
              <w:rPr>
                <w:rFonts w:ascii="Times New Roman" w:hAnsi="Times New Roman" w:cs="Times New Roman"/>
              </w:rPr>
              <w:t>Texas</w:t>
            </w:r>
          </w:p>
        </w:tc>
        <w:tc>
          <w:tcPr>
            <w:tcW w:w="2340" w:type="dxa"/>
          </w:tcPr>
          <w:p w14:paraId="218C638D" w14:textId="77777777" w:rsidR="00A154D8" w:rsidRPr="00A154D8" w:rsidRDefault="00A154D8" w:rsidP="0094160E">
            <w:pPr>
              <w:rPr>
                <w:rFonts w:ascii="Times New Roman" w:hAnsi="Times New Roman" w:cs="Times New Roman"/>
              </w:rPr>
            </w:pPr>
            <w:r w:rsidRPr="00A154D8">
              <w:rPr>
                <w:rFonts w:ascii="Times New Roman" w:hAnsi="Times New Roman" w:cs="Times New Roman"/>
              </w:rPr>
              <w:t>2007</w:t>
            </w:r>
          </w:p>
        </w:tc>
        <w:tc>
          <w:tcPr>
            <w:tcW w:w="2949" w:type="dxa"/>
          </w:tcPr>
          <w:p w14:paraId="21D3D5AB" w14:textId="77777777" w:rsidR="00A154D8" w:rsidRPr="00A154D8" w:rsidRDefault="00A154D8" w:rsidP="0094160E">
            <w:pPr>
              <w:rPr>
                <w:rFonts w:ascii="Times New Roman" w:hAnsi="Times New Roman" w:cs="Times New Roman"/>
              </w:rPr>
            </w:pPr>
            <w:r w:rsidRPr="00A154D8">
              <w:rPr>
                <w:rFonts w:ascii="Times New Roman" w:hAnsi="Times New Roman" w:cs="Times New Roman"/>
              </w:rPr>
              <w:t>2003 - 2011</w:t>
            </w:r>
          </w:p>
        </w:tc>
        <w:tc>
          <w:tcPr>
            <w:tcW w:w="2292" w:type="dxa"/>
          </w:tcPr>
          <w:p w14:paraId="56B8B27F" w14:textId="77777777" w:rsidR="00A154D8" w:rsidRPr="00A154D8" w:rsidRDefault="00A154D8" w:rsidP="0094160E">
            <w:pPr>
              <w:rPr>
                <w:rFonts w:ascii="Times New Roman" w:hAnsi="Times New Roman" w:cs="Times New Roman"/>
              </w:rPr>
            </w:pPr>
            <w:r w:rsidRPr="00A154D8">
              <w:rPr>
                <w:rFonts w:ascii="Times New Roman" w:hAnsi="Times New Roman" w:cs="Times New Roman"/>
              </w:rPr>
              <w:t>Yearly</w:t>
            </w:r>
          </w:p>
        </w:tc>
      </w:tr>
      <w:tr w:rsidR="00A154D8" w14:paraId="7FD3D6BB" w14:textId="77777777" w:rsidTr="00A154D8">
        <w:tc>
          <w:tcPr>
            <w:tcW w:w="1435" w:type="dxa"/>
          </w:tcPr>
          <w:p w14:paraId="75A2B910" w14:textId="77777777" w:rsidR="00A154D8" w:rsidRPr="00A154D8" w:rsidRDefault="00A154D8" w:rsidP="0094160E">
            <w:pPr>
              <w:rPr>
                <w:rFonts w:ascii="Times New Roman" w:hAnsi="Times New Roman" w:cs="Times New Roman"/>
              </w:rPr>
            </w:pPr>
            <w:r w:rsidRPr="00A154D8">
              <w:rPr>
                <w:rFonts w:ascii="Times New Roman" w:hAnsi="Times New Roman" w:cs="Times New Roman"/>
              </w:rPr>
              <w:t>Washington</w:t>
            </w:r>
          </w:p>
        </w:tc>
        <w:tc>
          <w:tcPr>
            <w:tcW w:w="2340" w:type="dxa"/>
          </w:tcPr>
          <w:p w14:paraId="7EA284E8" w14:textId="77777777" w:rsidR="00A154D8" w:rsidRPr="00A154D8" w:rsidRDefault="00A154D8" w:rsidP="0094160E">
            <w:pPr>
              <w:rPr>
                <w:rFonts w:ascii="Times New Roman" w:hAnsi="Times New Roman" w:cs="Times New Roman"/>
              </w:rPr>
            </w:pPr>
            <w:r w:rsidRPr="00A154D8">
              <w:rPr>
                <w:rFonts w:ascii="Times New Roman" w:hAnsi="Times New Roman" w:cs="Times New Roman"/>
              </w:rPr>
              <w:t>2011</w:t>
            </w:r>
          </w:p>
        </w:tc>
        <w:tc>
          <w:tcPr>
            <w:tcW w:w="2949" w:type="dxa"/>
          </w:tcPr>
          <w:p w14:paraId="3BD1C047" w14:textId="77777777" w:rsidR="00A154D8" w:rsidRPr="00A154D8" w:rsidRDefault="00A154D8" w:rsidP="0094160E">
            <w:pPr>
              <w:rPr>
                <w:rFonts w:ascii="Times New Roman" w:hAnsi="Times New Roman" w:cs="Times New Roman"/>
              </w:rPr>
            </w:pPr>
            <w:r w:rsidRPr="00A154D8">
              <w:rPr>
                <w:rFonts w:ascii="Times New Roman" w:hAnsi="Times New Roman" w:cs="Times New Roman"/>
              </w:rPr>
              <w:t>2007 - 2015</w:t>
            </w:r>
          </w:p>
        </w:tc>
        <w:tc>
          <w:tcPr>
            <w:tcW w:w="2292" w:type="dxa"/>
          </w:tcPr>
          <w:p w14:paraId="78CA3157" w14:textId="77777777" w:rsidR="00A154D8" w:rsidRPr="00A154D8" w:rsidRDefault="00A154D8" w:rsidP="0094160E">
            <w:pPr>
              <w:rPr>
                <w:rFonts w:ascii="Times New Roman" w:hAnsi="Times New Roman" w:cs="Times New Roman"/>
              </w:rPr>
            </w:pPr>
            <w:r w:rsidRPr="00A154D8">
              <w:rPr>
                <w:rFonts w:ascii="Times New Roman" w:hAnsi="Times New Roman" w:cs="Times New Roman"/>
              </w:rPr>
              <w:t>Yearly</w:t>
            </w:r>
          </w:p>
        </w:tc>
      </w:tr>
    </w:tbl>
    <w:p w14:paraId="7CE1B526" w14:textId="77777777" w:rsidR="009A17FD" w:rsidRDefault="00A154D8" w:rsidP="00A154D8">
      <w:pPr>
        <w:spacing w:line="240" w:lineRule="auto"/>
        <w:jc w:val="center"/>
        <w:rPr>
          <w:rFonts w:ascii="Times New Roman" w:hAnsi="Times New Roman" w:cs="Times New Roman"/>
          <w:sz w:val="24"/>
          <w:szCs w:val="24"/>
          <w:lang w:val="en-US"/>
        </w:rPr>
      </w:pPr>
      <w:r w:rsidRPr="00A154D8">
        <w:rPr>
          <w:rFonts w:ascii="Times New Roman" w:hAnsi="Times New Roman" w:cs="Times New Roman"/>
          <w:b/>
          <w:sz w:val="24"/>
          <w:szCs w:val="24"/>
          <w:lang w:val="en-US"/>
        </w:rPr>
        <w:t xml:space="preserve">Table </w:t>
      </w:r>
      <w:r w:rsidR="00CB3C4D">
        <w:rPr>
          <w:rFonts w:ascii="Times New Roman" w:hAnsi="Times New Roman" w:cs="Times New Roman"/>
          <w:b/>
          <w:sz w:val="24"/>
          <w:szCs w:val="24"/>
          <w:lang w:val="en-US"/>
        </w:rPr>
        <w:t>3</w:t>
      </w:r>
      <w:r w:rsidRPr="00A154D8">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154D8">
        <w:rPr>
          <w:rFonts w:ascii="Times New Roman" w:hAnsi="Times New Roman" w:cs="Times New Roman"/>
          <w:sz w:val="24"/>
          <w:szCs w:val="24"/>
          <w:lang w:val="en-US"/>
        </w:rPr>
        <w:t xml:space="preserve">Description of the scope of analysis for </w:t>
      </w:r>
      <w:r>
        <w:rPr>
          <w:rFonts w:ascii="Times New Roman" w:hAnsi="Times New Roman" w:cs="Times New Roman"/>
          <w:sz w:val="24"/>
          <w:szCs w:val="24"/>
          <w:lang w:val="en-US"/>
        </w:rPr>
        <w:t>drug overdose mortality</w:t>
      </w:r>
      <w:r w:rsidR="00CB3C4D">
        <w:rPr>
          <w:rFonts w:ascii="Times New Roman" w:hAnsi="Times New Roman" w:cs="Times New Roman"/>
          <w:sz w:val="24"/>
          <w:szCs w:val="24"/>
          <w:lang w:val="en-US"/>
        </w:rPr>
        <w:t xml:space="preserve"> in Florida, Texas and Washington.</w:t>
      </w:r>
    </w:p>
    <w:p w14:paraId="79EF5E53" w14:textId="77777777" w:rsidR="009A17FD" w:rsidRDefault="009A17FD" w:rsidP="00CB3C4D">
      <w:pPr>
        <w:spacing w:line="360" w:lineRule="auto"/>
        <w:rPr>
          <w:rFonts w:ascii="Times New Roman" w:hAnsi="Times New Roman" w:cs="Times New Roman"/>
          <w:sz w:val="24"/>
          <w:szCs w:val="24"/>
          <w:lang w:val="en-US"/>
        </w:rPr>
      </w:pPr>
    </w:p>
    <w:p w14:paraId="6F02892A" w14:textId="77777777" w:rsidR="009A17FD" w:rsidRDefault="009A17FD" w:rsidP="00A154D8">
      <w:pPr>
        <w:spacing w:line="240" w:lineRule="auto"/>
        <w:jc w:val="center"/>
        <w:rPr>
          <w:rFonts w:ascii="Times New Roman" w:hAnsi="Times New Roman" w:cs="Times New Roman"/>
          <w:b/>
          <w:sz w:val="24"/>
          <w:szCs w:val="24"/>
          <w:u w:val="single"/>
          <w:lang w:val="en-US"/>
        </w:rPr>
      </w:pPr>
    </w:p>
    <w:p w14:paraId="4F550991" w14:textId="77777777" w:rsidR="00A154D8" w:rsidRDefault="00A154D8" w:rsidP="00A154D8">
      <w:pPr>
        <w:spacing w:line="360" w:lineRule="auto"/>
        <w:jc w:val="center"/>
        <w:rPr>
          <w:rFonts w:ascii="Times New Roman" w:hAnsi="Times New Roman" w:cs="Times New Roman"/>
          <w:b/>
          <w:sz w:val="24"/>
          <w:szCs w:val="24"/>
          <w:u w:val="single"/>
          <w:lang w:val="en-US"/>
        </w:rPr>
      </w:pPr>
    </w:p>
    <w:p w14:paraId="0C5CDC84" w14:textId="77777777" w:rsidR="00CB3C4D" w:rsidRDefault="00CB3C4D" w:rsidP="00F4397E">
      <w:pPr>
        <w:spacing w:line="360" w:lineRule="auto"/>
        <w:rPr>
          <w:rFonts w:ascii="Times New Roman" w:hAnsi="Times New Roman" w:cs="Times New Roman"/>
          <w:sz w:val="24"/>
          <w:szCs w:val="24"/>
          <w:lang w:val="en-US"/>
        </w:rPr>
      </w:pPr>
    </w:p>
    <w:p w14:paraId="61846973" w14:textId="77777777" w:rsidR="00B36DAE" w:rsidRDefault="00F4397E" w:rsidP="00F4397E">
      <w:pPr>
        <w:spacing w:line="360" w:lineRule="auto"/>
        <w:rPr>
          <w:rFonts w:ascii="Times New Roman" w:hAnsi="Times New Roman" w:cs="Times New Roman"/>
          <w:b/>
          <w:sz w:val="24"/>
          <w:szCs w:val="24"/>
          <w:u w:val="single"/>
          <w:lang w:val="en-US"/>
        </w:rPr>
      </w:pPr>
      <w:r>
        <w:rPr>
          <w:rFonts w:ascii="Times New Roman" w:hAnsi="Times New Roman" w:cs="Times New Roman"/>
          <w:sz w:val="24"/>
          <w:szCs w:val="24"/>
          <w:lang w:val="en-US"/>
        </w:rPr>
        <w:lastRenderedPageBreak/>
        <w:t xml:space="preserve">4. </w:t>
      </w:r>
      <w:r w:rsidRPr="00F4397E">
        <w:rPr>
          <w:rFonts w:ascii="Times New Roman" w:hAnsi="Times New Roman" w:cs="Times New Roman"/>
          <w:b/>
          <w:sz w:val="24"/>
          <w:szCs w:val="24"/>
          <w:u w:val="single"/>
          <w:lang w:val="en-US"/>
        </w:rPr>
        <w:t>Analysis</w:t>
      </w:r>
      <w:r w:rsidR="004C4F6D">
        <w:rPr>
          <w:rFonts w:ascii="Times New Roman" w:hAnsi="Times New Roman" w:cs="Times New Roman"/>
          <w:b/>
          <w:sz w:val="24"/>
          <w:szCs w:val="24"/>
          <w:u w:val="single"/>
          <w:lang w:val="en-US"/>
        </w:rPr>
        <w:t xml:space="preserve"> and Interpretation</w:t>
      </w:r>
      <w:r>
        <w:rPr>
          <w:rFonts w:ascii="Times New Roman" w:hAnsi="Times New Roman" w:cs="Times New Roman"/>
          <w:b/>
          <w:sz w:val="24"/>
          <w:szCs w:val="24"/>
          <w:u w:val="single"/>
          <w:lang w:val="en-US"/>
        </w:rPr>
        <w:t>:</w:t>
      </w:r>
    </w:p>
    <w:p w14:paraId="2FCE5524" w14:textId="77777777" w:rsidR="00F4397E" w:rsidRDefault="00A154D8" w:rsidP="00F4397E">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ab/>
      </w:r>
      <w:r w:rsidR="002A6AB2">
        <w:rPr>
          <w:rFonts w:ascii="Times New Roman" w:hAnsi="Times New Roman" w:cs="Times New Roman"/>
          <w:sz w:val="24"/>
          <w:szCs w:val="24"/>
          <w:lang w:val="en-US"/>
        </w:rPr>
        <w:t xml:space="preserve">One approach to studying the effect of policy on per capita opioid transactions and drug overdose mortality is to simply look at the trends before and after the policy was enforced. If an </w:t>
      </w:r>
      <w:r w:rsidR="002A6AB2" w:rsidRPr="002A6AB2">
        <w:rPr>
          <w:rFonts w:ascii="Times New Roman" w:hAnsi="Times New Roman" w:cs="Times New Roman"/>
          <w:i/>
          <w:sz w:val="24"/>
          <w:szCs w:val="24"/>
          <w:lang w:val="en-US"/>
        </w:rPr>
        <w:t>increasing</w:t>
      </w:r>
      <w:r w:rsidR="002A6AB2">
        <w:rPr>
          <w:rFonts w:ascii="Times New Roman" w:hAnsi="Times New Roman" w:cs="Times New Roman"/>
          <w:sz w:val="24"/>
          <w:szCs w:val="24"/>
          <w:lang w:val="en-US"/>
        </w:rPr>
        <w:t xml:space="preserve"> trend (positive slope) was observed in both per-capita opioid consumption and drug-related overdose deaths prior to the policy enactment – the lawmakers were well-justified in being alarmed and passing legislation to limit opioids flow into the state. Furthermore, if a </w:t>
      </w:r>
      <w:r w:rsidR="002A6AB2" w:rsidRPr="002A6AB2">
        <w:rPr>
          <w:rFonts w:ascii="Times New Roman" w:hAnsi="Times New Roman" w:cs="Times New Roman"/>
          <w:i/>
          <w:sz w:val="24"/>
          <w:szCs w:val="24"/>
          <w:lang w:val="en-US"/>
        </w:rPr>
        <w:t>decreasing</w:t>
      </w:r>
      <w:r w:rsidR="002A6AB2">
        <w:rPr>
          <w:rFonts w:ascii="Times New Roman" w:hAnsi="Times New Roman" w:cs="Times New Roman"/>
          <w:sz w:val="24"/>
          <w:szCs w:val="24"/>
          <w:lang w:val="en-US"/>
        </w:rPr>
        <w:t xml:space="preserve"> trend (negative slope) was observed in both per-capita opioid consumption and drug-related overdose deaths post the policy enactment – the lawmakers were indeed very successful in circumventing a possible endemic that could have endangered millions of lives. The technical jargon for this type of analysis is known as a ‘Pre – Post Analysis’ and is often </w:t>
      </w:r>
      <w:r w:rsidR="00A9752C">
        <w:rPr>
          <w:rFonts w:ascii="Times New Roman" w:hAnsi="Times New Roman" w:cs="Times New Roman"/>
          <w:sz w:val="24"/>
          <w:szCs w:val="24"/>
          <w:lang w:val="en-US"/>
        </w:rPr>
        <w:t xml:space="preserve">times </w:t>
      </w:r>
      <w:r w:rsidR="002A6AB2">
        <w:rPr>
          <w:rFonts w:ascii="Times New Roman" w:hAnsi="Times New Roman" w:cs="Times New Roman"/>
          <w:sz w:val="24"/>
          <w:szCs w:val="24"/>
          <w:lang w:val="en-US"/>
        </w:rPr>
        <w:t xml:space="preserve">very useful in gaining valuable insights into existing trends in the problem. </w:t>
      </w:r>
      <w:r w:rsidR="00A9752C">
        <w:rPr>
          <w:rFonts w:ascii="Times New Roman" w:hAnsi="Times New Roman" w:cs="Times New Roman"/>
          <w:sz w:val="24"/>
          <w:szCs w:val="24"/>
          <w:lang w:val="en-US"/>
        </w:rPr>
        <w:t xml:space="preserve">However, this method is flawed in one major way and there are better methods to study the effects of policy change. </w:t>
      </w:r>
    </w:p>
    <w:p w14:paraId="19A5234B" w14:textId="77777777" w:rsidR="00A9752C" w:rsidRDefault="00A9752C" w:rsidP="00F4397E">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ab/>
        <w:t xml:space="preserve">Let’s elucidate the flaw in the above method using an analogy. Consider the case of 17-year old Jeremy Belcher that lives in </w:t>
      </w:r>
      <w:r w:rsidR="00254E69">
        <w:rPr>
          <w:rFonts w:ascii="Times New Roman" w:hAnsi="Times New Roman" w:cs="Times New Roman"/>
          <w:sz w:val="24"/>
          <w:szCs w:val="24"/>
          <w:lang w:val="en-US"/>
        </w:rPr>
        <w:t xml:space="preserve">Princeton, </w:t>
      </w:r>
      <w:r>
        <w:rPr>
          <w:rFonts w:ascii="Times New Roman" w:hAnsi="Times New Roman" w:cs="Times New Roman"/>
          <w:sz w:val="24"/>
          <w:szCs w:val="24"/>
          <w:lang w:val="en-US"/>
        </w:rPr>
        <w:t xml:space="preserve">New Jersey. Unfortunately, Jeremy is dangerously obese, and his physician has decided to </w:t>
      </w:r>
      <w:r w:rsidR="00254E69">
        <w:rPr>
          <w:rFonts w:ascii="Times New Roman" w:hAnsi="Times New Roman" w:cs="Times New Roman"/>
          <w:sz w:val="24"/>
          <w:szCs w:val="24"/>
          <w:lang w:val="en-US"/>
        </w:rPr>
        <w:t>enforce</w:t>
      </w:r>
      <w:r>
        <w:rPr>
          <w:rFonts w:ascii="Times New Roman" w:hAnsi="Times New Roman" w:cs="Times New Roman"/>
          <w:sz w:val="24"/>
          <w:szCs w:val="24"/>
          <w:lang w:val="en-US"/>
        </w:rPr>
        <w:t xml:space="preserve"> stringent measures to bring Jeremy’s weight down. For starters, Jeremy is only allowed a fluid-based diet (fruit juices, soups etc.) for a whole entire week. Jeremy has promised to stick to his new diet and is due to return in one week’s time so that the doctor may check on his progress. </w:t>
      </w:r>
    </w:p>
    <w:p w14:paraId="6F47A639" w14:textId="77777777" w:rsidR="0058747A" w:rsidRDefault="00254E69" w:rsidP="00F4397E">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ab/>
        <w:t xml:space="preserve">A week later Jeremy visits his physician, and to everybody’s pleasant surprise Jeremy had lost 20 whole pounds! The doctor is pleased and deems his treatment a huge success. What the doctor did here is analogous to a simple pre – post analysis around his prescribed diet to Jeremy. What the doctor failed to realize was that Jeremy’s favorite </w:t>
      </w:r>
      <w:r w:rsidR="0058747A">
        <w:rPr>
          <w:rFonts w:ascii="Times New Roman" w:hAnsi="Times New Roman" w:cs="Times New Roman"/>
          <w:sz w:val="24"/>
          <w:szCs w:val="24"/>
          <w:lang w:val="en-US"/>
        </w:rPr>
        <w:t xml:space="preserve">chain </w:t>
      </w:r>
      <w:r>
        <w:rPr>
          <w:rFonts w:ascii="Times New Roman" w:hAnsi="Times New Roman" w:cs="Times New Roman"/>
          <w:sz w:val="24"/>
          <w:szCs w:val="24"/>
          <w:lang w:val="en-US"/>
        </w:rPr>
        <w:t>burger-joint</w:t>
      </w:r>
      <w:r w:rsidR="0058747A">
        <w:rPr>
          <w:rFonts w:ascii="Times New Roman" w:hAnsi="Times New Roman" w:cs="Times New Roman"/>
          <w:sz w:val="24"/>
          <w:szCs w:val="24"/>
          <w:lang w:val="en-US"/>
        </w:rPr>
        <w:t>s</w:t>
      </w:r>
      <w:r>
        <w:rPr>
          <w:rFonts w:ascii="Times New Roman" w:hAnsi="Times New Roman" w:cs="Times New Roman"/>
          <w:sz w:val="24"/>
          <w:szCs w:val="24"/>
          <w:lang w:val="en-US"/>
        </w:rPr>
        <w:t xml:space="preserve"> that he frequents was closed for renovations that week</w:t>
      </w:r>
      <w:r w:rsidR="0058747A">
        <w:rPr>
          <w:rFonts w:ascii="Times New Roman" w:hAnsi="Times New Roman" w:cs="Times New Roman"/>
          <w:sz w:val="24"/>
          <w:szCs w:val="24"/>
          <w:lang w:val="en-US"/>
        </w:rPr>
        <w:t xml:space="preserve"> – all 49 branches</w:t>
      </w:r>
      <w:r>
        <w:rPr>
          <w:rFonts w:ascii="Times New Roman" w:hAnsi="Times New Roman" w:cs="Times New Roman"/>
          <w:sz w:val="24"/>
          <w:szCs w:val="24"/>
          <w:lang w:val="en-US"/>
        </w:rPr>
        <w:t xml:space="preserve">. This may have been a huge, unaccounted factor in Jeremy’s progress. A simple pre – post analysis does not take such factors into account and can therefore be misleading. </w:t>
      </w:r>
      <w:r w:rsidR="00D15E87">
        <w:rPr>
          <w:rFonts w:ascii="Times New Roman" w:hAnsi="Times New Roman" w:cs="Times New Roman"/>
          <w:sz w:val="24"/>
          <w:szCs w:val="24"/>
          <w:lang w:val="en-US"/>
        </w:rPr>
        <w:t>Instead of comparing Jeremy’s progress before and after a said treatment, a more effective form of analysis would be to compare Jeremy’s weight loss with that of another individual, say Ralph, who is comparable to Jeremy in terms of weight and also frequents the exact burger</w:t>
      </w:r>
      <w:r w:rsidR="0058747A">
        <w:rPr>
          <w:rFonts w:ascii="Times New Roman" w:hAnsi="Times New Roman" w:cs="Times New Roman"/>
          <w:sz w:val="24"/>
          <w:szCs w:val="24"/>
          <w:lang w:val="en-US"/>
        </w:rPr>
        <w:t xml:space="preserve"> chain</w:t>
      </w:r>
      <w:r w:rsidR="00D15E87">
        <w:rPr>
          <w:rFonts w:ascii="Times New Roman" w:hAnsi="Times New Roman" w:cs="Times New Roman"/>
          <w:sz w:val="24"/>
          <w:szCs w:val="24"/>
          <w:lang w:val="en-US"/>
        </w:rPr>
        <w:t xml:space="preserve"> joint</w:t>
      </w:r>
      <w:r w:rsidR="0058747A">
        <w:rPr>
          <w:rFonts w:ascii="Times New Roman" w:hAnsi="Times New Roman" w:cs="Times New Roman"/>
          <w:sz w:val="24"/>
          <w:szCs w:val="24"/>
          <w:lang w:val="en-US"/>
        </w:rPr>
        <w:t>s that</w:t>
      </w:r>
      <w:r w:rsidR="00D15E87">
        <w:rPr>
          <w:rFonts w:ascii="Times New Roman" w:hAnsi="Times New Roman" w:cs="Times New Roman"/>
          <w:sz w:val="24"/>
          <w:szCs w:val="24"/>
          <w:lang w:val="en-US"/>
        </w:rPr>
        <w:t xml:space="preserve"> Jeremy frequents. While this example might be getting </w:t>
      </w:r>
      <w:r w:rsidR="0058747A">
        <w:rPr>
          <w:rFonts w:ascii="Times New Roman" w:hAnsi="Times New Roman" w:cs="Times New Roman"/>
          <w:sz w:val="24"/>
          <w:szCs w:val="24"/>
          <w:lang w:val="en-US"/>
        </w:rPr>
        <w:t>unnecessarily specific to Jeremy and Princeton, New Jersey, parallels may be drawn between this analogy and the situation in Florida</w:t>
      </w:r>
      <w:r w:rsidR="00C22C9B">
        <w:rPr>
          <w:rFonts w:ascii="Times New Roman" w:hAnsi="Times New Roman" w:cs="Times New Roman"/>
          <w:sz w:val="24"/>
          <w:szCs w:val="24"/>
          <w:lang w:val="en-US"/>
        </w:rPr>
        <w:t>, Texas and Washington</w:t>
      </w:r>
      <w:r w:rsidR="0058747A">
        <w:rPr>
          <w:rFonts w:ascii="Times New Roman" w:hAnsi="Times New Roman" w:cs="Times New Roman"/>
          <w:sz w:val="24"/>
          <w:szCs w:val="24"/>
          <w:lang w:val="en-US"/>
        </w:rPr>
        <w:t xml:space="preserve">. </w:t>
      </w:r>
      <w:r w:rsidR="00AA3C42">
        <w:rPr>
          <w:rFonts w:ascii="Times New Roman" w:hAnsi="Times New Roman" w:cs="Times New Roman"/>
          <w:sz w:val="24"/>
          <w:szCs w:val="24"/>
          <w:lang w:val="en-US"/>
        </w:rPr>
        <w:t xml:space="preserve">While it is entirely possible </w:t>
      </w:r>
      <w:r w:rsidR="00AA3C42">
        <w:rPr>
          <w:rFonts w:ascii="Times New Roman" w:hAnsi="Times New Roman" w:cs="Times New Roman"/>
          <w:sz w:val="24"/>
          <w:szCs w:val="24"/>
          <w:lang w:val="en-US"/>
        </w:rPr>
        <w:lastRenderedPageBreak/>
        <w:t>that the change in policy was solely responsible for the decrease in opioid transactions and deaths, it could also very well be the case that a simultaneous federal curb on opioid flow – independent o</w:t>
      </w:r>
      <w:r w:rsidR="00C22C9B">
        <w:rPr>
          <w:rFonts w:ascii="Times New Roman" w:hAnsi="Times New Roman" w:cs="Times New Roman"/>
          <w:sz w:val="24"/>
          <w:szCs w:val="24"/>
          <w:lang w:val="en-US"/>
        </w:rPr>
        <w:t>f</w:t>
      </w:r>
      <w:r w:rsidR="00AA3C42">
        <w:rPr>
          <w:rFonts w:ascii="Times New Roman" w:hAnsi="Times New Roman" w:cs="Times New Roman"/>
          <w:sz w:val="24"/>
          <w:szCs w:val="24"/>
          <w:lang w:val="en-US"/>
        </w:rPr>
        <w:t xml:space="preserve"> policy changes at the state level</w:t>
      </w:r>
      <w:r w:rsidR="00C22C9B">
        <w:rPr>
          <w:rFonts w:ascii="Times New Roman" w:hAnsi="Times New Roman" w:cs="Times New Roman"/>
          <w:sz w:val="24"/>
          <w:szCs w:val="24"/>
          <w:lang w:val="en-US"/>
        </w:rPr>
        <w:t xml:space="preserve">- may have caused the desired results. This would inaccurately suggest that the policy change </w:t>
      </w:r>
      <w:r w:rsidR="00A11168">
        <w:rPr>
          <w:rFonts w:ascii="Times New Roman" w:hAnsi="Times New Roman" w:cs="Times New Roman"/>
          <w:sz w:val="24"/>
          <w:szCs w:val="24"/>
          <w:lang w:val="en-US"/>
        </w:rPr>
        <w:t>worked, while</w:t>
      </w:r>
      <w:r w:rsidR="00C22C9B">
        <w:rPr>
          <w:rFonts w:ascii="Times New Roman" w:hAnsi="Times New Roman" w:cs="Times New Roman"/>
          <w:sz w:val="24"/>
          <w:szCs w:val="24"/>
          <w:lang w:val="en-US"/>
        </w:rPr>
        <w:t xml:space="preserve"> in reality it was a mere coincidence</w:t>
      </w:r>
      <w:r w:rsidR="00A11168">
        <w:rPr>
          <w:rFonts w:ascii="Times New Roman" w:hAnsi="Times New Roman" w:cs="Times New Roman"/>
          <w:sz w:val="24"/>
          <w:szCs w:val="24"/>
          <w:lang w:val="en-US"/>
        </w:rPr>
        <w:t xml:space="preserve"> that a federal legislation was enacted at the same time as the state legislation</w:t>
      </w:r>
      <w:r w:rsidR="00C22C9B">
        <w:rPr>
          <w:rFonts w:ascii="Times New Roman" w:hAnsi="Times New Roman" w:cs="Times New Roman"/>
          <w:sz w:val="24"/>
          <w:szCs w:val="24"/>
          <w:lang w:val="en-US"/>
        </w:rPr>
        <w:t xml:space="preserve">.  </w:t>
      </w:r>
      <w:r w:rsidR="00A11168">
        <w:rPr>
          <w:rFonts w:ascii="Times New Roman" w:hAnsi="Times New Roman" w:cs="Times New Roman"/>
          <w:sz w:val="24"/>
          <w:szCs w:val="24"/>
          <w:lang w:val="en-US"/>
        </w:rPr>
        <w:t xml:space="preserve">Analogous to comparing Jeremy with Ralph, a better technique in the case of states would be to compare the changes in, for e.g., Florida before and after policy change with another state similar to Florida before and after the policy change. </w:t>
      </w:r>
      <w:r w:rsidR="004C4F6D">
        <w:rPr>
          <w:rFonts w:ascii="Times New Roman" w:hAnsi="Times New Roman" w:cs="Times New Roman"/>
          <w:sz w:val="24"/>
          <w:szCs w:val="24"/>
          <w:lang w:val="en-US"/>
        </w:rPr>
        <w:t>Even better and s</w:t>
      </w:r>
      <w:r w:rsidR="00A11168">
        <w:rPr>
          <w:rFonts w:ascii="Times New Roman" w:hAnsi="Times New Roman" w:cs="Times New Roman"/>
          <w:sz w:val="24"/>
          <w:szCs w:val="24"/>
          <w:lang w:val="en-US"/>
        </w:rPr>
        <w:t xml:space="preserve">tatistically stronger is to compare Florida with all other 47 states where a policy was not enacted (All states excluding Washington, Texas and obviously Florida itself). This would eliminate the effects all the states were </w:t>
      </w:r>
      <w:r w:rsidR="00F909D2">
        <w:rPr>
          <w:rFonts w:ascii="Times New Roman" w:hAnsi="Times New Roman" w:cs="Times New Roman"/>
          <w:sz w:val="24"/>
          <w:szCs w:val="24"/>
          <w:lang w:val="en-US"/>
        </w:rPr>
        <w:t xml:space="preserve">commonly </w:t>
      </w:r>
      <w:r w:rsidR="00A11168">
        <w:rPr>
          <w:rFonts w:ascii="Times New Roman" w:hAnsi="Times New Roman" w:cs="Times New Roman"/>
          <w:sz w:val="24"/>
          <w:szCs w:val="24"/>
          <w:lang w:val="en-US"/>
        </w:rPr>
        <w:t>subject</w:t>
      </w:r>
      <w:r w:rsidR="00F909D2">
        <w:rPr>
          <w:rFonts w:ascii="Times New Roman" w:hAnsi="Times New Roman" w:cs="Times New Roman"/>
          <w:sz w:val="24"/>
          <w:szCs w:val="24"/>
          <w:lang w:val="en-US"/>
        </w:rPr>
        <w:t>ed</w:t>
      </w:r>
      <w:r w:rsidR="00A11168">
        <w:rPr>
          <w:rFonts w:ascii="Times New Roman" w:hAnsi="Times New Roman" w:cs="Times New Roman"/>
          <w:sz w:val="24"/>
          <w:szCs w:val="24"/>
          <w:lang w:val="en-US"/>
        </w:rPr>
        <w:t xml:space="preserve"> to</w:t>
      </w:r>
      <w:r w:rsidR="00F909D2">
        <w:rPr>
          <w:rFonts w:ascii="Times New Roman" w:hAnsi="Times New Roman" w:cs="Times New Roman"/>
          <w:sz w:val="24"/>
          <w:szCs w:val="24"/>
          <w:lang w:val="en-US"/>
        </w:rPr>
        <w:t xml:space="preserve"> at the time</w:t>
      </w:r>
      <w:r w:rsidR="00A11168">
        <w:rPr>
          <w:rFonts w:ascii="Times New Roman" w:hAnsi="Times New Roman" w:cs="Times New Roman"/>
          <w:sz w:val="24"/>
          <w:szCs w:val="24"/>
          <w:lang w:val="en-US"/>
        </w:rPr>
        <w:t xml:space="preserve"> and help us isolate and study the effect of the policy </w:t>
      </w:r>
      <w:r w:rsidR="00F909D2">
        <w:rPr>
          <w:rFonts w:ascii="Times New Roman" w:hAnsi="Times New Roman" w:cs="Times New Roman"/>
          <w:sz w:val="24"/>
          <w:szCs w:val="24"/>
          <w:lang w:val="en-US"/>
        </w:rPr>
        <w:t>on the policy state. In statistics, this technique is called the Differen</w:t>
      </w:r>
      <w:r w:rsidR="004C4F6D">
        <w:rPr>
          <w:rFonts w:ascii="Times New Roman" w:hAnsi="Times New Roman" w:cs="Times New Roman"/>
          <w:sz w:val="24"/>
          <w:szCs w:val="24"/>
          <w:lang w:val="en-US"/>
        </w:rPr>
        <w:t xml:space="preserve">ce-in-Difference method. </w:t>
      </w:r>
    </w:p>
    <w:p w14:paraId="2E808EA4" w14:textId="77777777" w:rsidR="00B3535A" w:rsidRDefault="004C4F6D" w:rsidP="00B3535A">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ab/>
        <w:t>Following is an analysis of the opioid transactions and drug overdose mortality for each of the policy states - Florida, Washington and Texas.</w:t>
      </w:r>
      <w:r w:rsidR="00B3535A">
        <w:rPr>
          <w:rFonts w:ascii="Times New Roman" w:hAnsi="Times New Roman" w:cs="Times New Roman"/>
          <w:sz w:val="24"/>
          <w:szCs w:val="24"/>
          <w:lang w:val="en-US"/>
        </w:rPr>
        <w:t xml:space="preserve"> </w:t>
      </w:r>
    </w:p>
    <w:p w14:paraId="7CAFCB96" w14:textId="14ED03DF" w:rsidR="00B3535A" w:rsidRPr="00B3535A" w:rsidRDefault="00B3535A" w:rsidP="00B3535A">
      <w:pPr>
        <w:spacing w:line="360" w:lineRule="auto"/>
        <w:ind w:left="270"/>
        <w:rPr>
          <w:rFonts w:ascii="Times New Roman" w:hAnsi="Times New Roman" w:cs="Times New Roman"/>
          <w:b/>
          <w:sz w:val="24"/>
          <w:szCs w:val="24"/>
          <w:lang w:val="en-US"/>
        </w:rPr>
      </w:pPr>
      <w:r w:rsidRPr="00B3535A">
        <w:rPr>
          <w:rFonts w:ascii="Times New Roman" w:hAnsi="Times New Roman" w:cs="Times New Roman"/>
          <w:b/>
          <w:sz w:val="24"/>
          <w:szCs w:val="24"/>
          <w:lang w:val="en-US"/>
        </w:rPr>
        <w:t>Pre-Post Comparison:</w:t>
      </w:r>
    </w:p>
    <w:p w14:paraId="6BE220FD" w14:textId="38CA4198" w:rsidR="0079224F" w:rsidRPr="0079224F" w:rsidRDefault="00B3535A" w:rsidP="0079224F">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With Pre-Post comparison, o</w:t>
      </w:r>
      <w:r w:rsidRPr="00B3535A">
        <w:rPr>
          <w:rFonts w:ascii="Times New Roman" w:hAnsi="Times New Roman" w:cs="Times New Roman"/>
          <w:sz w:val="24"/>
          <w:szCs w:val="24"/>
          <w:lang w:val="en-US"/>
        </w:rPr>
        <w:t xml:space="preserve">ne of the most basic strategies, </w:t>
      </w:r>
      <w:r>
        <w:rPr>
          <w:rFonts w:ascii="Times New Roman" w:hAnsi="Times New Roman" w:cs="Times New Roman"/>
          <w:sz w:val="24"/>
          <w:szCs w:val="24"/>
          <w:lang w:val="en-US"/>
        </w:rPr>
        <w:t>we</w:t>
      </w:r>
      <w:r w:rsidRPr="00B3535A">
        <w:rPr>
          <w:rFonts w:ascii="Times New Roman" w:hAnsi="Times New Roman" w:cs="Times New Roman"/>
          <w:sz w:val="24"/>
          <w:szCs w:val="24"/>
          <w:lang w:val="en-US"/>
        </w:rPr>
        <w:t xml:space="preserve"> compare how things</w:t>
      </w:r>
      <w:r>
        <w:rPr>
          <w:rFonts w:ascii="Times New Roman" w:hAnsi="Times New Roman" w:cs="Times New Roman"/>
          <w:sz w:val="24"/>
          <w:szCs w:val="24"/>
          <w:lang w:val="en-US"/>
        </w:rPr>
        <w:t xml:space="preserve"> </w:t>
      </w:r>
      <w:r w:rsidRPr="00B3535A">
        <w:rPr>
          <w:rFonts w:ascii="Times New Roman" w:hAnsi="Times New Roman" w:cs="Times New Roman"/>
          <w:sz w:val="24"/>
          <w:szCs w:val="24"/>
          <w:lang w:val="en-US"/>
        </w:rPr>
        <w:t xml:space="preserve">were in </w:t>
      </w:r>
      <w:r>
        <w:rPr>
          <w:rFonts w:ascii="Times New Roman" w:hAnsi="Times New Roman" w:cs="Times New Roman"/>
          <w:sz w:val="24"/>
          <w:szCs w:val="24"/>
          <w:lang w:val="en-US"/>
        </w:rPr>
        <w:t>policy states</w:t>
      </w:r>
      <w:r w:rsidRPr="00B3535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(TX, FL, WA) </w:t>
      </w:r>
      <w:r w:rsidRPr="00B3535A">
        <w:rPr>
          <w:rFonts w:ascii="Times New Roman" w:hAnsi="Times New Roman" w:cs="Times New Roman"/>
          <w:sz w:val="24"/>
          <w:szCs w:val="24"/>
          <w:lang w:val="en-US"/>
        </w:rPr>
        <w:t xml:space="preserve">right before the policy </w:t>
      </w:r>
      <w:r>
        <w:rPr>
          <w:rFonts w:ascii="Times New Roman" w:hAnsi="Times New Roman" w:cs="Times New Roman"/>
          <w:sz w:val="24"/>
          <w:szCs w:val="24"/>
          <w:lang w:val="en-US"/>
        </w:rPr>
        <w:t xml:space="preserve">in </w:t>
      </w:r>
      <w:r w:rsidRPr="00B3535A">
        <w:rPr>
          <w:rFonts w:ascii="Times New Roman" w:hAnsi="Times New Roman" w:cs="Times New Roman"/>
          <w:sz w:val="24"/>
          <w:szCs w:val="24"/>
          <w:lang w:val="en-US"/>
        </w:rPr>
        <w:t>e</w:t>
      </w:r>
      <w:r>
        <w:rPr>
          <w:rFonts w:ascii="Times New Roman" w:hAnsi="Times New Roman" w:cs="Times New Roman"/>
          <w:sz w:val="24"/>
          <w:szCs w:val="24"/>
          <w:lang w:val="en-US"/>
        </w:rPr>
        <w:t>ff</w:t>
      </w:r>
      <w:r w:rsidRPr="00B3535A">
        <w:rPr>
          <w:rFonts w:ascii="Times New Roman" w:hAnsi="Times New Roman" w:cs="Times New Roman"/>
          <w:sz w:val="24"/>
          <w:szCs w:val="24"/>
          <w:lang w:val="en-US"/>
        </w:rPr>
        <w:t>ect</w:t>
      </w:r>
      <w:r>
        <w:rPr>
          <w:rFonts w:ascii="Times New Roman" w:hAnsi="Times New Roman" w:cs="Times New Roman"/>
          <w:sz w:val="24"/>
          <w:szCs w:val="24"/>
          <w:lang w:val="en-US"/>
        </w:rPr>
        <w:t>ive</w:t>
      </w:r>
      <w:r w:rsidRPr="00B3535A">
        <w:rPr>
          <w:rFonts w:ascii="Times New Roman" w:hAnsi="Times New Roman" w:cs="Times New Roman"/>
          <w:sz w:val="24"/>
          <w:szCs w:val="24"/>
          <w:lang w:val="en-US"/>
        </w:rPr>
        <w:t xml:space="preserve"> to </w:t>
      </w:r>
      <w:r>
        <w:rPr>
          <w:rFonts w:ascii="Times New Roman" w:hAnsi="Times New Roman" w:cs="Times New Roman"/>
          <w:sz w:val="24"/>
          <w:szCs w:val="24"/>
          <w:lang w:val="en-US"/>
        </w:rPr>
        <w:t>policy states</w:t>
      </w:r>
      <w:r w:rsidRPr="00B3535A">
        <w:rPr>
          <w:rFonts w:ascii="Times New Roman" w:hAnsi="Times New Roman" w:cs="Times New Roman"/>
          <w:sz w:val="24"/>
          <w:szCs w:val="24"/>
          <w:lang w:val="en-US"/>
        </w:rPr>
        <w:t xml:space="preserve"> right after the policy</w:t>
      </w:r>
      <w:r>
        <w:rPr>
          <w:rFonts w:ascii="Times New Roman" w:hAnsi="Times New Roman" w:cs="Times New Roman"/>
          <w:sz w:val="24"/>
          <w:szCs w:val="24"/>
          <w:lang w:val="en-US"/>
        </w:rPr>
        <w:t xml:space="preserve"> in effective</w:t>
      </w:r>
      <w:r w:rsidRPr="00B3535A">
        <w:rPr>
          <w:rFonts w:ascii="Times New Roman" w:hAnsi="Times New Roman" w:cs="Times New Roman"/>
          <w:sz w:val="24"/>
          <w:szCs w:val="24"/>
          <w:lang w:val="en-US"/>
        </w:rPr>
        <w:t xml:space="preserve">. In doing so, </w:t>
      </w:r>
      <w:r>
        <w:rPr>
          <w:rFonts w:ascii="Times New Roman" w:hAnsi="Times New Roman" w:cs="Times New Roman"/>
          <w:sz w:val="24"/>
          <w:szCs w:val="24"/>
          <w:lang w:val="en-US"/>
        </w:rPr>
        <w:t>we can see whether the policy affect to reduce number of death</w:t>
      </w:r>
      <w:r w:rsidR="00560124">
        <w:rPr>
          <w:rFonts w:ascii="Times New Roman" w:hAnsi="Times New Roman" w:cs="Times New Roman"/>
          <w:sz w:val="24"/>
          <w:szCs w:val="24"/>
          <w:lang w:val="en-US"/>
        </w:rPr>
        <w:t>s</w:t>
      </w:r>
      <w:r>
        <w:rPr>
          <w:rFonts w:ascii="Times New Roman" w:hAnsi="Times New Roman" w:cs="Times New Roman"/>
          <w:sz w:val="24"/>
          <w:szCs w:val="24"/>
          <w:lang w:val="en-US"/>
        </w:rPr>
        <w:t xml:space="preserve"> caused by drug overdose</w:t>
      </w:r>
      <w:r w:rsidR="003E1760">
        <w:rPr>
          <w:rFonts w:ascii="Times New Roman" w:hAnsi="Times New Roman" w:cs="Times New Roman"/>
          <w:sz w:val="24"/>
          <w:szCs w:val="24"/>
          <w:lang w:val="en-US"/>
        </w:rPr>
        <w:t xml:space="preserve"> and easily </w:t>
      </w:r>
      <w:r w:rsidR="003E1760" w:rsidRPr="003E1760">
        <w:rPr>
          <w:rFonts w:ascii="Times New Roman" w:hAnsi="Times New Roman" w:cs="Times New Roman"/>
          <w:sz w:val="24"/>
          <w:szCs w:val="24"/>
          <w:lang w:val="en-US"/>
        </w:rPr>
        <w:t>approach to causal inference</w:t>
      </w:r>
      <w:r w:rsidR="003E1760">
        <w:rPr>
          <w:rFonts w:ascii="Times New Roman" w:hAnsi="Times New Roman" w:cs="Times New Roman"/>
          <w:sz w:val="24"/>
          <w:szCs w:val="24"/>
          <w:lang w:val="en-US"/>
        </w:rPr>
        <w:t>.</w:t>
      </w:r>
    </w:p>
    <w:p w14:paraId="1157ADA2" w14:textId="0B0C32EA" w:rsidR="0079224F" w:rsidRPr="0079224F" w:rsidRDefault="0079224F" w:rsidP="0079224F">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In Texas, Pre-Post comparison shows that death rate</w:t>
      </w:r>
      <w:r w:rsidR="00D252CD">
        <w:rPr>
          <w:rFonts w:ascii="Times New Roman" w:hAnsi="Times New Roman" w:cs="Times New Roman"/>
          <w:sz w:val="24"/>
          <w:szCs w:val="24"/>
          <w:lang w:val="en-US"/>
        </w:rPr>
        <w:t>s</w:t>
      </w:r>
      <w:r>
        <w:rPr>
          <w:rFonts w:ascii="Times New Roman" w:hAnsi="Times New Roman" w:cs="Times New Roman"/>
          <w:sz w:val="24"/>
          <w:szCs w:val="24"/>
          <w:lang w:val="en-US"/>
        </w:rPr>
        <w:t xml:space="preserve"> by drug overdose kept increasing before the policy went into effect in 2007, then the rate</w:t>
      </w:r>
      <w:r w:rsidR="00D252CD">
        <w:rPr>
          <w:rFonts w:ascii="Times New Roman" w:hAnsi="Times New Roman" w:cs="Times New Roman"/>
          <w:sz w:val="24"/>
          <w:szCs w:val="24"/>
          <w:lang w:val="en-US"/>
        </w:rPr>
        <w:t>s</w:t>
      </w:r>
      <w:r>
        <w:rPr>
          <w:rFonts w:ascii="Times New Roman" w:hAnsi="Times New Roman" w:cs="Times New Roman"/>
          <w:sz w:val="24"/>
          <w:szCs w:val="24"/>
          <w:lang w:val="en-US"/>
        </w:rPr>
        <w:t xml:space="preserve"> ha</w:t>
      </w:r>
      <w:r w:rsidR="00D252CD">
        <w:rPr>
          <w:rFonts w:ascii="Times New Roman" w:hAnsi="Times New Roman" w:cs="Times New Roman"/>
          <w:sz w:val="24"/>
          <w:szCs w:val="24"/>
          <w:lang w:val="en-US"/>
        </w:rPr>
        <w:t>ve</w:t>
      </w:r>
      <w:r>
        <w:rPr>
          <w:rFonts w:ascii="Times New Roman" w:hAnsi="Times New Roman" w:cs="Times New Roman"/>
          <w:sz w:val="24"/>
          <w:szCs w:val="24"/>
          <w:lang w:val="en-US"/>
        </w:rPr>
        <w:t xml:space="preserve"> stayed in steady state since 2007.</w:t>
      </w:r>
    </w:p>
    <w:p w14:paraId="6E931D2F" w14:textId="3EC8BCAA" w:rsidR="00FA4D7F" w:rsidRDefault="00FA4D7F" w:rsidP="00F4397E">
      <w:pPr>
        <w:spacing w:line="360" w:lineRule="auto"/>
        <w:ind w:left="270"/>
        <w:rPr>
          <w:noProof/>
        </w:rPr>
      </w:pPr>
      <w:r>
        <w:rPr>
          <w:noProof/>
        </w:rPr>
        <w:drawing>
          <wp:inline distT="0" distB="0" distL="0" distR="0" wp14:anchorId="119FF70D" wp14:editId="728FC294">
            <wp:extent cx="2893325" cy="223682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7361" cy="2317259"/>
                    </a:xfrm>
                    <a:prstGeom prst="rect">
                      <a:avLst/>
                    </a:prstGeom>
                  </pic:spPr>
                </pic:pic>
              </a:graphicData>
            </a:graphic>
          </wp:inline>
        </w:drawing>
      </w:r>
    </w:p>
    <w:p w14:paraId="35FA9868" w14:textId="088889F4" w:rsidR="00FA4D7F" w:rsidRPr="0079224F" w:rsidRDefault="0079224F" w:rsidP="0079224F">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lastRenderedPageBreak/>
        <w:t>In Florida, as in Texas, death rate</w:t>
      </w:r>
      <w:r w:rsidR="00D252CD">
        <w:rPr>
          <w:rFonts w:ascii="Times New Roman" w:hAnsi="Times New Roman" w:cs="Times New Roman"/>
          <w:sz w:val="24"/>
          <w:szCs w:val="24"/>
          <w:lang w:val="en-US"/>
        </w:rPr>
        <w:t>s</w:t>
      </w:r>
      <w:r>
        <w:rPr>
          <w:rFonts w:ascii="Times New Roman" w:hAnsi="Times New Roman" w:cs="Times New Roman"/>
          <w:sz w:val="24"/>
          <w:szCs w:val="24"/>
          <w:lang w:val="en-US"/>
        </w:rPr>
        <w:t xml:space="preserve"> by drug overdose kept increasing before the policy went into effect in 2010, then the rate</w:t>
      </w:r>
      <w:r w:rsidR="00D252CD">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BF0A66">
        <w:rPr>
          <w:rFonts w:ascii="Times New Roman" w:hAnsi="Times New Roman" w:cs="Times New Roman"/>
          <w:sz w:val="24"/>
          <w:szCs w:val="24"/>
          <w:lang w:val="en-US"/>
        </w:rPr>
        <w:t>ha</w:t>
      </w:r>
      <w:r w:rsidR="00D252CD">
        <w:rPr>
          <w:rFonts w:ascii="Times New Roman" w:hAnsi="Times New Roman" w:cs="Times New Roman"/>
          <w:sz w:val="24"/>
          <w:szCs w:val="24"/>
          <w:lang w:val="en-US"/>
        </w:rPr>
        <w:t>ve</w:t>
      </w:r>
      <w:r w:rsidR="00BF0A66">
        <w:rPr>
          <w:rFonts w:ascii="Times New Roman" w:hAnsi="Times New Roman" w:cs="Times New Roman"/>
          <w:sz w:val="24"/>
          <w:szCs w:val="24"/>
          <w:lang w:val="en-US"/>
        </w:rPr>
        <w:t xml:space="preserve"> been</w:t>
      </w:r>
      <w:r>
        <w:rPr>
          <w:rFonts w:ascii="Times New Roman" w:hAnsi="Times New Roman" w:cs="Times New Roman"/>
          <w:sz w:val="24"/>
          <w:szCs w:val="24"/>
          <w:lang w:val="en-US"/>
        </w:rPr>
        <w:t xml:space="preserve"> slightly decreasing since 2010.</w:t>
      </w:r>
    </w:p>
    <w:p w14:paraId="2D831CAD" w14:textId="5601DF54" w:rsidR="0079224F" w:rsidRDefault="00FA4D7F" w:rsidP="0079224F">
      <w:pPr>
        <w:spacing w:line="360" w:lineRule="auto"/>
        <w:ind w:left="270"/>
        <w:rPr>
          <w:rFonts w:ascii="Times New Roman" w:hAnsi="Times New Roman" w:cs="Times New Roman"/>
          <w:b/>
          <w:color w:val="FF0000"/>
          <w:sz w:val="24"/>
          <w:szCs w:val="24"/>
          <w:lang w:val="en-US"/>
        </w:rPr>
      </w:pPr>
      <w:r>
        <w:rPr>
          <w:noProof/>
        </w:rPr>
        <w:drawing>
          <wp:inline distT="0" distB="0" distL="0" distR="0" wp14:anchorId="5FECC693" wp14:editId="31237F0E">
            <wp:extent cx="2954740" cy="229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1127" cy="2352095"/>
                    </a:xfrm>
                    <a:prstGeom prst="rect">
                      <a:avLst/>
                    </a:prstGeom>
                  </pic:spPr>
                </pic:pic>
              </a:graphicData>
            </a:graphic>
          </wp:inline>
        </w:drawing>
      </w:r>
    </w:p>
    <w:p w14:paraId="20E16A4A" w14:textId="7CB5E2CA" w:rsidR="0079224F" w:rsidRPr="0079224F" w:rsidRDefault="0079224F" w:rsidP="0079224F">
      <w:pPr>
        <w:spacing w:line="360" w:lineRule="auto"/>
        <w:ind w:left="270"/>
        <w:rPr>
          <w:rFonts w:ascii="Times New Roman" w:hAnsi="Times New Roman" w:cs="Times New Roman"/>
          <w:bCs/>
          <w:sz w:val="24"/>
          <w:szCs w:val="24"/>
          <w:lang w:val="en-US"/>
        </w:rPr>
      </w:pPr>
      <w:r>
        <w:rPr>
          <w:rFonts w:ascii="Times New Roman" w:hAnsi="Times New Roman" w:cs="Times New Roman"/>
          <w:bCs/>
          <w:sz w:val="24"/>
          <w:szCs w:val="24"/>
          <w:lang w:val="en-US"/>
        </w:rPr>
        <w:t xml:space="preserve">Different from Texas and Florida, </w:t>
      </w:r>
      <w:r w:rsidR="00BF0A66">
        <w:rPr>
          <w:rFonts w:ascii="Times New Roman" w:hAnsi="Times New Roman" w:cs="Times New Roman"/>
          <w:bCs/>
          <w:sz w:val="24"/>
          <w:szCs w:val="24"/>
          <w:lang w:val="en-US"/>
        </w:rPr>
        <w:t xml:space="preserve">In Washington state, the new policy seems not affect reducing </w:t>
      </w:r>
      <w:r>
        <w:rPr>
          <w:rFonts w:ascii="Times New Roman" w:hAnsi="Times New Roman" w:cs="Times New Roman"/>
          <w:bCs/>
          <w:sz w:val="24"/>
          <w:szCs w:val="24"/>
          <w:lang w:val="en-US"/>
        </w:rPr>
        <w:t>death rate</w:t>
      </w:r>
      <w:r w:rsidR="003D6E7F">
        <w:rPr>
          <w:rFonts w:ascii="Times New Roman" w:hAnsi="Times New Roman" w:cs="Times New Roman"/>
          <w:bCs/>
          <w:sz w:val="24"/>
          <w:szCs w:val="24"/>
          <w:lang w:val="en-US"/>
        </w:rPr>
        <w:t>s</w:t>
      </w:r>
      <w:r w:rsidR="00BF0A66">
        <w:rPr>
          <w:rFonts w:ascii="Times New Roman" w:hAnsi="Times New Roman" w:cs="Times New Roman"/>
          <w:bCs/>
          <w:sz w:val="24"/>
          <w:szCs w:val="24"/>
          <w:lang w:val="en-US"/>
        </w:rPr>
        <w:t xml:space="preserve"> by drug overdose.</w:t>
      </w:r>
      <w:r>
        <w:rPr>
          <w:rFonts w:ascii="Times New Roman" w:hAnsi="Times New Roman" w:cs="Times New Roman"/>
          <w:bCs/>
          <w:sz w:val="24"/>
          <w:szCs w:val="24"/>
          <w:lang w:val="en-US"/>
        </w:rPr>
        <w:t xml:space="preserve"> </w:t>
      </w:r>
      <w:r w:rsidR="00BF0A66">
        <w:rPr>
          <w:rFonts w:ascii="Times New Roman" w:hAnsi="Times New Roman" w:cs="Times New Roman"/>
          <w:bCs/>
          <w:sz w:val="24"/>
          <w:szCs w:val="24"/>
          <w:lang w:val="en-US"/>
        </w:rPr>
        <w:t>It seems that the death rate</w:t>
      </w:r>
      <w:r w:rsidR="003D6E7F">
        <w:rPr>
          <w:rFonts w:ascii="Times New Roman" w:hAnsi="Times New Roman" w:cs="Times New Roman"/>
          <w:bCs/>
          <w:sz w:val="24"/>
          <w:szCs w:val="24"/>
          <w:lang w:val="en-US"/>
        </w:rPr>
        <w:t>s are</w:t>
      </w:r>
      <w:r w:rsidR="00BF0A66">
        <w:rPr>
          <w:rFonts w:ascii="Times New Roman" w:hAnsi="Times New Roman" w:cs="Times New Roman"/>
          <w:bCs/>
          <w:sz w:val="24"/>
          <w:szCs w:val="24"/>
          <w:lang w:val="en-US"/>
        </w:rPr>
        <w:t xml:space="preserve"> increasing gradually even after the policy in effective.</w:t>
      </w:r>
    </w:p>
    <w:p w14:paraId="51EBAC22" w14:textId="43380015" w:rsidR="004C4F6D" w:rsidRDefault="00FA4D7F" w:rsidP="00F4397E">
      <w:pPr>
        <w:spacing w:line="360" w:lineRule="auto"/>
        <w:ind w:left="270"/>
        <w:rPr>
          <w:rFonts w:ascii="Times New Roman" w:hAnsi="Times New Roman" w:cs="Times New Roman"/>
          <w:b/>
          <w:color w:val="FF0000"/>
          <w:sz w:val="24"/>
          <w:szCs w:val="24"/>
          <w:lang w:val="en-US"/>
        </w:rPr>
      </w:pPr>
      <w:r>
        <w:rPr>
          <w:noProof/>
        </w:rPr>
        <w:drawing>
          <wp:inline distT="0" distB="0" distL="0" distR="0" wp14:anchorId="20C7642B" wp14:editId="4C7F1922">
            <wp:extent cx="2983795" cy="2311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5787" cy="2359422"/>
                    </a:xfrm>
                    <a:prstGeom prst="rect">
                      <a:avLst/>
                    </a:prstGeom>
                  </pic:spPr>
                </pic:pic>
              </a:graphicData>
            </a:graphic>
          </wp:inline>
        </w:drawing>
      </w:r>
    </w:p>
    <w:p w14:paraId="5668004B" w14:textId="77777777" w:rsidR="00FA4D7F" w:rsidRDefault="00FA4D7F" w:rsidP="00F4397E">
      <w:pPr>
        <w:spacing w:line="360" w:lineRule="auto"/>
        <w:ind w:left="270"/>
        <w:rPr>
          <w:rFonts w:ascii="Times New Roman" w:hAnsi="Times New Roman" w:cs="Times New Roman"/>
          <w:b/>
          <w:color w:val="FF0000"/>
          <w:sz w:val="24"/>
          <w:szCs w:val="24"/>
          <w:lang w:val="en-US"/>
        </w:rPr>
      </w:pPr>
    </w:p>
    <w:p w14:paraId="24BA084D" w14:textId="4D4A4EBC" w:rsidR="00FA4D7F" w:rsidRDefault="00FA4D7F" w:rsidP="00F4397E">
      <w:pPr>
        <w:spacing w:line="360" w:lineRule="auto"/>
        <w:ind w:left="270"/>
        <w:rPr>
          <w:rFonts w:ascii="Times New Roman" w:hAnsi="Times New Roman" w:cs="Times New Roman"/>
          <w:b/>
          <w:color w:val="FF0000"/>
          <w:sz w:val="24"/>
          <w:szCs w:val="24"/>
          <w:lang w:val="en-US"/>
        </w:rPr>
      </w:pPr>
    </w:p>
    <w:p w14:paraId="36BB5624" w14:textId="4BE486BB" w:rsidR="00077794" w:rsidRDefault="00077794" w:rsidP="00F4397E">
      <w:pPr>
        <w:spacing w:line="360" w:lineRule="auto"/>
        <w:ind w:left="270"/>
        <w:rPr>
          <w:rFonts w:ascii="Times New Roman" w:hAnsi="Times New Roman" w:cs="Times New Roman"/>
          <w:b/>
          <w:color w:val="FF0000"/>
          <w:sz w:val="24"/>
          <w:szCs w:val="24"/>
          <w:lang w:val="en-US"/>
        </w:rPr>
      </w:pPr>
    </w:p>
    <w:p w14:paraId="1911A41B" w14:textId="54D15010" w:rsidR="00077794" w:rsidRDefault="00077794" w:rsidP="00F4397E">
      <w:pPr>
        <w:spacing w:line="360" w:lineRule="auto"/>
        <w:ind w:left="270"/>
        <w:rPr>
          <w:rFonts w:ascii="Times New Roman" w:hAnsi="Times New Roman" w:cs="Times New Roman"/>
          <w:b/>
          <w:color w:val="FF0000"/>
          <w:sz w:val="24"/>
          <w:szCs w:val="24"/>
          <w:lang w:val="en-US"/>
        </w:rPr>
      </w:pPr>
    </w:p>
    <w:p w14:paraId="7CF94EC0" w14:textId="034F0CE5" w:rsidR="00077794" w:rsidRDefault="00077794" w:rsidP="00F4397E">
      <w:pPr>
        <w:spacing w:line="360" w:lineRule="auto"/>
        <w:ind w:left="270"/>
        <w:rPr>
          <w:rFonts w:ascii="Times New Roman" w:hAnsi="Times New Roman" w:cs="Times New Roman"/>
          <w:b/>
          <w:color w:val="FF0000"/>
          <w:sz w:val="24"/>
          <w:szCs w:val="24"/>
          <w:lang w:val="en-US"/>
        </w:rPr>
      </w:pPr>
    </w:p>
    <w:p w14:paraId="0AAE6B76" w14:textId="605D3F2C" w:rsidR="00077794" w:rsidRDefault="00077794" w:rsidP="00F4397E">
      <w:pPr>
        <w:spacing w:line="360" w:lineRule="auto"/>
        <w:ind w:left="270"/>
        <w:rPr>
          <w:rFonts w:ascii="Times New Roman" w:hAnsi="Times New Roman" w:cs="Times New Roman"/>
          <w:b/>
          <w:color w:val="FF0000"/>
          <w:sz w:val="24"/>
          <w:szCs w:val="24"/>
          <w:lang w:val="en-US"/>
        </w:rPr>
      </w:pPr>
    </w:p>
    <w:p w14:paraId="744D5962" w14:textId="566AF06C" w:rsidR="00077794" w:rsidRDefault="00077794" w:rsidP="00F4397E">
      <w:pPr>
        <w:spacing w:line="360" w:lineRule="auto"/>
        <w:ind w:left="270"/>
        <w:rPr>
          <w:rFonts w:ascii="Times New Roman" w:hAnsi="Times New Roman" w:cs="Times New Roman"/>
          <w:b/>
          <w:color w:val="FF0000"/>
          <w:sz w:val="24"/>
          <w:szCs w:val="24"/>
          <w:lang w:val="en-US"/>
        </w:rPr>
      </w:pPr>
    </w:p>
    <w:p w14:paraId="2D00765D" w14:textId="06FFC1A8" w:rsidR="00077794" w:rsidRDefault="00077794" w:rsidP="00F4397E">
      <w:pPr>
        <w:spacing w:line="360" w:lineRule="auto"/>
        <w:ind w:left="27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Difference in Difference:</w:t>
      </w:r>
    </w:p>
    <w:p w14:paraId="1CB4F365" w14:textId="07EA383F" w:rsidR="00077794" w:rsidRDefault="003E1760" w:rsidP="00F4397E">
      <w:pPr>
        <w:spacing w:line="360" w:lineRule="auto"/>
        <w:ind w:left="270"/>
        <w:rPr>
          <w:rFonts w:ascii="Times New Roman" w:hAnsi="Times New Roman" w:cs="Times New Roman"/>
          <w:bCs/>
          <w:sz w:val="24"/>
          <w:szCs w:val="24"/>
          <w:lang w:val="en-US"/>
        </w:rPr>
      </w:pPr>
      <w:r>
        <w:rPr>
          <w:rFonts w:ascii="Times New Roman" w:hAnsi="Times New Roman" w:cs="Times New Roman"/>
          <w:bCs/>
          <w:sz w:val="24"/>
          <w:szCs w:val="24"/>
          <w:lang w:val="en-US"/>
        </w:rPr>
        <w:t xml:space="preserve">In Difference in Difference, </w:t>
      </w:r>
      <w:r w:rsidRPr="003E1760">
        <w:rPr>
          <w:rFonts w:ascii="Times New Roman" w:hAnsi="Times New Roman" w:cs="Times New Roman"/>
          <w:bCs/>
          <w:sz w:val="24"/>
          <w:szCs w:val="24"/>
          <w:lang w:val="en-US"/>
        </w:rPr>
        <w:t xml:space="preserve">we don't just compare </w:t>
      </w:r>
      <w:r>
        <w:rPr>
          <w:rFonts w:ascii="Times New Roman" w:hAnsi="Times New Roman" w:cs="Times New Roman"/>
          <w:bCs/>
          <w:sz w:val="24"/>
          <w:szCs w:val="24"/>
          <w:lang w:val="en-US"/>
        </w:rPr>
        <w:t xml:space="preserve">policy states before </w:t>
      </w:r>
      <w:r w:rsidR="004044F7">
        <w:rPr>
          <w:rFonts w:ascii="Times New Roman" w:hAnsi="Times New Roman" w:cs="Times New Roman"/>
          <w:bCs/>
          <w:sz w:val="24"/>
          <w:szCs w:val="24"/>
          <w:lang w:val="en-US"/>
        </w:rPr>
        <w:t xml:space="preserve">and </w:t>
      </w:r>
      <w:r>
        <w:rPr>
          <w:rFonts w:ascii="Times New Roman" w:hAnsi="Times New Roman" w:cs="Times New Roman"/>
          <w:bCs/>
          <w:sz w:val="24"/>
          <w:szCs w:val="24"/>
          <w:lang w:val="en-US"/>
        </w:rPr>
        <w:t>after policy went into effect</w:t>
      </w:r>
      <w:r w:rsidRPr="003E1760">
        <w:rPr>
          <w:rFonts w:ascii="Times New Roman" w:hAnsi="Times New Roman" w:cs="Times New Roman"/>
          <w:bCs/>
          <w:sz w:val="24"/>
          <w:szCs w:val="24"/>
          <w:lang w:val="en-US"/>
        </w:rPr>
        <w:t>; instead, we</w:t>
      </w:r>
      <w:r>
        <w:rPr>
          <w:rFonts w:ascii="Times New Roman" w:hAnsi="Times New Roman" w:cs="Times New Roman"/>
          <w:bCs/>
          <w:sz w:val="24"/>
          <w:szCs w:val="24"/>
          <w:lang w:val="en-US"/>
        </w:rPr>
        <w:t xml:space="preserve"> compare with </w:t>
      </w:r>
      <w:r w:rsidRPr="003E1760">
        <w:rPr>
          <w:rFonts w:ascii="Times New Roman" w:hAnsi="Times New Roman" w:cs="Times New Roman"/>
          <w:bCs/>
          <w:sz w:val="24"/>
          <w:szCs w:val="24"/>
          <w:lang w:val="en-US"/>
        </w:rPr>
        <w:t>other states that didn't change their opioid policy</w:t>
      </w:r>
      <w:r>
        <w:rPr>
          <w:rFonts w:ascii="Times New Roman" w:hAnsi="Times New Roman" w:cs="Times New Roman"/>
          <w:bCs/>
          <w:sz w:val="24"/>
          <w:szCs w:val="24"/>
          <w:lang w:val="en-US"/>
        </w:rPr>
        <w:t>.</w:t>
      </w:r>
      <w:r w:rsidRPr="003E1760">
        <w:rPr>
          <w:rFonts w:ascii="Times New Roman" w:hAnsi="Times New Roman" w:cs="Times New Roman"/>
          <w:bCs/>
          <w:sz w:val="24"/>
          <w:szCs w:val="24"/>
          <w:lang w:val="en-US"/>
        </w:rPr>
        <w:t xml:space="preserve"> If </w:t>
      </w:r>
      <w:r>
        <w:rPr>
          <w:rFonts w:ascii="Times New Roman" w:hAnsi="Times New Roman" w:cs="Times New Roman"/>
          <w:bCs/>
          <w:sz w:val="24"/>
          <w:szCs w:val="24"/>
          <w:lang w:val="en-US"/>
        </w:rPr>
        <w:t xml:space="preserve">policy in effect, </w:t>
      </w:r>
      <w:r w:rsidRPr="003E1760">
        <w:rPr>
          <w:rFonts w:ascii="Times New Roman" w:hAnsi="Times New Roman" w:cs="Times New Roman"/>
          <w:bCs/>
          <w:sz w:val="24"/>
          <w:szCs w:val="24"/>
          <w:lang w:val="en-US"/>
        </w:rPr>
        <w:t>then we would expect opioid overdoses in Florida to decrease di</w:t>
      </w:r>
      <w:r>
        <w:rPr>
          <w:rFonts w:ascii="Times New Roman" w:hAnsi="Times New Roman" w:cs="Times New Roman"/>
          <w:bCs/>
          <w:sz w:val="24"/>
          <w:szCs w:val="24"/>
          <w:lang w:val="en-US"/>
        </w:rPr>
        <w:t>ff</w:t>
      </w:r>
      <w:r w:rsidRPr="003E1760">
        <w:rPr>
          <w:rFonts w:ascii="Times New Roman" w:hAnsi="Times New Roman" w:cs="Times New Roman"/>
          <w:bCs/>
          <w:sz w:val="24"/>
          <w:szCs w:val="24"/>
          <w:lang w:val="en-US"/>
        </w:rPr>
        <w:t>erently than overdoses in</w:t>
      </w:r>
      <w:r>
        <w:rPr>
          <w:rFonts w:ascii="Times New Roman" w:hAnsi="Times New Roman" w:cs="Times New Roman"/>
          <w:bCs/>
          <w:sz w:val="24"/>
          <w:szCs w:val="24"/>
          <w:lang w:val="en-US"/>
        </w:rPr>
        <w:t xml:space="preserve"> </w:t>
      </w:r>
      <w:r w:rsidRPr="003E1760">
        <w:rPr>
          <w:rFonts w:ascii="Times New Roman" w:hAnsi="Times New Roman" w:cs="Times New Roman"/>
          <w:bCs/>
          <w:sz w:val="24"/>
          <w:szCs w:val="24"/>
          <w:lang w:val="en-US"/>
        </w:rPr>
        <w:t>states without a policy change</w:t>
      </w:r>
      <w:r>
        <w:rPr>
          <w:rFonts w:ascii="Times New Roman" w:hAnsi="Times New Roman" w:cs="Times New Roman"/>
          <w:bCs/>
          <w:sz w:val="24"/>
          <w:szCs w:val="24"/>
          <w:lang w:val="en-US"/>
        </w:rPr>
        <w:t xml:space="preserve"> </w:t>
      </w:r>
      <w:r w:rsidR="00077794">
        <w:rPr>
          <w:rFonts w:ascii="Times New Roman" w:hAnsi="Times New Roman" w:cs="Times New Roman"/>
          <w:bCs/>
          <w:sz w:val="24"/>
          <w:szCs w:val="24"/>
          <w:lang w:val="en-US"/>
        </w:rPr>
        <w:t>We compared each policy state</w:t>
      </w:r>
      <w:r w:rsidR="004044F7">
        <w:rPr>
          <w:rFonts w:ascii="Times New Roman" w:hAnsi="Times New Roman" w:cs="Times New Roman"/>
          <w:bCs/>
          <w:sz w:val="24"/>
          <w:szCs w:val="24"/>
          <w:lang w:val="en-US"/>
        </w:rPr>
        <w:t xml:space="preserve"> (TX, FL, WA)</w:t>
      </w:r>
      <w:r w:rsidR="00077794">
        <w:rPr>
          <w:rFonts w:ascii="Times New Roman" w:hAnsi="Times New Roman" w:cs="Times New Roman"/>
          <w:bCs/>
          <w:sz w:val="24"/>
          <w:szCs w:val="24"/>
          <w:lang w:val="en-US"/>
        </w:rPr>
        <w:t xml:space="preserve"> and non-policy states</w:t>
      </w:r>
      <w:r w:rsidR="004044F7">
        <w:rPr>
          <w:rFonts w:ascii="Times New Roman" w:hAnsi="Times New Roman" w:cs="Times New Roman"/>
          <w:bCs/>
          <w:sz w:val="24"/>
          <w:szCs w:val="24"/>
          <w:lang w:val="en-US"/>
        </w:rPr>
        <w:t xml:space="preserve"> </w:t>
      </w:r>
      <w:r w:rsidR="00077794">
        <w:rPr>
          <w:rFonts w:ascii="Times New Roman" w:hAnsi="Times New Roman" w:cs="Times New Roman"/>
          <w:bCs/>
          <w:sz w:val="24"/>
          <w:szCs w:val="24"/>
          <w:lang w:val="en-US"/>
        </w:rPr>
        <w:t>(47 states)</w:t>
      </w:r>
      <w:r w:rsidR="004044F7">
        <w:rPr>
          <w:rFonts w:ascii="Times New Roman" w:hAnsi="Times New Roman" w:cs="Times New Roman"/>
          <w:bCs/>
          <w:sz w:val="24"/>
          <w:szCs w:val="24"/>
          <w:lang w:val="en-US"/>
        </w:rPr>
        <w:t xml:space="preserve"> with Difference in Difference comparison.</w:t>
      </w:r>
    </w:p>
    <w:p w14:paraId="3F7C7312" w14:textId="1DADD08B" w:rsidR="004044F7" w:rsidRPr="004044F7" w:rsidRDefault="004044F7" w:rsidP="00F4397E">
      <w:pPr>
        <w:spacing w:line="360" w:lineRule="auto"/>
        <w:ind w:left="270"/>
        <w:rPr>
          <w:rFonts w:ascii="Times New Roman" w:eastAsiaTheme="minorEastAsia" w:hAnsi="Times New Roman" w:cs="Times New Roman"/>
          <w:bCs/>
          <w:sz w:val="24"/>
          <w:szCs w:val="24"/>
          <w:lang w:val="en-US" w:eastAsia="ko-KR"/>
        </w:rPr>
      </w:pPr>
      <w:r>
        <w:rPr>
          <w:rFonts w:ascii="Times New Roman" w:hAnsi="Times New Roman" w:cs="Times New Roman"/>
          <w:bCs/>
          <w:sz w:val="24"/>
          <w:szCs w:val="24"/>
          <w:lang w:val="en-US"/>
        </w:rPr>
        <w:t>Before policy went into effect in Texas, t</w:t>
      </w:r>
      <w:r w:rsidRPr="004044F7">
        <w:rPr>
          <w:rFonts w:ascii="Times New Roman" w:hAnsi="Times New Roman" w:cs="Times New Roman"/>
          <w:bCs/>
          <w:sz w:val="24"/>
          <w:szCs w:val="24"/>
          <w:lang w:val="en-US"/>
        </w:rPr>
        <w:t xml:space="preserve">he </w:t>
      </w:r>
      <w:r>
        <w:rPr>
          <w:rFonts w:ascii="Times New Roman" w:hAnsi="Times New Roman" w:cs="Times New Roman"/>
          <w:bCs/>
          <w:sz w:val="24"/>
          <w:szCs w:val="24"/>
          <w:lang w:val="en-US"/>
        </w:rPr>
        <w:t xml:space="preserve">death </w:t>
      </w:r>
      <w:r w:rsidRPr="004044F7">
        <w:rPr>
          <w:rFonts w:ascii="Times New Roman" w:hAnsi="Times New Roman" w:cs="Times New Roman"/>
          <w:bCs/>
          <w:sz w:val="24"/>
          <w:szCs w:val="24"/>
          <w:lang w:val="en-US"/>
        </w:rPr>
        <w:t>rate</w:t>
      </w:r>
      <w:r w:rsidR="008F1B6C">
        <w:rPr>
          <w:rFonts w:ascii="Times New Roman" w:hAnsi="Times New Roman" w:cs="Times New Roman"/>
          <w:bCs/>
          <w:sz w:val="24"/>
          <w:szCs w:val="24"/>
          <w:lang w:val="en-US"/>
        </w:rPr>
        <w:t>s</w:t>
      </w:r>
      <w:r w:rsidR="00E601CA">
        <w:rPr>
          <w:rFonts w:ascii="Times New Roman" w:hAnsi="Times New Roman" w:cs="Times New Roman"/>
          <w:bCs/>
          <w:sz w:val="24"/>
          <w:szCs w:val="24"/>
          <w:lang w:val="en-US"/>
        </w:rPr>
        <w:t xml:space="preserve"> by drug overdose</w:t>
      </w:r>
      <w:r w:rsidRPr="004044F7">
        <w:rPr>
          <w:rFonts w:ascii="Times New Roman" w:hAnsi="Times New Roman" w:cs="Times New Roman"/>
          <w:bCs/>
          <w:sz w:val="24"/>
          <w:szCs w:val="24"/>
          <w:lang w:val="en-US"/>
        </w:rPr>
        <w:t xml:space="preserve"> of increase</w:t>
      </w:r>
      <w:r>
        <w:rPr>
          <w:rFonts w:ascii="Times New Roman" w:hAnsi="Times New Roman" w:cs="Times New Roman"/>
          <w:bCs/>
          <w:sz w:val="24"/>
          <w:szCs w:val="24"/>
          <w:lang w:val="en-US"/>
        </w:rPr>
        <w:t xml:space="preserve"> in Texas</w:t>
      </w:r>
      <w:r w:rsidRPr="004044F7">
        <w:rPr>
          <w:rFonts w:ascii="Times New Roman" w:hAnsi="Times New Roman" w:cs="Times New Roman"/>
          <w:bCs/>
          <w:sz w:val="24"/>
          <w:szCs w:val="24"/>
          <w:lang w:val="en-US"/>
        </w:rPr>
        <w:t xml:space="preserve"> is faster than in other states</w:t>
      </w:r>
      <w:r>
        <w:rPr>
          <w:rFonts w:ascii="Times New Roman" w:hAnsi="Times New Roman" w:cs="Times New Roman"/>
          <w:bCs/>
          <w:sz w:val="24"/>
          <w:szCs w:val="24"/>
          <w:lang w:val="en-US"/>
        </w:rPr>
        <w:t xml:space="preserve"> </w:t>
      </w:r>
      <w:r w:rsidRPr="003E1760">
        <w:rPr>
          <w:rFonts w:ascii="Times New Roman" w:hAnsi="Times New Roman" w:cs="Times New Roman"/>
          <w:bCs/>
          <w:sz w:val="24"/>
          <w:szCs w:val="24"/>
          <w:lang w:val="en-US"/>
        </w:rPr>
        <w:t>without a policy change</w:t>
      </w:r>
      <w:r w:rsidR="00E601CA">
        <w:rPr>
          <w:rFonts w:ascii="Times New Roman" w:hAnsi="Times New Roman" w:cs="Times New Roman"/>
          <w:bCs/>
          <w:sz w:val="24"/>
          <w:szCs w:val="24"/>
          <w:lang w:val="en-US"/>
        </w:rPr>
        <w:t>, then went into steady state after the policy in effective. However</w:t>
      </w:r>
      <w:r w:rsidR="008F1B6C">
        <w:rPr>
          <w:rFonts w:ascii="Times New Roman" w:hAnsi="Times New Roman" w:cs="Times New Roman"/>
          <w:bCs/>
          <w:sz w:val="24"/>
          <w:szCs w:val="24"/>
          <w:lang w:val="en-US"/>
        </w:rPr>
        <w:t>,</w:t>
      </w:r>
      <w:r w:rsidR="00E601CA">
        <w:rPr>
          <w:rFonts w:ascii="Times New Roman" w:hAnsi="Times New Roman" w:cs="Times New Roman"/>
          <w:bCs/>
          <w:sz w:val="24"/>
          <w:szCs w:val="24"/>
          <w:lang w:val="en-US"/>
        </w:rPr>
        <w:t xml:space="preserve"> the death rate</w:t>
      </w:r>
      <w:r w:rsidR="008F1B6C">
        <w:rPr>
          <w:rFonts w:ascii="Times New Roman" w:hAnsi="Times New Roman" w:cs="Times New Roman"/>
          <w:bCs/>
          <w:sz w:val="24"/>
          <w:szCs w:val="24"/>
          <w:lang w:val="en-US"/>
        </w:rPr>
        <w:t>s</w:t>
      </w:r>
      <w:r w:rsidR="00E601CA">
        <w:rPr>
          <w:rFonts w:ascii="Times New Roman" w:hAnsi="Times New Roman" w:cs="Times New Roman"/>
          <w:bCs/>
          <w:sz w:val="24"/>
          <w:szCs w:val="24"/>
          <w:lang w:val="en-US"/>
        </w:rPr>
        <w:t xml:space="preserve"> in other states without a policy change </w:t>
      </w:r>
      <w:r w:rsidR="00E601CA" w:rsidRPr="00E601CA">
        <w:rPr>
          <w:rFonts w:ascii="Times New Roman" w:hAnsi="Times New Roman" w:cs="Times New Roman"/>
          <w:bCs/>
          <w:sz w:val="24"/>
          <w:szCs w:val="24"/>
          <w:lang w:val="en-US"/>
        </w:rPr>
        <w:t xml:space="preserve">continued to rise </w:t>
      </w:r>
      <w:r w:rsidR="00DD7F04">
        <w:rPr>
          <w:rFonts w:ascii="Times New Roman" w:hAnsi="Times New Roman" w:cs="Times New Roman"/>
          <w:bCs/>
          <w:sz w:val="24"/>
          <w:szCs w:val="24"/>
          <w:lang w:val="en-US"/>
        </w:rPr>
        <w:t xml:space="preserve">even </w:t>
      </w:r>
      <w:r w:rsidR="00E601CA" w:rsidRPr="00E601CA">
        <w:rPr>
          <w:rFonts w:ascii="Times New Roman" w:hAnsi="Times New Roman" w:cs="Times New Roman"/>
          <w:bCs/>
          <w:sz w:val="24"/>
          <w:szCs w:val="24"/>
          <w:lang w:val="en-US"/>
        </w:rPr>
        <w:t xml:space="preserve">after the policy </w:t>
      </w:r>
      <w:r w:rsidR="00E601CA">
        <w:rPr>
          <w:rFonts w:ascii="Times New Roman" w:hAnsi="Times New Roman" w:cs="Times New Roman"/>
          <w:bCs/>
          <w:sz w:val="24"/>
          <w:szCs w:val="24"/>
          <w:lang w:val="en-US"/>
        </w:rPr>
        <w:t>in effective</w:t>
      </w:r>
      <w:r w:rsidR="00E601CA" w:rsidRPr="00E601CA">
        <w:rPr>
          <w:rFonts w:ascii="Times New Roman" w:hAnsi="Times New Roman" w:cs="Times New Roman"/>
          <w:bCs/>
          <w:sz w:val="24"/>
          <w:szCs w:val="24"/>
          <w:lang w:val="en-US"/>
        </w:rPr>
        <w:t>.</w:t>
      </w:r>
    </w:p>
    <w:p w14:paraId="336DED61" w14:textId="621CB1BD" w:rsidR="00FA4D7F" w:rsidRDefault="00FA4D7F" w:rsidP="00F4397E">
      <w:pPr>
        <w:spacing w:line="360" w:lineRule="auto"/>
        <w:ind w:left="270"/>
        <w:rPr>
          <w:rFonts w:ascii="Times New Roman" w:hAnsi="Times New Roman" w:cs="Times New Roman"/>
          <w:b/>
          <w:color w:val="FF0000"/>
          <w:sz w:val="24"/>
          <w:szCs w:val="24"/>
          <w:lang w:val="en-US"/>
        </w:rPr>
      </w:pPr>
      <w:r>
        <w:rPr>
          <w:noProof/>
        </w:rPr>
        <w:drawing>
          <wp:inline distT="0" distB="0" distL="0" distR="0" wp14:anchorId="3E37E6C4" wp14:editId="6B0BC892">
            <wp:extent cx="4053385" cy="250226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3650" cy="2527124"/>
                    </a:xfrm>
                    <a:prstGeom prst="rect">
                      <a:avLst/>
                    </a:prstGeom>
                  </pic:spPr>
                </pic:pic>
              </a:graphicData>
            </a:graphic>
          </wp:inline>
        </w:drawing>
      </w:r>
    </w:p>
    <w:p w14:paraId="562C88CA" w14:textId="441067EC" w:rsidR="008F1B6C" w:rsidRDefault="00560124" w:rsidP="008F1B6C">
      <w:pPr>
        <w:tabs>
          <w:tab w:val="left" w:pos="795"/>
        </w:tabs>
        <w:spacing w:line="360" w:lineRule="auto"/>
        <w:ind w:left="270"/>
        <w:rPr>
          <w:rFonts w:ascii="Times New Roman" w:hAnsi="Times New Roman" w:cs="Times New Roman"/>
          <w:bCs/>
          <w:sz w:val="24"/>
          <w:szCs w:val="24"/>
          <w:lang w:val="en-US"/>
        </w:rPr>
      </w:pPr>
      <w:r>
        <w:rPr>
          <w:rFonts w:ascii="Times New Roman" w:hAnsi="Times New Roman" w:cs="Times New Roman"/>
          <w:bCs/>
          <w:sz w:val="24"/>
          <w:szCs w:val="24"/>
          <w:lang w:val="en-US"/>
        </w:rPr>
        <w:t>Difference-in-Difference analysis for Florida shows similar results from the case in Texas</w:t>
      </w:r>
      <w:r w:rsidR="008F1B6C">
        <w:rPr>
          <w:rFonts w:ascii="Times New Roman" w:hAnsi="Times New Roman" w:cs="Times New Roman"/>
          <w:bCs/>
          <w:sz w:val="24"/>
          <w:szCs w:val="24"/>
          <w:lang w:val="en-US"/>
        </w:rPr>
        <w:t xml:space="preserve"> after policy went into effect</w:t>
      </w:r>
      <w:r>
        <w:rPr>
          <w:rFonts w:ascii="Times New Roman" w:hAnsi="Times New Roman" w:cs="Times New Roman"/>
          <w:bCs/>
          <w:sz w:val="24"/>
          <w:szCs w:val="24"/>
          <w:lang w:val="en-US"/>
        </w:rPr>
        <w:t>.</w:t>
      </w:r>
      <w:r w:rsidR="00110A5D">
        <w:rPr>
          <w:rFonts w:ascii="Times New Roman" w:hAnsi="Times New Roman" w:cs="Times New Roman"/>
          <w:bCs/>
          <w:sz w:val="24"/>
          <w:szCs w:val="24"/>
          <w:lang w:val="en-US"/>
        </w:rPr>
        <w:t xml:space="preserve"> </w:t>
      </w:r>
      <w:r w:rsidR="008F1B6C" w:rsidRPr="008F1B6C">
        <w:rPr>
          <w:rFonts w:ascii="Times New Roman" w:hAnsi="Times New Roman" w:cs="Times New Roman"/>
          <w:bCs/>
          <w:sz w:val="24"/>
          <w:szCs w:val="24"/>
          <w:lang w:val="en-US"/>
        </w:rPr>
        <w:t xml:space="preserve">Death rates in </w:t>
      </w:r>
      <w:r w:rsidR="008F1B6C">
        <w:rPr>
          <w:rFonts w:ascii="Times New Roman" w:hAnsi="Times New Roman" w:cs="Times New Roman"/>
          <w:bCs/>
          <w:sz w:val="24"/>
          <w:szCs w:val="24"/>
          <w:lang w:val="en-US"/>
        </w:rPr>
        <w:t>Florida</w:t>
      </w:r>
      <w:r w:rsidR="00110A5D">
        <w:rPr>
          <w:rFonts w:ascii="Times New Roman" w:hAnsi="Times New Roman" w:cs="Times New Roman"/>
          <w:bCs/>
          <w:sz w:val="24"/>
          <w:szCs w:val="24"/>
          <w:lang w:val="en-US"/>
        </w:rPr>
        <w:t xml:space="preserve"> and other states</w:t>
      </w:r>
      <w:r w:rsidR="008F1B6C" w:rsidRPr="008F1B6C">
        <w:rPr>
          <w:rFonts w:ascii="Times New Roman" w:hAnsi="Times New Roman" w:cs="Times New Roman"/>
          <w:bCs/>
          <w:sz w:val="24"/>
          <w:szCs w:val="24"/>
          <w:lang w:val="en-US"/>
        </w:rPr>
        <w:t xml:space="preserve"> </w:t>
      </w:r>
      <w:r w:rsidR="00110A5D" w:rsidRPr="00110A5D">
        <w:rPr>
          <w:rFonts w:ascii="Times New Roman" w:hAnsi="Times New Roman" w:cs="Times New Roman"/>
          <w:bCs/>
          <w:sz w:val="24"/>
          <w:szCs w:val="24"/>
          <w:lang w:val="en-US"/>
        </w:rPr>
        <w:t>show parallel trends prior to policy implementation</w:t>
      </w:r>
      <w:r w:rsidR="00110A5D" w:rsidRPr="008F1B6C">
        <w:rPr>
          <w:rFonts w:ascii="Times New Roman" w:hAnsi="Times New Roman" w:cs="Times New Roman"/>
          <w:bCs/>
          <w:sz w:val="24"/>
          <w:szCs w:val="24"/>
          <w:lang w:val="en-US"/>
        </w:rPr>
        <w:t xml:space="preserve"> </w:t>
      </w:r>
      <w:r w:rsidR="008F1B6C">
        <w:rPr>
          <w:rFonts w:ascii="Times New Roman" w:hAnsi="Times New Roman" w:cs="Times New Roman"/>
          <w:bCs/>
          <w:sz w:val="24"/>
          <w:szCs w:val="24"/>
          <w:lang w:val="en-US"/>
        </w:rPr>
        <w:t>before 2007.</w:t>
      </w:r>
    </w:p>
    <w:p w14:paraId="2B7814FF" w14:textId="77777777" w:rsidR="00560124" w:rsidRPr="00560124" w:rsidRDefault="00560124" w:rsidP="00560124">
      <w:pPr>
        <w:tabs>
          <w:tab w:val="left" w:pos="795"/>
        </w:tabs>
        <w:spacing w:line="360" w:lineRule="auto"/>
        <w:ind w:left="270"/>
        <w:rPr>
          <w:rFonts w:ascii="Times New Roman" w:hAnsi="Times New Roman" w:cs="Times New Roman"/>
          <w:bCs/>
          <w:sz w:val="24"/>
          <w:szCs w:val="24"/>
          <w:lang w:val="en-US"/>
        </w:rPr>
      </w:pPr>
    </w:p>
    <w:p w14:paraId="303CC961" w14:textId="1DBA7A2D" w:rsidR="00FA4D7F" w:rsidRDefault="00FA4D7F" w:rsidP="00F4397E">
      <w:pPr>
        <w:spacing w:line="360" w:lineRule="auto"/>
        <w:ind w:left="270"/>
        <w:rPr>
          <w:rFonts w:ascii="Times New Roman" w:hAnsi="Times New Roman" w:cs="Times New Roman"/>
          <w:b/>
          <w:color w:val="FF0000"/>
          <w:sz w:val="24"/>
          <w:szCs w:val="24"/>
          <w:lang w:val="en-US"/>
        </w:rPr>
      </w:pPr>
      <w:r>
        <w:rPr>
          <w:noProof/>
        </w:rPr>
        <w:lastRenderedPageBreak/>
        <w:drawing>
          <wp:inline distT="0" distB="0" distL="0" distR="0" wp14:anchorId="666FF63A" wp14:editId="24181540">
            <wp:extent cx="4140776" cy="25718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3550" cy="2598379"/>
                    </a:xfrm>
                    <a:prstGeom prst="rect">
                      <a:avLst/>
                    </a:prstGeom>
                  </pic:spPr>
                </pic:pic>
              </a:graphicData>
            </a:graphic>
          </wp:inline>
        </w:drawing>
      </w:r>
    </w:p>
    <w:p w14:paraId="15EDC9AC" w14:textId="771D5E33" w:rsidR="00FA4D7F" w:rsidRPr="009E7467" w:rsidRDefault="009E7467" w:rsidP="00F4397E">
      <w:pPr>
        <w:spacing w:line="360" w:lineRule="auto"/>
        <w:ind w:left="270"/>
        <w:rPr>
          <w:rFonts w:ascii="Times New Roman" w:hAnsi="Times New Roman" w:cs="Times New Roman"/>
          <w:bCs/>
          <w:sz w:val="24"/>
          <w:szCs w:val="24"/>
          <w:lang w:val="en-US"/>
        </w:rPr>
      </w:pPr>
      <w:r>
        <w:rPr>
          <w:rFonts w:ascii="Times New Roman" w:hAnsi="Times New Roman" w:cs="Times New Roman"/>
          <w:bCs/>
          <w:sz w:val="24"/>
          <w:szCs w:val="24"/>
          <w:lang w:val="en-US"/>
        </w:rPr>
        <w:t>A</w:t>
      </w:r>
      <w:r w:rsidR="00110A5D">
        <w:rPr>
          <w:rFonts w:ascii="Times New Roman" w:hAnsi="Times New Roman" w:cs="Times New Roman"/>
          <w:bCs/>
          <w:sz w:val="24"/>
          <w:szCs w:val="24"/>
          <w:lang w:val="en-US"/>
        </w:rPr>
        <w:t>s</w:t>
      </w:r>
      <w:r>
        <w:rPr>
          <w:rFonts w:ascii="Times New Roman" w:hAnsi="Times New Roman" w:cs="Times New Roman"/>
          <w:bCs/>
          <w:sz w:val="24"/>
          <w:szCs w:val="24"/>
          <w:lang w:val="en-US"/>
        </w:rPr>
        <w:t xml:space="preserve"> mentioned in Pre-Post Analysis, Washington has </w:t>
      </w:r>
      <w:r w:rsidRPr="009E7467">
        <w:rPr>
          <w:rFonts w:ascii="Times New Roman" w:hAnsi="Times New Roman" w:cs="Times New Roman"/>
          <w:bCs/>
          <w:sz w:val="24"/>
          <w:szCs w:val="24"/>
          <w:lang w:val="en-US"/>
        </w:rPr>
        <w:t>little effect from policy changes</w:t>
      </w:r>
      <w:r>
        <w:rPr>
          <w:rFonts w:ascii="Times New Roman" w:hAnsi="Times New Roman" w:cs="Times New Roman"/>
          <w:bCs/>
          <w:sz w:val="24"/>
          <w:szCs w:val="24"/>
          <w:lang w:val="en-US"/>
        </w:rPr>
        <w:t xml:space="preserve"> as like the states without policy change</w:t>
      </w:r>
      <w:r w:rsidRPr="009E7467">
        <w:rPr>
          <w:rFonts w:ascii="Times New Roman" w:hAnsi="Times New Roman" w:cs="Times New Roman"/>
          <w:bCs/>
          <w:sz w:val="24"/>
          <w:szCs w:val="24"/>
          <w:lang w:val="en-US"/>
        </w:rPr>
        <w:t>.</w:t>
      </w:r>
    </w:p>
    <w:p w14:paraId="05BC4FCA" w14:textId="0D6DAD26" w:rsidR="00FA4D7F" w:rsidRDefault="00FA4D7F" w:rsidP="00F4397E">
      <w:pPr>
        <w:spacing w:line="360" w:lineRule="auto"/>
        <w:ind w:left="270"/>
        <w:rPr>
          <w:rFonts w:ascii="Times New Roman" w:hAnsi="Times New Roman" w:cs="Times New Roman"/>
          <w:b/>
          <w:color w:val="FF0000"/>
          <w:sz w:val="24"/>
          <w:szCs w:val="24"/>
          <w:lang w:val="en-US"/>
        </w:rPr>
      </w:pPr>
      <w:r>
        <w:rPr>
          <w:noProof/>
        </w:rPr>
        <w:drawing>
          <wp:inline distT="0" distB="0" distL="0" distR="0" wp14:anchorId="43984985" wp14:editId="58F411CE">
            <wp:extent cx="4140200" cy="25810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5448" cy="2628000"/>
                    </a:xfrm>
                    <a:prstGeom prst="rect">
                      <a:avLst/>
                    </a:prstGeom>
                  </pic:spPr>
                </pic:pic>
              </a:graphicData>
            </a:graphic>
          </wp:inline>
        </w:drawing>
      </w:r>
    </w:p>
    <w:p w14:paraId="3B9CFB65" w14:textId="10652CA8" w:rsidR="00FA4D7F" w:rsidRDefault="00FA4D7F" w:rsidP="00F4397E">
      <w:pPr>
        <w:spacing w:line="360" w:lineRule="auto"/>
        <w:ind w:left="270"/>
        <w:rPr>
          <w:rFonts w:ascii="Times New Roman" w:hAnsi="Times New Roman" w:cs="Times New Roman"/>
          <w:b/>
          <w:color w:val="FF0000"/>
          <w:sz w:val="24"/>
          <w:szCs w:val="24"/>
          <w:lang w:val="en-US"/>
        </w:rPr>
      </w:pPr>
    </w:p>
    <w:p w14:paraId="146EF024" w14:textId="77777777" w:rsidR="00FA4D7F" w:rsidRDefault="00FA4D7F" w:rsidP="00F4397E">
      <w:pPr>
        <w:spacing w:line="360" w:lineRule="auto"/>
        <w:ind w:left="270"/>
        <w:rPr>
          <w:rFonts w:ascii="Times New Roman" w:hAnsi="Times New Roman" w:cs="Times New Roman"/>
          <w:b/>
          <w:color w:val="FF0000"/>
          <w:sz w:val="24"/>
          <w:szCs w:val="24"/>
          <w:lang w:val="en-US"/>
        </w:rPr>
      </w:pPr>
    </w:p>
    <w:p w14:paraId="59377D8D" w14:textId="77777777" w:rsidR="004C4F6D" w:rsidRDefault="004C4F6D" w:rsidP="00F4397E">
      <w:pPr>
        <w:spacing w:line="360" w:lineRule="auto"/>
        <w:ind w:left="270"/>
        <w:rPr>
          <w:rFonts w:ascii="Times New Roman" w:hAnsi="Times New Roman" w:cs="Times New Roman"/>
          <w:b/>
          <w:sz w:val="24"/>
          <w:szCs w:val="24"/>
          <w:u w:val="single"/>
          <w:lang w:val="en-US"/>
        </w:rPr>
      </w:pPr>
      <w:r>
        <w:rPr>
          <w:rFonts w:ascii="Times New Roman" w:hAnsi="Times New Roman" w:cs="Times New Roman"/>
          <w:sz w:val="24"/>
          <w:szCs w:val="24"/>
          <w:lang w:val="en-US"/>
        </w:rPr>
        <w:t>5</w:t>
      </w:r>
      <w:r w:rsidRPr="004C4F6D">
        <w:rPr>
          <w:rFonts w:ascii="Times New Roman" w:hAnsi="Times New Roman" w:cs="Times New Roman"/>
          <w:b/>
          <w:sz w:val="24"/>
          <w:szCs w:val="24"/>
          <w:lang w:val="en-US"/>
        </w:rPr>
        <w:t xml:space="preserve">. </w:t>
      </w:r>
      <w:r w:rsidRPr="004C4F6D">
        <w:rPr>
          <w:rFonts w:ascii="Times New Roman" w:hAnsi="Times New Roman" w:cs="Times New Roman"/>
          <w:b/>
          <w:sz w:val="24"/>
          <w:szCs w:val="24"/>
          <w:u w:val="single"/>
          <w:lang w:val="en-US"/>
        </w:rPr>
        <w:t>Limitations:</w:t>
      </w:r>
    </w:p>
    <w:p w14:paraId="40D864F6" w14:textId="42F408D7" w:rsidR="004C4F6D" w:rsidRPr="00AE0F56" w:rsidRDefault="00AE0F56" w:rsidP="00F4397E">
      <w:pPr>
        <w:spacing w:line="360" w:lineRule="auto"/>
        <w:ind w:left="270"/>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Although the overall analysis was quite satisfactory, there are a couple of limitations that have to be brought to the attention of the policymaker. Firstly, our data on opioid transactions only contain data on transactions – who sold it and who bough</w:t>
      </w:r>
      <w:r w:rsidR="00122D90">
        <w:rPr>
          <w:rFonts w:ascii="Times New Roman" w:hAnsi="Times New Roman" w:cs="Times New Roman"/>
          <w:sz w:val="24"/>
          <w:szCs w:val="24"/>
          <w:lang w:val="en-US"/>
        </w:rPr>
        <w:t>t</w:t>
      </w:r>
      <w:bookmarkStart w:id="0" w:name="_GoBack"/>
      <w:bookmarkEnd w:id="0"/>
      <w:r>
        <w:rPr>
          <w:rFonts w:ascii="Times New Roman" w:hAnsi="Times New Roman" w:cs="Times New Roman"/>
          <w:sz w:val="24"/>
          <w:szCs w:val="24"/>
          <w:lang w:val="en-US"/>
        </w:rPr>
        <w:t xml:space="preserve"> it. We don’t know if all the opioid transacted were dispensed – we have operated under the assumption that all the drugs transacted were sold and were sold in the same county where they were bought. Secondly, not all opioid transactions have to reported to the DEA. Only </w:t>
      </w:r>
      <w:r>
        <w:rPr>
          <w:rFonts w:ascii="Times New Roman" w:hAnsi="Times New Roman" w:cs="Times New Roman"/>
          <w:sz w:val="24"/>
          <w:szCs w:val="24"/>
          <w:lang w:val="en-US"/>
        </w:rPr>
        <w:lastRenderedPageBreak/>
        <w:t xml:space="preserve">transactions exceeding a certain threshold have to be reported to the DEA as mandated by the law. This allows smaller transactions to escape the radar of the DEA and therefore making our analysis mostly accurate but not entirely accurate. </w:t>
      </w:r>
      <w:r w:rsidR="00986355">
        <w:rPr>
          <w:rFonts w:ascii="Times New Roman" w:hAnsi="Times New Roman" w:cs="Times New Roman"/>
          <w:sz w:val="24"/>
          <w:szCs w:val="24"/>
          <w:lang w:val="en-US"/>
        </w:rPr>
        <w:t xml:space="preserve">Thirdly, the dataset on drug overdose mortality contains data on all-drug related deaths – not specifically deaths related to opioid overdosing. This makes our analysis suffer slightly as we have assumed all drug-related deaths to be caused due to opioid overdosing. Fourthly, the not drug-related deaths were reported in the drug overdose mortality dataset. Again, only deaths exceeding a certain threshold (10 deaths) were reported. Finally, insufficient data for Texas and Washington made it difficult to perform a thorough pre – post and difference in difference analysis. We had to resort to calculating percent-difference, which allowed us to gain an insight into the trends but were nevertheless a compromise.  </w:t>
      </w:r>
    </w:p>
    <w:p w14:paraId="48A609EF" w14:textId="77777777" w:rsidR="004C4F6D" w:rsidRPr="004C4F6D" w:rsidRDefault="004C4F6D" w:rsidP="00F4397E">
      <w:pPr>
        <w:spacing w:line="360" w:lineRule="auto"/>
        <w:ind w:left="270"/>
        <w:rPr>
          <w:rFonts w:ascii="Times New Roman" w:hAnsi="Times New Roman" w:cs="Times New Roman"/>
          <w:b/>
          <w:color w:val="FF0000"/>
          <w:sz w:val="24"/>
          <w:szCs w:val="24"/>
          <w:u w:val="single"/>
          <w:lang w:val="en-US"/>
        </w:rPr>
      </w:pPr>
    </w:p>
    <w:p w14:paraId="24D7E420" w14:textId="77777777" w:rsidR="00B36DAE" w:rsidRPr="00243721" w:rsidRDefault="00B36DAE" w:rsidP="00F4397E">
      <w:pPr>
        <w:spacing w:line="360" w:lineRule="auto"/>
        <w:ind w:left="180"/>
        <w:rPr>
          <w:rFonts w:ascii="Times New Roman" w:hAnsi="Times New Roman" w:cs="Times New Roman"/>
          <w:sz w:val="24"/>
          <w:szCs w:val="24"/>
          <w:lang w:val="en-US"/>
        </w:rPr>
      </w:pPr>
    </w:p>
    <w:p w14:paraId="09577259" w14:textId="77777777" w:rsidR="00243721" w:rsidRPr="00243721" w:rsidRDefault="00243721" w:rsidP="0085509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14:paraId="7ACA882F" w14:textId="77777777" w:rsidR="00243721" w:rsidRPr="00243721" w:rsidRDefault="00243721" w:rsidP="0085509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sectPr w:rsidR="00243721" w:rsidRPr="00243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A6B4A"/>
    <w:multiLevelType w:val="hybridMultilevel"/>
    <w:tmpl w:val="A8925B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3394A45"/>
    <w:multiLevelType w:val="multilevel"/>
    <w:tmpl w:val="F648EB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0A52870"/>
    <w:multiLevelType w:val="multilevel"/>
    <w:tmpl w:val="181C282C"/>
    <w:lvl w:ilvl="0">
      <w:start w:val="3"/>
      <w:numFmt w:val="decimal"/>
      <w:lvlText w:val="%1"/>
      <w:lvlJc w:val="left"/>
      <w:pPr>
        <w:ind w:left="360" w:hanging="360"/>
      </w:pPr>
      <w:rPr>
        <w:rFonts w:hint="default"/>
        <w:b w:val="0"/>
        <w:u w:val="none"/>
      </w:rPr>
    </w:lvl>
    <w:lvl w:ilvl="1">
      <w:start w:val="3"/>
      <w:numFmt w:val="decimal"/>
      <w:lvlText w:val="%1.%2"/>
      <w:lvlJc w:val="left"/>
      <w:pPr>
        <w:ind w:left="1080" w:hanging="360"/>
      </w:pPr>
      <w:rPr>
        <w:rFonts w:hint="default"/>
        <w:b w:val="0"/>
        <w:u w:val="none"/>
      </w:rPr>
    </w:lvl>
    <w:lvl w:ilvl="2">
      <w:start w:val="1"/>
      <w:numFmt w:val="decimal"/>
      <w:lvlText w:val="%1.%2.%3"/>
      <w:lvlJc w:val="left"/>
      <w:pPr>
        <w:ind w:left="2160" w:hanging="720"/>
      </w:pPr>
      <w:rPr>
        <w:rFonts w:hint="default"/>
        <w:b w:val="0"/>
        <w:u w:val="none"/>
      </w:rPr>
    </w:lvl>
    <w:lvl w:ilvl="3">
      <w:start w:val="1"/>
      <w:numFmt w:val="decimal"/>
      <w:lvlText w:val="%1.%2.%3.%4"/>
      <w:lvlJc w:val="left"/>
      <w:pPr>
        <w:ind w:left="2880" w:hanging="720"/>
      </w:pPr>
      <w:rPr>
        <w:rFonts w:hint="default"/>
        <w:b w:val="0"/>
        <w:u w:val="none"/>
      </w:rPr>
    </w:lvl>
    <w:lvl w:ilvl="4">
      <w:start w:val="1"/>
      <w:numFmt w:val="decimal"/>
      <w:lvlText w:val="%1.%2.%3.%4.%5"/>
      <w:lvlJc w:val="left"/>
      <w:pPr>
        <w:ind w:left="3960" w:hanging="1080"/>
      </w:pPr>
      <w:rPr>
        <w:rFonts w:hint="default"/>
        <w:b w:val="0"/>
        <w:u w:val="none"/>
      </w:rPr>
    </w:lvl>
    <w:lvl w:ilvl="5">
      <w:start w:val="1"/>
      <w:numFmt w:val="decimal"/>
      <w:lvlText w:val="%1.%2.%3.%4.%5.%6"/>
      <w:lvlJc w:val="left"/>
      <w:pPr>
        <w:ind w:left="4680" w:hanging="1080"/>
      </w:pPr>
      <w:rPr>
        <w:rFonts w:hint="default"/>
        <w:b w:val="0"/>
        <w:u w:val="none"/>
      </w:rPr>
    </w:lvl>
    <w:lvl w:ilvl="6">
      <w:start w:val="1"/>
      <w:numFmt w:val="decimal"/>
      <w:lvlText w:val="%1.%2.%3.%4.%5.%6.%7"/>
      <w:lvlJc w:val="left"/>
      <w:pPr>
        <w:ind w:left="5760" w:hanging="1440"/>
      </w:pPr>
      <w:rPr>
        <w:rFonts w:hint="default"/>
        <w:b w:val="0"/>
        <w:u w:val="none"/>
      </w:rPr>
    </w:lvl>
    <w:lvl w:ilvl="7">
      <w:start w:val="1"/>
      <w:numFmt w:val="decimal"/>
      <w:lvlText w:val="%1.%2.%3.%4.%5.%6.%7.%8"/>
      <w:lvlJc w:val="left"/>
      <w:pPr>
        <w:ind w:left="6480" w:hanging="1440"/>
      </w:pPr>
      <w:rPr>
        <w:rFonts w:hint="default"/>
        <w:b w:val="0"/>
        <w:u w:val="none"/>
      </w:rPr>
    </w:lvl>
    <w:lvl w:ilvl="8">
      <w:start w:val="1"/>
      <w:numFmt w:val="decimal"/>
      <w:lvlText w:val="%1.%2.%3.%4.%5.%6.%7.%8.%9"/>
      <w:lvlJc w:val="left"/>
      <w:pPr>
        <w:ind w:left="7560" w:hanging="1800"/>
      </w:pPr>
      <w:rPr>
        <w:rFonts w:hint="default"/>
        <w:b w:val="0"/>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88"/>
    <w:rsid w:val="00077794"/>
    <w:rsid w:val="00080785"/>
    <w:rsid w:val="00110A5D"/>
    <w:rsid w:val="00122D90"/>
    <w:rsid w:val="00243721"/>
    <w:rsid w:val="00254E69"/>
    <w:rsid w:val="002A6AB2"/>
    <w:rsid w:val="003D6E7F"/>
    <w:rsid w:val="003E1760"/>
    <w:rsid w:val="003E23B3"/>
    <w:rsid w:val="004044F7"/>
    <w:rsid w:val="004C4F6D"/>
    <w:rsid w:val="00556DAA"/>
    <w:rsid w:val="00560124"/>
    <w:rsid w:val="0058747A"/>
    <w:rsid w:val="006B748A"/>
    <w:rsid w:val="0079224F"/>
    <w:rsid w:val="007E6910"/>
    <w:rsid w:val="00855093"/>
    <w:rsid w:val="008C0891"/>
    <w:rsid w:val="008F1B6C"/>
    <w:rsid w:val="0094160E"/>
    <w:rsid w:val="00986355"/>
    <w:rsid w:val="009A17FD"/>
    <w:rsid w:val="009E7467"/>
    <w:rsid w:val="00A11168"/>
    <w:rsid w:val="00A154D8"/>
    <w:rsid w:val="00A9752C"/>
    <w:rsid w:val="00AA3C42"/>
    <w:rsid w:val="00AE0F56"/>
    <w:rsid w:val="00AF2FFA"/>
    <w:rsid w:val="00B3535A"/>
    <w:rsid w:val="00B36DAE"/>
    <w:rsid w:val="00B97B8F"/>
    <w:rsid w:val="00BF0A66"/>
    <w:rsid w:val="00C22C9B"/>
    <w:rsid w:val="00CB3C4D"/>
    <w:rsid w:val="00D15E87"/>
    <w:rsid w:val="00D252CD"/>
    <w:rsid w:val="00DD7F04"/>
    <w:rsid w:val="00DF7788"/>
    <w:rsid w:val="00E601CA"/>
    <w:rsid w:val="00F4397E"/>
    <w:rsid w:val="00F909D2"/>
    <w:rsid w:val="00FA4D7F"/>
    <w:rsid w:val="00FC0B4F"/>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CFCF"/>
  <w15:chartTrackingRefBased/>
  <w15:docId w15:val="{947EE845-D732-41A3-8917-9F78E55D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093"/>
    <w:pPr>
      <w:ind w:left="720"/>
      <w:contextualSpacing/>
    </w:pPr>
  </w:style>
  <w:style w:type="table" w:styleId="TableGrid">
    <w:name w:val="Table Grid"/>
    <w:basedOn w:val="TableNormal"/>
    <w:uiPriority w:val="39"/>
    <w:rsid w:val="00A154D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1988</Words>
  <Characters>11333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Vishaal Venkatesh</dc:creator>
  <cp:keywords/>
  <dc:description/>
  <cp:lastModifiedBy>Roderick Whang Ph.D</cp:lastModifiedBy>
  <cp:revision>18</cp:revision>
  <dcterms:created xsi:type="dcterms:W3CDTF">2019-11-25T11:34:00Z</dcterms:created>
  <dcterms:modified xsi:type="dcterms:W3CDTF">2019-11-25T20:48:00Z</dcterms:modified>
</cp:coreProperties>
</file>