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3A5F"/>
          <w:sz w:val="56"/>
          <w:szCs w:val="56"/>
        </w:rPr>
        <w:t xml:space="preserve">ASC SKILLS CONNECT</w:t>
      </w:r>
    </w:p>
    <w:p>
      <w:pPr>
        <w:spacing w:after="300"/>
        <w:jc w:val="center"/>
      </w:pPr>
      <w:r>
        <w:rPr>
          <w:color w:val="0E7C7B"/>
          <w:sz w:val="30"/>
          <w:szCs w:val="30"/>
        </w:rPr>
        <w:t xml:space="preserve">Technical Specification &amp; System Blueprint</w:t>
      </w:r>
    </w:p>
    <w:p>
      <w:pPr>
        <w:spacing w:after="100"/>
        <w:jc w:val="center"/>
      </w:pPr>
      <w:r>
        <w:rPr>
          <w:color w:val="666666"/>
          <w:sz w:val="22"/>
          <w:szCs w:val="22"/>
        </w:rPr>
        <w:t xml:space="preserve">Prepared for Africa Skills Connect (Pty) Ltd</w:t>
      </w:r>
    </w:p>
    <w:p>
      <w:pPr>
        <w:jc w:val="center"/>
      </w:pPr>
      <w:r>
        <w:rPr>
          <w:i/>
          <w:iCs/>
          <w:color w:val="666666"/>
          <w:sz w:val="20"/>
          <w:szCs w:val="20"/>
        </w:rPr>
        <w:t xml:space="preserve">Draft v1.0 — August 2026</w:t>
      </w:r>
    </w:p>
    <w:p>
      <w:r>
        <w:br w:type="page"/>
      </w:r>
    </w:p>
    <w:p>
      <w:pPr>
        <w:pStyle w:val="Heading1"/>
        <w:spacing w:after="200" w:before="400"/>
      </w:pPr>
      <w:r>
        <w:t xml:space="preserve">1. Executive Summary</w:t>
      </w:r>
    </w:p>
    <w:p>
      <w:pPr>
        <w:spacing w:after="140"/>
      </w:pPr>
      <w:r>
        <w:t xml:space="preserve">ASC Skills Connect is a web-based workforce development ecosystem that unifies five functions currently spread across disconnected systems: job matching, training-provider recruitment, employer hiring, funder/SETA-programme administration, and qualification verification. The platform follows a single journey for every learner: Register → Verify → Match → Train → Place → Track Employment.</w:t>
      </w:r>
    </w:p>
    <w:p>
      <w:pPr>
        <w:spacing w:after="140"/>
      </w:pPr>
      <w:r>
        <w:t xml:space="preserve">This document specifies the full-scope platform requested, designed so it can be handed to a development team (in-house or outsourced) as a build blueprint. It is deliberately structured in phases (Section 11) so that even though the target is the complete system, work can start on a coherent, shippable Phase 1 rather than everything at once.</w:t>
      </w:r>
    </w:p>
    <w:p>
      <w:pPr>
        <w:pBdr>
          <w:left w:val="single" w:color="0E7C7B" w:sz="12" w:space="8"/>
        </w:pBdr>
        <w:spacing w:after="200" w:before="100"/>
      </w:pPr>
      <w:r>
        <w:rPr>
          <w:i/>
          <w:iCs/>
          <w:color w:val="666666"/>
          <w:sz w:val="20"/>
          <w:szCs w:val="20"/>
        </w:rPr>
        <w:t xml:space="preserve">Scope note: you indicated you want the full platform (all user types, matching engine, verification) designed for growth, with automated ID/qualification verification, and no billing at launch. This document reflects those choices throughout.</w:t>
      </w:r>
    </w:p>
    <w:p>
      <w:pPr>
        <w:pStyle w:val="Heading1"/>
        <w:spacing w:after="200" w:before="400"/>
      </w:pPr>
      <w:r>
        <w:t xml:space="preserve">2. System Architecture Overview</w:t>
      </w:r>
    </w:p>
    <w:p>
      <w:pPr>
        <w:spacing w:after="140"/>
      </w:pPr>
      <w:r>
        <w:t xml:space="preserve">A three-tier architecture is recommended: a web front end, an API-driven backend, and a relational database, with a small number of well-isolated external integrations for verification.</w:t>
      </w:r>
    </w:p>
    <w:p>
      <w:pPr>
        <w:pStyle w:val="Heading2"/>
        <w:spacing w:after="120" w:before="280"/>
      </w:pPr>
      <w:r>
        <w:t xml:space="preserve">2.1 High-Level Components</w:t>
      </w:r>
    </w:p>
    <w:p>
      <w:pPr>
        <w:pStyle w:val="ListParagraph"/>
        <w:numPr>
          <w:ilvl w:val="0"/>
          <w:numId w:val="2"/>
        </w:numPr>
        <w:spacing w:after="60"/>
      </w:pPr>
      <w:r>
        <w:t xml:space="preserve">Web Application (Frontend) — mobile-first responsive site for Learners, Employers, TSPs, and Funders, plus an internal Admin console.</w:t>
      </w:r>
    </w:p>
    <w:p>
      <w:pPr>
        <w:pStyle w:val="ListParagraph"/>
        <w:numPr>
          <w:ilvl w:val="0"/>
          <w:numId w:val="2"/>
        </w:numPr>
        <w:spacing w:after="60"/>
      </w:pPr>
      <w:r>
        <w:t xml:space="preserve">API Backend — handles auth, business logic, the eligibility engine, matching engine, and integration orchestration.</w:t>
      </w:r>
    </w:p>
    <w:p>
      <w:pPr>
        <w:pStyle w:val="ListParagraph"/>
        <w:numPr>
          <w:ilvl w:val="0"/>
          <w:numId w:val="2"/>
        </w:numPr>
        <w:spacing w:after="60"/>
      </w:pPr>
      <w:r>
        <w:t xml:space="preserve">Relational Database — stores users, profiles, opportunities, applications, verification records, placements.</w:t>
      </w:r>
    </w:p>
    <w:p>
      <w:pPr>
        <w:pStyle w:val="ListParagraph"/>
        <w:numPr>
          <w:ilvl w:val="0"/>
          <w:numId w:val="2"/>
        </w:numPr>
        <w:spacing w:after="60"/>
      </w:pPr>
      <w:r>
        <w:t xml:space="preserve">Document Storage — object storage (e.g. S3-compatible) for ID copies, CVs, certificates, transcripts, portfolio evidence.</w:t>
      </w:r>
    </w:p>
    <w:p>
      <w:pPr>
        <w:pStyle w:val="ListParagraph"/>
        <w:numPr>
          <w:ilvl w:val="0"/>
          <w:numId w:val="2"/>
        </w:numPr>
        <w:spacing w:after="60"/>
      </w:pPr>
      <w:r>
        <w:t xml:space="preserve">Verification Integration Layer — a dedicated service/module that talks to third-party ID and qualification verification providers, so those integrations can be swapped without touching core business logic.</w:t>
      </w:r>
    </w:p>
    <w:p>
      <w:pPr>
        <w:pStyle w:val="ListParagraph"/>
        <w:numPr>
          <w:ilvl w:val="0"/>
          <w:numId w:val="2"/>
        </w:numPr>
        <w:spacing w:after="60"/>
      </w:pPr>
      <w:r>
        <w:t xml:space="preserve">Notification Service — email/SMS/WhatsApp/push for opportunity alerts, verification status, application updates.</w:t>
      </w:r>
    </w:p>
    <w:p>
      <w:pPr>
        <w:pStyle w:val="ListParagraph"/>
        <w:numPr>
          <w:ilvl w:val="0"/>
          <w:numId w:val="2"/>
        </w:numPr>
        <w:spacing w:after="60"/>
      </w:pPr>
      <w:r>
        <w:t xml:space="preserve">Background Job Processor — runs the eligibility scoring and matching engine asynchronously whenever an opportunity or profile changes.</w:t>
      </w:r>
    </w:p>
    <w:p>
      <w:pPr>
        <w:pStyle w:val="Heading2"/>
        <w:spacing w:after="120" w:before="280"/>
      </w:pPr>
      <w:r>
        <w:t xml:space="preserve">2.2 Recommended Tech Stack</w:t>
      </w:r>
    </w:p>
    <w:p>
      <w:pPr>
        <w:spacing w:after="140"/>
      </w:pPr>
      <w:r>
        <w:t xml:space="preserve">This is a recommendation, not a hard requirement — the spec below is stack-agnostic in its logic so a chosen dev team can substitute equivalents.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400"/>
      </w:tblGrid>
      <w:tr>
        <w:trPr>
          <w:tblHeader/>
        </w:trPr>
        <w:tc>
          <w:tcPr>
            <w:tcW w:type="dxa" w:w="2200"/>
            <w:shd w:fill="1F3A5F" w:val="clear"/>
            <w:tcMar>
              <w:top w:type="dxa" w:w="80"/>
              <w:left w:type="dxa" w:w="100"/>
              <w:bottom w:type="dxa" w:w="80"/>
              <w:right w:type="dxa" w:w="100"/>
            </w:tcMar>
          </w:tcPr>
          <w:p>
            <w:r>
              <w:rPr>
                <w:b/>
                <w:bCs/>
                <w:color w:val="FFFFFF"/>
                <w:sz w:val="20"/>
                <w:szCs w:val="20"/>
              </w:rPr>
              <w:t xml:space="preserve">Layer</w:t>
            </w:r>
          </w:p>
        </w:tc>
        <w:tc>
          <w:tcPr>
            <w:tcW w:type="dxa" w:w="4200"/>
            <w:shd w:fill="1F3A5F" w:val="clear"/>
            <w:tcMar>
              <w:top w:type="dxa" w:w="80"/>
              <w:left w:type="dxa" w:w="100"/>
              <w:bottom w:type="dxa" w:w="80"/>
              <w:right w:type="dxa" w:w="100"/>
            </w:tcMar>
          </w:tcPr>
          <w:p>
            <w:r>
              <w:rPr>
                <w:b/>
                <w:bCs/>
                <w:color w:val="FFFFFF"/>
                <w:sz w:val="20"/>
                <w:szCs w:val="20"/>
              </w:rPr>
              <w:t xml:space="preserve">Recommended</w:t>
            </w:r>
          </w:p>
        </w:tc>
        <w:tc>
          <w:tcPr>
            <w:tcW w:type="dxa" w:w="3400"/>
            <w:shd w:fill="1F3A5F" w:val="clear"/>
            <w:tcMar>
              <w:top w:type="dxa" w:w="80"/>
              <w:left w:type="dxa" w:w="100"/>
              <w:bottom w:type="dxa" w:w="80"/>
              <w:right w:type="dxa" w:w="100"/>
            </w:tcMar>
          </w:tcPr>
          <w:p>
            <w:r>
              <w:rPr>
                <w:b/>
                <w:bCs/>
                <w:color w:val="FFFFFF"/>
                <w:sz w:val="20"/>
                <w:szCs w:val="20"/>
              </w:rPr>
              <w:t xml:space="preserve">Why</w:t>
            </w:r>
          </w:p>
        </w:tc>
      </w:tr>
      <w:tr>
        <w:tc>
          <w:tcPr>
            <w:tcW w:type="dxa" w:w="2200"/>
            <w:tcMar>
              <w:top w:type="dxa" w:w="80"/>
              <w:left w:type="dxa" w:w="100"/>
              <w:bottom w:type="dxa" w:w="80"/>
              <w:right w:type="dxa" w:w="100"/>
            </w:tcMar>
          </w:tcPr>
          <w:p>
            <w:r>
              <w:rPr>
                <w:b w:val="false"/>
                <w:bCs w:val="false"/>
                <w:color w:val="000000"/>
                <w:sz w:val="20"/>
                <w:szCs w:val="20"/>
              </w:rPr>
              <w:t xml:space="preserve">Frontend</w:t>
            </w:r>
          </w:p>
        </w:tc>
        <w:tc>
          <w:tcPr>
            <w:tcW w:type="dxa" w:w="4200"/>
            <w:tcMar>
              <w:top w:type="dxa" w:w="80"/>
              <w:left w:type="dxa" w:w="100"/>
              <w:bottom w:type="dxa" w:w="80"/>
              <w:right w:type="dxa" w:w="100"/>
            </w:tcMar>
          </w:tcPr>
          <w:p>
            <w:r>
              <w:rPr>
                <w:b w:val="false"/>
                <w:bCs w:val="false"/>
                <w:color w:val="000000"/>
                <w:sz w:val="20"/>
                <w:szCs w:val="20"/>
              </w:rPr>
              <w:t xml:space="preserve">React (Next.js) + Tailwind CSS</w:t>
            </w:r>
          </w:p>
        </w:tc>
        <w:tc>
          <w:tcPr>
            <w:tcW w:type="dxa" w:w="3400"/>
            <w:tcMar>
              <w:top w:type="dxa" w:w="80"/>
              <w:left w:type="dxa" w:w="100"/>
              <w:bottom w:type="dxa" w:w="80"/>
              <w:right w:type="dxa" w:w="100"/>
            </w:tcMar>
          </w:tcPr>
          <w:p>
            <w:r>
              <w:rPr>
                <w:b w:val="false"/>
                <w:bCs w:val="false"/>
                <w:color w:val="000000"/>
                <w:sz w:val="20"/>
                <w:szCs w:val="20"/>
              </w:rPr>
              <w:t xml:space="preserve">Mobile-first, fast to build, large SA developer pool</w:t>
            </w:r>
          </w:p>
        </w:tc>
      </w:tr>
      <w:tr>
        <w:tc>
          <w:tcPr>
            <w:tcW w:type="dxa" w:w="2200"/>
            <w:shd w:fill="EAF1F1" w:val="clear"/>
            <w:tcMar>
              <w:top w:type="dxa" w:w="80"/>
              <w:left w:type="dxa" w:w="100"/>
              <w:bottom w:type="dxa" w:w="80"/>
              <w:right w:type="dxa" w:w="100"/>
            </w:tcMar>
          </w:tcPr>
          <w:p>
            <w:r>
              <w:rPr>
                <w:b w:val="false"/>
                <w:bCs w:val="false"/>
                <w:color w:val="000000"/>
                <w:sz w:val="20"/>
                <w:szCs w:val="20"/>
              </w:rPr>
              <w:t xml:space="preserve">Backend API</w:t>
            </w:r>
          </w:p>
        </w:tc>
        <w:tc>
          <w:tcPr>
            <w:tcW w:type="dxa" w:w="4200"/>
            <w:shd w:fill="EAF1F1" w:val="clear"/>
            <w:tcMar>
              <w:top w:type="dxa" w:w="80"/>
              <w:left w:type="dxa" w:w="100"/>
              <w:bottom w:type="dxa" w:w="80"/>
              <w:right w:type="dxa" w:w="100"/>
            </w:tcMar>
          </w:tcPr>
          <w:p>
            <w:r>
              <w:rPr>
                <w:b w:val="false"/>
                <w:bCs w:val="false"/>
                <w:color w:val="000000"/>
                <w:sz w:val="20"/>
                <w:szCs w:val="20"/>
              </w:rPr>
              <w:t xml:space="preserve">Node.js (NestJS) or Django (Python)</w:t>
            </w:r>
          </w:p>
        </w:tc>
        <w:tc>
          <w:tcPr>
            <w:tcW w:type="dxa" w:w="3400"/>
            <w:shd w:fill="EAF1F1" w:val="clear"/>
            <w:tcMar>
              <w:top w:type="dxa" w:w="80"/>
              <w:left w:type="dxa" w:w="100"/>
              <w:bottom w:type="dxa" w:w="80"/>
              <w:right w:type="dxa" w:w="100"/>
            </w:tcMar>
          </w:tcPr>
          <w:p>
            <w:r>
              <w:rPr>
                <w:b w:val="false"/>
                <w:bCs w:val="false"/>
                <w:color w:val="000000"/>
                <w:sz w:val="20"/>
                <w:szCs w:val="20"/>
              </w:rPr>
              <w:t xml:space="preserve">Mature ecosystems, strong for REST/GraphQL + background jobs</w:t>
            </w:r>
          </w:p>
        </w:tc>
      </w:tr>
      <w:tr>
        <w:tc>
          <w:tcPr>
            <w:tcW w:type="dxa" w:w="2200"/>
            <w:tcMar>
              <w:top w:type="dxa" w:w="80"/>
              <w:left w:type="dxa" w:w="100"/>
              <w:bottom w:type="dxa" w:w="80"/>
              <w:right w:type="dxa" w:w="100"/>
            </w:tcMar>
          </w:tcPr>
          <w:p>
            <w:r>
              <w:rPr>
                <w:b w:val="false"/>
                <w:bCs w:val="false"/>
                <w:color w:val="000000"/>
                <w:sz w:val="20"/>
                <w:szCs w:val="20"/>
              </w:rPr>
              <w:t xml:space="preserve">Database</w:t>
            </w:r>
          </w:p>
        </w:tc>
        <w:tc>
          <w:tcPr>
            <w:tcW w:type="dxa" w:w="4200"/>
            <w:tcMar>
              <w:top w:type="dxa" w:w="80"/>
              <w:left w:type="dxa" w:w="100"/>
              <w:bottom w:type="dxa" w:w="80"/>
              <w:right w:type="dxa" w:w="100"/>
            </w:tcMar>
          </w:tcPr>
          <w:p>
            <w:r>
              <w:rPr>
                <w:b w:val="false"/>
                <w:bCs w:val="false"/>
                <w:color w:val="000000"/>
                <w:sz w:val="20"/>
                <w:szCs w:val="20"/>
              </w:rPr>
              <w:t xml:space="preserve">PostgreSQL</w:t>
            </w:r>
          </w:p>
        </w:tc>
        <w:tc>
          <w:tcPr>
            <w:tcW w:type="dxa" w:w="3400"/>
            <w:tcMar>
              <w:top w:type="dxa" w:w="80"/>
              <w:left w:type="dxa" w:w="100"/>
              <w:bottom w:type="dxa" w:w="80"/>
              <w:right w:type="dxa" w:w="100"/>
            </w:tcMar>
          </w:tcPr>
          <w:p>
            <w:r>
              <w:rPr>
                <w:b w:val="false"/>
                <w:bCs w:val="false"/>
                <w:color w:val="000000"/>
                <w:sz w:val="20"/>
                <w:szCs w:val="20"/>
              </w:rPr>
              <w:t xml:space="preserve">Relational integrity for matching/eligibility logic; JSON fields for flexible profile data</w:t>
            </w:r>
          </w:p>
        </w:tc>
      </w:tr>
      <w:tr>
        <w:tc>
          <w:tcPr>
            <w:tcW w:type="dxa" w:w="2200"/>
            <w:shd w:fill="EAF1F1" w:val="clear"/>
            <w:tcMar>
              <w:top w:type="dxa" w:w="80"/>
              <w:left w:type="dxa" w:w="100"/>
              <w:bottom w:type="dxa" w:w="80"/>
              <w:right w:type="dxa" w:w="100"/>
            </w:tcMar>
          </w:tcPr>
          <w:p>
            <w:r>
              <w:rPr>
                <w:b w:val="false"/>
                <w:bCs w:val="false"/>
                <w:color w:val="000000"/>
                <w:sz w:val="20"/>
                <w:szCs w:val="20"/>
              </w:rPr>
              <w:t xml:space="preserve">File storage</w:t>
            </w:r>
          </w:p>
        </w:tc>
        <w:tc>
          <w:tcPr>
            <w:tcW w:type="dxa" w:w="4200"/>
            <w:shd w:fill="EAF1F1" w:val="clear"/>
            <w:tcMar>
              <w:top w:type="dxa" w:w="80"/>
              <w:left w:type="dxa" w:w="100"/>
              <w:bottom w:type="dxa" w:w="80"/>
              <w:right w:type="dxa" w:w="100"/>
            </w:tcMar>
          </w:tcPr>
          <w:p>
            <w:r>
              <w:rPr>
                <w:b w:val="false"/>
                <w:bCs w:val="false"/>
                <w:color w:val="000000"/>
                <w:sz w:val="20"/>
                <w:szCs w:val="20"/>
              </w:rPr>
              <w:t xml:space="preserve">S3-compatible (AWS S3 or local SA provider)</w:t>
            </w:r>
          </w:p>
        </w:tc>
        <w:tc>
          <w:tcPr>
            <w:tcW w:type="dxa" w:w="3400"/>
            <w:shd w:fill="EAF1F1" w:val="clear"/>
            <w:tcMar>
              <w:top w:type="dxa" w:w="80"/>
              <w:left w:type="dxa" w:w="100"/>
              <w:bottom w:type="dxa" w:w="80"/>
              <w:right w:type="dxa" w:w="100"/>
            </w:tcMar>
          </w:tcPr>
          <w:p>
            <w:r>
              <w:rPr>
                <w:b w:val="false"/>
                <w:bCs w:val="false"/>
                <w:color w:val="000000"/>
                <w:sz w:val="20"/>
                <w:szCs w:val="20"/>
              </w:rPr>
              <w:t xml:space="preserve">POPIA-friendly if hosted in-region</w:t>
            </w:r>
          </w:p>
        </w:tc>
      </w:tr>
      <w:tr>
        <w:tc>
          <w:tcPr>
            <w:tcW w:type="dxa" w:w="2200"/>
            <w:tcMar>
              <w:top w:type="dxa" w:w="80"/>
              <w:left w:type="dxa" w:w="100"/>
              <w:bottom w:type="dxa" w:w="80"/>
              <w:right w:type="dxa" w:w="100"/>
            </w:tcMar>
          </w:tcPr>
          <w:p>
            <w:r>
              <w:rPr>
                <w:b w:val="false"/>
                <w:bCs w:val="false"/>
                <w:color w:val="000000"/>
                <w:sz w:val="20"/>
                <w:szCs w:val="20"/>
              </w:rPr>
              <w:t xml:space="preserve">Search</w:t>
            </w:r>
          </w:p>
        </w:tc>
        <w:tc>
          <w:tcPr>
            <w:tcW w:type="dxa" w:w="4200"/>
            <w:tcMar>
              <w:top w:type="dxa" w:w="80"/>
              <w:left w:type="dxa" w:w="100"/>
              <w:bottom w:type="dxa" w:w="80"/>
              <w:right w:type="dxa" w:w="100"/>
            </w:tcMar>
          </w:tcPr>
          <w:p>
            <w:r>
              <w:rPr>
                <w:b w:val="false"/>
                <w:bCs w:val="false"/>
                <w:color w:val="000000"/>
                <w:sz w:val="20"/>
                <w:szCs w:val="20"/>
              </w:rPr>
              <w:t xml:space="preserve">PostgreSQL full-text or OpenSearch (if scale demands)</w:t>
            </w:r>
          </w:p>
        </w:tc>
        <w:tc>
          <w:tcPr>
            <w:tcW w:type="dxa" w:w="3400"/>
            <w:tcMar>
              <w:top w:type="dxa" w:w="80"/>
              <w:left w:type="dxa" w:w="100"/>
              <w:bottom w:type="dxa" w:w="80"/>
              <w:right w:type="dxa" w:w="100"/>
            </w:tcMar>
          </w:tcPr>
          <w:p>
            <w:r>
              <w:rPr>
                <w:b w:val="false"/>
                <w:bCs w:val="false"/>
                <w:color w:val="000000"/>
                <w:sz w:val="20"/>
                <w:szCs w:val="20"/>
              </w:rPr>
              <w:t xml:space="preserve">Employer candidate search needs to be fast and filterable</w:t>
            </w:r>
          </w:p>
        </w:tc>
      </w:tr>
      <w:tr>
        <w:tc>
          <w:tcPr>
            <w:tcW w:type="dxa" w:w="2200"/>
            <w:shd w:fill="EAF1F1" w:val="clear"/>
            <w:tcMar>
              <w:top w:type="dxa" w:w="80"/>
              <w:left w:type="dxa" w:w="100"/>
              <w:bottom w:type="dxa" w:w="80"/>
              <w:right w:type="dxa" w:w="100"/>
            </w:tcMar>
          </w:tcPr>
          <w:p>
            <w:r>
              <w:rPr>
                <w:b w:val="false"/>
                <w:bCs w:val="false"/>
                <w:color w:val="000000"/>
                <w:sz w:val="20"/>
                <w:szCs w:val="20"/>
              </w:rPr>
              <w:t xml:space="preserve">Hosting</w:t>
            </w:r>
          </w:p>
        </w:tc>
        <w:tc>
          <w:tcPr>
            <w:tcW w:type="dxa" w:w="4200"/>
            <w:shd w:fill="EAF1F1" w:val="clear"/>
            <w:tcMar>
              <w:top w:type="dxa" w:w="80"/>
              <w:left w:type="dxa" w:w="100"/>
              <w:bottom w:type="dxa" w:w="80"/>
              <w:right w:type="dxa" w:w="100"/>
            </w:tcMar>
          </w:tcPr>
          <w:p>
            <w:r>
              <w:rPr>
                <w:b w:val="false"/>
                <w:bCs w:val="false"/>
                <w:color w:val="000000"/>
                <w:sz w:val="20"/>
                <w:szCs w:val="20"/>
              </w:rPr>
              <w:t xml:space="preserve">Cloud VPS/PaaS hosted in South Africa or with SA data residency option</w:t>
            </w:r>
          </w:p>
        </w:tc>
        <w:tc>
          <w:tcPr>
            <w:tcW w:type="dxa" w:w="3400"/>
            <w:shd w:fill="EAF1F1" w:val="clear"/>
            <w:tcMar>
              <w:top w:type="dxa" w:w="80"/>
              <w:left w:type="dxa" w:w="100"/>
              <w:bottom w:type="dxa" w:w="80"/>
              <w:right w:type="dxa" w:w="100"/>
            </w:tcMar>
          </w:tcPr>
          <w:p>
            <w:r>
              <w:rPr>
                <w:b w:val="false"/>
                <w:bCs w:val="false"/>
                <w:color w:val="000000"/>
                <w:sz w:val="20"/>
                <w:szCs w:val="20"/>
              </w:rPr>
              <w:t xml:space="preserve">POPIA data residency and latency for SA users</w:t>
            </w:r>
          </w:p>
        </w:tc>
      </w:tr>
      <w:tr>
        <w:tc>
          <w:tcPr>
            <w:tcW w:type="dxa" w:w="2200"/>
            <w:tcMar>
              <w:top w:type="dxa" w:w="80"/>
              <w:left w:type="dxa" w:w="100"/>
              <w:bottom w:type="dxa" w:w="80"/>
              <w:right w:type="dxa" w:w="100"/>
            </w:tcMar>
          </w:tcPr>
          <w:p>
            <w:r>
              <w:rPr>
                <w:b w:val="false"/>
                <w:bCs w:val="false"/>
                <w:color w:val="000000"/>
                <w:sz w:val="20"/>
                <w:szCs w:val="20"/>
              </w:rPr>
              <w:t xml:space="preserve">Auth</w:t>
            </w:r>
          </w:p>
        </w:tc>
        <w:tc>
          <w:tcPr>
            <w:tcW w:type="dxa" w:w="4200"/>
            <w:tcMar>
              <w:top w:type="dxa" w:w="80"/>
              <w:left w:type="dxa" w:w="100"/>
              <w:bottom w:type="dxa" w:w="80"/>
              <w:right w:type="dxa" w:w="100"/>
            </w:tcMar>
          </w:tcPr>
          <w:p>
            <w:r>
              <w:rPr>
                <w:b w:val="false"/>
                <w:bCs w:val="false"/>
                <w:color w:val="000000"/>
                <w:sz w:val="20"/>
                <w:szCs w:val="20"/>
              </w:rPr>
              <w:t xml:space="preserve">JWT-based auth with role-based access control (RBAC)</w:t>
            </w:r>
          </w:p>
        </w:tc>
        <w:tc>
          <w:tcPr>
            <w:tcW w:type="dxa" w:w="3400"/>
            <w:tcMar>
              <w:top w:type="dxa" w:w="80"/>
              <w:left w:type="dxa" w:w="100"/>
              <w:bottom w:type="dxa" w:w="80"/>
              <w:right w:type="dxa" w:w="100"/>
            </w:tcMar>
          </w:tcPr>
          <w:p>
            <w:r>
              <w:rPr>
                <w:b w:val="false"/>
                <w:bCs w:val="false"/>
                <w:color w:val="000000"/>
                <w:sz w:val="20"/>
                <w:szCs w:val="20"/>
              </w:rPr>
              <w:t xml:space="preserve">Five distinct user types need distinct permission sets</w:t>
            </w:r>
          </w:p>
        </w:tc>
      </w:tr>
    </w:tbl>
    <w:p>
      <w:pPr>
        <w:pBdr>
          <w:left w:val="single" w:color="0E7C7B" w:sz="12" w:space="8"/>
        </w:pBdr>
        <w:spacing w:after="200" w:before="100"/>
      </w:pPr>
      <w:r>
        <w:rPr>
          <w:i/>
          <w:iCs/>
          <w:color w:val="666666"/>
          <w:sz w:val="20"/>
          <w:szCs w:val="20"/>
        </w:rPr>
        <w:t xml:space="preserve">Hosting in-region matters for POPIA: personal information of SA data subjects should ideally stay on servers within South Africa, or with a provider offering a documented, compliant cross-border transfer basis.</w:t>
      </w:r>
    </w:p>
    <w:p>
      <w:pPr>
        <w:pStyle w:val="Heading1"/>
        <w:spacing w:after="200" w:before="400"/>
      </w:pPr>
      <w:r>
        <w:t xml:space="preserve">3. User Roles &amp; Permissions</w:t>
      </w:r>
    </w:p>
    <w:p>
      <w:pPr>
        <w:spacing w:after="140"/>
      </w:pPr>
      <w:r>
        <w:t xml:space="preserve">Five external role types plus an internal Admin role. Each has a distinct dashboard and permission set.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5000"/>
        <w:gridCol w:w="2200"/>
      </w:tblGrid>
      <w:tr>
        <w:trPr>
          <w:tblHeader/>
        </w:trPr>
        <w:tc>
          <w:tcPr>
            <w:tcW w:type="dxa" w:w="2600"/>
            <w:shd w:fill="1F3A5F" w:val="clear"/>
            <w:tcMar>
              <w:top w:type="dxa" w:w="80"/>
              <w:left w:type="dxa" w:w="100"/>
              <w:bottom w:type="dxa" w:w="80"/>
              <w:right w:type="dxa" w:w="100"/>
            </w:tcMar>
          </w:tcPr>
          <w:p>
            <w:r>
              <w:rPr>
                <w:b/>
                <w:bCs/>
                <w:color w:val="FFFFFF"/>
                <w:sz w:val="20"/>
                <w:szCs w:val="20"/>
              </w:rPr>
              <w:t xml:space="preserve">Role</w:t>
            </w:r>
          </w:p>
        </w:tc>
        <w:tc>
          <w:tcPr>
            <w:tcW w:type="dxa" w:w="5000"/>
            <w:shd w:fill="1F3A5F" w:val="clear"/>
            <w:tcMar>
              <w:top w:type="dxa" w:w="80"/>
              <w:left w:type="dxa" w:w="100"/>
              <w:bottom w:type="dxa" w:w="80"/>
              <w:right w:type="dxa" w:w="100"/>
            </w:tcMar>
          </w:tcPr>
          <w:p>
            <w:r>
              <w:rPr>
                <w:b/>
                <w:bCs/>
                <w:color w:val="FFFFFF"/>
                <w:sz w:val="20"/>
                <w:szCs w:val="20"/>
              </w:rPr>
              <w:t xml:space="preserve">Primary Actions</w:t>
            </w:r>
          </w:p>
        </w:tc>
        <w:tc>
          <w:tcPr>
            <w:tcW w:type="dxa" w:w="2200"/>
            <w:shd w:fill="1F3A5F" w:val="clear"/>
            <w:tcMar>
              <w:top w:type="dxa" w:w="80"/>
              <w:left w:type="dxa" w:w="100"/>
              <w:bottom w:type="dxa" w:w="80"/>
              <w:right w:type="dxa" w:w="100"/>
            </w:tcMar>
          </w:tcPr>
          <w:p>
            <w:r>
              <w:rPr>
                <w:b/>
                <w:bCs/>
                <w:color w:val="FFFFFF"/>
                <w:sz w:val="20"/>
                <w:szCs w:val="20"/>
              </w:rPr>
              <w:t xml:space="preserve">Key Restriction</w:t>
            </w:r>
          </w:p>
        </w:tc>
      </w:tr>
      <w:tr>
        <w:tc>
          <w:tcPr>
            <w:tcW w:type="dxa" w:w="2600"/>
            <w:tcMar>
              <w:top w:type="dxa" w:w="80"/>
              <w:left w:type="dxa" w:w="100"/>
              <w:bottom w:type="dxa" w:w="80"/>
              <w:right w:type="dxa" w:w="100"/>
            </w:tcMar>
          </w:tcPr>
          <w:p>
            <w:r>
              <w:rPr>
                <w:b w:val="false"/>
                <w:bCs w:val="false"/>
                <w:color w:val="000000"/>
                <w:sz w:val="20"/>
                <w:szCs w:val="20"/>
              </w:rPr>
              <w:t xml:space="preserve">Learner</w:t>
            </w:r>
          </w:p>
        </w:tc>
        <w:tc>
          <w:tcPr>
            <w:tcW w:type="dxa" w:w="5000"/>
            <w:tcMar>
              <w:top w:type="dxa" w:w="80"/>
              <w:left w:type="dxa" w:w="100"/>
              <w:bottom w:type="dxa" w:w="80"/>
              <w:right w:type="dxa" w:w="100"/>
            </w:tcMar>
          </w:tcPr>
          <w:p>
            <w:r>
              <w:rPr>
                <w:b w:val="false"/>
                <w:bCs w:val="false"/>
                <w:color w:val="000000"/>
                <w:sz w:val="20"/>
                <w:szCs w:val="20"/>
              </w:rPr>
              <w:t xml:space="preserve">Register, build Digital Skills Passport, apply, track applications</w:t>
            </w:r>
          </w:p>
        </w:tc>
        <w:tc>
          <w:tcPr>
            <w:tcW w:type="dxa" w:w="2200"/>
            <w:tcMar>
              <w:top w:type="dxa" w:w="80"/>
              <w:left w:type="dxa" w:w="100"/>
              <w:bottom w:type="dxa" w:w="80"/>
              <w:right w:type="dxa" w:w="100"/>
            </w:tcMar>
          </w:tcPr>
          <w:p>
            <w:r>
              <w:rPr>
                <w:b w:val="false"/>
                <w:bCs w:val="false"/>
                <w:color w:val="000000"/>
                <w:sz w:val="20"/>
                <w:szCs w:val="20"/>
              </w:rPr>
              <w:t xml:space="preserve">Can only see own data + opportunities matched to them</w:t>
            </w:r>
          </w:p>
        </w:tc>
      </w:tr>
      <w:tr>
        <w:tc>
          <w:tcPr>
            <w:tcW w:type="dxa" w:w="2600"/>
            <w:shd w:fill="EAF1F1" w:val="clear"/>
            <w:tcMar>
              <w:top w:type="dxa" w:w="80"/>
              <w:left w:type="dxa" w:w="100"/>
              <w:bottom w:type="dxa" w:w="80"/>
              <w:right w:type="dxa" w:w="100"/>
            </w:tcMar>
          </w:tcPr>
          <w:p>
            <w:r>
              <w:rPr>
                <w:b w:val="false"/>
                <w:bCs w:val="false"/>
                <w:color w:val="000000"/>
                <w:sz w:val="20"/>
                <w:szCs w:val="20"/>
              </w:rPr>
              <w:t xml:space="preserve">Employer</w:t>
            </w:r>
          </w:p>
        </w:tc>
        <w:tc>
          <w:tcPr>
            <w:tcW w:type="dxa" w:w="5000"/>
            <w:shd w:fill="EAF1F1" w:val="clear"/>
            <w:tcMar>
              <w:top w:type="dxa" w:w="80"/>
              <w:left w:type="dxa" w:w="100"/>
              <w:bottom w:type="dxa" w:w="80"/>
              <w:right w:type="dxa" w:w="100"/>
            </w:tcMar>
          </w:tcPr>
          <w:p>
            <w:r>
              <w:rPr>
                <w:b w:val="false"/>
                <w:bCs w:val="false"/>
                <w:color w:val="000000"/>
                <w:sz w:val="20"/>
                <w:szCs w:val="20"/>
              </w:rPr>
              <w:t xml:space="preserve">Post vacancies/internships/learnerships, search candidates, verify qualifications, shortlist, track placements</w:t>
            </w:r>
          </w:p>
        </w:tc>
        <w:tc>
          <w:tcPr>
            <w:tcW w:type="dxa" w:w="2200"/>
            <w:shd w:fill="EAF1F1" w:val="clear"/>
            <w:tcMar>
              <w:top w:type="dxa" w:w="80"/>
              <w:left w:type="dxa" w:w="100"/>
              <w:bottom w:type="dxa" w:w="80"/>
              <w:right w:type="dxa" w:w="100"/>
            </w:tcMar>
          </w:tcPr>
          <w:p>
            <w:r>
              <w:rPr>
                <w:b w:val="false"/>
                <w:bCs w:val="false"/>
                <w:color w:val="000000"/>
                <w:sz w:val="20"/>
                <w:szCs w:val="20"/>
              </w:rPr>
              <w:t xml:space="preserve">Can only see learner profiles per that learner's visibility setting</w:t>
            </w:r>
          </w:p>
        </w:tc>
      </w:tr>
      <w:tr>
        <w:tc>
          <w:tcPr>
            <w:tcW w:type="dxa" w:w="2600"/>
            <w:tcMar>
              <w:top w:type="dxa" w:w="80"/>
              <w:left w:type="dxa" w:w="100"/>
              <w:bottom w:type="dxa" w:w="80"/>
              <w:right w:type="dxa" w:w="100"/>
            </w:tcMar>
          </w:tcPr>
          <w:p>
            <w:r>
              <w:rPr>
                <w:b w:val="false"/>
                <w:bCs w:val="false"/>
                <w:color w:val="000000"/>
                <w:sz w:val="20"/>
                <w:szCs w:val="20"/>
              </w:rPr>
              <w:t xml:space="preserve">Training Provider (TSP)</w:t>
            </w:r>
          </w:p>
        </w:tc>
        <w:tc>
          <w:tcPr>
            <w:tcW w:type="dxa" w:w="5000"/>
            <w:tcMar>
              <w:top w:type="dxa" w:w="80"/>
              <w:left w:type="dxa" w:w="100"/>
              <w:bottom w:type="dxa" w:w="80"/>
              <w:right w:type="dxa" w:w="100"/>
            </w:tcMar>
          </w:tcPr>
          <w:p>
            <w:r>
              <w:rPr>
                <w:b w:val="false"/>
                <w:bCs w:val="false"/>
                <w:color w:val="000000"/>
                <w:sz w:val="20"/>
                <w:szCs w:val="20"/>
              </w:rPr>
              <w:t xml:space="preserve">Advertise programmes, set eligibility, manage learner pipeline, reports</w:t>
            </w:r>
          </w:p>
        </w:tc>
        <w:tc>
          <w:tcPr>
            <w:tcW w:type="dxa" w:w="2200"/>
            <w:tcMar>
              <w:top w:type="dxa" w:w="80"/>
              <w:left w:type="dxa" w:w="100"/>
              <w:bottom w:type="dxa" w:w="80"/>
              <w:right w:type="dxa" w:w="100"/>
            </w:tcMar>
          </w:tcPr>
          <w:p>
            <w:r>
              <w:rPr>
                <w:b w:val="false"/>
                <w:bCs w:val="false"/>
                <w:color w:val="000000"/>
                <w:sz w:val="20"/>
                <w:szCs w:val="20"/>
              </w:rPr>
              <w:t xml:space="preserve">Can only see learners who applied to their programmes or opted visible-to-TSPs</w:t>
            </w:r>
          </w:p>
        </w:tc>
      </w:tr>
      <w:tr>
        <w:tc>
          <w:tcPr>
            <w:tcW w:type="dxa" w:w="2600"/>
            <w:shd w:fill="EAF1F1" w:val="clear"/>
            <w:tcMar>
              <w:top w:type="dxa" w:w="80"/>
              <w:left w:type="dxa" w:w="100"/>
              <w:bottom w:type="dxa" w:w="80"/>
              <w:right w:type="dxa" w:w="100"/>
            </w:tcMar>
          </w:tcPr>
          <w:p>
            <w:r>
              <w:rPr>
                <w:b w:val="false"/>
                <w:bCs w:val="false"/>
                <w:color w:val="000000"/>
                <w:sz w:val="20"/>
                <w:szCs w:val="20"/>
              </w:rPr>
              <w:t xml:space="preserve">Funder (SETA/NSF/Corporate CSI)</w:t>
            </w:r>
          </w:p>
        </w:tc>
        <w:tc>
          <w:tcPr>
            <w:tcW w:type="dxa" w:w="5000"/>
            <w:shd w:fill="EAF1F1" w:val="clear"/>
            <w:tcMar>
              <w:top w:type="dxa" w:w="80"/>
              <w:left w:type="dxa" w:w="100"/>
              <w:bottom w:type="dxa" w:w="80"/>
              <w:right w:type="dxa" w:w="100"/>
            </w:tcMar>
          </w:tcPr>
          <w:p>
            <w:r>
              <w:rPr>
                <w:b w:val="false"/>
                <w:bCs w:val="false"/>
                <w:color w:val="000000"/>
                <w:sz w:val="20"/>
                <w:szCs w:val="20"/>
              </w:rPr>
              <w:t xml:space="preserve">Advertise funded opportunities, set funding requirements, view stats, export reports</w:t>
            </w:r>
          </w:p>
        </w:tc>
        <w:tc>
          <w:tcPr>
            <w:tcW w:type="dxa" w:w="2200"/>
            <w:shd w:fill="EAF1F1" w:val="clear"/>
            <w:tcMar>
              <w:top w:type="dxa" w:w="80"/>
              <w:left w:type="dxa" w:w="100"/>
              <w:bottom w:type="dxa" w:w="80"/>
              <w:right w:type="dxa" w:w="100"/>
            </w:tcMar>
          </w:tcPr>
          <w:p>
            <w:r>
              <w:rPr>
                <w:b w:val="false"/>
                <w:bCs w:val="false"/>
                <w:color w:val="000000"/>
                <w:sz w:val="20"/>
                <w:szCs w:val="20"/>
              </w:rPr>
              <w:t xml:space="preserve">Read-mostly; sees aggregate + funded-programme data</w:t>
            </w:r>
          </w:p>
        </w:tc>
      </w:tr>
      <w:tr>
        <w:tc>
          <w:tcPr>
            <w:tcW w:type="dxa" w:w="2600"/>
            <w:tcMar>
              <w:top w:type="dxa" w:w="80"/>
              <w:left w:type="dxa" w:w="100"/>
              <w:bottom w:type="dxa" w:w="80"/>
              <w:right w:type="dxa" w:w="100"/>
            </w:tcMar>
          </w:tcPr>
          <w:p>
            <w:r>
              <w:rPr>
                <w:b w:val="false"/>
                <w:bCs w:val="false"/>
                <w:color w:val="000000"/>
                <w:sz w:val="20"/>
                <w:szCs w:val="20"/>
              </w:rPr>
              <w:t xml:space="preserve">Admin (ASC internal)</w:t>
            </w:r>
          </w:p>
        </w:tc>
        <w:tc>
          <w:tcPr>
            <w:tcW w:type="dxa" w:w="5000"/>
            <w:tcMar>
              <w:top w:type="dxa" w:w="80"/>
              <w:left w:type="dxa" w:w="100"/>
              <w:bottom w:type="dxa" w:w="80"/>
              <w:right w:type="dxa" w:w="100"/>
            </w:tcMar>
          </w:tcPr>
          <w:p>
            <w:r>
              <w:rPr>
                <w:b w:val="false"/>
                <w:bCs w:val="false"/>
                <w:color w:val="000000"/>
                <w:sz w:val="20"/>
                <w:szCs w:val="20"/>
              </w:rPr>
              <w:t xml:space="preserve">Manage users, moderate opportunities, oversee verification queue, platform-wide reporting</w:t>
            </w:r>
          </w:p>
        </w:tc>
        <w:tc>
          <w:tcPr>
            <w:tcW w:type="dxa" w:w="2200"/>
            <w:tcMar>
              <w:top w:type="dxa" w:w="80"/>
              <w:left w:type="dxa" w:w="100"/>
              <w:bottom w:type="dxa" w:w="80"/>
              <w:right w:type="dxa" w:w="100"/>
            </w:tcMar>
          </w:tcPr>
          <w:p>
            <w:r>
              <w:rPr>
                <w:b w:val="false"/>
                <w:bCs w:val="false"/>
                <w:color w:val="000000"/>
                <w:sz w:val="20"/>
                <w:szCs w:val="20"/>
              </w:rPr>
              <w:t xml:space="preserve">Full access, audit-logged</w:t>
            </w:r>
          </w:p>
        </w:tc>
      </w:tr>
    </w:tbl>
    <w:p>
      <w:pPr>
        <w:pStyle w:val="Heading1"/>
        <w:spacing w:after="200" w:before="400"/>
      </w:pPr>
      <w:r>
        <w:t xml:space="preserve">4. Core Data Model</w:t>
      </w:r>
    </w:p>
    <w:p>
      <w:pPr>
        <w:spacing w:after="140"/>
      </w:pPr>
      <w:r>
        <w:t xml:space="preserve">Below are the primary entities. This is the backbone the database schema should be built from.</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2200"/>
      </w:tblGrid>
      <w:tr>
        <w:trPr>
          <w:tblHeader/>
        </w:trPr>
        <w:tc>
          <w:tcPr>
            <w:tcW w:type="dxa" w:w="2400"/>
            <w:shd w:fill="1F3A5F" w:val="clear"/>
            <w:tcMar>
              <w:top w:type="dxa" w:w="80"/>
              <w:left w:type="dxa" w:w="100"/>
              <w:bottom w:type="dxa" w:w="80"/>
              <w:right w:type="dxa" w:w="100"/>
            </w:tcMar>
          </w:tcPr>
          <w:p>
            <w:r>
              <w:rPr>
                <w:b/>
                <w:bCs/>
                <w:color w:val="FFFFFF"/>
                <w:sz w:val="20"/>
                <w:szCs w:val="20"/>
              </w:rPr>
              <w:t xml:space="preserve">Entity</w:t>
            </w:r>
          </w:p>
        </w:tc>
        <w:tc>
          <w:tcPr>
            <w:tcW w:type="dxa" w:w="5200"/>
            <w:shd w:fill="1F3A5F" w:val="clear"/>
            <w:tcMar>
              <w:top w:type="dxa" w:w="80"/>
              <w:left w:type="dxa" w:w="100"/>
              <w:bottom w:type="dxa" w:w="80"/>
              <w:right w:type="dxa" w:w="100"/>
            </w:tcMar>
          </w:tcPr>
          <w:p>
            <w:r>
              <w:rPr>
                <w:b/>
                <w:bCs/>
                <w:color w:val="FFFFFF"/>
                <w:sz w:val="20"/>
                <w:szCs w:val="20"/>
              </w:rPr>
              <w:t xml:space="preserve">Key Fields</w:t>
            </w:r>
          </w:p>
        </w:tc>
        <w:tc>
          <w:tcPr>
            <w:tcW w:type="dxa" w:w="2200"/>
            <w:shd w:fill="1F3A5F" w:val="clear"/>
            <w:tcMar>
              <w:top w:type="dxa" w:w="80"/>
              <w:left w:type="dxa" w:w="100"/>
              <w:bottom w:type="dxa" w:w="80"/>
              <w:right w:type="dxa" w:w="100"/>
            </w:tcMar>
          </w:tcPr>
          <w:p>
            <w:r>
              <w:rPr>
                <w:b/>
                <w:bCs/>
                <w:color w:val="FFFFFF"/>
                <w:sz w:val="20"/>
                <w:szCs w:val="20"/>
              </w:rPr>
              <w:t xml:space="preserve">Relationships</w:t>
            </w:r>
          </w:p>
        </w:tc>
      </w:tr>
      <w:tr>
        <w:tc>
          <w:tcPr>
            <w:tcW w:type="dxa" w:w="2400"/>
            <w:tcMar>
              <w:top w:type="dxa" w:w="80"/>
              <w:left w:type="dxa" w:w="100"/>
              <w:bottom w:type="dxa" w:w="80"/>
              <w:right w:type="dxa" w:w="100"/>
            </w:tcMar>
          </w:tcPr>
          <w:p>
            <w:r>
              <w:rPr>
                <w:b w:val="false"/>
                <w:bCs w:val="false"/>
                <w:color w:val="000000"/>
                <w:sz w:val="20"/>
                <w:szCs w:val="20"/>
              </w:rPr>
              <w:t xml:space="preserve">User</w:t>
            </w:r>
          </w:p>
        </w:tc>
        <w:tc>
          <w:tcPr>
            <w:tcW w:type="dxa" w:w="5200"/>
            <w:tcMar>
              <w:top w:type="dxa" w:w="80"/>
              <w:left w:type="dxa" w:w="100"/>
              <w:bottom w:type="dxa" w:w="80"/>
              <w:right w:type="dxa" w:w="100"/>
            </w:tcMar>
          </w:tcPr>
          <w:p>
            <w:r>
              <w:rPr>
                <w:b w:val="false"/>
                <w:bCs w:val="false"/>
                <w:color w:val="000000"/>
                <w:sz w:val="20"/>
                <w:szCs w:val="20"/>
              </w:rPr>
              <w:t xml:space="preserve">id, role, email, mobile, auth credentials, POPIA consent record</w:t>
            </w:r>
          </w:p>
        </w:tc>
        <w:tc>
          <w:tcPr>
            <w:tcW w:type="dxa" w:w="2200"/>
            <w:tcMar>
              <w:top w:type="dxa" w:w="80"/>
              <w:left w:type="dxa" w:w="100"/>
              <w:bottom w:type="dxa" w:w="80"/>
              <w:right w:type="dxa" w:w="100"/>
            </w:tcMar>
          </w:tcPr>
          <w:p>
            <w:r>
              <w:rPr>
                <w:b w:val="false"/>
                <w:bCs w:val="false"/>
                <w:color w:val="000000"/>
                <w:sz w:val="20"/>
                <w:szCs w:val="20"/>
              </w:rPr>
              <w:t xml:space="preserve">1:1 with Learner/Employer/TSP/Funder profile</w:t>
            </w:r>
          </w:p>
        </w:tc>
      </w:tr>
      <w:tr>
        <w:tc>
          <w:tcPr>
            <w:tcW w:type="dxa" w:w="2400"/>
            <w:shd w:fill="EAF1F1" w:val="clear"/>
            <w:tcMar>
              <w:top w:type="dxa" w:w="80"/>
              <w:left w:type="dxa" w:w="100"/>
              <w:bottom w:type="dxa" w:w="80"/>
              <w:right w:type="dxa" w:w="100"/>
            </w:tcMar>
          </w:tcPr>
          <w:p>
            <w:r>
              <w:rPr>
                <w:b w:val="false"/>
                <w:bCs w:val="false"/>
                <w:color w:val="000000"/>
                <w:sz w:val="20"/>
                <w:szCs w:val="20"/>
              </w:rPr>
              <w:t xml:space="preserve">LearnerProfile</w:t>
            </w:r>
          </w:p>
        </w:tc>
        <w:tc>
          <w:tcPr>
            <w:tcW w:type="dxa" w:w="5200"/>
            <w:shd w:fill="EAF1F1" w:val="clear"/>
            <w:tcMar>
              <w:top w:type="dxa" w:w="80"/>
              <w:left w:type="dxa" w:w="100"/>
              <w:bottom w:type="dxa" w:w="80"/>
              <w:right w:type="dxa" w:w="100"/>
            </w:tcMar>
          </w:tcPr>
          <w:p>
            <w:r>
              <w:rPr>
                <w:b w:val="false"/>
                <w:bCs w:val="false"/>
                <w:color w:val="000000"/>
                <w:sz w:val="20"/>
                <w:szCs w:val="20"/>
              </w:rPr>
              <w:t xml:space="preserve">personal info, ID number, DOB, province, municipality, disability status, employment status, work experience band, career interests[]</w:t>
            </w:r>
          </w:p>
        </w:tc>
        <w:tc>
          <w:tcPr>
            <w:tcW w:type="dxa" w:w="2200"/>
            <w:shd w:fill="EAF1F1" w:val="clear"/>
            <w:tcMar>
              <w:top w:type="dxa" w:w="80"/>
              <w:left w:type="dxa" w:w="100"/>
              <w:bottom w:type="dxa" w:w="80"/>
              <w:right w:type="dxa" w:w="100"/>
            </w:tcMar>
          </w:tcPr>
          <w:p>
            <w:r>
              <w:rPr>
                <w:b w:val="false"/>
                <w:bCs w:val="false"/>
                <w:color w:val="000000"/>
                <w:sz w:val="20"/>
                <w:szCs w:val="20"/>
              </w:rPr>
              <w:t xml:space="preserve">1:many Applications, 1:1 DigitalSkillsPassport</w:t>
            </w:r>
          </w:p>
        </w:tc>
      </w:tr>
      <w:tr>
        <w:tc>
          <w:tcPr>
            <w:tcW w:type="dxa" w:w="2400"/>
            <w:tcMar>
              <w:top w:type="dxa" w:w="80"/>
              <w:left w:type="dxa" w:w="100"/>
              <w:bottom w:type="dxa" w:w="80"/>
              <w:right w:type="dxa" w:w="100"/>
            </w:tcMar>
          </w:tcPr>
          <w:p>
            <w:r>
              <w:rPr>
                <w:b w:val="false"/>
                <w:bCs w:val="false"/>
                <w:color w:val="000000"/>
                <w:sz w:val="20"/>
                <w:szCs w:val="20"/>
              </w:rPr>
              <w:t xml:space="preserve">DigitalSkillsPassport</w:t>
            </w:r>
          </w:p>
        </w:tc>
        <w:tc>
          <w:tcPr>
            <w:tcW w:type="dxa" w:w="5200"/>
            <w:tcMar>
              <w:top w:type="dxa" w:w="80"/>
              <w:left w:type="dxa" w:w="100"/>
              <w:bottom w:type="dxa" w:w="80"/>
              <w:right w:type="dxa" w:w="100"/>
            </w:tcMar>
          </w:tcPr>
          <w:p>
            <w:r>
              <w:rPr>
                <w:b w:val="false"/>
                <w:bCs w:val="false"/>
                <w:color w:val="000000"/>
                <w:sz w:val="20"/>
                <w:szCs w:val="20"/>
              </w:rPr>
              <w:t xml:space="preserve">verification status flags, education[], skills[], work history[], certificates[], portfolio files[], availability status</w:t>
            </w:r>
          </w:p>
        </w:tc>
        <w:tc>
          <w:tcPr>
            <w:tcW w:type="dxa" w:w="2200"/>
            <w:tcMar>
              <w:top w:type="dxa" w:w="80"/>
              <w:left w:type="dxa" w:w="100"/>
              <w:bottom w:type="dxa" w:w="80"/>
              <w:right w:type="dxa" w:w="100"/>
            </w:tcMar>
          </w:tcPr>
          <w:p>
            <w:r>
              <w:rPr>
                <w:b w:val="false"/>
                <w:bCs w:val="false"/>
                <w:color w:val="000000"/>
                <w:sz w:val="20"/>
                <w:szCs w:val="20"/>
              </w:rPr>
              <w:t xml:space="preserve">belongs to LearnerProfile</w:t>
            </w:r>
          </w:p>
        </w:tc>
      </w:tr>
      <w:tr>
        <w:tc>
          <w:tcPr>
            <w:tcW w:type="dxa" w:w="2400"/>
            <w:shd w:fill="EAF1F1" w:val="clear"/>
            <w:tcMar>
              <w:top w:type="dxa" w:w="80"/>
              <w:left w:type="dxa" w:w="100"/>
              <w:bottom w:type="dxa" w:w="80"/>
              <w:right w:type="dxa" w:w="100"/>
            </w:tcMar>
          </w:tcPr>
          <w:p>
            <w:r>
              <w:rPr>
                <w:b w:val="false"/>
                <w:bCs w:val="false"/>
                <w:color w:val="000000"/>
                <w:sz w:val="20"/>
                <w:szCs w:val="20"/>
              </w:rPr>
              <w:t xml:space="preserve">EmployerProfile / TSPProfile / FunderProfile</w:t>
            </w:r>
          </w:p>
        </w:tc>
        <w:tc>
          <w:tcPr>
            <w:tcW w:type="dxa" w:w="5200"/>
            <w:shd w:fill="EAF1F1" w:val="clear"/>
            <w:tcMar>
              <w:top w:type="dxa" w:w="80"/>
              <w:left w:type="dxa" w:w="100"/>
              <w:bottom w:type="dxa" w:w="80"/>
              <w:right w:type="dxa" w:w="100"/>
            </w:tcMar>
          </w:tcPr>
          <w:p>
            <w:r>
              <w:rPr>
                <w:b w:val="false"/>
                <w:bCs w:val="false"/>
                <w:color w:val="000000"/>
                <w:sz w:val="20"/>
                <w:szCs w:val="20"/>
              </w:rPr>
              <w:t xml:space="preserve">org details, registration/accreditation info, subscription tier</w:t>
            </w:r>
          </w:p>
        </w:tc>
        <w:tc>
          <w:tcPr>
            <w:tcW w:type="dxa" w:w="2200"/>
            <w:shd w:fill="EAF1F1" w:val="clear"/>
            <w:tcMar>
              <w:top w:type="dxa" w:w="80"/>
              <w:left w:type="dxa" w:w="100"/>
              <w:bottom w:type="dxa" w:w="80"/>
              <w:right w:type="dxa" w:w="100"/>
            </w:tcMar>
          </w:tcPr>
          <w:p>
            <w:r>
              <w:rPr>
                <w:b w:val="false"/>
                <w:bCs w:val="false"/>
                <w:color w:val="000000"/>
                <w:sz w:val="20"/>
                <w:szCs w:val="20"/>
              </w:rPr>
              <w:t xml:space="preserve">1:many Opportunities</w:t>
            </w:r>
          </w:p>
        </w:tc>
      </w:tr>
      <w:tr>
        <w:tc>
          <w:tcPr>
            <w:tcW w:type="dxa" w:w="2400"/>
            <w:tcMar>
              <w:top w:type="dxa" w:w="80"/>
              <w:left w:type="dxa" w:w="100"/>
              <w:bottom w:type="dxa" w:w="80"/>
              <w:right w:type="dxa" w:w="100"/>
            </w:tcMar>
          </w:tcPr>
          <w:p>
            <w:r>
              <w:rPr>
                <w:b w:val="false"/>
                <w:bCs w:val="false"/>
                <w:color w:val="000000"/>
                <w:sz w:val="20"/>
                <w:szCs w:val="20"/>
              </w:rPr>
              <w:t xml:space="preserve">Opportunity</w:t>
            </w:r>
          </w:p>
        </w:tc>
        <w:tc>
          <w:tcPr>
            <w:tcW w:type="dxa" w:w="5200"/>
            <w:tcMar>
              <w:top w:type="dxa" w:w="80"/>
              <w:left w:type="dxa" w:w="100"/>
              <w:bottom w:type="dxa" w:w="80"/>
              <w:right w:type="dxa" w:w="100"/>
            </w:tcMar>
          </w:tcPr>
          <w:p>
            <w:r>
              <w:rPr>
                <w:b w:val="false"/>
                <w:bCs w:val="false"/>
                <w:color w:val="000000"/>
                <w:sz w:val="20"/>
                <w:szCs w:val="20"/>
              </w:rPr>
              <w:t xml:space="preserve">type (learnership/internship/apprenticeship/job/skills programme/bursary), requirements[], funding source, status, posted_by</w:t>
            </w:r>
          </w:p>
        </w:tc>
        <w:tc>
          <w:tcPr>
            <w:tcW w:type="dxa" w:w="2200"/>
            <w:tcMar>
              <w:top w:type="dxa" w:w="80"/>
              <w:left w:type="dxa" w:w="100"/>
              <w:bottom w:type="dxa" w:w="80"/>
              <w:right w:type="dxa" w:w="100"/>
            </w:tcMar>
          </w:tcPr>
          <w:p>
            <w:r>
              <w:rPr>
                <w:b w:val="false"/>
                <w:bCs w:val="false"/>
                <w:color w:val="000000"/>
                <w:sz w:val="20"/>
                <w:szCs w:val="20"/>
              </w:rPr>
              <w:t xml:space="preserve">1:many Applications, 1:many EligibilityScores</w:t>
            </w:r>
          </w:p>
        </w:tc>
      </w:tr>
      <w:tr>
        <w:tc>
          <w:tcPr>
            <w:tcW w:type="dxa" w:w="2400"/>
            <w:shd w:fill="EAF1F1" w:val="clear"/>
            <w:tcMar>
              <w:top w:type="dxa" w:w="80"/>
              <w:left w:type="dxa" w:w="100"/>
              <w:bottom w:type="dxa" w:w="80"/>
              <w:right w:type="dxa" w:w="100"/>
            </w:tcMar>
          </w:tcPr>
          <w:p>
            <w:r>
              <w:rPr>
                <w:b w:val="false"/>
                <w:bCs w:val="false"/>
                <w:color w:val="000000"/>
                <w:sz w:val="20"/>
                <w:szCs w:val="20"/>
              </w:rPr>
              <w:t xml:space="preserve">EligibilityCriteria</w:t>
            </w:r>
          </w:p>
        </w:tc>
        <w:tc>
          <w:tcPr>
            <w:tcW w:type="dxa" w:w="5200"/>
            <w:shd w:fill="EAF1F1" w:val="clear"/>
            <w:tcMar>
              <w:top w:type="dxa" w:w="80"/>
              <w:left w:type="dxa" w:w="100"/>
              <w:bottom w:type="dxa" w:w="80"/>
              <w:right w:type="dxa" w:w="100"/>
            </w:tcMar>
          </w:tcPr>
          <w:p>
            <w:r>
              <w:rPr>
                <w:b w:val="false"/>
                <w:bCs w:val="false"/>
                <w:color w:val="000000"/>
                <w:sz w:val="20"/>
                <w:szCs w:val="20"/>
              </w:rPr>
              <w:t xml:space="preserve">province, age range, employment status, qualification, custom weightings</w:t>
            </w:r>
          </w:p>
        </w:tc>
        <w:tc>
          <w:tcPr>
            <w:tcW w:type="dxa" w:w="2200"/>
            <w:shd w:fill="EAF1F1" w:val="clear"/>
            <w:tcMar>
              <w:top w:type="dxa" w:w="80"/>
              <w:left w:type="dxa" w:w="100"/>
              <w:bottom w:type="dxa" w:w="80"/>
              <w:right w:type="dxa" w:w="100"/>
            </w:tcMar>
          </w:tcPr>
          <w:p>
            <w:r>
              <w:rPr>
                <w:b w:val="false"/>
                <w:bCs w:val="false"/>
                <w:color w:val="000000"/>
                <w:sz w:val="20"/>
                <w:szCs w:val="20"/>
              </w:rPr>
              <w:t xml:space="preserve">belongs to Opportunity</w:t>
            </w:r>
          </w:p>
        </w:tc>
      </w:tr>
      <w:tr>
        <w:tc>
          <w:tcPr>
            <w:tcW w:type="dxa" w:w="2400"/>
            <w:tcMar>
              <w:top w:type="dxa" w:w="80"/>
              <w:left w:type="dxa" w:w="100"/>
              <w:bottom w:type="dxa" w:w="80"/>
              <w:right w:type="dxa" w:w="100"/>
            </w:tcMar>
          </w:tcPr>
          <w:p>
            <w:r>
              <w:rPr>
                <w:b w:val="false"/>
                <w:bCs w:val="false"/>
                <w:color w:val="000000"/>
                <w:sz w:val="20"/>
                <w:szCs w:val="20"/>
              </w:rPr>
              <w:t xml:space="preserve">Application</w:t>
            </w:r>
          </w:p>
        </w:tc>
        <w:tc>
          <w:tcPr>
            <w:tcW w:type="dxa" w:w="5200"/>
            <w:tcMar>
              <w:top w:type="dxa" w:w="80"/>
              <w:left w:type="dxa" w:w="100"/>
              <w:bottom w:type="dxa" w:w="80"/>
              <w:right w:type="dxa" w:w="100"/>
            </w:tcMar>
          </w:tcPr>
          <w:p>
            <w:r>
              <w:rPr>
                <w:b w:val="false"/>
                <w:bCs w:val="false"/>
                <w:color w:val="000000"/>
                <w:sz w:val="20"/>
                <w:szCs w:val="20"/>
              </w:rPr>
              <w:t xml:space="preserve">learner_id, opportunity_id, status, eligibility_score, shortlisted flag</w:t>
            </w:r>
          </w:p>
        </w:tc>
        <w:tc>
          <w:tcPr>
            <w:tcW w:type="dxa" w:w="2200"/>
            <w:tcMar>
              <w:top w:type="dxa" w:w="80"/>
              <w:left w:type="dxa" w:w="100"/>
              <w:bottom w:type="dxa" w:w="80"/>
              <w:right w:type="dxa" w:w="100"/>
            </w:tcMar>
          </w:tcPr>
          <w:p>
            <w:r>
              <w:rPr>
                <w:b w:val="false"/>
                <w:bCs w:val="false"/>
                <w:color w:val="000000"/>
                <w:sz w:val="20"/>
                <w:szCs w:val="20"/>
              </w:rPr>
              <w:t xml:space="preserve">links Learner ↔ Opportunity</w:t>
            </w:r>
          </w:p>
        </w:tc>
      </w:tr>
      <w:tr>
        <w:tc>
          <w:tcPr>
            <w:tcW w:type="dxa" w:w="2400"/>
            <w:shd w:fill="EAF1F1" w:val="clear"/>
            <w:tcMar>
              <w:top w:type="dxa" w:w="80"/>
              <w:left w:type="dxa" w:w="100"/>
              <w:bottom w:type="dxa" w:w="80"/>
              <w:right w:type="dxa" w:w="100"/>
            </w:tcMar>
          </w:tcPr>
          <w:p>
            <w:r>
              <w:rPr>
                <w:b w:val="false"/>
                <w:bCs w:val="false"/>
                <w:color w:val="000000"/>
                <w:sz w:val="20"/>
                <w:szCs w:val="20"/>
              </w:rPr>
              <w:t xml:space="preserve">VerificationRecord</w:t>
            </w:r>
          </w:p>
        </w:tc>
        <w:tc>
          <w:tcPr>
            <w:tcW w:type="dxa" w:w="5200"/>
            <w:shd w:fill="EAF1F1" w:val="clear"/>
            <w:tcMar>
              <w:top w:type="dxa" w:w="80"/>
              <w:left w:type="dxa" w:w="100"/>
              <w:bottom w:type="dxa" w:w="80"/>
              <w:right w:type="dxa" w:w="100"/>
            </w:tcMar>
          </w:tcPr>
          <w:p>
            <w:r>
              <w:rPr>
                <w:b w:val="false"/>
                <w:bCs w:val="false"/>
                <w:color w:val="000000"/>
                <w:sz w:val="20"/>
                <w:szCs w:val="20"/>
              </w:rPr>
              <w:t xml:space="preserve">type (ID/qualification/reference/employment), provider used, status (pending/verified/rejected), verified_at</w:t>
            </w:r>
          </w:p>
        </w:tc>
        <w:tc>
          <w:tcPr>
            <w:tcW w:type="dxa" w:w="2200"/>
            <w:shd w:fill="EAF1F1" w:val="clear"/>
            <w:tcMar>
              <w:top w:type="dxa" w:w="80"/>
              <w:left w:type="dxa" w:w="100"/>
              <w:bottom w:type="dxa" w:w="80"/>
              <w:right w:type="dxa" w:w="100"/>
            </w:tcMar>
          </w:tcPr>
          <w:p>
            <w:r>
              <w:rPr>
                <w:b w:val="false"/>
                <w:bCs w:val="false"/>
                <w:color w:val="000000"/>
                <w:sz w:val="20"/>
                <w:szCs w:val="20"/>
              </w:rPr>
              <w:t xml:space="preserve">belongs to LearnerProfile</w:t>
            </w:r>
          </w:p>
        </w:tc>
      </w:tr>
      <w:tr>
        <w:tc>
          <w:tcPr>
            <w:tcW w:type="dxa" w:w="2400"/>
            <w:tcMar>
              <w:top w:type="dxa" w:w="80"/>
              <w:left w:type="dxa" w:w="100"/>
              <w:bottom w:type="dxa" w:w="80"/>
              <w:right w:type="dxa" w:w="100"/>
            </w:tcMar>
          </w:tcPr>
          <w:p>
            <w:r>
              <w:rPr>
                <w:b w:val="false"/>
                <w:bCs w:val="false"/>
                <w:color w:val="000000"/>
                <w:sz w:val="20"/>
                <w:szCs w:val="20"/>
              </w:rPr>
              <w:t xml:space="preserve">Placement</w:t>
            </w:r>
          </w:p>
        </w:tc>
        <w:tc>
          <w:tcPr>
            <w:tcW w:type="dxa" w:w="5200"/>
            <w:tcMar>
              <w:top w:type="dxa" w:w="80"/>
              <w:left w:type="dxa" w:w="100"/>
              <w:bottom w:type="dxa" w:w="80"/>
              <w:right w:type="dxa" w:w="100"/>
            </w:tcMar>
          </w:tcPr>
          <w:p>
            <w:r>
              <w:rPr>
                <w:b w:val="false"/>
                <w:bCs w:val="false"/>
                <w:color w:val="000000"/>
                <w:sz w:val="20"/>
                <w:szCs w:val="20"/>
              </w:rPr>
              <w:t xml:space="preserve">learner_id, employer_id, programme, start_date, end_date, status</w:t>
            </w:r>
          </w:p>
        </w:tc>
        <w:tc>
          <w:tcPr>
            <w:tcW w:type="dxa" w:w="2200"/>
            <w:tcMar>
              <w:top w:type="dxa" w:w="80"/>
              <w:left w:type="dxa" w:w="100"/>
              <w:bottom w:type="dxa" w:w="80"/>
              <w:right w:type="dxa" w:w="100"/>
            </w:tcMar>
          </w:tcPr>
          <w:p>
            <w:r>
              <w:rPr>
                <w:b w:val="false"/>
                <w:bCs w:val="false"/>
                <w:color w:val="000000"/>
                <w:sz w:val="20"/>
                <w:szCs w:val="20"/>
              </w:rPr>
              <w:t xml:space="preserve">links Learner ↔ Employer ↔ Opportunity</w:t>
            </w:r>
          </w:p>
        </w:tc>
      </w:tr>
      <w:tr>
        <w:tc>
          <w:tcPr>
            <w:tcW w:type="dxa" w:w="2400"/>
            <w:shd w:fill="EAF1F1" w:val="clear"/>
            <w:tcMar>
              <w:top w:type="dxa" w:w="80"/>
              <w:left w:type="dxa" w:w="100"/>
              <w:bottom w:type="dxa" w:w="80"/>
              <w:right w:type="dxa" w:w="100"/>
            </w:tcMar>
          </w:tcPr>
          <w:p>
            <w:r>
              <w:rPr>
                <w:b w:val="false"/>
                <w:bCs w:val="false"/>
                <w:color w:val="000000"/>
                <w:sz w:val="20"/>
                <w:szCs w:val="20"/>
              </w:rPr>
              <w:t xml:space="preserve">ConsentRecord</w:t>
            </w:r>
          </w:p>
        </w:tc>
        <w:tc>
          <w:tcPr>
            <w:tcW w:type="dxa" w:w="5200"/>
            <w:shd w:fill="EAF1F1" w:val="clear"/>
            <w:tcMar>
              <w:top w:type="dxa" w:w="80"/>
              <w:left w:type="dxa" w:w="100"/>
              <w:bottom w:type="dxa" w:w="80"/>
              <w:right w:type="dxa" w:w="100"/>
            </w:tcMar>
          </w:tcPr>
          <w:p>
            <w:r>
              <w:rPr>
                <w:b w:val="false"/>
                <w:bCs w:val="false"/>
                <w:color w:val="000000"/>
                <w:sz w:val="20"/>
                <w:szCs w:val="20"/>
              </w:rPr>
              <w:t xml:space="preserve">what data, visible to which role types, consent timestamp, withdrawal timestamp</w:t>
            </w:r>
          </w:p>
        </w:tc>
        <w:tc>
          <w:tcPr>
            <w:tcW w:type="dxa" w:w="2200"/>
            <w:shd w:fill="EAF1F1" w:val="clear"/>
            <w:tcMar>
              <w:top w:type="dxa" w:w="80"/>
              <w:left w:type="dxa" w:w="100"/>
              <w:bottom w:type="dxa" w:w="80"/>
              <w:right w:type="dxa" w:w="100"/>
            </w:tcMar>
          </w:tcPr>
          <w:p>
            <w:r>
              <w:rPr>
                <w:b w:val="false"/>
                <w:bCs w:val="false"/>
                <w:color w:val="000000"/>
                <w:sz w:val="20"/>
                <w:szCs w:val="20"/>
              </w:rPr>
              <w:t xml:space="preserve">belongs to User — required for POPIA</w:t>
            </w:r>
          </w:p>
        </w:tc>
      </w:tr>
    </w:tbl>
    <w:p>
      <w:pPr>
        <w:pStyle w:val="Heading1"/>
        <w:spacing w:after="200" w:before="400"/>
      </w:pPr>
      <w:r>
        <w:t xml:space="preserve">5. Core Modules</w:t>
      </w:r>
    </w:p>
    <w:p>
      <w:pPr>
        <w:pStyle w:val="Heading2"/>
        <w:spacing w:after="120" w:before="280"/>
      </w:pPr>
      <w:r>
        <w:t xml:space="preserve">5.1 Learner Registration</w:t>
      </w:r>
    </w:p>
    <w:p>
      <w:pPr>
        <w:spacing w:after="140"/>
      </w:pPr>
      <w:r>
        <w:t xml:space="preserve">Mobile-friendly multi-step form matching the fields in your brief: personal info, education (dropdown + document uploads), employment status, work experience band, and multi-select career interests. Should support save-and-resume, since low-connectivity users often complete registration over multiple sessions.</w:t>
      </w:r>
    </w:p>
    <w:p>
      <w:pPr>
        <w:pStyle w:val="Heading2"/>
        <w:spacing w:after="120" w:before="280"/>
      </w:pPr>
      <w:r>
        <w:t xml:space="preserve">5.2 Digital Skills Passport</w:t>
      </w:r>
    </w:p>
    <w:p>
      <w:pPr>
        <w:spacing w:after="140"/>
      </w:pPr>
      <w:r>
        <w:t xml:space="preserve">Auto-generated on registration and updated as verification completes. Functions as the learner's verified digital CV: verification-status badges, education history, hard/soft skills, work history, certificates, portfolio evidence, and current availability. This is the single object employers and TSPs view when searching candidates.</w:t>
      </w:r>
    </w:p>
    <w:p>
      <w:pPr>
        <w:pStyle w:val="Heading2"/>
        <w:spacing w:after="120" w:before="280"/>
      </w:pPr>
      <w:r>
        <w:t xml:space="preserve">5.3 Opportunity Management System</w:t>
      </w:r>
    </w:p>
    <w:p>
      <w:pPr>
        <w:spacing w:after="140"/>
      </w:pPr>
      <w:r>
        <w:t xml:space="preserve">Central store for every opportunity type (learnerships, internships, apprenticeships, jobs, skills programmes, bursaries), postable by Employers, TSPs, or Funders, each with its own eligibility criteria set (5.4).</w:t>
      </w:r>
    </w:p>
    <w:p>
      <w:pPr>
        <w:pStyle w:val="Heading2"/>
        <w:spacing w:after="120" w:before="280"/>
      </w:pPr>
      <w:r>
        <w:t xml:space="preserve">5.4 Smart Eligibility Engine</w:t>
      </w:r>
    </w:p>
    <w:p>
      <w:pPr>
        <w:spacing w:after="140"/>
      </w:pPr>
      <w:r>
        <w:t xml:space="preserve">When an opportunity is created, the poster defines weighted requirements (e.g. province match, age range, employment status, qualification). The engine scores every candidate in the database against those requirements automatically, producing a ranked 0–100 score per candidate, as in your example (25 points each across four criteria).</w:t>
      </w:r>
    </w:p>
    <w:p>
      <w:pPr>
        <w:pStyle w:val="ListParagraph"/>
        <w:numPr>
          <w:ilvl w:val="0"/>
          <w:numId w:val="2"/>
        </w:numPr>
        <w:spacing w:after="60"/>
      </w:pPr>
      <w:r>
        <w:t xml:space="preserve">Criteria and weightings should be configurable per opportunity, not hard-coded, since requirements vary by programme.</w:t>
      </w:r>
    </w:p>
    <w:p>
      <w:pPr>
        <w:pStyle w:val="ListParagraph"/>
        <w:numPr>
          <w:ilvl w:val="0"/>
          <w:numId w:val="2"/>
        </w:numPr>
        <w:spacing w:after="60"/>
      </w:pPr>
      <w:r>
        <w:t xml:space="preserve">Scoring should re-run automatically whenever a learner updates their profile or a new opportunity is posted.</w:t>
      </w:r>
    </w:p>
    <w:p>
      <w:pPr>
        <w:pStyle w:val="Heading2"/>
        <w:spacing w:after="120" w:before="280"/>
      </w:pPr>
      <w:r>
        <w:t xml:space="preserve">5.5 Candidate Matching Engine</w:t>
      </w:r>
    </w:p>
    <w:p>
      <w:pPr>
        <w:spacing w:after="140"/>
      </w:pPr>
      <w:r>
        <w:t xml:space="preserve">Runs on top of the eligibility engine: on opportunity creation, it searches the database, scores candidates, builds a shortlist above a configurable threshold, and notifies matched learners — removing manual screening for the poster.</w:t>
      </w:r>
    </w:p>
    <w:p>
      <w:pPr>
        <w:pStyle w:val="Heading2"/>
        <w:spacing w:after="120" w:before="280"/>
      </w:pPr>
      <w:r>
        <w:t xml:space="preserve">5.6 Qualification &amp; ID Verification</w:t>
      </w:r>
    </w:p>
    <w:p>
      <w:pPr>
        <w:spacing w:after="140"/>
      </w:pPr>
      <w:r>
        <w:t xml:space="preserve">This is the module most affected by real-world constraints — see Section 6 for the integration reality check. Functionally, the platform needs:</w:t>
      </w:r>
    </w:p>
    <w:p>
      <w:pPr>
        <w:pStyle w:val="ListParagraph"/>
        <w:numPr>
          <w:ilvl w:val="0"/>
          <w:numId w:val="2"/>
        </w:numPr>
        <w:spacing w:after="60"/>
      </w:pPr>
      <w:r>
        <w:t xml:space="preserve">A verification status per document type: Pending / Verified / Rejected.</w:t>
      </w:r>
    </w:p>
    <w:p>
      <w:pPr>
        <w:pStyle w:val="ListParagraph"/>
        <w:numPr>
          <w:ilvl w:val="0"/>
          <w:numId w:val="2"/>
        </w:numPr>
        <w:spacing w:after="60"/>
      </w:pPr>
      <w:r>
        <w:t xml:space="preserve">An internal review queue for Admin staff where automated checks are inconclusive.</w:t>
      </w:r>
    </w:p>
    <w:p>
      <w:pPr>
        <w:pStyle w:val="ListParagraph"/>
        <w:numPr>
          <w:ilvl w:val="0"/>
          <w:numId w:val="2"/>
        </w:numPr>
        <w:spacing w:after="60"/>
      </w:pPr>
      <w:r>
        <w:t xml:space="preserve">An audit trail per verification (who/what verified, when, via which method).</w:t>
      </w:r>
    </w:p>
    <w:p>
      <w:pPr>
        <w:pStyle w:val="Heading2"/>
        <w:spacing w:after="120" w:before="280"/>
      </w:pPr>
      <w:r>
        <w:t xml:space="preserve">5.7 POPIA Compliance &amp; Consent</w:t>
      </w:r>
    </w:p>
    <w:p>
      <w:pPr>
        <w:spacing w:after="140"/>
      </w:pPr>
      <w:r>
        <w:t xml:space="preserve">Every learner sets granular visibility: visible to employers, visible to TSPs, visible to funders, private, or visible only when applying to a specific opportunity. Consent records must be stored with timestamps, and consent must be withdrawable — the ConsentRecord entity in Section 4 supports this.</w:t>
      </w:r>
    </w:p>
    <w:p>
      <w:pPr>
        <w:pStyle w:val="Heading2"/>
        <w:spacing w:after="120" w:before="280"/>
      </w:pPr>
      <w:r>
        <w:t xml:space="preserve">5.8 Employer Search</w:t>
      </w:r>
    </w:p>
    <w:p>
      <w:pPr>
        <w:spacing w:after="140"/>
      </w:pPr>
      <w:r>
        <w:t xml:space="preserve">Filterable search across province, qualification, experience band, career field, availability, and verification status, returning results respecting each learner's visibility setting.</w:t>
      </w:r>
    </w:p>
    <w:p>
      <w:pPr>
        <w:pStyle w:val="Heading2"/>
        <w:spacing w:after="120" w:before="280"/>
      </w:pPr>
      <w:r>
        <w:t xml:space="preserve">5.9 Placement Tracking</w:t>
      </w:r>
    </w:p>
    <w:p>
      <w:pPr>
        <w:spacing w:after="140"/>
      </w:pPr>
      <w:r>
        <w:t xml:space="preserve">Records each confirmed placement (employer, programme, start/end date, status) and rolls these up into placement reports for Section 5.10.</w:t>
      </w:r>
    </w:p>
    <w:p>
      <w:pPr>
        <w:pStyle w:val="Heading2"/>
        <w:spacing w:after="120" w:before="280"/>
      </w:pPr>
      <w:r>
        <w:t xml:space="preserve">5.10 Reporting Dashboard</w:t>
      </w:r>
    </w:p>
    <w:p>
      <w:pPr>
        <w:spacing w:after="140"/>
      </w:pPr>
      <w:r>
        <w:t xml:space="preserve">Admin-facing dashboard: total/active/verified learners, available candidates, placements achieved, employment outcomes, employer activity, opportunity activity. Funders and TSPs get scoped versions of the same reporting (their own programmes only).</w:t>
      </w:r>
    </w:p>
    <w:p>
      <w:pPr>
        <w:pStyle w:val="Heading1"/>
        <w:spacing w:after="200" w:before="400"/>
      </w:pPr>
      <w:r>
        <w:t xml:space="preserve">6. Verification Integration — What's Actually Available</w:t>
      </w:r>
    </w:p>
    <w:p>
      <w:pPr>
        <w:spacing w:after="140"/>
      </w:pPr>
      <w:r>
        <w:t xml:space="preserve">Your brief asks for SETA/DHA/SAQA-type automated verification. It's worth being precise about what exists today in South Africa so the build plan is realistic rather than assuming open government APIs that don't exist in that form:</w:t>
      </w:r>
    </w:p>
    <w:p>
      <w:pPr>
        <w:pStyle w:val="ListParagraph"/>
        <w:numPr>
          <w:ilvl w:val="0"/>
          <w:numId w:val="2"/>
        </w:numPr>
        <w:spacing w:after="60"/>
      </w:pPr>
      <w:r>
        <w:t xml:space="preserve">DHA (ID verification): The Department of Home Affairs does not offer direct public API access to individual companies. Verification against the National Population Register is done through DHA-accredited third-party providers (e.g. commercial ID-verification/KYC vendors) who hold the necessary accreditation and expose a normal REST API. ASC Skills Connect would integrate with one of these accredited providers rather than DHA directly.</w:t>
      </w:r>
    </w:p>
    <w:p>
      <w:pPr>
        <w:pStyle w:val="ListParagraph"/>
        <w:numPr>
          <w:ilvl w:val="0"/>
          <w:numId w:val="2"/>
        </w:numPr>
        <w:spacing w:after="60"/>
      </w:pPr>
      <w:r>
        <w:t xml:space="preserve">SAQA (qualification verification): SAQA's National Learners' Records Database (NLRD) verification is a formal, contracted service (SAQA VeriSearch), not an open API — it requires a signed verification agreement with SAQA, and turnaround for full letters can take several weeks, though the VeriSearch "found/not found" query service is faster for bulk/contracted clients. This should be modelled as an external service call with an asynchronous, sometimes-slow response, not a real-time API.</w:t>
      </w:r>
    </w:p>
    <w:p>
      <w:pPr>
        <w:pStyle w:val="ListParagraph"/>
        <w:numPr>
          <w:ilvl w:val="0"/>
          <w:numId w:val="2"/>
        </w:numPr>
        <w:spacing w:after="60"/>
      </w:pPr>
      <w:r>
        <w:t xml:space="preserve">SETA verification: Verification of learnership/accreditation status is typically done SETA-by-SETA (there are 21 SETAs), often manually or via each SETA's own portal — there's no single unified SETA API. Realistically this stays a semi-manual Admin-reviewed process, at least in Phase 1.</w:t>
      </w:r>
    </w:p>
    <w:p>
      <w:pPr>
        <w:pBdr>
          <w:left w:val="single" w:color="0E7C7B" w:sz="12" w:space="8"/>
        </w:pBdr>
        <w:spacing w:after="200" w:before="100"/>
      </w:pPr>
      <w:r>
        <w:rPr>
          <w:i/>
          <w:iCs/>
          <w:color w:val="666666"/>
          <w:sz w:val="20"/>
          <w:szCs w:val="20"/>
        </w:rPr>
        <w:t xml:space="preserve">Practical implication for the build: design the Verification Integration Layer (Section 2) as a pluggable module with an internal "Pending/Verified/Rejected" state machine, so it can start with a DHA-accredited ID-verification vendor (fast, genuinely real-time) while qualification and SETA verification start semi-manual (Admin-reviewed with SAQA VeriSearch lookups) and get progressively automated as volume justifies the contracted integrations. This avoids blocking the whole platform launch on SAQA/SETA agreements that can take months to establish.</w:t>
      </w:r>
    </w:p>
    <w:p>
      <w:pPr>
        <w:pStyle w:val="Heading1"/>
        <w:spacing w:after="200" w:before="400"/>
      </w:pPr>
      <w:r>
        <w:t xml:space="preserve">7. Non-Functional Requirements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7400"/>
      </w:tblGrid>
      <w:tr>
        <w:trPr>
          <w:tblHeader/>
        </w:trPr>
        <w:tc>
          <w:tcPr>
            <w:tcW w:type="dxa" w:w="2400"/>
            <w:shd w:fill="1F3A5F" w:val="clear"/>
            <w:tcMar>
              <w:top w:type="dxa" w:w="80"/>
              <w:left w:type="dxa" w:w="100"/>
              <w:bottom w:type="dxa" w:w="80"/>
              <w:right w:type="dxa" w:w="100"/>
            </w:tcMar>
          </w:tcPr>
          <w:p>
            <w:r>
              <w:rPr>
                <w:b/>
                <w:bCs/>
                <w:color w:val="FFFFFF"/>
                <w:sz w:val="20"/>
                <w:szCs w:val="20"/>
              </w:rPr>
              <w:t xml:space="preserve">Area</w:t>
            </w:r>
          </w:p>
        </w:tc>
        <w:tc>
          <w:tcPr>
            <w:tcW w:type="dxa" w:w="7400"/>
            <w:shd w:fill="1F3A5F" w:val="clear"/>
            <w:tcMar>
              <w:top w:type="dxa" w:w="80"/>
              <w:left w:type="dxa" w:w="100"/>
              <w:bottom w:type="dxa" w:w="80"/>
              <w:right w:type="dxa" w:w="100"/>
            </w:tcMar>
          </w:tcPr>
          <w:p>
            <w:r>
              <w:rPr>
                <w:b/>
                <w:bCs/>
                <w:color w:val="FFFFFF"/>
                <w:sz w:val="20"/>
                <w:szCs w:val="20"/>
              </w:rPr>
              <w:t xml:space="preserve">Requirement</w:t>
            </w:r>
          </w:p>
        </w:tc>
      </w:tr>
      <w:tr>
        <w:tc>
          <w:tcPr>
            <w:tcW w:type="dxa" w:w="2400"/>
            <w:tcMar>
              <w:top w:type="dxa" w:w="80"/>
              <w:left w:type="dxa" w:w="100"/>
              <w:bottom w:type="dxa" w:w="80"/>
              <w:right w:type="dxa" w:w="100"/>
            </w:tcMar>
          </w:tcPr>
          <w:p>
            <w:r>
              <w:rPr>
                <w:b w:val="false"/>
                <w:bCs w:val="false"/>
                <w:color w:val="000000"/>
                <w:sz w:val="20"/>
                <w:szCs w:val="20"/>
              </w:rPr>
              <w:t xml:space="preserve">Scalability</w:t>
            </w:r>
          </w:p>
        </w:tc>
        <w:tc>
          <w:tcPr>
            <w:tcW w:type="dxa" w:w="7400"/>
            <w:tcMar>
              <w:top w:type="dxa" w:w="80"/>
              <w:left w:type="dxa" w:w="100"/>
              <w:bottom w:type="dxa" w:w="80"/>
              <w:right w:type="dxa" w:w="100"/>
            </w:tcMar>
          </w:tcPr>
          <w:p>
            <w:r>
              <w:rPr>
                <w:b w:val="false"/>
                <w:bCs w:val="false"/>
                <w:color w:val="000000"/>
                <w:sz w:val="20"/>
                <w:szCs w:val="20"/>
              </w:rPr>
              <w:t xml:space="preserve">Designed for growth from a small initial base — stateless API layer, database indexing on search fields (province, qualification, availability), background job queue for scoring/matching so it doesn't block requests as volumes grow.</w:t>
            </w:r>
          </w:p>
        </w:tc>
      </w:tr>
      <w:tr>
        <w:tc>
          <w:tcPr>
            <w:tcW w:type="dxa" w:w="2400"/>
            <w:shd w:fill="EAF1F1" w:val="clear"/>
            <w:tcMar>
              <w:top w:type="dxa" w:w="80"/>
              <w:left w:type="dxa" w:w="100"/>
              <w:bottom w:type="dxa" w:w="80"/>
              <w:right w:type="dxa" w:w="100"/>
            </w:tcMar>
          </w:tcPr>
          <w:p>
            <w:r>
              <w:rPr>
                <w:b w:val="false"/>
                <w:bCs w:val="false"/>
                <w:color w:val="000000"/>
                <w:sz w:val="20"/>
                <w:szCs w:val="20"/>
              </w:rPr>
              <w:t xml:space="preserve">Security</w:t>
            </w:r>
          </w:p>
        </w:tc>
        <w:tc>
          <w:tcPr>
            <w:tcW w:type="dxa" w:w="7400"/>
            <w:shd w:fill="EAF1F1" w:val="clear"/>
            <w:tcMar>
              <w:top w:type="dxa" w:w="80"/>
              <w:left w:type="dxa" w:w="100"/>
              <w:bottom w:type="dxa" w:w="80"/>
              <w:right w:type="dxa" w:w="100"/>
            </w:tcMar>
          </w:tcPr>
          <w:p>
            <w:r>
              <w:rPr>
                <w:b w:val="false"/>
                <w:bCs w:val="false"/>
                <w:color w:val="000000"/>
                <w:sz w:val="20"/>
                <w:szCs w:val="20"/>
              </w:rPr>
              <w:t xml:space="preserve">RBAC per role, encrypted storage of ID numbers and documents, HTTPS everywhere, rate-limited auth endpoints.</w:t>
            </w:r>
          </w:p>
        </w:tc>
      </w:tr>
      <w:tr>
        <w:tc>
          <w:tcPr>
            <w:tcW w:type="dxa" w:w="2400"/>
            <w:tcMar>
              <w:top w:type="dxa" w:w="80"/>
              <w:left w:type="dxa" w:w="100"/>
              <w:bottom w:type="dxa" w:w="80"/>
              <w:right w:type="dxa" w:w="100"/>
            </w:tcMar>
          </w:tcPr>
          <w:p>
            <w:r>
              <w:rPr>
                <w:b w:val="false"/>
                <w:bCs w:val="false"/>
                <w:color w:val="000000"/>
                <w:sz w:val="20"/>
                <w:szCs w:val="20"/>
              </w:rPr>
              <w:t xml:space="preserve">POPIA</w:t>
            </w:r>
          </w:p>
        </w:tc>
        <w:tc>
          <w:tcPr>
            <w:tcW w:type="dxa" w:w="7400"/>
            <w:tcMar>
              <w:top w:type="dxa" w:w="80"/>
              <w:left w:type="dxa" w:w="100"/>
              <w:bottom w:type="dxa" w:w="80"/>
              <w:right w:type="dxa" w:w="100"/>
            </w:tcMar>
          </w:tcPr>
          <w:p>
            <w:r>
              <w:rPr>
                <w:b w:val="false"/>
                <w:bCs w:val="false"/>
                <w:color w:val="000000"/>
                <w:sz w:val="20"/>
                <w:szCs w:val="20"/>
              </w:rPr>
              <w:t xml:space="preserve">In-region hosting preferred, consent-based visibility, audit logging of who accessed which learner's data, data retention/deletion policy.</w:t>
            </w:r>
          </w:p>
        </w:tc>
      </w:tr>
      <w:tr>
        <w:tc>
          <w:tcPr>
            <w:tcW w:type="dxa" w:w="2400"/>
            <w:shd w:fill="EAF1F1" w:val="clear"/>
            <w:tcMar>
              <w:top w:type="dxa" w:w="80"/>
              <w:left w:type="dxa" w:w="100"/>
              <w:bottom w:type="dxa" w:w="80"/>
              <w:right w:type="dxa" w:w="100"/>
            </w:tcMar>
          </w:tcPr>
          <w:p>
            <w:r>
              <w:rPr>
                <w:b w:val="false"/>
                <w:bCs w:val="false"/>
                <w:color w:val="000000"/>
                <w:sz w:val="20"/>
                <w:szCs w:val="20"/>
              </w:rPr>
              <w:t xml:space="preserve">Accessibility</w:t>
            </w:r>
          </w:p>
        </w:tc>
        <w:tc>
          <w:tcPr>
            <w:tcW w:type="dxa" w:w="7400"/>
            <w:shd w:fill="EAF1F1" w:val="clear"/>
            <w:tcMar>
              <w:top w:type="dxa" w:w="80"/>
              <w:left w:type="dxa" w:w="100"/>
              <w:bottom w:type="dxa" w:w="80"/>
              <w:right w:type="dxa" w:w="100"/>
            </w:tcMar>
          </w:tcPr>
          <w:p>
            <w:r>
              <w:rPr>
                <w:b w:val="false"/>
                <w:bCs w:val="false"/>
                <w:color w:val="000000"/>
                <w:sz w:val="20"/>
                <w:szCs w:val="20"/>
              </w:rPr>
              <w:t xml:space="preserve">Mobile-first, low-bandwidth tolerant (many learners will register on mobile data), works on older Android devices/browsers.</w:t>
            </w:r>
          </w:p>
        </w:tc>
      </w:tr>
      <w:tr>
        <w:tc>
          <w:tcPr>
            <w:tcW w:type="dxa" w:w="2400"/>
            <w:tcMar>
              <w:top w:type="dxa" w:w="80"/>
              <w:left w:type="dxa" w:w="100"/>
              <w:bottom w:type="dxa" w:w="80"/>
              <w:right w:type="dxa" w:w="100"/>
            </w:tcMar>
          </w:tcPr>
          <w:p>
            <w:r>
              <w:rPr>
                <w:b w:val="false"/>
                <w:bCs w:val="false"/>
                <w:color w:val="000000"/>
                <w:sz w:val="20"/>
                <w:szCs w:val="20"/>
              </w:rPr>
              <w:t xml:space="preserve">Availability</w:t>
            </w:r>
          </w:p>
        </w:tc>
        <w:tc>
          <w:tcPr>
            <w:tcW w:type="dxa" w:w="7400"/>
            <w:tcMar>
              <w:top w:type="dxa" w:w="80"/>
              <w:left w:type="dxa" w:w="100"/>
              <w:bottom w:type="dxa" w:w="80"/>
              <w:right w:type="dxa" w:w="100"/>
            </w:tcMar>
          </w:tcPr>
          <w:p>
            <w:r>
              <w:rPr>
                <w:b w:val="false"/>
                <w:bCs w:val="false"/>
                <w:color w:val="000000"/>
                <w:sz w:val="20"/>
                <w:szCs w:val="20"/>
              </w:rPr>
              <w:t xml:space="preserve">Standard cloud SLA sufficient at launch; no need for multi-region redundancy until real scale is proven.</w:t>
            </w:r>
          </w:p>
        </w:tc>
      </w:tr>
    </w:tbl>
    <w:p>
      <w:pPr>
        <w:pStyle w:val="Heading1"/>
        <w:spacing w:after="200" w:before="400"/>
      </w:pPr>
      <w:r>
        <w:t xml:space="preserve">8. Revenue Model (Future Phase)</w:t>
      </w:r>
    </w:p>
    <w:p>
      <w:pPr>
        <w:spacing w:after="140"/>
      </w:pPr>
      <w:r>
        <w:t xml:space="preserve">You've indicated billing isn't needed at launch. The data model and subscription tier fields (EmployerProfile/TSPProfile.subscription_tier) are included now so this can be switched on later without a schema rework:</w:t>
      </w:r>
    </w:p>
    <w:p>
      <w:pPr>
        <w:pStyle w:val="ListParagraph"/>
        <w:numPr>
          <w:ilvl w:val="0"/>
          <w:numId w:val="2"/>
        </w:numPr>
        <w:spacing w:after="60"/>
      </w:pPr>
      <w:r>
        <w:t xml:space="preserve">Employer subscriptions: Basic (search + limited access), Standard (unlimited search + vacancy posting), Premium (advanced analytics + placement support).</w:t>
      </w:r>
    </w:p>
    <w:p>
      <w:pPr>
        <w:pStyle w:val="ListParagraph"/>
        <w:numPr>
          <w:ilvl w:val="0"/>
          <w:numId w:val="2"/>
        </w:numPr>
        <w:spacing w:after="60"/>
      </w:pPr>
      <w:r>
        <w:t xml:space="preserve">TSP subscriptions: advertise programmes, search learners, candidate matching access.</w:t>
      </w:r>
    </w:p>
    <w:p>
      <w:pPr>
        <w:pStyle w:val="ListParagraph"/>
        <w:numPr>
          <w:ilvl w:val="0"/>
          <w:numId w:val="2"/>
        </w:numPr>
        <w:spacing w:after="60"/>
      </w:pPr>
      <w:r>
        <w:t xml:space="preserve">Placement fees: charged per successful employer placement.</w:t>
      </w:r>
    </w:p>
    <w:p>
      <w:pPr>
        <w:pStyle w:val="ListParagraph"/>
        <w:numPr>
          <w:ilvl w:val="0"/>
          <w:numId w:val="2"/>
        </w:numPr>
        <w:spacing w:after="60"/>
      </w:pPr>
      <w:r>
        <w:t xml:space="preserve">Verification fees: charged for qualification verification services.</w:t>
      </w:r>
    </w:p>
    <w:p>
      <w:pPr>
        <w:pStyle w:val="Heading1"/>
        <w:spacing w:after="200" w:before="400"/>
      </w:pPr>
      <w:r>
        <w:t xml:space="preserve">9. Future AI Features (Post-Launch)</w:t>
      </w:r>
    </w:p>
    <w:p>
      <w:pPr>
        <w:pStyle w:val="ListParagraph"/>
        <w:numPr>
          <w:ilvl w:val="0"/>
          <w:numId w:val="2"/>
        </w:numPr>
        <w:spacing w:after="60"/>
      </w:pPr>
      <w:r>
        <w:t xml:space="preserve">AI candidate ranking beyond the rules-based eligibility engine.</w:t>
      </w:r>
    </w:p>
    <w:p>
      <w:pPr>
        <w:pStyle w:val="ListParagraph"/>
        <w:numPr>
          <w:ilvl w:val="0"/>
          <w:numId w:val="2"/>
        </w:numPr>
        <w:spacing w:after="60"/>
      </w:pPr>
      <w:r>
        <w:t xml:space="preserve">AI CV analysis to auto-populate skills/experience from uploaded CVs.</w:t>
      </w:r>
    </w:p>
    <w:p>
      <w:pPr>
        <w:pStyle w:val="ListParagraph"/>
        <w:numPr>
          <w:ilvl w:val="0"/>
          <w:numId w:val="2"/>
        </w:numPr>
        <w:spacing w:after="60"/>
      </w:pPr>
      <w:r>
        <w:t xml:space="preserve">AI career guidance — recommending qualifications, learnerships, internships, jobs.</w:t>
      </w:r>
    </w:p>
    <w:p>
      <w:pPr>
        <w:pStyle w:val="ListParagraph"/>
        <w:numPr>
          <w:ilvl w:val="0"/>
          <w:numId w:val="2"/>
        </w:numPr>
        <w:spacing w:after="60"/>
      </w:pPr>
      <w:r>
        <w:t xml:space="preserve">AI recruitment assistant for employers.</w:t>
      </w:r>
    </w:p>
    <w:p>
      <w:pPr>
        <w:pBdr>
          <w:left w:val="single" w:color="0E7C7B" w:sz="12" w:space="8"/>
        </w:pBdr>
        <w:spacing w:after="200" w:before="100"/>
      </w:pPr>
      <w:r>
        <w:rPr>
          <w:i/>
          <w:iCs/>
          <w:color w:val="666666"/>
          <w:sz w:val="20"/>
          <w:szCs w:val="20"/>
        </w:rPr>
        <w:t xml:space="preserve">These sit on top of the core matching engine in Section 5.5 and are best tackled once there's enough real usage data to train/tune against — not required for launch.</w:t>
      </w:r>
    </w:p>
    <w:p>
      <w:pPr>
        <w:pStyle w:val="Heading1"/>
        <w:spacing w:after="200" w:before="400"/>
      </w:pPr>
      <w:r>
        <w:t xml:space="preserve">10. Phased Build Roadmap</w:t>
      </w:r>
    </w:p>
    <w:p>
      <w:pPr>
        <w:spacing w:after="140"/>
      </w:pPr>
      <w:r>
        <w:t xml:space="preserve">You've asked for the full platform scope. The recommended path gets there without a single all-or-nothing launch:</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2400"/>
      </w:tblGrid>
      <w:tr>
        <w:trPr>
          <w:tblHeader/>
        </w:trPr>
        <w:tc>
          <w:tcPr>
            <w:tcW w:type="dxa" w:w="2200"/>
            <w:shd w:fill="1F3A5F" w:val="clear"/>
            <w:tcMar>
              <w:top w:type="dxa" w:w="80"/>
              <w:left w:type="dxa" w:w="100"/>
              <w:bottom w:type="dxa" w:w="80"/>
              <w:right w:type="dxa" w:w="100"/>
            </w:tcMar>
          </w:tcPr>
          <w:p>
            <w:r>
              <w:rPr>
                <w:b/>
                <w:bCs/>
                <w:color w:val="FFFFFF"/>
                <w:sz w:val="20"/>
                <w:szCs w:val="20"/>
              </w:rPr>
              <w:t xml:space="preserve">Phase</w:t>
            </w:r>
          </w:p>
        </w:tc>
        <w:tc>
          <w:tcPr>
            <w:tcW w:type="dxa" w:w="5200"/>
            <w:shd w:fill="1F3A5F" w:val="clear"/>
            <w:tcMar>
              <w:top w:type="dxa" w:w="80"/>
              <w:left w:type="dxa" w:w="100"/>
              <w:bottom w:type="dxa" w:w="80"/>
              <w:right w:type="dxa" w:w="100"/>
            </w:tcMar>
          </w:tcPr>
          <w:p>
            <w:r>
              <w:rPr>
                <w:b/>
                <w:bCs/>
                <w:color w:val="FFFFFF"/>
                <w:sz w:val="20"/>
                <w:szCs w:val="20"/>
              </w:rPr>
              <w:t xml:space="preserve">Delivers</w:t>
            </w:r>
          </w:p>
        </w:tc>
        <w:tc>
          <w:tcPr>
            <w:tcW w:type="dxa" w:w="2400"/>
            <w:shd w:fill="1F3A5F" w:val="clear"/>
            <w:tcMar>
              <w:top w:type="dxa" w:w="80"/>
              <w:left w:type="dxa" w:w="100"/>
              <w:bottom w:type="dxa" w:w="80"/>
              <w:right w:type="dxa" w:w="100"/>
            </w:tcMar>
          </w:tcPr>
          <w:p>
            <w:r>
              <w:rPr>
                <w:b/>
                <w:bCs/>
                <w:color w:val="FFFFFF"/>
                <w:sz w:val="20"/>
                <w:szCs w:val="20"/>
              </w:rPr>
              <w:t xml:space="preserve">Verification approach</w:t>
            </w:r>
          </w:p>
        </w:tc>
      </w:tr>
      <w:tr>
        <w:tc>
          <w:tcPr>
            <w:tcW w:type="dxa" w:w="2200"/>
            <w:tcMar>
              <w:top w:type="dxa" w:w="80"/>
              <w:left w:type="dxa" w:w="100"/>
              <w:bottom w:type="dxa" w:w="80"/>
              <w:right w:type="dxa" w:w="100"/>
            </w:tcMar>
          </w:tcPr>
          <w:p>
            <w:r>
              <w:rPr>
                <w:b w:val="false"/>
                <w:bCs w:val="false"/>
                <w:color w:val="000000"/>
                <w:sz w:val="20"/>
                <w:szCs w:val="20"/>
              </w:rPr>
              <w:t xml:space="preserve">Phase 1 — Foundation</w:t>
            </w:r>
          </w:p>
        </w:tc>
        <w:tc>
          <w:tcPr>
            <w:tcW w:type="dxa" w:w="5200"/>
            <w:tcMar>
              <w:top w:type="dxa" w:w="80"/>
              <w:left w:type="dxa" w:w="100"/>
              <w:bottom w:type="dxa" w:w="80"/>
              <w:right w:type="dxa" w:w="100"/>
            </w:tcMar>
          </w:tcPr>
          <w:p>
            <w:r>
              <w:rPr>
                <w:b w:val="false"/>
                <w:bCs w:val="false"/>
                <w:color w:val="000000"/>
                <w:sz w:val="20"/>
                <w:szCs w:val="20"/>
              </w:rPr>
              <w:t xml:space="preserve">Learner registration, Digital Skills Passport (unverified state), Opportunity Management, Employer/TSP posting, basic Employer Search, Admin console</w:t>
            </w:r>
          </w:p>
        </w:tc>
        <w:tc>
          <w:tcPr>
            <w:tcW w:type="dxa" w:w="2400"/>
            <w:tcMar>
              <w:top w:type="dxa" w:w="80"/>
              <w:left w:type="dxa" w:w="100"/>
              <w:bottom w:type="dxa" w:w="80"/>
              <w:right w:type="dxa" w:w="100"/>
            </w:tcMar>
          </w:tcPr>
          <w:p>
            <w:r>
              <w:rPr>
                <w:b w:val="false"/>
                <w:bCs w:val="false"/>
                <w:color w:val="000000"/>
                <w:sz w:val="20"/>
                <w:szCs w:val="20"/>
              </w:rPr>
              <w:t xml:space="preserve">Manual Admin document review</w:t>
            </w:r>
          </w:p>
        </w:tc>
      </w:tr>
      <w:tr>
        <w:tc>
          <w:tcPr>
            <w:tcW w:type="dxa" w:w="2200"/>
            <w:shd w:fill="EAF1F1" w:val="clear"/>
            <w:tcMar>
              <w:top w:type="dxa" w:w="80"/>
              <w:left w:type="dxa" w:w="100"/>
              <w:bottom w:type="dxa" w:w="80"/>
              <w:right w:type="dxa" w:w="100"/>
            </w:tcMar>
          </w:tcPr>
          <w:p>
            <w:r>
              <w:rPr>
                <w:b w:val="false"/>
                <w:bCs w:val="false"/>
                <w:color w:val="000000"/>
                <w:sz w:val="20"/>
                <w:szCs w:val="20"/>
              </w:rPr>
              <w:t xml:space="preserve">Phase 2 — Matching</w:t>
            </w:r>
          </w:p>
        </w:tc>
        <w:tc>
          <w:tcPr>
            <w:tcW w:type="dxa" w:w="5200"/>
            <w:shd w:fill="EAF1F1" w:val="clear"/>
            <w:tcMar>
              <w:top w:type="dxa" w:w="80"/>
              <w:left w:type="dxa" w:w="100"/>
              <w:bottom w:type="dxa" w:w="80"/>
              <w:right w:type="dxa" w:w="100"/>
            </w:tcMar>
          </w:tcPr>
          <w:p>
            <w:r>
              <w:rPr>
                <w:b w:val="false"/>
                <w:bCs w:val="false"/>
                <w:color w:val="000000"/>
                <w:sz w:val="20"/>
                <w:szCs w:val="20"/>
              </w:rPr>
              <w:t xml:space="preserve">Smart Eligibility Engine, Candidate Matching Engine, notifications, Placement Tracking, Reporting Dashboard</w:t>
            </w:r>
          </w:p>
        </w:tc>
        <w:tc>
          <w:tcPr>
            <w:tcW w:type="dxa" w:w="2400"/>
            <w:shd w:fill="EAF1F1" w:val="clear"/>
            <w:tcMar>
              <w:top w:type="dxa" w:w="80"/>
              <w:left w:type="dxa" w:w="100"/>
              <w:bottom w:type="dxa" w:w="80"/>
              <w:right w:type="dxa" w:w="100"/>
            </w:tcMar>
          </w:tcPr>
          <w:p>
            <w:r>
              <w:rPr>
                <w:b w:val="false"/>
                <w:bCs w:val="false"/>
                <w:color w:val="000000"/>
                <w:sz w:val="20"/>
                <w:szCs w:val="20"/>
              </w:rPr>
              <w:t xml:space="preserve">Add DHA-accredited ID verification vendor (real-time)</w:t>
            </w:r>
          </w:p>
        </w:tc>
      </w:tr>
      <w:tr>
        <w:tc>
          <w:tcPr>
            <w:tcW w:type="dxa" w:w="2200"/>
            <w:tcMar>
              <w:top w:type="dxa" w:w="80"/>
              <w:left w:type="dxa" w:w="100"/>
              <w:bottom w:type="dxa" w:w="80"/>
              <w:right w:type="dxa" w:w="100"/>
            </w:tcMar>
          </w:tcPr>
          <w:p>
            <w:r>
              <w:rPr>
                <w:b w:val="false"/>
                <w:bCs w:val="false"/>
                <w:color w:val="000000"/>
                <w:sz w:val="20"/>
                <w:szCs w:val="20"/>
              </w:rPr>
              <w:t xml:space="preserve">Phase 3 — Verification depth</w:t>
            </w:r>
          </w:p>
        </w:tc>
        <w:tc>
          <w:tcPr>
            <w:tcW w:type="dxa" w:w="5200"/>
            <w:tcMar>
              <w:top w:type="dxa" w:w="80"/>
              <w:left w:type="dxa" w:w="100"/>
              <w:bottom w:type="dxa" w:w="80"/>
              <w:right w:type="dxa" w:w="100"/>
            </w:tcMar>
          </w:tcPr>
          <w:p>
            <w:r>
              <w:rPr>
                <w:b w:val="false"/>
                <w:bCs w:val="false"/>
                <w:color w:val="000000"/>
                <w:sz w:val="20"/>
                <w:szCs w:val="20"/>
              </w:rPr>
              <w:t xml:space="preserve">SAQA VeriSearch integration for qualification checks, SETA verification workflows, Funder portal</w:t>
            </w:r>
          </w:p>
        </w:tc>
        <w:tc>
          <w:tcPr>
            <w:tcW w:type="dxa" w:w="2400"/>
            <w:tcMar>
              <w:top w:type="dxa" w:w="80"/>
              <w:left w:type="dxa" w:w="100"/>
              <w:bottom w:type="dxa" w:w="80"/>
              <w:right w:type="dxa" w:w="100"/>
            </w:tcMar>
          </w:tcPr>
          <w:p>
            <w:r>
              <w:rPr>
                <w:b w:val="false"/>
                <w:bCs w:val="false"/>
                <w:color w:val="000000"/>
                <w:sz w:val="20"/>
                <w:szCs w:val="20"/>
              </w:rPr>
              <w:t xml:space="preserve">Semi-automated qualification checks</w:t>
            </w:r>
          </w:p>
        </w:tc>
      </w:tr>
      <w:tr>
        <w:tc>
          <w:tcPr>
            <w:tcW w:type="dxa" w:w="2200"/>
            <w:shd w:fill="EAF1F1" w:val="clear"/>
            <w:tcMar>
              <w:top w:type="dxa" w:w="80"/>
              <w:left w:type="dxa" w:w="100"/>
              <w:bottom w:type="dxa" w:w="80"/>
              <w:right w:type="dxa" w:w="100"/>
            </w:tcMar>
          </w:tcPr>
          <w:p>
            <w:r>
              <w:rPr>
                <w:b w:val="false"/>
                <w:bCs w:val="false"/>
                <w:color w:val="000000"/>
                <w:sz w:val="20"/>
                <w:szCs w:val="20"/>
              </w:rPr>
              <w:t xml:space="preserve">Phase 4 — Monetisation &amp; AI</w:t>
            </w:r>
          </w:p>
        </w:tc>
        <w:tc>
          <w:tcPr>
            <w:tcW w:type="dxa" w:w="5200"/>
            <w:shd w:fill="EAF1F1" w:val="clear"/>
            <w:tcMar>
              <w:top w:type="dxa" w:w="80"/>
              <w:left w:type="dxa" w:w="100"/>
              <w:bottom w:type="dxa" w:w="80"/>
              <w:right w:type="dxa" w:w="100"/>
            </w:tcMar>
          </w:tcPr>
          <w:p>
            <w:r>
              <w:rPr>
                <w:b w:val="false"/>
                <w:bCs w:val="false"/>
                <w:color w:val="000000"/>
                <w:sz w:val="20"/>
                <w:szCs w:val="20"/>
              </w:rPr>
              <w:t xml:space="preserve">Subscription billing, placement/verification fees, AI features (Section 9)</w:t>
            </w:r>
          </w:p>
        </w:tc>
        <w:tc>
          <w:tcPr>
            <w:tcW w:type="dxa" w:w="2400"/>
            <w:shd w:fill="EAF1F1" w:val="clear"/>
            <w:tcMar>
              <w:top w:type="dxa" w:w="80"/>
              <w:left w:type="dxa" w:w="100"/>
              <w:bottom w:type="dxa" w:w="80"/>
              <w:right w:type="dxa" w:w="100"/>
            </w:tcMar>
          </w:tcPr>
          <w:p>
            <w:r>
              <w:rPr>
                <w:b w:val="false"/>
                <w:bCs w:val="false"/>
                <w:color w:val="000000"/>
                <w:sz w:val="20"/>
                <w:szCs w:val="20"/>
              </w:rPr>
              <w:t xml:space="preserve">Fully automated where contracted</w:t>
            </w:r>
          </w:p>
        </w:tc>
      </w:tr>
    </w:tbl>
    <w:p>
      <w:pPr>
        <w:pStyle w:val="Heading1"/>
        <w:spacing w:after="200" w:before="400"/>
      </w:pPr>
      <w:r>
        <w:t xml:space="preserve">11. Open Questions Before Development Starts</w:t>
      </w:r>
    </w:p>
    <w:p>
      <w:pPr>
        <w:spacing w:after="140"/>
      </w:pPr>
      <w:r>
        <w:t xml:space="preserve">These don't block this spec, but a dev team will need answers before estimating cost/timeline:</w:t>
      </w:r>
    </w:p>
    <w:p>
      <w:pPr>
        <w:pStyle w:val="ListParagraph"/>
        <w:numPr>
          <w:ilvl w:val="0"/>
          <w:numId w:val="2"/>
        </w:numPr>
        <w:spacing w:after="60"/>
      </w:pPr>
      <w:r>
        <w:t xml:space="preserve">Who hosts and owns the DHA-accredited verification vendor relationship — ASC directly, or via the chosen dev team?</w:t>
      </w:r>
    </w:p>
    <w:p>
      <w:pPr>
        <w:pStyle w:val="ListParagraph"/>
        <w:numPr>
          <w:ilvl w:val="0"/>
          <w:numId w:val="2"/>
        </w:numPr>
        <w:spacing w:after="60"/>
      </w:pPr>
      <w:r>
        <w:t xml:space="preserve">Is there an existing learner/employer database (e.g. from current ASC training operations) to migrate in, or is this a clean start?</w:t>
      </w:r>
    </w:p>
    <w:p>
      <w:pPr>
        <w:pStyle w:val="ListParagraph"/>
        <w:numPr>
          <w:ilvl w:val="0"/>
          <w:numId w:val="2"/>
        </w:numPr>
        <w:spacing w:after="60"/>
      </w:pPr>
      <w:r>
        <w:t xml:space="preserve">Preferred domain/branding — separate site from the existing Africa Skills Connect site, or a section of it?</w:t>
      </w:r>
    </w:p>
    <w:p>
      <w:pPr>
        <w:pStyle w:val="ListParagraph"/>
        <w:numPr>
          <w:ilvl w:val="0"/>
          <w:numId w:val="2"/>
        </w:numPr>
        <w:spacing w:after="60"/>
      </w:pPr>
      <w:r>
        <w:t xml:space="preserve">Target launch date, to size Phase 1 realistically against your unresolved "who builds it" decision?</w:t>
      </w:r>
    </w:p>
    <w:p>
      <w:pPr>
        <w:spacing w:before="400"/>
      </w:pPr>
      <w:r>
        <w:rPr>
          <w:i/>
          <w:iCs/>
          <w:color w:val="666666"/>
        </w:rPr>
        <w:t xml:space="preserve">— End of specification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7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1F3A5F"/>
      <w:sz w:val="30"/>
      <w:szCs w:val="30"/>
    </w:rPr>
  </w:style>
  <w:style w:type="paragraph" w:styleId="Heading2">
    <w:name w:val="Heading 2"/>
    <w:basedOn w:val="Normal"/>
    <w:next w:val="Normal"/>
    <w:qFormat/>
    <w:pPr>
      <w:spacing w:after="120" w:before="280"/>
    </w:pPr>
    <w:rPr>
      <w:rFonts w:ascii="Calibri" w:cs="Calibri" w:eastAsia="Calibri" w:hAnsi="Calibri"/>
      <w:b/>
      <w:bCs/>
      <w:color w:val="0E7C7B"/>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2026-08-06T08:17:53.845Z</dcterms:created>
  <dcterms:modified xsi:type="dcterms:W3CDTF">2026-08-06T08:17:53.865Z</dcterms:modified>
</cp:coreProperties>
</file>

<file path=docProps/custom.xml><?xml version="1.0" encoding="utf-8"?>
<Properties xmlns="http://schemas.openxmlformats.org/officeDocument/2006/custom-properties" xmlns:vt="http://schemas.openxmlformats.org/officeDocument/2006/docPropsVTypes"/>
</file>