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pPr>
      <w:r>
        <w:rPr>
          <w:rFonts w:ascii="Calibri" w:hAnsi="Calibri"/>
          <w:b/>
          <w:color w:val="059669"/>
          <w:sz w:val="22"/>
        </w:rPr>
        <w:t>INFOTACT SOLUTIONS — FORMAL INTERNSHIP CAPSTONE</w:t>
      </w:r>
    </w:p>
    <w:p>
      <w:pPr>
        <w:spacing w:before="240" w:after="240"/>
      </w:pPr>
      <w:r>
        <w:rPr>
          <w:rFonts w:ascii="Calibri" w:hAnsi="Calibri"/>
          <w:b/>
          <w:color w:val="0F172A"/>
          <w:sz w:val="48"/>
        </w:rPr>
        <w:t>EconoCausal: Dynamic Pricing via Double Machine Learning</w:t>
      </w:r>
    </w:p>
    <w:p>
      <w:pPr>
        <w:spacing w:after="480"/>
      </w:pPr>
      <w:r>
        <w:rPr>
          <w:rFonts w:ascii="Calibri" w:hAnsi="Calibri"/>
          <w:color w:val="64748B"/>
          <w:sz w:val="26"/>
        </w:rPr>
        <w:t>Heterogeneous Treatment Effect Estimation &amp; Prescriptive Marketing Budget Allocation Under Strict Capital Constraints</w:t>
      </w:r>
    </w:p>
    <w:tbl>
      <w:tblPr>
        <w:tblW w:type="auto" w:w="0"/>
        <w:jc w:val="center"/>
        <w:tblLook w:firstColumn="1" w:firstRow="1" w:lastColumn="0" w:lastRow="0" w:noHBand="0" w:noVBand="1" w:val="04A0"/>
      </w:tblPr>
      <w:tblGrid>
        <w:gridCol w:w="4680"/>
        <w:gridCol w:w="4680"/>
      </w:tblGrid>
      <w:tr>
        <w:tc>
          <w:tcPr>
            <w:tcW w:type="dxa" w:w="3600"/>
            <w:shd w:val="clear" w:color="auto" w:fill="1E293B"/>
            <w:tcMar>
              <w:top w:w="120" w:type="dxa"/>
              <w:bottom w:w="120" w:type="dxa"/>
              <w:left w:w="140" w:type="dxa"/>
              <w:right w:w="140" w:type="dxa"/>
            </w:tcMar>
          </w:tcPr>
          <w:p>
            <w:pPr>
              <w:jc w:val="left"/>
            </w:pPr>
            <w:r>
              <w:rPr>
                <w:rFonts w:ascii="Calibri" w:hAnsi="Calibri"/>
                <w:b/>
                <w:color w:val="FFFFFF"/>
                <w:sz w:val="19"/>
              </w:rPr>
              <w:t>Particular</w:t>
            </w:r>
          </w:p>
        </w:tc>
        <w:tc>
          <w:tcPr>
            <w:tcW w:type="dxa" w:w="5760"/>
            <w:shd w:val="clear" w:color="auto" w:fill="1E293B"/>
            <w:tcMar>
              <w:top w:w="120" w:type="dxa"/>
              <w:bottom w:w="120" w:type="dxa"/>
              <w:left w:w="140" w:type="dxa"/>
              <w:right w:w="140" w:type="dxa"/>
            </w:tcMar>
          </w:tcPr>
          <w:p>
            <w:pPr>
              <w:jc w:val="left"/>
            </w:pPr>
            <w:r>
              <w:rPr>
                <w:rFonts w:ascii="Calibri" w:hAnsi="Calibri"/>
                <w:b/>
                <w:color w:val="FFFFFF"/>
                <w:sz w:val="19"/>
              </w:rPr>
              <w:t>Details</w:t>
            </w:r>
          </w:p>
        </w:tc>
      </w:tr>
      <w:tr>
        <w:tc>
          <w:tcPr>
            <w:tcW w:type="dxa" w:w="3600"/>
            <w:shd w:val="clear" w:color="auto" w:fill="FFFFFF"/>
            <w:tcMar>
              <w:top w:w="80" w:type="dxa"/>
              <w:bottom w:w="80" w:type="dxa"/>
              <w:left w:w="140" w:type="dxa"/>
              <w:right w:w="140" w:type="dxa"/>
            </w:tcMar>
          </w:tcPr>
          <w:p>
            <w:r>
              <w:rPr>
                <w:rFonts w:ascii="Calibri" w:hAnsi="Calibri"/>
                <w:b/>
                <w:color w:val="1E293B"/>
                <w:sz w:val="18"/>
              </w:rPr>
              <w:t>Candidate / Intern</w:t>
            </w:r>
          </w:p>
        </w:tc>
        <w:tc>
          <w:tcPr>
            <w:tcW w:type="dxa" w:w="5760"/>
            <w:shd w:val="clear" w:color="auto" w:fill="FFFFFF"/>
            <w:tcMar>
              <w:top w:w="80" w:type="dxa"/>
              <w:bottom w:w="80" w:type="dxa"/>
              <w:left w:w="140" w:type="dxa"/>
              <w:right w:w="140" w:type="dxa"/>
            </w:tcMar>
          </w:tcPr>
          <w:p>
            <w:r>
              <w:rPr>
                <w:rFonts w:ascii="Calibri" w:hAnsi="Calibri"/>
                <w:color w:val="1E293B"/>
                <w:sz w:val="18"/>
              </w:rPr>
              <w:t>Vishal Yadav</w:t>
            </w:r>
          </w:p>
        </w:tc>
      </w:tr>
      <w:tr>
        <w:tc>
          <w:tcPr>
            <w:tcW w:type="dxa" w:w="3600"/>
            <w:shd w:val="clear" w:color="auto" w:fill="F8FAFC"/>
            <w:tcMar>
              <w:top w:w="80" w:type="dxa"/>
              <w:bottom w:w="80" w:type="dxa"/>
              <w:left w:w="140" w:type="dxa"/>
              <w:right w:w="140" w:type="dxa"/>
            </w:tcMar>
          </w:tcPr>
          <w:p>
            <w:r>
              <w:rPr>
                <w:rFonts w:ascii="Calibri" w:hAnsi="Calibri"/>
                <w:b/>
                <w:color w:val="1E293B"/>
                <w:sz w:val="18"/>
              </w:rPr>
              <w:t>Internship Role</w:t>
            </w:r>
          </w:p>
        </w:tc>
        <w:tc>
          <w:tcPr>
            <w:tcW w:type="dxa" w:w="5760"/>
            <w:shd w:val="clear" w:color="auto" w:fill="F8FAFC"/>
            <w:tcMar>
              <w:top w:w="80" w:type="dxa"/>
              <w:bottom w:w="80" w:type="dxa"/>
              <w:left w:w="140" w:type="dxa"/>
              <w:right w:w="140" w:type="dxa"/>
            </w:tcMar>
          </w:tcPr>
          <w:p>
            <w:r>
              <w:rPr>
                <w:rFonts w:ascii="Calibri" w:hAnsi="Calibri"/>
                <w:color w:val="1E293B"/>
                <w:sz w:val="18"/>
              </w:rPr>
              <w:t>Data Associate L1. Intern</w:t>
            </w:r>
          </w:p>
        </w:tc>
      </w:tr>
      <w:tr>
        <w:tc>
          <w:tcPr>
            <w:tcW w:type="dxa" w:w="3600"/>
            <w:shd w:val="clear" w:color="auto" w:fill="FFFFFF"/>
            <w:tcMar>
              <w:top w:w="80" w:type="dxa"/>
              <w:bottom w:w="80" w:type="dxa"/>
              <w:left w:w="140" w:type="dxa"/>
              <w:right w:w="140" w:type="dxa"/>
            </w:tcMar>
          </w:tcPr>
          <w:p>
            <w:r>
              <w:rPr>
                <w:rFonts w:ascii="Calibri" w:hAnsi="Calibri"/>
                <w:b/>
                <w:color w:val="1E293B"/>
                <w:sz w:val="18"/>
              </w:rPr>
              <w:t>Domain Track</w:t>
            </w:r>
          </w:p>
        </w:tc>
        <w:tc>
          <w:tcPr>
            <w:tcW w:type="dxa" w:w="5760"/>
            <w:shd w:val="clear" w:color="auto" w:fill="FFFFFF"/>
            <w:tcMar>
              <w:top w:w="80" w:type="dxa"/>
              <w:bottom w:w="80" w:type="dxa"/>
              <w:left w:w="140" w:type="dxa"/>
              <w:right w:w="140" w:type="dxa"/>
            </w:tcMar>
          </w:tcPr>
          <w:p>
            <w:r>
              <w:rPr>
                <w:rFonts w:ascii="Calibri" w:hAnsi="Calibri"/>
                <w:color w:val="1E293B"/>
                <w:sz w:val="18"/>
              </w:rPr>
              <w:t>Data Science and Machine Learning</w:t>
            </w:r>
          </w:p>
        </w:tc>
      </w:tr>
      <w:tr>
        <w:tc>
          <w:tcPr>
            <w:tcW w:type="dxa" w:w="3600"/>
            <w:shd w:val="clear" w:color="auto" w:fill="F8FAFC"/>
            <w:tcMar>
              <w:top w:w="80" w:type="dxa"/>
              <w:bottom w:w="80" w:type="dxa"/>
              <w:left w:w="140" w:type="dxa"/>
              <w:right w:w="140" w:type="dxa"/>
            </w:tcMar>
          </w:tcPr>
          <w:p>
            <w:r>
              <w:rPr>
                <w:rFonts w:ascii="Calibri" w:hAnsi="Calibri"/>
                <w:b/>
                <w:color w:val="1E293B"/>
                <w:sz w:val="18"/>
              </w:rPr>
              <w:t>Host Organization</w:t>
            </w:r>
          </w:p>
        </w:tc>
        <w:tc>
          <w:tcPr>
            <w:tcW w:type="dxa" w:w="5760"/>
            <w:shd w:val="clear" w:color="auto" w:fill="F8FAFC"/>
            <w:tcMar>
              <w:top w:w="80" w:type="dxa"/>
              <w:bottom w:w="80" w:type="dxa"/>
              <w:left w:w="140" w:type="dxa"/>
              <w:right w:w="140" w:type="dxa"/>
            </w:tcMar>
          </w:tcPr>
          <w:p>
            <w:r>
              <w:rPr>
                <w:rFonts w:ascii="Calibri" w:hAnsi="Calibri"/>
                <w:color w:val="1E293B"/>
                <w:sz w:val="18"/>
              </w:rPr>
              <w:t>Infotact Solutions (Electronic City, Bengaluru, PN 560100)</w:t>
            </w:r>
          </w:p>
        </w:tc>
      </w:tr>
      <w:tr>
        <w:tc>
          <w:tcPr>
            <w:tcW w:type="dxa" w:w="3600"/>
            <w:shd w:val="clear" w:color="auto" w:fill="FFFFFF"/>
            <w:tcMar>
              <w:top w:w="80" w:type="dxa"/>
              <w:bottom w:w="80" w:type="dxa"/>
              <w:left w:w="140" w:type="dxa"/>
              <w:right w:w="140" w:type="dxa"/>
            </w:tcMar>
          </w:tcPr>
          <w:p>
            <w:r>
              <w:rPr>
                <w:rFonts w:ascii="Calibri" w:hAnsi="Calibri"/>
                <w:b/>
                <w:color w:val="1E293B"/>
                <w:sz w:val="18"/>
              </w:rPr>
              <w:t>Supervisor / HR Manager</w:t>
            </w:r>
          </w:p>
        </w:tc>
        <w:tc>
          <w:tcPr>
            <w:tcW w:type="dxa" w:w="5760"/>
            <w:shd w:val="clear" w:color="auto" w:fill="FFFFFF"/>
            <w:tcMar>
              <w:top w:w="80" w:type="dxa"/>
              <w:bottom w:w="80" w:type="dxa"/>
              <w:left w:w="140" w:type="dxa"/>
              <w:right w:w="140" w:type="dxa"/>
            </w:tcMar>
          </w:tcPr>
          <w:p>
            <w:r>
              <w:rPr>
                <w:rFonts w:ascii="Calibri" w:hAnsi="Calibri"/>
                <w:color w:val="1E293B"/>
                <w:sz w:val="18"/>
              </w:rPr>
              <w:t>Ms. Jyotirmayee Behera</w:t>
            </w:r>
          </w:p>
        </w:tc>
      </w:tr>
      <w:tr>
        <w:tc>
          <w:tcPr>
            <w:tcW w:type="dxa" w:w="3600"/>
            <w:shd w:val="clear" w:color="auto" w:fill="F8FAFC"/>
            <w:tcMar>
              <w:top w:w="80" w:type="dxa"/>
              <w:bottom w:w="80" w:type="dxa"/>
              <w:left w:w="140" w:type="dxa"/>
              <w:right w:w="140" w:type="dxa"/>
            </w:tcMar>
          </w:tcPr>
          <w:p>
            <w:r>
              <w:rPr>
                <w:rFonts w:ascii="Calibri" w:hAnsi="Calibri"/>
                <w:b/>
                <w:color w:val="1E293B"/>
                <w:sz w:val="18"/>
              </w:rPr>
              <w:t>Assignment Reference</w:t>
            </w:r>
          </w:p>
        </w:tc>
        <w:tc>
          <w:tcPr>
            <w:tcW w:type="dxa" w:w="5760"/>
            <w:shd w:val="clear" w:color="auto" w:fill="F8FAFC"/>
            <w:tcMar>
              <w:top w:w="80" w:type="dxa"/>
              <w:bottom w:w="80" w:type="dxa"/>
              <w:left w:w="140" w:type="dxa"/>
              <w:right w:w="140" w:type="dxa"/>
            </w:tcMar>
          </w:tcPr>
          <w:p>
            <w:r>
              <w:rPr>
                <w:rFonts w:ascii="Calibri" w:hAnsi="Calibri"/>
                <w:color w:val="1E293B"/>
                <w:sz w:val="18"/>
              </w:rPr>
              <w:t>ITS/DSML/1244</w:t>
            </w:r>
          </w:p>
        </w:tc>
      </w:tr>
      <w:tr>
        <w:tc>
          <w:tcPr>
            <w:tcW w:type="dxa" w:w="3600"/>
            <w:shd w:val="clear" w:color="auto" w:fill="FFFFFF"/>
            <w:tcMar>
              <w:top w:w="80" w:type="dxa"/>
              <w:bottom w:w="80" w:type="dxa"/>
              <w:left w:w="140" w:type="dxa"/>
              <w:right w:w="140" w:type="dxa"/>
            </w:tcMar>
          </w:tcPr>
          <w:p>
            <w:r>
              <w:rPr>
                <w:rFonts w:ascii="Calibri" w:hAnsi="Calibri"/>
                <w:b/>
                <w:color w:val="1E293B"/>
                <w:sz w:val="18"/>
              </w:rPr>
              <w:t>Date of Submission</w:t>
            </w:r>
          </w:p>
        </w:tc>
        <w:tc>
          <w:tcPr>
            <w:tcW w:type="dxa" w:w="5760"/>
            <w:shd w:val="clear" w:color="auto" w:fill="FFFFFF"/>
            <w:tcMar>
              <w:top w:w="80" w:type="dxa"/>
              <w:bottom w:w="80" w:type="dxa"/>
              <w:left w:w="140" w:type="dxa"/>
              <w:right w:w="140" w:type="dxa"/>
            </w:tcMar>
          </w:tcPr>
          <w:p>
            <w:r>
              <w:rPr>
                <w:rFonts w:ascii="Calibri" w:hAnsi="Calibri"/>
                <w:color w:val="1E293B"/>
                <w:sz w:val="18"/>
              </w:rPr>
              <w:t>October 2026</w:t>
            </w:r>
          </w:p>
        </w:tc>
      </w:tr>
      <w:tr>
        <w:tc>
          <w:tcPr>
            <w:tcW w:type="dxa" w:w="3600"/>
            <w:shd w:val="clear" w:color="auto" w:fill="F8FAFC"/>
            <w:tcMar>
              <w:top w:w="80" w:type="dxa"/>
              <w:bottom w:w="80" w:type="dxa"/>
              <w:left w:w="140" w:type="dxa"/>
              <w:right w:w="140" w:type="dxa"/>
            </w:tcMar>
          </w:tcPr>
          <w:p>
            <w:r>
              <w:rPr>
                <w:rFonts w:ascii="Calibri" w:hAnsi="Calibri"/>
                <w:b/>
                <w:color w:val="1E293B"/>
                <w:sz w:val="18"/>
              </w:rPr>
              <w:t>Certification Standard</w:t>
            </w:r>
          </w:p>
        </w:tc>
        <w:tc>
          <w:tcPr>
            <w:tcW w:type="dxa" w:w="5760"/>
            <w:shd w:val="clear" w:color="auto" w:fill="F8FAFC"/>
            <w:tcMar>
              <w:top w:w="80" w:type="dxa"/>
              <w:bottom w:w="80" w:type="dxa"/>
              <w:left w:w="140" w:type="dxa"/>
              <w:right w:w="140" w:type="dxa"/>
            </w:tcMar>
          </w:tcPr>
          <w:p>
            <w:r>
              <w:rPr>
                <w:rFonts w:ascii="Calibri" w:hAnsi="Calibri"/>
                <w:color w:val="1E293B"/>
                <w:sz w:val="18"/>
              </w:rPr>
              <w:t>ISO 9001:2015 Approved Seal | MSME Certified</w:t>
            </w:r>
          </w:p>
        </w:tc>
      </w:tr>
      <w:tr>
        <w:tc>
          <w:tcPr>
            <w:tcW w:type="dxa" w:w="3600"/>
            <w:shd w:val="clear" w:color="auto" w:fill="FFFFFF"/>
            <w:tcMar>
              <w:top w:w="80" w:type="dxa"/>
              <w:bottom w:w="80" w:type="dxa"/>
              <w:left w:w="140" w:type="dxa"/>
              <w:right w:w="140" w:type="dxa"/>
            </w:tcMar>
          </w:tcPr>
          <w:p>
            <w:r>
              <w:rPr>
                <w:rFonts w:ascii="Calibri" w:hAnsi="Calibri"/>
                <w:b/>
                <w:color w:val="1E293B"/>
                <w:sz w:val="18"/>
              </w:rPr>
              <w:t>Validation Status</w:t>
            </w:r>
          </w:p>
        </w:tc>
        <w:tc>
          <w:tcPr>
            <w:tcW w:type="dxa" w:w="5760"/>
            <w:shd w:val="clear" w:color="auto" w:fill="FFFFFF"/>
            <w:tcMar>
              <w:top w:w="80" w:type="dxa"/>
              <w:bottom w:w="80" w:type="dxa"/>
              <w:left w:w="140" w:type="dxa"/>
              <w:right w:w="140" w:type="dxa"/>
            </w:tcMar>
          </w:tcPr>
          <w:p>
            <w:r>
              <w:rPr>
                <w:rFonts w:ascii="Calibri" w:hAnsi="Calibri"/>
                <w:color w:val="1E293B"/>
                <w:sz w:val="18"/>
              </w:rPr>
              <w:t>Validation Passed (Simulated Benchmark) — 100% Quality Gate</w:t>
            </w:r>
          </w:p>
        </w:tc>
      </w:tr>
    </w:tbl>
    <w:p>
      <w:pPr>
        <w:spacing w:after="120"/>
      </w:pPr>
    </w:p>
    <w:p>
      <w:r>
        <w:br w:type="page"/>
      </w:r>
    </w:p>
    <w:p>
      <w:pPr>
        <w:keepNext/>
        <w:spacing w:before="360" w:after="120"/>
      </w:pPr>
      <w:r>
        <w:rPr>
          <w:rFonts w:ascii="Calibri" w:hAnsi="Calibri"/>
          <w:b/>
          <w:color w:val="0F172A"/>
          <w:sz w:val="32"/>
        </w:rPr>
        <w:t>2. Abstract</w:t>
      </w:r>
    </w:p>
    <w:p>
      <w:pPr>
        <w:spacing w:after="120" w:line="276" w:lineRule="auto"/>
      </w:pPr>
      <w:r>
        <w:rPr>
          <w:rFonts w:ascii="Calibri" w:hAnsi="Calibri"/>
          <w:color w:val="334155"/>
          <w:sz w:val="21"/>
        </w:rPr>
        <w:t>Promotional discounting represents one of the largest capital outlays in modern retail and e-commerce, yet traditional predictive machine learning models systematically misallocate promotional spend. Supervised learning algorithms predict customer conversion probabilities conditional on treatment, mistaking correlation for causation: loyal, high-intent shoppers receive the steepest discounts simply because they purchase frequently, creating massive deadweight loss (subsidizing purchases that would have occurred at full price).</w:t>
      </w:r>
    </w:p>
    <w:p>
      <w:pPr>
        <w:spacing w:after="120" w:line="276" w:lineRule="auto"/>
      </w:pPr>
      <w:r>
        <w:rPr>
          <w:rFonts w:ascii="Calibri" w:hAnsi="Calibri"/>
          <w:color w:val="334155"/>
          <w:sz w:val="21"/>
        </w:rPr>
        <w:t>EconoCausal solves this fundamental econometrics challenge by coupling Double Machine Learning (DML) with an exact Mixed-Integer Linear Programming (MILP) budget solver. Using EconML LinearDML with 5-fold cross-fitting and LightGBM nuisance models, the system isolates true Individual Treatment Effects (CATE / tau_hat_i) across multiple promotional discount tiers (₹0, ₹10, ₹20). These price elasticities feed into a SciPy HiGHS optimization engine that prescriptively allocates discount offers to maximize total incremental profit under a strict ₹50,000 marketing budget cap.</w:t>
      </w:r>
    </w:p>
    <w:p>
      <w:pPr>
        <w:spacing w:after="120" w:line="276" w:lineRule="auto"/>
      </w:pPr>
      <w:r>
        <w:rPr>
          <w:rFonts w:ascii="Calibri" w:hAnsi="Calibri"/>
          <w:color w:val="334155"/>
          <w:sz w:val="21"/>
        </w:rPr>
        <w:t>Across a 10,000-customer benchmark cohort, EconoCausal generates ₹3,76,115.07 in net incremental profit (7.52x ROAS), outperforming random promotional rollouts by +75.5% (+₹1,61,765.07) while leaving 5,432 organic buyers at full price. The causal model satisfies all five reported causal falsification diagnostics (including Placebo p=0.485, Confounder drift 0.16%, Subset drift 0.03%, Positivity drift 0.17%, and the Model-Based Residual Permutation Diagnostic p=0.0020) and achieves post-matching covariate balance (|SMD| &lt; 0.022 across all 9 confounders). The complete solution is delivered via an asynchronous FastAPI microservice and an interactive React 19 executive dashboard.</w:t>
      </w:r>
    </w:p>
    <w:p>
      <w:pPr>
        <w:keepNext/>
        <w:spacing w:before="360" w:after="120"/>
      </w:pPr>
      <w:r>
        <w:rPr>
          <w:rFonts w:ascii="Calibri" w:hAnsi="Calibri"/>
          <w:b/>
          <w:color w:val="0F172A"/>
          <w:sz w:val="32"/>
        </w:rPr>
        <w:t>3. Problem Statement &amp; Business Motivation</w:t>
      </w:r>
    </w:p>
    <w:p>
      <w:pPr>
        <w:spacing w:after="120" w:line="276" w:lineRule="auto"/>
      </w:pPr>
      <w:r>
        <w:rPr>
          <w:rFonts w:ascii="Calibri" w:hAnsi="Calibri"/>
          <w:color w:val="334155"/>
          <w:sz w:val="21"/>
        </w:rPr>
        <w:t>In enterprise retail transactional systems, historical discount assignments are rarely randomized. Marketers preferentially offer coupons to cart abandoners, VIP loyalty members, and high-frequency shoppers. Consequently, customer covariates X simultaneously influence both treatment assignment T and purchase outcome Y, inducing severe confounding selection bias:</w:t>
      </w:r>
    </w:p>
    <w:p>
      <w:pPr>
        <w:spacing w:after="120" w:line="276" w:lineRule="auto"/>
      </w:pPr>
      <w:r>
        <w:rPr>
          <w:rFonts w:ascii="Calibri" w:hAnsi="Calibri"/>
          <w:b/>
          <w:color w:val="0F172A"/>
          <w:sz w:val="21"/>
        </w:rPr>
        <w:t xml:space="preserve">Causal Identification Gap: </w:t>
      </w:r>
      <w:r>
        <w:rPr>
          <w:rFonts w:ascii="Calibri" w:hAnsi="Calibri"/>
          <w:color w:val="334155"/>
          <w:sz w:val="21"/>
        </w:rPr>
        <w:t>E[Y | T=1] - E[Y | T=0] != E[Y(1) - Y(0)]</w:t>
      </w:r>
    </w:p>
    <w:p>
      <w:pPr>
        <w:spacing w:after="120" w:line="276" w:lineRule="auto"/>
      </w:pPr>
      <w:r>
        <w:rPr>
          <w:rFonts w:ascii="Calibri" w:hAnsi="Calibri"/>
          <w:color w:val="334155"/>
          <w:sz w:val="21"/>
        </w:rPr>
        <w:t>Standard supervised models optimize associative loss functions argmin_theta L(Y, f_theta(X, T)). When deployed operationally, these models recommend discounting customers who already exhibit high baseline conversion propensities, wasting marketing capital and eroding operating margins.</w:t>
      </w:r>
    </w:p>
    <w:p>
      <w:pPr>
        <w:keepNext/>
        <w:spacing w:before="360" w:after="120"/>
      </w:pPr>
      <w:r>
        <w:rPr>
          <w:rFonts w:ascii="Calibri" w:hAnsi="Calibri"/>
          <w:b/>
          <w:color w:val="0F172A"/>
          <w:sz w:val="32"/>
        </w:rPr>
        <w:t>4. Objectives &amp; Scope of Work</w:t>
      </w:r>
    </w:p>
    <w:p>
      <w:pPr>
        <w:pStyle w:val="ListBullet"/>
        <w:spacing w:after="80" w:line="276" w:lineRule="auto"/>
      </w:pPr>
      <w:r>
        <w:rPr>
          <w:rFonts w:ascii="Calibri" w:hAnsi="Calibri"/>
          <w:b/>
          <w:color w:val="0F172A"/>
          <w:sz w:val="20"/>
        </w:rPr>
        <w:t xml:space="preserve">Module 1: </w:t>
      </w:r>
      <w:r>
        <w:rPr>
          <w:rFonts w:ascii="Calibri" w:hAnsi="Calibri"/>
          <w:color w:val="334155"/>
          <w:sz w:val="20"/>
        </w:rPr>
        <w:t>Causal Graph Formulation: Construct a Directed Acyclic Graph (DAG) in Microsoft DoWhy identifying 9 observable confounders, treatment tiers, and purchase outcomes.</w:t>
      </w:r>
    </w:p>
    <w:p>
      <w:pPr>
        <w:pStyle w:val="ListBullet"/>
        <w:spacing w:after="80" w:line="276" w:lineRule="auto"/>
      </w:pPr>
      <w:r>
        <w:rPr>
          <w:rFonts w:ascii="Calibri" w:hAnsi="Calibri"/>
          <w:b/>
          <w:color w:val="0F172A"/>
          <w:sz w:val="20"/>
        </w:rPr>
        <w:t xml:space="preserve">Module 2: </w:t>
      </w:r>
      <w:r>
        <w:rPr>
          <w:rFonts w:ascii="Calibri" w:hAnsi="Calibri"/>
          <w:color w:val="334155"/>
          <w:sz w:val="20"/>
        </w:rPr>
        <w:t>Double Machine Learning Engine: Implement EconML LinearDML with LightGBM base estimators to residualize confounding and predict customer-level CATE (tau_hat_10, tau_hat_20).</w:t>
      </w:r>
    </w:p>
    <w:p>
      <w:pPr>
        <w:pStyle w:val="ListBullet"/>
        <w:spacing w:after="80" w:line="276" w:lineRule="auto"/>
      </w:pPr>
      <w:r>
        <w:rPr>
          <w:rFonts w:ascii="Calibri" w:hAnsi="Calibri"/>
          <w:b/>
          <w:color w:val="0F172A"/>
          <w:sz w:val="20"/>
        </w:rPr>
        <w:t xml:space="preserve">Module 3: </w:t>
      </w:r>
      <w:r>
        <w:rPr>
          <w:rFonts w:ascii="Calibri" w:hAnsi="Calibri"/>
          <w:color w:val="334155"/>
          <w:sz w:val="20"/>
        </w:rPr>
        <w:t>Prescriptive Optimization Solver: Formulate and solve a Multiple-Choice Knapsack problem in SciPy HiGHS MILP maximizing net profit under fixed nominal and redeemed budget caps.</w:t>
      </w:r>
    </w:p>
    <w:p>
      <w:pPr>
        <w:pStyle w:val="ListBullet"/>
        <w:spacing w:after="80" w:line="276" w:lineRule="auto"/>
      </w:pPr>
      <w:r>
        <w:rPr>
          <w:rFonts w:ascii="Calibri" w:hAnsi="Calibri"/>
          <w:b/>
          <w:color w:val="0F172A"/>
          <w:sz w:val="20"/>
        </w:rPr>
        <w:t xml:space="preserve">Module 4: </w:t>
      </w:r>
      <w:r>
        <w:rPr>
          <w:rFonts w:ascii="Calibri" w:hAnsi="Calibri"/>
          <w:color w:val="334155"/>
          <w:sz w:val="20"/>
        </w:rPr>
        <w:t>Full-Stack Dashboard &amp; Monitoring: Build a high-performance React 19 + Plotly interface backed by a FastAPI REST API with automated customer behavior drift detection (PSI).</w:t>
      </w:r>
    </w:p>
    <w:p>
      <w:pPr>
        <w:keepNext/>
        <w:spacing w:before="360" w:after="120"/>
      </w:pPr>
      <w:r>
        <w:rPr>
          <w:rFonts w:ascii="Calibri" w:hAnsi="Calibri"/>
          <w:b/>
          <w:color w:val="0F172A"/>
          <w:sz w:val="32"/>
        </w:rPr>
        <w:t>5. High-Level System Architecture</w:t>
      </w:r>
    </w:p>
    <w:p>
      <w:pPr>
        <w:spacing w:after="120" w:line="276" w:lineRule="auto"/>
      </w:pPr>
      <w:r>
        <w:rPr>
          <w:rFonts w:ascii="Calibri" w:hAnsi="Calibri"/>
          <w:color w:val="334155"/>
          <w:sz w:val="21"/>
        </w:rPr>
        <w:t>The EconoCausal platform is architected into four decoupled, reproducible layers:</w:t>
      </w:r>
    </w:p>
    <w:p>
      <w:pPr>
        <w:pStyle w:val="ListBullet"/>
        <w:spacing w:after="80" w:line="276" w:lineRule="auto"/>
      </w:pPr>
      <w:r>
        <w:rPr>
          <w:rFonts w:ascii="Calibri" w:hAnsi="Calibri"/>
          <w:b/>
          <w:color w:val="0F172A"/>
          <w:sz w:val="20"/>
        </w:rPr>
        <w:t xml:space="preserve">Layer 1: </w:t>
      </w:r>
      <w:r>
        <w:rPr>
          <w:rFonts w:ascii="Calibri" w:hAnsi="Calibri"/>
          <w:color w:val="334155"/>
          <w:sz w:val="20"/>
        </w:rPr>
        <w:t>Data Engineering Layer: Raw observational ingestion, data cleaning, anomaly clamping, and strict anti-leakage isolation of evaluation-only counterfactual ground truth.</w:t>
      </w:r>
    </w:p>
    <w:p>
      <w:pPr>
        <w:pStyle w:val="ListBullet"/>
        <w:spacing w:after="80" w:line="276" w:lineRule="auto"/>
      </w:pPr>
      <w:r>
        <w:rPr>
          <w:rFonts w:ascii="Calibri" w:hAnsi="Calibri"/>
          <w:b/>
          <w:color w:val="0F172A"/>
          <w:sz w:val="20"/>
        </w:rPr>
        <w:t xml:space="preserve">Layer 2: </w:t>
      </w:r>
      <w:r>
        <w:rPr>
          <w:rFonts w:ascii="Calibri" w:hAnsi="Calibri"/>
          <w:color w:val="334155"/>
          <w:sz w:val="20"/>
        </w:rPr>
        <w:t>Causal ML Layer: 5-fold cross-fitting, LightGBM nuisance models, Neyman residualization, and CATE estimation.</w:t>
      </w:r>
    </w:p>
    <w:p>
      <w:pPr>
        <w:pStyle w:val="ListBullet"/>
        <w:spacing w:after="80" w:line="276" w:lineRule="auto"/>
      </w:pPr>
      <w:r>
        <w:rPr>
          <w:rFonts w:ascii="Calibri" w:hAnsi="Calibri"/>
          <w:b/>
          <w:color w:val="0F172A"/>
          <w:sz w:val="20"/>
        </w:rPr>
        <w:t xml:space="preserve">Layer 3: </w:t>
      </w:r>
      <w:r>
        <w:rPr>
          <w:rFonts w:ascii="Calibri" w:hAnsi="Calibri"/>
          <w:color w:val="334155"/>
          <w:sz w:val="20"/>
        </w:rPr>
        <w:t>Operations Research Layer: Mixed-Integer Linear Programming solver via SciPy HiGHS, dual budget liability accounting, and greedy fallback.</w:t>
      </w:r>
    </w:p>
    <w:p>
      <w:pPr>
        <w:pStyle w:val="ListBullet"/>
        <w:spacing w:after="80" w:line="276" w:lineRule="auto"/>
      </w:pPr>
      <w:r>
        <w:rPr>
          <w:rFonts w:ascii="Calibri" w:hAnsi="Calibri"/>
          <w:b/>
          <w:color w:val="0F172A"/>
          <w:sz w:val="20"/>
        </w:rPr>
        <w:t xml:space="preserve">Layer 4: </w:t>
      </w:r>
      <w:r>
        <w:rPr>
          <w:rFonts w:ascii="Calibri" w:hAnsi="Calibri"/>
          <w:color w:val="334155"/>
          <w:sz w:val="20"/>
        </w:rPr>
        <w:t>Serving &amp; Executive UI Layer: FastAPI REST microservice with CORS trusted origins, sub-50ms caching, and React 19 Vite dashboard.</w:t>
      </w:r>
    </w:p>
    <w:p>
      <w:pPr>
        <w:keepNext/>
        <w:spacing w:before="360" w:after="120"/>
      </w:pPr>
      <w:r>
        <w:rPr>
          <w:rFonts w:ascii="Calibri" w:hAnsi="Calibri"/>
          <w:b/>
          <w:color w:val="0F172A"/>
          <w:sz w:val="32"/>
        </w:rPr>
        <w:t>6. Dataset Description &amp; Data Dictionary</w:t>
      </w:r>
    </w:p>
    <w:p>
      <w:pPr>
        <w:spacing w:after="120" w:line="276" w:lineRule="auto"/>
      </w:pPr>
      <w:r>
        <w:rPr>
          <w:rFonts w:ascii="Calibri" w:hAnsi="Calibri"/>
          <w:color w:val="334155"/>
          <w:sz w:val="21"/>
        </w:rPr>
        <w:t>The cohort consists of N = 10,000 unique customer transactions reflecting realistic e-commerce retail behavior:</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1E293B"/>
            <w:tcMar>
              <w:top w:w="120" w:type="dxa"/>
              <w:bottom w:w="120" w:type="dxa"/>
              <w:left w:w="140" w:type="dxa"/>
              <w:right w:w="140" w:type="dxa"/>
            </w:tcMar>
          </w:tcPr>
          <w:p>
            <w:pPr>
              <w:jc w:val="left"/>
            </w:pPr>
            <w:r>
              <w:rPr>
                <w:rFonts w:ascii="Calibri" w:hAnsi="Calibri"/>
                <w:b/>
                <w:color w:val="FFFFFF"/>
                <w:sz w:val="19"/>
              </w:rPr>
              <w:t>Feature Name</w:t>
            </w:r>
          </w:p>
        </w:tc>
        <w:tc>
          <w:tcPr>
            <w:tcW w:type="dxa" w:w="1152"/>
            <w:shd w:val="clear" w:color="auto" w:fill="1E293B"/>
            <w:tcMar>
              <w:top w:w="120" w:type="dxa"/>
              <w:bottom w:w="120" w:type="dxa"/>
              <w:left w:w="140" w:type="dxa"/>
              <w:right w:w="140" w:type="dxa"/>
            </w:tcMar>
          </w:tcPr>
          <w:p>
            <w:pPr>
              <w:jc w:val="left"/>
            </w:pPr>
            <w:r>
              <w:rPr>
                <w:rFonts w:ascii="Calibri" w:hAnsi="Calibri"/>
                <w:b/>
                <w:color w:val="FFFFFF"/>
                <w:sz w:val="19"/>
              </w:rPr>
              <w:t>Type</w:t>
            </w:r>
          </w:p>
        </w:tc>
        <w:tc>
          <w:tcPr>
            <w:tcW w:type="dxa" w:w="2016"/>
            <w:shd w:val="clear" w:color="auto" w:fill="1E293B"/>
            <w:tcMar>
              <w:top w:w="120" w:type="dxa"/>
              <w:bottom w:w="120" w:type="dxa"/>
              <w:left w:w="140" w:type="dxa"/>
              <w:right w:w="140" w:type="dxa"/>
            </w:tcMar>
          </w:tcPr>
          <w:p>
            <w:pPr>
              <w:jc w:val="left"/>
            </w:pPr>
            <w:r>
              <w:rPr>
                <w:rFonts w:ascii="Calibri" w:hAnsi="Calibri"/>
                <w:b/>
                <w:color w:val="FFFFFF"/>
                <w:sz w:val="19"/>
              </w:rPr>
              <w:t>Causal Role</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Domain Range</w:t>
            </w:r>
          </w:p>
        </w:tc>
        <w:tc>
          <w:tcPr>
            <w:tcW w:type="dxa" w:w="2304"/>
            <w:shd w:val="clear" w:color="auto" w:fill="1E293B"/>
            <w:tcMar>
              <w:top w:w="120" w:type="dxa"/>
              <w:bottom w:w="120" w:type="dxa"/>
              <w:left w:w="140" w:type="dxa"/>
              <w:right w:w="140" w:type="dxa"/>
            </w:tcMar>
          </w:tcPr>
          <w:p>
            <w:pPr>
              <w:jc w:val="left"/>
            </w:pPr>
            <w:r>
              <w:rPr>
                <w:rFonts w:ascii="Calibri" w:hAnsi="Calibri"/>
                <w:b/>
                <w:color w:val="FFFFFF"/>
                <w:sz w:val="19"/>
              </w:rPr>
              <w:t>Operational Definition</w:t>
            </w:r>
          </w:p>
        </w:tc>
      </w:tr>
      <w:tr>
        <w:tc>
          <w:tcPr>
            <w:tcW w:type="dxa" w:w="2160"/>
            <w:shd w:val="clear" w:color="auto" w:fill="FFFFFF"/>
            <w:tcMar>
              <w:top w:w="80" w:type="dxa"/>
              <w:bottom w:w="80" w:type="dxa"/>
              <w:left w:w="140" w:type="dxa"/>
              <w:right w:w="140" w:type="dxa"/>
            </w:tcMar>
          </w:tcPr>
          <w:p>
            <w:r>
              <w:rPr>
                <w:rFonts w:ascii="Calibri" w:hAnsi="Calibri"/>
                <w:b/>
                <w:color w:val="1E293B"/>
                <w:sz w:val="18"/>
              </w:rPr>
              <w:t>age</w:t>
            </w:r>
          </w:p>
        </w:tc>
        <w:tc>
          <w:tcPr>
            <w:tcW w:type="dxa" w:w="1152"/>
            <w:shd w:val="clear" w:color="auto" w:fill="FFFFFF"/>
            <w:tcMar>
              <w:top w:w="80" w:type="dxa"/>
              <w:bottom w:w="80" w:type="dxa"/>
              <w:left w:w="140" w:type="dxa"/>
              <w:right w:w="140" w:type="dxa"/>
            </w:tcMar>
          </w:tcPr>
          <w:p>
            <w:r>
              <w:rPr>
                <w:rFonts w:ascii="Calibri" w:hAnsi="Calibri"/>
                <w:color w:val="1E293B"/>
                <w:sz w:val="18"/>
              </w:rPr>
              <w:t>Integer</w:t>
            </w:r>
          </w:p>
        </w:tc>
        <w:tc>
          <w:tcPr>
            <w:tcW w:type="dxa" w:w="2016"/>
            <w:shd w:val="clear" w:color="auto" w:fill="FFFFFF"/>
            <w:tcMar>
              <w:top w:w="80" w:type="dxa"/>
              <w:bottom w:w="80" w:type="dxa"/>
              <w:left w:w="140" w:type="dxa"/>
              <w:right w:w="140" w:type="dxa"/>
            </w:tcMar>
          </w:tcPr>
          <w:p>
            <w:r>
              <w:rPr>
                <w:rFonts w:ascii="Calibri" w:hAnsi="Calibri"/>
                <w:color w:val="1E293B"/>
                <w:sz w:val="18"/>
              </w:rPr>
              <w:t>Pre-treatment Confounder</w:t>
            </w:r>
          </w:p>
        </w:tc>
        <w:tc>
          <w:tcPr>
            <w:tcW w:type="dxa" w:w="1728"/>
            <w:shd w:val="clear" w:color="auto" w:fill="FFFFFF"/>
            <w:tcMar>
              <w:top w:w="80" w:type="dxa"/>
              <w:bottom w:w="80" w:type="dxa"/>
              <w:left w:w="140" w:type="dxa"/>
              <w:right w:w="140" w:type="dxa"/>
            </w:tcMar>
          </w:tcPr>
          <w:p>
            <w:r>
              <w:rPr>
                <w:rFonts w:ascii="Calibri" w:hAnsi="Calibri"/>
                <w:color w:val="1E293B"/>
                <w:sz w:val="18"/>
              </w:rPr>
              <w:t>18 to 70 years</w:t>
            </w:r>
          </w:p>
        </w:tc>
        <w:tc>
          <w:tcPr>
            <w:tcW w:type="dxa" w:w="2304"/>
            <w:shd w:val="clear" w:color="auto" w:fill="FFFFFF"/>
            <w:tcMar>
              <w:top w:w="80" w:type="dxa"/>
              <w:bottom w:w="80" w:type="dxa"/>
              <w:left w:w="140" w:type="dxa"/>
              <w:right w:w="140" w:type="dxa"/>
            </w:tcMar>
          </w:tcPr>
          <w:p>
            <w:r>
              <w:rPr>
                <w:rFonts w:ascii="Calibri" w:hAnsi="Calibri"/>
                <w:color w:val="1E293B"/>
                <w:sz w:val="18"/>
              </w:rPr>
              <w:t>Customer age in years</w:t>
            </w:r>
          </w:p>
        </w:tc>
      </w:tr>
      <w:tr>
        <w:tc>
          <w:tcPr>
            <w:tcW w:type="dxa" w:w="2160"/>
            <w:shd w:val="clear" w:color="auto" w:fill="F8FAFC"/>
            <w:tcMar>
              <w:top w:w="80" w:type="dxa"/>
              <w:bottom w:w="80" w:type="dxa"/>
              <w:left w:w="140" w:type="dxa"/>
              <w:right w:w="140" w:type="dxa"/>
            </w:tcMar>
          </w:tcPr>
          <w:p>
            <w:r>
              <w:rPr>
                <w:rFonts w:ascii="Calibri" w:hAnsi="Calibri"/>
                <w:b/>
                <w:color w:val="1E293B"/>
                <w:sz w:val="18"/>
              </w:rPr>
              <w:t>monthly_income_inr</w:t>
            </w:r>
          </w:p>
        </w:tc>
        <w:tc>
          <w:tcPr>
            <w:tcW w:type="dxa" w:w="1152"/>
            <w:shd w:val="clear" w:color="auto" w:fill="F8FAFC"/>
            <w:tcMar>
              <w:top w:w="80" w:type="dxa"/>
              <w:bottom w:w="80" w:type="dxa"/>
              <w:left w:w="140" w:type="dxa"/>
              <w:right w:w="140" w:type="dxa"/>
            </w:tcMar>
          </w:tcPr>
          <w:p>
            <w:r>
              <w:rPr>
                <w:rFonts w:ascii="Calibri" w:hAnsi="Calibri"/>
                <w:color w:val="1E293B"/>
                <w:sz w:val="18"/>
              </w:rPr>
              <w:t>Float</w:t>
            </w:r>
          </w:p>
        </w:tc>
        <w:tc>
          <w:tcPr>
            <w:tcW w:type="dxa" w:w="2016"/>
            <w:shd w:val="clear" w:color="auto" w:fill="F8FAFC"/>
            <w:tcMar>
              <w:top w:w="80" w:type="dxa"/>
              <w:bottom w:w="80" w:type="dxa"/>
              <w:left w:w="140" w:type="dxa"/>
              <w:right w:w="140" w:type="dxa"/>
            </w:tcMar>
          </w:tcPr>
          <w:p>
            <w:r>
              <w:rPr>
                <w:rFonts w:ascii="Calibri" w:hAnsi="Calibri"/>
                <w:color w:val="1E293B"/>
                <w:sz w:val="18"/>
              </w:rPr>
              <w:t>Pre-treatment Confounder</w:t>
            </w:r>
          </w:p>
        </w:tc>
        <w:tc>
          <w:tcPr>
            <w:tcW w:type="dxa" w:w="1728"/>
            <w:shd w:val="clear" w:color="auto" w:fill="F8FAFC"/>
            <w:tcMar>
              <w:top w:w="80" w:type="dxa"/>
              <w:bottom w:w="80" w:type="dxa"/>
              <w:left w:w="140" w:type="dxa"/>
              <w:right w:w="140" w:type="dxa"/>
            </w:tcMar>
          </w:tcPr>
          <w:p>
            <w:r>
              <w:rPr>
                <w:rFonts w:ascii="Calibri" w:hAnsi="Calibri"/>
                <w:color w:val="1E293B"/>
                <w:sz w:val="18"/>
              </w:rPr>
              <w:t>₹15,000 to ₹1,20,000</w:t>
            </w:r>
          </w:p>
        </w:tc>
        <w:tc>
          <w:tcPr>
            <w:tcW w:type="dxa" w:w="2304"/>
            <w:shd w:val="clear" w:color="auto" w:fill="F8FAFC"/>
            <w:tcMar>
              <w:top w:w="80" w:type="dxa"/>
              <w:bottom w:w="80" w:type="dxa"/>
              <w:left w:w="140" w:type="dxa"/>
              <w:right w:w="140" w:type="dxa"/>
            </w:tcMar>
          </w:tcPr>
          <w:p>
            <w:r>
              <w:rPr>
                <w:rFonts w:ascii="Calibri" w:hAnsi="Calibri"/>
                <w:color w:val="1E293B"/>
                <w:sz w:val="18"/>
              </w:rPr>
              <w:t>Monthly disposable income</w:t>
            </w:r>
          </w:p>
        </w:tc>
      </w:tr>
      <w:tr>
        <w:tc>
          <w:tcPr>
            <w:tcW w:type="dxa" w:w="2160"/>
            <w:shd w:val="clear" w:color="auto" w:fill="FFFFFF"/>
            <w:tcMar>
              <w:top w:w="80" w:type="dxa"/>
              <w:bottom w:w="80" w:type="dxa"/>
              <w:left w:w="140" w:type="dxa"/>
              <w:right w:w="140" w:type="dxa"/>
            </w:tcMar>
          </w:tcPr>
          <w:p>
            <w:r>
              <w:rPr>
                <w:rFonts w:ascii="Calibri" w:hAnsi="Calibri"/>
                <w:b/>
                <w:color w:val="1E293B"/>
                <w:sz w:val="18"/>
              </w:rPr>
              <w:t>web_visits_last_30d</w:t>
            </w:r>
          </w:p>
        </w:tc>
        <w:tc>
          <w:tcPr>
            <w:tcW w:type="dxa" w:w="1152"/>
            <w:shd w:val="clear" w:color="auto" w:fill="FFFFFF"/>
            <w:tcMar>
              <w:top w:w="80" w:type="dxa"/>
              <w:bottom w:w="80" w:type="dxa"/>
              <w:left w:w="140" w:type="dxa"/>
              <w:right w:w="140" w:type="dxa"/>
            </w:tcMar>
          </w:tcPr>
          <w:p>
            <w:r>
              <w:rPr>
                <w:rFonts w:ascii="Calibri" w:hAnsi="Calibri"/>
                <w:color w:val="1E293B"/>
                <w:sz w:val="18"/>
              </w:rPr>
              <w:t>Integer</w:t>
            </w:r>
          </w:p>
        </w:tc>
        <w:tc>
          <w:tcPr>
            <w:tcW w:type="dxa" w:w="2016"/>
            <w:shd w:val="clear" w:color="auto" w:fill="FFFFFF"/>
            <w:tcMar>
              <w:top w:w="80" w:type="dxa"/>
              <w:bottom w:w="80" w:type="dxa"/>
              <w:left w:w="140" w:type="dxa"/>
              <w:right w:w="140" w:type="dxa"/>
            </w:tcMar>
          </w:tcPr>
          <w:p>
            <w:r>
              <w:rPr>
                <w:rFonts w:ascii="Calibri" w:hAnsi="Calibri"/>
                <w:color w:val="1E293B"/>
                <w:sz w:val="18"/>
              </w:rPr>
              <w:t>Pre-treatment Confounder</w:t>
            </w:r>
          </w:p>
        </w:tc>
        <w:tc>
          <w:tcPr>
            <w:tcW w:type="dxa" w:w="1728"/>
            <w:shd w:val="clear" w:color="auto" w:fill="FFFFFF"/>
            <w:tcMar>
              <w:top w:w="80" w:type="dxa"/>
              <w:bottom w:w="80" w:type="dxa"/>
              <w:left w:w="140" w:type="dxa"/>
              <w:right w:w="140" w:type="dxa"/>
            </w:tcMar>
          </w:tcPr>
          <w:p>
            <w:r>
              <w:rPr>
                <w:rFonts w:ascii="Calibri" w:hAnsi="Calibri"/>
                <w:color w:val="1E293B"/>
                <w:sz w:val="18"/>
              </w:rPr>
              <w:t>0 to 45 visits</w:t>
            </w:r>
          </w:p>
        </w:tc>
        <w:tc>
          <w:tcPr>
            <w:tcW w:type="dxa" w:w="2304"/>
            <w:shd w:val="clear" w:color="auto" w:fill="FFFFFF"/>
            <w:tcMar>
              <w:top w:w="80" w:type="dxa"/>
              <w:bottom w:w="80" w:type="dxa"/>
              <w:left w:w="140" w:type="dxa"/>
              <w:right w:w="140" w:type="dxa"/>
            </w:tcMar>
          </w:tcPr>
          <w:p>
            <w:r>
              <w:rPr>
                <w:rFonts w:ascii="Calibri" w:hAnsi="Calibri"/>
                <w:color w:val="1E293B"/>
                <w:sz w:val="18"/>
              </w:rPr>
              <w:t>Browsing engagement volume</w:t>
            </w:r>
          </w:p>
        </w:tc>
      </w:tr>
      <w:tr>
        <w:tc>
          <w:tcPr>
            <w:tcW w:type="dxa" w:w="2160"/>
            <w:shd w:val="clear" w:color="auto" w:fill="F8FAFC"/>
            <w:tcMar>
              <w:top w:w="80" w:type="dxa"/>
              <w:bottom w:w="80" w:type="dxa"/>
              <w:left w:w="140" w:type="dxa"/>
              <w:right w:w="140" w:type="dxa"/>
            </w:tcMar>
          </w:tcPr>
          <w:p>
            <w:r>
              <w:rPr>
                <w:rFonts w:ascii="Calibri" w:hAnsi="Calibri"/>
                <w:b/>
                <w:color w:val="1E293B"/>
                <w:sz w:val="18"/>
              </w:rPr>
              <w:t>past_purchases_count</w:t>
            </w:r>
          </w:p>
        </w:tc>
        <w:tc>
          <w:tcPr>
            <w:tcW w:type="dxa" w:w="1152"/>
            <w:shd w:val="clear" w:color="auto" w:fill="F8FAFC"/>
            <w:tcMar>
              <w:top w:w="80" w:type="dxa"/>
              <w:bottom w:w="80" w:type="dxa"/>
              <w:left w:w="140" w:type="dxa"/>
              <w:right w:w="140" w:type="dxa"/>
            </w:tcMar>
          </w:tcPr>
          <w:p>
            <w:r>
              <w:rPr>
                <w:rFonts w:ascii="Calibri" w:hAnsi="Calibri"/>
                <w:color w:val="1E293B"/>
                <w:sz w:val="18"/>
              </w:rPr>
              <w:t>Integer</w:t>
            </w:r>
          </w:p>
        </w:tc>
        <w:tc>
          <w:tcPr>
            <w:tcW w:type="dxa" w:w="2016"/>
            <w:shd w:val="clear" w:color="auto" w:fill="F8FAFC"/>
            <w:tcMar>
              <w:top w:w="80" w:type="dxa"/>
              <w:bottom w:w="80" w:type="dxa"/>
              <w:left w:w="140" w:type="dxa"/>
              <w:right w:w="140" w:type="dxa"/>
            </w:tcMar>
          </w:tcPr>
          <w:p>
            <w:r>
              <w:rPr>
                <w:rFonts w:ascii="Calibri" w:hAnsi="Calibri"/>
                <w:color w:val="1E293B"/>
                <w:sz w:val="18"/>
              </w:rPr>
              <w:t>Pre-treatment Confounder</w:t>
            </w:r>
          </w:p>
        </w:tc>
        <w:tc>
          <w:tcPr>
            <w:tcW w:type="dxa" w:w="1728"/>
            <w:shd w:val="clear" w:color="auto" w:fill="F8FAFC"/>
            <w:tcMar>
              <w:top w:w="80" w:type="dxa"/>
              <w:bottom w:w="80" w:type="dxa"/>
              <w:left w:w="140" w:type="dxa"/>
              <w:right w:w="140" w:type="dxa"/>
            </w:tcMar>
          </w:tcPr>
          <w:p>
            <w:r>
              <w:rPr>
                <w:rFonts w:ascii="Calibri" w:hAnsi="Calibri"/>
                <w:color w:val="1E293B"/>
                <w:sz w:val="18"/>
              </w:rPr>
              <w:t>0 to 30 orders</w:t>
            </w:r>
          </w:p>
        </w:tc>
        <w:tc>
          <w:tcPr>
            <w:tcW w:type="dxa" w:w="2304"/>
            <w:shd w:val="clear" w:color="auto" w:fill="F8FAFC"/>
            <w:tcMar>
              <w:top w:w="80" w:type="dxa"/>
              <w:bottom w:w="80" w:type="dxa"/>
              <w:left w:w="140" w:type="dxa"/>
              <w:right w:w="140" w:type="dxa"/>
            </w:tcMar>
          </w:tcPr>
          <w:p>
            <w:r>
              <w:rPr>
                <w:rFonts w:ascii="Calibri" w:hAnsi="Calibri"/>
                <w:color w:val="1E293B"/>
                <w:sz w:val="18"/>
              </w:rPr>
              <w:t>Historical order frequency</w:t>
            </w:r>
          </w:p>
        </w:tc>
      </w:tr>
      <w:tr>
        <w:tc>
          <w:tcPr>
            <w:tcW w:type="dxa" w:w="2160"/>
            <w:shd w:val="clear" w:color="auto" w:fill="FFFFFF"/>
            <w:tcMar>
              <w:top w:w="80" w:type="dxa"/>
              <w:bottom w:w="80" w:type="dxa"/>
              <w:left w:w="140" w:type="dxa"/>
              <w:right w:w="140" w:type="dxa"/>
            </w:tcMar>
          </w:tcPr>
          <w:p>
            <w:r>
              <w:rPr>
                <w:rFonts w:ascii="Calibri" w:hAnsi="Calibri"/>
                <w:b/>
                <w:color w:val="1E293B"/>
                <w:sz w:val="18"/>
              </w:rPr>
              <w:t>days_since_last_purchase</w:t>
            </w:r>
          </w:p>
        </w:tc>
        <w:tc>
          <w:tcPr>
            <w:tcW w:type="dxa" w:w="1152"/>
            <w:shd w:val="clear" w:color="auto" w:fill="FFFFFF"/>
            <w:tcMar>
              <w:top w:w="80" w:type="dxa"/>
              <w:bottom w:w="80" w:type="dxa"/>
              <w:left w:w="140" w:type="dxa"/>
              <w:right w:w="140" w:type="dxa"/>
            </w:tcMar>
          </w:tcPr>
          <w:p>
            <w:r>
              <w:rPr>
                <w:rFonts w:ascii="Calibri" w:hAnsi="Calibri"/>
                <w:color w:val="1E293B"/>
                <w:sz w:val="18"/>
              </w:rPr>
              <w:t>Integer</w:t>
            </w:r>
          </w:p>
        </w:tc>
        <w:tc>
          <w:tcPr>
            <w:tcW w:type="dxa" w:w="2016"/>
            <w:shd w:val="clear" w:color="auto" w:fill="FFFFFF"/>
            <w:tcMar>
              <w:top w:w="80" w:type="dxa"/>
              <w:bottom w:w="80" w:type="dxa"/>
              <w:left w:w="140" w:type="dxa"/>
              <w:right w:w="140" w:type="dxa"/>
            </w:tcMar>
          </w:tcPr>
          <w:p>
            <w:r>
              <w:rPr>
                <w:rFonts w:ascii="Calibri" w:hAnsi="Calibri"/>
                <w:color w:val="1E293B"/>
                <w:sz w:val="18"/>
              </w:rPr>
              <w:t>Pre-treatment Confounder</w:t>
            </w:r>
          </w:p>
        </w:tc>
        <w:tc>
          <w:tcPr>
            <w:tcW w:type="dxa" w:w="1728"/>
            <w:shd w:val="clear" w:color="auto" w:fill="FFFFFF"/>
            <w:tcMar>
              <w:top w:w="80" w:type="dxa"/>
              <w:bottom w:w="80" w:type="dxa"/>
              <w:left w:w="140" w:type="dxa"/>
              <w:right w:w="140" w:type="dxa"/>
            </w:tcMar>
          </w:tcPr>
          <w:p>
            <w:r>
              <w:rPr>
                <w:rFonts w:ascii="Calibri" w:hAnsi="Calibri"/>
                <w:color w:val="1E293B"/>
                <w:sz w:val="18"/>
              </w:rPr>
              <w:t>1 to 180 days</w:t>
            </w:r>
          </w:p>
        </w:tc>
        <w:tc>
          <w:tcPr>
            <w:tcW w:type="dxa" w:w="2304"/>
            <w:shd w:val="clear" w:color="auto" w:fill="FFFFFF"/>
            <w:tcMar>
              <w:top w:w="80" w:type="dxa"/>
              <w:bottom w:w="80" w:type="dxa"/>
              <w:left w:w="140" w:type="dxa"/>
              <w:right w:w="140" w:type="dxa"/>
            </w:tcMar>
          </w:tcPr>
          <w:p>
            <w:r>
              <w:rPr>
                <w:rFonts w:ascii="Calibri" w:hAnsi="Calibri"/>
                <w:color w:val="1E293B"/>
                <w:sz w:val="18"/>
              </w:rPr>
              <w:t>Customer recency metric</w:t>
            </w:r>
          </w:p>
        </w:tc>
      </w:tr>
      <w:tr>
        <w:tc>
          <w:tcPr>
            <w:tcW w:type="dxa" w:w="2160"/>
            <w:shd w:val="clear" w:color="auto" w:fill="F8FAFC"/>
            <w:tcMar>
              <w:top w:w="80" w:type="dxa"/>
              <w:bottom w:w="80" w:type="dxa"/>
              <w:left w:w="140" w:type="dxa"/>
              <w:right w:w="140" w:type="dxa"/>
            </w:tcMar>
          </w:tcPr>
          <w:p>
            <w:r>
              <w:rPr>
                <w:rFonts w:ascii="Calibri" w:hAnsi="Calibri"/>
                <w:b/>
                <w:color w:val="1E293B"/>
                <w:sz w:val="18"/>
              </w:rPr>
              <w:t>cart_baseline_value_inr</w:t>
            </w:r>
          </w:p>
        </w:tc>
        <w:tc>
          <w:tcPr>
            <w:tcW w:type="dxa" w:w="1152"/>
            <w:shd w:val="clear" w:color="auto" w:fill="F8FAFC"/>
            <w:tcMar>
              <w:top w:w="80" w:type="dxa"/>
              <w:bottom w:w="80" w:type="dxa"/>
              <w:left w:w="140" w:type="dxa"/>
              <w:right w:w="140" w:type="dxa"/>
            </w:tcMar>
          </w:tcPr>
          <w:p>
            <w:r>
              <w:rPr>
                <w:rFonts w:ascii="Calibri" w:hAnsi="Calibri"/>
                <w:color w:val="1E293B"/>
                <w:sz w:val="18"/>
              </w:rPr>
              <w:t>Float</w:t>
            </w:r>
          </w:p>
        </w:tc>
        <w:tc>
          <w:tcPr>
            <w:tcW w:type="dxa" w:w="2016"/>
            <w:shd w:val="clear" w:color="auto" w:fill="F8FAFC"/>
            <w:tcMar>
              <w:top w:w="80" w:type="dxa"/>
              <w:bottom w:w="80" w:type="dxa"/>
              <w:left w:w="140" w:type="dxa"/>
              <w:right w:w="140" w:type="dxa"/>
            </w:tcMar>
          </w:tcPr>
          <w:p>
            <w:r>
              <w:rPr>
                <w:rFonts w:ascii="Calibri" w:hAnsi="Calibri"/>
                <w:color w:val="1E293B"/>
                <w:sz w:val="18"/>
              </w:rPr>
              <w:t>Pre-treatment Confounder</w:t>
            </w:r>
          </w:p>
        </w:tc>
        <w:tc>
          <w:tcPr>
            <w:tcW w:type="dxa" w:w="1728"/>
            <w:shd w:val="clear" w:color="auto" w:fill="F8FAFC"/>
            <w:tcMar>
              <w:top w:w="80" w:type="dxa"/>
              <w:bottom w:w="80" w:type="dxa"/>
              <w:left w:w="140" w:type="dxa"/>
              <w:right w:w="140" w:type="dxa"/>
            </w:tcMar>
          </w:tcPr>
          <w:p>
            <w:r>
              <w:rPr>
                <w:rFonts w:ascii="Calibri" w:hAnsi="Calibri"/>
                <w:color w:val="1E293B"/>
                <w:sz w:val="18"/>
              </w:rPr>
              <w:t>₹120 to ₹1,850</w:t>
            </w:r>
          </w:p>
        </w:tc>
        <w:tc>
          <w:tcPr>
            <w:tcW w:type="dxa" w:w="2304"/>
            <w:shd w:val="clear" w:color="auto" w:fill="F8FAFC"/>
            <w:tcMar>
              <w:top w:w="80" w:type="dxa"/>
              <w:bottom w:w="80" w:type="dxa"/>
              <w:left w:w="140" w:type="dxa"/>
              <w:right w:w="140" w:type="dxa"/>
            </w:tcMar>
          </w:tcPr>
          <w:p>
            <w:r>
              <w:rPr>
                <w:rFonts w:ascii="Calibri" w:hAnsi="Calibri"/>
                <w:color w:val="1E293B"/>
                <w:sz w:val="18"/>
              </w:rPr>
              <w:t>Intended order basket value</w:t>
            </w:r>
          </w:p>
        </w:tc>
      </w:tr>
      <w:tr>
        <w:tc>
          <w:tcPr>
            <w:tcW w:type="dxa" w:w="2160"/>
            <w:shd w:val="clear" w:color="auto" w:fill="FFFFFF"/>
            <w:tcMar>
              <w:top w:w="80" w:type="dxa"/>
              <w:bottom w:w="80" w:type="dxa"/>
              <w:left w:w="140" w:type="dxa"/>
              <w:right w:w="140" w:type="dxa"/>
            </w:tcMar>
          </w:tcPr>
          <w:p>
            <w:r>
              <w:rPr>
                <w:rFonts w:ascii="Calibri" w:hAnsi="Calibri"/>
                <w:b/>
                <w:color w:val="1E293B"/>
                <w:sz w:val="18"/>
              </w:rPr>
              <w:t>loyalty_member</w:t>
            </w:r>
          </w:p>
        </w:tc>
        <w:tc>
          <w:tcPr>
            <w:tcW w:type="dxa" w:w="1152"/>
            <w:shd w:val="clear" w:color="auto" w:fill="FFFFFF"/>
            <w:tcMar>
              <w:top w:w="80" w:type="dxa"/>
              <w:bottom w:w="80" w:type="dxa"/>
              <w:left w:w="140" w:type="dxa"/>
              <w:right w:w="140" w:type="dxa"/>
            </w:tcMar>
          </w:tcPr>
          <w:p>
            <w:r>
              <w:rPr>
                <w:rFonts w:ascii="Calibri" w:hAnsi="Calibri"/>
                <w:color w:val="1E293B"/>
                <w:sz w:val="18"/>
              </w:rPr>
              <w:t>Binary</w:t>
            </w:r>
          </w:p>
        </w:tc>
        <w:tc>
          <w:tcPr>
            <w:tcW w:type="dxa" w:w="2016"/>
            <w:shd w:val="clear" w:color="auto" w:fill="FFFFFF"/>
            <w:tcMar>
              <w:top w:w="80" w:type="dxa"/>
              <w:bottom w:w="80" w:type="dxa"/>
              <w:left w:w="140" w:type="dxa"/>
              <w:right w:w="140" w:type="dxa"/>
            </w:tcMar>
          </w:tcPr>
          <w:p>
            <w:r>
              <w:rPr>
                <w:rFonts w:ascii="Calibri" w:hAnsi="Calibri"/>
                <w:color w:val="1E293B"/>
                <w:sz w:val="18"/>
              </w:rPr>
              <w:t>Pre-treatment Confounder</w:t>
            </w:r>
          </w:p>
        </w:tc>
        <w:tc>
          <w:tcPr>
            <w:tcW w:type="dxa" w:w="1728"/>
            <w:shd w:val="clear" w:color="auto" w:fill="FFFFFF"/>
            <w:tcMar>
              <w:top w:w="80" w:type="dxa"/>
              <w:bottom w:w="80" w:type="dxa"/>
              <w:left w:w="140" w:type="dxa"/>
              <w:right w:w="140" w:type="dxa"/>
            </w:tcMar>
          </w:tcPr>
          <w:p>
            <w:r>
              <w:rPr>
                <w:rFonts w:ascii="Calibri" w:hAnsi="Calibri"/>
                <w:color w:val="1E293B"/>
                <w:sz w:val="18"/>
              </w:rPr>
              <w:t>0 or 1</w:t>
            </w:r>
          </w:p>
        </w:tc>
        <w:tc>
          <w:tcPr>
            <w:tcW w:type="dxa" w:w="2304"/>
            <w:shd w:val="clear" w:color="auto" w:fill="FFFFFF"/>
            <w:tcMar>
              <w:top w:w="80" w:type="dxa"/>
              <w:bottom w:w="80" w:type="dxa"/>
              <w:left w:w="140" w:type="dxa"/>
              <w:right w:w="140" w:type="dxa"/>
            </w:tcMar>
          </w:tcPr>
          <w:p>
            <w:r>
              <w:rPr>
                <w:rFonts w:ascii="Calibri" w:hAnsi="Calibri"/>
                <w:color w:val="1E293B"/>
                <w:sz w:val="18"/>
              </w:rPr>
              <w:t>VIP Loyalty Club status</w:t>
            </w:r>
          </w:p>
        </w:tc>
      </w:tr>
      <w:tr>
        <w:tc>
          <w:tcPr>
            <w:tcW w:type="dxa" w:w="2160"/>
            <w:shd w:val="clear" w:color="auto" w:fill="F8FAFC"/>
            <w:tcMar>
              <w:top w:w="80" w:type="dxa"/>
              <w:bottom w:w="80" w:type="dxa"/>
              <w:left w:w="140" w:type="dxa"/>
              <w:right w:w="140" w:type="dxa"/>
            </w:tcMar>
          </w:tcPr>
          <w:p>
            <w:r>
              <w:rPr>
                <w:rFonts w:ascii="Calibri" w:hAnsi="Calibri"/>
                <w:b/>
                <w:color w:val="1E293B"/>
                <w:sz w:val="18"/>
              </w:rPr>
              <w:t>device_Mobile / Tablet</w:t>
            </w:r>
          </w:p>
        </w:tc>
        <w:tc>
          <w:tcPr>
            <w:tcW w:type="dxa" w:w="1152"/>
            <w:shd w:val="clear" w:color="auto" w:fill="F8FAFC"/>
            <w:tcMar>
              <w:top w:w="80" w:type="dxa"/>
              <w:bottom w:w="80" w:type="dxa"/>
              <w:left w:w="140" w:type="dxa"/>
              <w:right w:w="140" w:type="dxa"/>
            </w:tcMar>
          </w:tcPr>
          <w:p>
            <w:r>
              <w:rPr>
                <w:rFonts w:ascii="Calibri" w:hAnsi="Calibri"/>
                <w:color w:val="1E293B"/>
                <w:sz w:val="18"/>
              </w:rPr>
              <w:t>Binary</w:t>
            </w:r>
          </w:p>
        </w:tc>
        <w:tc>
          <w:tcPr>
            <w:tcW w:type="dxa" w:w="2016"/>
            <w:shd w:val="clear" w:color="auto" w:fill="F8FAFC"/>
            <w:tcMar>
              <w:top w:w="80" w:type="dxa"/>
              <w:bottom w:w="80" w:type="dxa"/>
              <w:left w:w="140" w:type="dxa"/>
              <w:right w:w="140" w:type="dxa"/>
            </w:tcMar>
          </w:tcPr>
          <w:p>
            <w:r>
              <w:rPr>
                <w:rFonts w:ascii="Calibri" w:hAnsi="Calibri"/>
                <w:color w:val="1E293B"/>
                <w:sz w:val="18"/>
              </w:rPr>
              <w:t>Pre-treatment Confounder</w:t>
            </w:r>
          </w:p>
        </w:tc>
        <w:tc>
          <w:tcPr>
            <w:tcW w:type="dxa" w:w="1728"/>
            <w:shd w:val="clear" w:color="auto" w:fill="F8FAFC"/>
            <w:tcMar>
              <w:top w:w="80" w:type="dxa"/>
              <w:bottom w:w="80" w:type="dxa"/>
              <w:left w:w="140" w:type="dxa"/>
              <w:right w:w="140" w:type="dxa"/>
            </w:tcMar>
          </w:tcPr>
          <w:p>
            <w:r>
              <w:rPr>
                <w:rFonts w:ascii="Calibri" w:hAnsi="Calibri"/>
                <w:color w:val="1E293B"/>
                <w:sz w:val="18"/>
              </w:rPr>
              <w:t>0 or 1</w:t>
            </w:r>
          </w:p>
        </w:tc>
        <w:tc>
          <w:tcPr>
            <w:tcW w:type="dxa" w:w="2304"/>
            <w:shd w:val="clear" w:color="auto" w:fill="F8FAFC"/>
            <w:tcMar>
              <w:top w:w="80" w:type="dxa"/>
              <w:bottom w:w="80" w:type="dxa"/>
              <w:left w:w="140" w:type="dxa"/>
              <w:right w:w="140" w:type="dxa"/>
            </w:tcMar>
          </w:tcPr>
          <w:p>
            <w:r>
              <w:rPr>
                <w:rFonts w:ascii="Calibri" w:hAnsi="Calibri"/>
                <w:color w:val="1E293B"/>
                <w:sz w:val="18"/>
              </w:rPr>
              <w:t>Access channel indicators</w:t>
            </w:r>
          </w:p>
        </w:tc>
      </w:tr>
      <w:tr>
        <w:tc>
          <w:tcPr>
            <w:tcW w:type="dxa" w:w="2160"/>
            <w:shd w:val="clear" w:color="auto" w:fill="FFFFFF"/>
            <w:tcMar>
              <w:top w:w="80" w:type="dxa"/>
              <w:bottom w:w="80" w:type="dxa"/>
              <w:left w:w="140" w:type="dxa"/>
              <w:right w:w="140" w:type="dxa"/>
            </w:tcMar>
          </w:tcPr>
          <w:p>
            <w:r>
              <w:rPr>
                <w:rFonts w:ascii="Calibri" w:hAnsi="Calibri"/>
                <w:b/>
                <w:color w:val="1E293B"/>
                <w:sz w:val="18"/>
              </w:rPr>
              <w:t>discount_inr</w:t>
            </w:r>
          </w:p>
        </w:tc>
        <w:tc>
          <w:tcPr>
            <w:tcW w:type="dxa" w:w="1152"/>
            <w:shd w:val="clear" w:color="auto" w:fill="FFFFFF"/>
            <w:tcMar>
              <w:top w:w="80" w:type="dxa"/>
              <w:bottom w:w="80" w:type="dxa"/>
              <w:left w:w="140" w:type="dxa"/>
              <w:right w:w="140" w:type="dxa"/>
            </w:tcMar>
          </w:tcPr>
          <w:p>
            <w:r>
              <w:rPr>
                <w:rFonts w:ascii="Calibri" w:hAnsi="Calibri"/>
                <w:color w:val="1E293B"/>
                <w:sz w:val="18"/>
              </w:rPr>
              <w:t>Integer</w:t>
            </w:r>
          </w:p>
        </w:tc>
        <w:tc>
          <w:tcPr>
            <w:tcW w:type="dxa" w:w="2016"/>
            <w:shd w:val="clear" w:color="auto" w:fill="FFFFFF"/>
            <w:tcMar>
              <w:top w:w="80" w:type="dxa"/>
              <w:bottom w:w="80" w:type="dxa"/>
              <w:left w:w="140" w:type="dxa"/>
              <w:right w:w="140" w:type="dxa"/>
            </w:tcMar>
          </w:tcPr>
          <w:p>
            <w:r>
              <w:rPr>
                <w:rFonts w:ascii="Calibri" w:hAnsi="Calibri"/>
                <w:color w:val="1E293B"/>
                <w:sz w:val="18"/>
              </w:rPr>
              <w:t>Treatment Arm (T)</w:t>
            </w:r>
          </w:p>
        </w:tc>
        <w:tc>
          <w:tcPr>
            <w:tcW w:type="dxa" w:w="1728"/>
            <w:shd w:val="clear" w:color="auto" w:fill="FFFFFF"/>
            <w:tcMar>
              <w:top w:w="80" w:type="dxa"/>
              <w:bottom w:w="80" w:type="dxa"/>
              <w:left w:w="140" w:type="dxa"/>
              <w:right w:w="140" w:type="dxa"/>
            </w:tcMar>
          </w:tcPr>
          <w:p>
            <w:r>
              <w:rPr>
                <w:rFonts w:ascii="Calibri" w:hAnsi="Calibri"/>
                <w:color w:val="1E293B"/>
                <w:sz w:val="18"/>
              </w:rPr>
              <w:t>0, 10, or 20 INR</w:t>
            </w:r>
          </w:p>
        </w:tc>
        <w:tc>
          <w:tcPr>
            <w:tcW w:type="dxa" w:w="2304"/>
            <w:shd w:val="clear" w:color="auto" w:fill="FFFFFF"/>
            <w:tcMar>
              <w:top w:w="80" w:type="dxa"/>
              <w:bottom w:w="80" w:type="dxa"/>
              <w:left w:w="140" w:type="dxa"/>
              <w:right w:w="140" w:type="dxa"/>
            </w:tcMar>
          </w:tcPr>
          <w:p>
            <w:r>
              <w:rPr>
                <w:rFonts w:ascii="Calibri" w:hAnsi="Calibri"/>
                <w:color w:val="1E293B"/>
                <w:sz w:val="18"/>
              </w:rPr>
              <w:t>Assigned promotional discount offer</w:t>
            </w:r>
          </w:p>
        </w:tc>
      </w:tr>
      <w:tr>
        <w:tc>
          <w:tcPr>
            <w:tcW w:type="dxa" w:w="2160"/>
            <w:shd w:val="clear" w:color="auto" w:fill="F8FAFC"/>
            <w:tcMar>
              <w:top w:w="80" w:type="dxa"/>
              <w:bottom w:w="80" w:type="dxa"/>
              <w:left w:w="140" w:type="dxa"/>
              <w:right w:w="140" w:type="dxa"/>
            </w:tcMar>
          </w:tcPr>
          <w:p>
            <w:r>
              <w:rPr>
                <w:rFonts w:ascii="Calibri" w:hAnsi="Calibri"/>
                <w:b/>
                <w:color w:val="1E293B"/>
                <w:sz w:val="18"/>
              </w:rPr>
              <w:t>observed_purchase</w:t>
            </w:r>
          </w:p>
        </w:tc>
        <w:tc>
          <w:tcPr>
            <w:tcW w:type="dxa" w:w="1152"/>
            <w:shd w:val="clear" w:color="auto" w:fill="F8FAFC"/>
            <w:tcMar>
              <w:top w:w="80" w:type="dxa"/>
              <w:bottom w:w="80" w:type="dxa"/>
              <w:left w:w="140" w:type="dxa"/>
              <w:right w:w="140" w:type="dxa"/>
            </w:tcMar>
          </w:tcPr>
          <w:p>
            <w:r>
              <w:rPr>
                <w:rFonts w:ascii="Calibri" w:hAnsi="Calibri"/>
                <w:color w:val="1E293B"/>
                <w:sz w:val="18"/>
              </w:rPr>
              <w:t>Binary</w:t>
            </w:r>
          </w:p>
        </w:tc>
        <w:tc>
          <w:tcPr>
            <w:tcW w:type="dxa" w:w="2016"/>
            <w:shd w:val="clear" w:color="auto" w:fill="F8FAFC"/>
            <w:tcMar>
              <w:top w:w="80" w:type="dxa"/>
              <w:bottom w:w="80" w:type="dxa"/>
              <w:left w:w="140" w:type="dxa"/>
              <w:right w:w="140" w:type="dxa"/>
            </w:tcMar>
          </w:tcPr>
          <w:p>
            <w:r>
              <w:rPr>
                <w:rFonts w:ascii="Calibri" w:hAnsi="Calibri"/>
                <w:color w:val="1E293B"/>
                <w:sz w:val="18"/>
              </w:rPr>
              <w:t>Outcome Variable (Y)</w:t>
            </w:r>
          </w:p>
        </w:tc>
        <w:tc>
          <w:tcPr>
            <w:tcW w:type="dxa" w:w="1728"/>
            <w:shd w:val="clear" w:color="auto" w:fill="F8FAFC"/>
            <w:tcMar>
              <w:top w:w="80" w:type="dxa"/>
              <w:bottom w:w="80" w:type="dxa"/>
              <w:left w:w="140" w:type="dxa"/>
              <w:right w:w="140" w:type="dxa"/>
            </w:tcMar>
          </w:tcPr>
          <w:p>
            <w:r>
              <w:rPr>
                <w:rFonts w:ascii="Calibri" w:hAnsi="Calibri"/>
                <w:color w:val="1E293B"/>
                <w:sz w:val="18"/>
              </w:rPr>
              <w:t>0 or 1</w:t>
            </w:r>
          </w:p>
        </w:tc>
        <w:tc>
          <w:tcPr>
            <w:tcW w:type="dxa" w:w="2304"/>
            <w:shd w:val="clear" w:color="auto" w:fill="F8FAFC"/>
            <w:tcMar>
              <w:top w:w="80" w:type="dxa"/>
              <w:bottom w:w="80" w:type="dxa"/>
              <w:left w:w="140" w:type="dxa"/>
              <w:right w:w="140" w:type="dxa"/>
            </w:tcMar>
          </w:tcPr>
          <w:p>
            <w:r>
              <w:rPr>
                <w:rFonts w:ascii="Calibri" w:hAnsi="Calibri"/>
                <w:color w:val="1E293B"/>
                <w:sz w:val="18"/>
              </w:rPr>
              <w:t>Observed purchase conversion flag</w:t>
            </w:r>
          </w:p>
        </w:tc>
      </w:tr>
    </w:tbl>
    <w:p>
      <w:pPr>
        <w:spacing w:after="120"/>
      </w:pPr>
    </w:p>
    <w:p>
      <w:pPr>
        <w:keepNext/>
        <w:spacing w:before="360" w:after="120"/>
      </w:pPr>
      <w:r>
        <w:rPr>
          <w:rFonts w:ascii="Calibri" w:hAnsi="Calibri"/>
          <w:b/>
          <w:color w:val="0F172A"/>
          <w:sz w:val="32"/>
        </w:rPr>
        <w:t>7. Data Preprocessing &amp; Exploratory Data Analysis</w:t>
      </w:r>
    </w:p>
    <w:p>
      <w:pPr>
        <w:spacing w:after="120" w:line="276" w:lineRule="auto"/>
      </w:pPr>
      <w:r>
        <w:rPr>
          <w:rFonts w:ascii="Calibri" w:hAnsi="Calibri"/>
          <w:color w:val="334155"/>
          <w:sz w:val="21"/>
        </w:rPr>
        <w:t>All data was cleaned, deduplicated, and validated against non-negative boundaries:</w:t>
      </w:r>
    </w:p>
    <w:p>
      <w:pPr>
        <w:pStyle w:val="ListBullet"/>
        <w:spacing w:after="80" w:line="276" w:lineRule="auto"/>
      </w:pPr>
      <w:r>
        <w:rPr>
          <w:rFonts w:ascii="Calibri" w:hAnsi="Calibri"/>
          <w:color w:val="334155"/>
          <w:sz w:val="20"/>
        </w:rPr>
        <w:t>Zero missing values and zero duplicate customer IDs across all 10,000 records.</w:t>
      </w:r>
    </w:p>
    <w:p>
      <w:pPr>
        <w:pStyle w:val="ListBullet"/>
        <w:spacing w:after="80" w:line="276" w:lineRule="auto"/>
      </w:pPr>
      <w:r>
        <w:rPr>
          <w:rFonts w:ascii="Calibri" w:hAnsi="Calibri"/>
          <w:color w:val="334155"/>
          <w:sz w:val="20"/>
        </w:rPr>
        <w:t>Post-treatment Safeguard: 'discount_depth_ratio' was verified as treatment-dependent and strictly excluded from pre-treatment covariate matrices to avoid conditioning bias.</w:t>
      </w:r>
    </w:p>
    <w:p>
      <w:pPr>
        <w:pStyle w:val="ListBullet"/>
        <w:spacing w:after="80" w:line="276" w:lineRule="auto"/>
      </w:pPr>
      <w:r>
        <w:rPr>
          <w:rFonts w:ascii="Calibri" w:hAnsi="Calibri"/>
          <w:color w:val="334155"/>
          <w:sz w:val="20"/>
        </w:rPr>
        <w:t>Strict Anti-Leakage: All 'true_*' counterfactual benchmark columns were partitioned into ground_truth_eval.csv.</w:t>
      </w:r>
    </w:p>
    <w:p>
      <w:pPr>
        <w:keepNext/>
        <w:spacing w:before="360" w:after="120"/>
      </w:pPr>
      <w:r>
        <w:rPr>
          <w:rFonts w:ascii="Calibri" w:hAnsi="Calibri"/>
          <w:b/>
          <w:color w:val="0F172A"/>
          <w:sz w:val="32"/>
        </w:rPr>
        <w:t>8. Causal Inference Methodology &amp; Identification</w:t>
      </w:r>
    </w:p>
    <w:p>
      <w:pPr>
        <w:spacing w:after="120" w:line="276" w:lineRule="auto"/>
      </w:pPr>
      <w:r>
        <w:rPr>
          <w:rFonts w:ascii="Calibri" w:hAnsi="Calibri"/>
          <w:color w:val="334155"/>
          <w:sz w:val="21"/>
        </w:rPr>
        <w:t>Under the Rubin Causal Model, each customer i has potential outcomes Y_i(0), Y_i(10), Y_i(20). We seek to identify the Conditional Average Treatment Effect (CATE):</w:t>
      </w:r>
    </w:p>
    <w:p>
      <w:pPr>
        <w:spacing w:after="120" w:line="276" w:lineRule="auto"/>
      </w:pPr>
      <w:r>
        <w:rPr>
          <w:rFonts w:ascii="Calibri" w:hAnsi="Calibri"/>
          <w:b/>
          <w:color w:val="0F172A"/>
          <w:sz w:val="21"/>
        </w:rPr>
        <w:t xml:space="preserve">CATE Definition: </w:t>
      </w:r>
      <w:r>
        <w:rPr>
          <w:rFonts w:ascii="Calibri" w:hAnsi="Calibri"/>
          <w:color w:val="334155"/>
          <w:sz w:val="21"/>
        </w:rPr>
        <w:t>tau_d(X) = E[Y(d) - Y(0) | X]</w:t>
      </w:r>
    </w:p>
    <w:p>
      <w:pPr>
        <w:spacing w:after="120" w:line="276" w:lineRule="auto"/>
      </w:pPr>
      <w:r>
        <w:rPr>
          <w:rFonts w:ascii="Calibri" w:hAnsi="Calibri"/>
          <w:color w:val="334155"/>
          <w:sz w:val="21"/>
        </w:rPr>
        <w:t>Identification relies on three econometric axioms: (1) Conditional Independence (Unconfoundedness): Y(d) _|_ T | W; (2) Common Support (Positivity): 0 &lt; P(T=d | W) &lt; 1; and (3) SUTVA.</w:t>
      </w:r>
    </w:p>
    <w:p>
      <w:pPr>
        <w:keepNext/>
        <w:spacing w:before="360" w:after="120"/>
      </w:pPr>
      <w:r>
        <w:rPr>
          <w:rFonts w:ascii="Calibri" w:hAnsi="Calibri"/>
          <w:b/>
          <w:color w:val="0F172A"/>
          <w:sz w:val="32"/>
        </w:rPr>
        <w:t>9. Double Machine Learning Implementation</w:t>
      </w:r>
    </w:p>
    <w:p>
      <w:pPr>
        <w:spacing w:after="120" w:line="276" w:lineRule="auto"/>
      </w:pPr>
      <w:r>
        <w:rPr>
          <w:rFonts w:ascii="Calibri" w:hAnsi="Calibri"/>
          <w:color w:val="334155"/>
          <w:sz w:val="21"/>
        </w:rPr>
        <w:t>Using EconML LinearDML with 5-fold cross-fitting, nuisance models g(W) = E[Y|W] and m(W) = E[T|W] are fitted using LightGBM. CATE is estimated on residualized Neyman orthogonal equations, achieving root-N asymptotic normality.</w:t>
      </w:r>
    </w:p>
    <w:p>
      <w:pPr>
        <w:pStyle w:val="ListBullet"/>
        <w:spacing w:after="80" w:line="276" w:lineRule="auto"/>
      </w:pPr>
      <w:r>
        <w:rPr>
          <w:rFonts w:ascii="Calibri" w:hAnsi="Calibri"/>
          <w:color w:val="334155"/>
          <w:sz w:val="20"/>
        </w:rPr>
        <w:t>Mean CATE for ₹10 Offer (tau_hat_10): +8.31% (Std: 0.0512)</w:t>
      </w:r>
    </w:p>
    <w:p>
      <w:pPr>
        <w:pStyle w:val="ListBullet"/>
        <w:spacing w:after="80" w:line="276" w:lineRule="auto"/>
      </w:pPr>
      <w:r>
        <w:rPr>
          <w:rFonts w:ascii="Calibri" w:hAnsi="Calibri"/>
          <w:color w:val="334155"/>
          <w:sz w:val="20"/>
        </w:rPr>
        <w:t>Mean CATE for ₹20 Offer (tau_hat_20): +14.72% (Std: 0.0789)</w:t>
      </w:r>
    </w:p>
    <w:p>
      <w:pPr>
        <w:pStyle w:val="ListBullet"/>
        <w:spacing w:after="80" w:line="276" w:lineRule="auto"/>
      </w:pPr>
      <w:r>
        <w:rPr>
          <w:rFonts w:ascii="Calibri" w:hAnsi="Calibri"/>
          <w:color w:val="334155"/>
          <w:sz w:val="20"/>
        </w:rPr>
        <w:t>Elasticity Spread: Top decile shoppers exhibit +25.8% uplift, while 28.4% of shoppers are inelastic (&lt; 3% uplift).</w:t>
      </w:r>
    </w:p>
    <w:p>
      <w:pPr>
        <w:keepNext/>
        <w:spacing w:before="360" w:after="120"/>
      </w:pPr>
      <w:r>
        <w:rPr>
          <w:rFonts w:ascii="Calibri" w:hAnsi="Calibri"/>
          <w:b/>
          <w:color w:val="0F172A"/>
          <w:sz w:val="32"/>
        </w:rPr>
        <w:t>10. Prescriptive Optimization Formulation</w:t>
      </w:r>
    </w:p>
    <w:p>
      <w:pPr>
        <w:spacing w:after="120" w:line="276" w:lineRule="auto"/>
      </w:pPr>
      <w:r>
        <w:rPr>
          <w:rFonts w:ascii="Calibri" w:hAnsi="Calibri"/>
          <w:color w:val="334155"/>
          <w:sz w:val="21"/>
        </w:rPr>
        <w:t>We formulate promotional discount allocation as a Multiple-Choice Knapsack problem solved via SciPy HiGHS MILP:</w:t>
      </w:r>
    </w:p>
    <w:p>
      <w:pPr>
        <w:spacing w:after="120" w:line="276" w:lineRule="auto"/>
      </w:pPr>
      <w:r>
        <w:rPr>
          <w:rFonts w:ascii="Calibri" w:hAnsi="Calibri"/>
          <w:b/>
          <w:color w:val="0F172A"/>
          <w:sz w:val="21"/>
        </w:rPr>
        <w:t xml:space="preserve">MILP Model: </w:t>
      </w:r>
      <w:r>
        <w:rPr>
          <w:rFonts w:ascii="Calibri" w:hAnsi="Calibri"/>
          <w:color w:val="334155"/>
          <w:sz w:val="21"/>
        </w:rPr>
        <w:t>max sum_i (w_i,10 * v_i,10 + w_i,20 * v_i,20) s.t. sum_i (w_i,10 * c_i,10 + w_i,20 * c_i,20) &lt;= B, w_i,10 + w_i,20 &lt;= 1</w:t>
      </w:r>
    </w:p>
    <w:p>
      <w:pPr>
        <w:spacing w:after="120" w:line="276" w:lineRule="auto"/>
      </w:pPr>
      <w:r>
        <w:rPr>
          <w:rFonts w:ascii="Calibri" w:hAnsi="Calibri"/>
          <w:color w:val="334155"/>
          <w:sz w:val="21"/>
        </w:rPr>
        <w:t>Where net incremental profit value v_i,d = tau_i,d * (m * Cart_i - d) - p_0,i * d, accounting for both incremental margins and cannibalization lost on organic shoppers.</w:t>
      </w:r>
    </w:p>
    <w:p>
      <w:pPr>
        <w:keepNext/>
        <w:spacing w:before="360" w:after="120"/>
      </w:pPr>
      <w:r>
        <w:rPr>
          <w:rFonts w:ascii="Calibri" w:hAnsi="Calibri"/>
          <w:b/>
          <w:color w:val="0F172A"/>
          <w:sz w:val="32"/>
        </w:rPr>
        <w:t>11. Backend &amp; Dashboard Architecture</w:t>
      </w:r>
    </w:p>
    <w:p>
      <w:pPr>
        <w:spacing w:after="120" w:line="276" w:lineRule="auto"/>
      </w:pPr>
      <w:r>
        <w:rPr>
          <w:rFonts w:ascii="Calibri" w:hAnsi="Calibri"/>
          <w:color w:val="334155"/>
          <w:sz w:val="21"/>
        </w:rPr>
        <w:t>The serving layer consists of an asynchronous FastAPI microservice (port 8000) communicating with a Vite React 19 dashboard. Key technical features include explicitly configured trusted CORS origins, anti-leakage request verification, in-memory artifact caching, and dark/light theme persistence.</w:t>
      </w:r>
    </w:p>
    <w:p>
      <w:pPr>
        <w:keepNext/>
        <w:spacing w:before="360" w:after="120"/>
      </w:pPr>
      <w:r>
        <w:rPr>
          <w:rFonts w:ascii="Calibri" w:hAnsi="Calibri"/>
          <w:b/>
          <w:color w:val="0F172A"/>
          <w:sz w:val="32"/>
        </w:rPr>
        <w:t>12. Experimental Setup</w:t>
      </w:r>
    </w:p>
    <w:p>
      <w:pPr>
        <w:spacing w:after="120" w:line="276" w:lineRule="auto"/>
      </w:pPr>
      <w:r>
        <w:rPr>
          <w:rFonts w:ascii="Calibri" w:hAnsi="Calibri"/>
          <w:color w:val="334155"/>
          <w:sz w:val="21"/>
        </w:rPr>
        <w:t>Evaluation was executed on an isolated test environment under identical conditions:</w:t>
      </w:r>
    </w:p>
    <w:p>
      <w:pPr>
        <w:pStyle w:val="ListBullet"/>
        <w:spacing w:after="80" w:line="276" w:lineRule="auto"/>
      </w:pPr>
      <w:r>
        <w:rPr>
          <w:rFonts w:ascii="Calibri" w:hAnsi="Calibri"/>
          <w:color w:val="334155"/>
          <w:sz w:val="20"/>
        </w:rPr>
        <w:t>Hardware / OS: Windows 11, Intel Core i7, 16 GB RAM.</w:t>
      </w:r>
    </w:p>
    <w:p>
      <w:pPr>
        <w:pStyle w:val="ListBullet"/>
        <w:spacing w:after="80" w:line="276" w:lineRule="auto"/>
      </w:pPr>
      <w:r>
        <w:rPr>
          <w:rFonts w:ascii="Calibri" w:hAnsi="Calibri"/>
          <w:color w:val="334155"/>
          <w:sz w:val="20"/>
        </w:rPr>
        <w:t>Python Environment: Python 3.11.4 with econml 0.17.0, dowhy, scipy 1.17.0, lightgbm 4.7.0, fastapi, uvicorn.</w:t>
      </w:r>
    </w:p>
    <w:p>
      <w:pPr>
        <w:pStyle w:val="ListBullet"/>
        <w:spacing w:after="80" w:line="276" w:lineRule="auto"/>
      </w:pPr>
      <w:r>
        <w:rPr>
          <w:rFonts w:ascii="Calibri" w:hAnsi="Calibri"/>
          <w:color w:val="334155"/>
          <w:sz w:val="20"/>
        </w:rPr>
        <w:t>Frontend Environment: Node.js v22.14.0, Vite 8.3.4, React 19, Plotly.js.</w:t>
      </w:r>
    </w:p>
    <w:p>
      <w:pPr>
        <w:keepNext/>
        <w:spacing w:before="360" w:after="120"/>
      </w:pPr>
      <w:r>
        <w:rPr>
          <w:rFonts w:ascii="Calibri" w:hAnsi="Calibri"/>
          <w:b/>
          <w:color w:val="0F172A"/>
          <w:sz w:val="32"/>
        </w:rPr>
        <w:t>13. Actual Evaluation Results &amp; Falsification</w:t>
      </w:r>
    </w:p>
    <w:p>
      <w:pPr>
        <w:spacing w:after="120" w:line="276" w:lineRule="auto"/>
      </w:pPr>
      <w:r>
        <w:rPr>
          <w:rFonts w:ascii="Calibri" w:hAnsi="Calibri"/>
          <w:color w:val="334155"/>
          <w:sz w:val="21"/>
        </w:rPr>
        <w:t>Summary of econometric falsification stress-tests and covariate balance:</w:t>
      </w:r>
    </w:p>
    <w:tbl>
      <w:tblPr>
        <w:tblW w:type="auto" w:w="0"/>
        <w:jc w:val="center"/>
        <w:tblLook w:firstColumn="1" w:firstRow="1" w:lastColumn="0" w:lastRow="0" w:noHBand="0" w:noVBand="1" w:val="04A0"/>
      </w:tblPr>
      <w:tblGrid>
        <w:gridCol w:w="2340"/>
        <w:gridCol w:w="2340"/>
        <w:gridCol w:w="2340"/>
        <w:gridCol w:w="2340"/>
      </w:tblGrid>
      <w:tr>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Validation Test</w:t>
            </w:r>
          </w:p>
        </w:tc>
        <w:tc>
          <w:tcPr>
            <w:tcW w:type="dxa" w:w="2592"/>
            <w:shd w:val="clear" w:color="auto" w:fill="1E293B"/>
            <w:tcMar>
              <w:top w:w="120" w:type="dxa"/>
              <w:bottom w:w="120" w:type="dxa"/>
              <w:left w:w="140" w:type="dxa"/>
              <w:right w:w="140" w:type="dxa"/>
            </w:tcMar>
          </w:tcPr>
          <w:p>
            <w:pPr>
              <w:jc w:val="left"/>
            </w:pPr>
            <w:r>
              <w:rPr>
                <w:rFonts w:ascii="Calibri" w:hAnsi="Calibri"/>
                <w:b/>
                <w:color w:val="FFFFFF"/>
                <w:sz w:val="19"/>
              </w:rPr>
              <w:t>Protocol</w:t>
            </w:r>
          </w:p>
        </w:tc>
        <w:tc>
          <w:tcPr>
            <w:tcW w:type="dxa" w:w="3168"/>
            <w:shd w:val="clear" w:color="auto" w:fill="1E293B"/>
            <w:tcMar>
              <w:top w:w="120" w:type="dxa"/>
              <w:bottom w:w="120" w:type="dxa"/>
              <w:left w:w="140" w:type="dxa"/>
              <w:right w:w="140" w:type="dxa"/>
            </w:tcMar>
          </w:tcPr>
          <w:p>
            <w:pPr>
              <w:jc w:val="left"/>
            </w:pPr>
            <w:r>
              <w:rPr>
                <w:rFonts w:ascii="Calibri" w:hAnsi="Calibri"/>
                <w:b/>
                <w:color w:val="FFFFFF"/>
                <w:sz w:val="19"/>
              </w:rPr>
              <w:t>Verified Statistical Result</w:t>
            </w:r>
          </w:p>
        </w:tc>
        <w:tc>
          <w:tcPr>
            <w:tcW w:type="dxa" w:w="1008"/>
            <w:shd w:val="clear" w:color="auto" w:fill="1E293B"/>
            <w:tcMar>
              <w:top w:w="120" w:type="dxa"/>
              <w:bottom w:w="120" w:type="dxa"/>
              <w:left w:w="140" w:type="dxa"/>
              <w:right w:w="140" w:type="dxa"/>
            </w:tcMar>
          </w:tcPr>
          <w:p>
            <w:pPr>
              <w:jc w:val="left"/>
            </w:pPr>
            <w:r>
              <w:rPr>
                <w:rFonts w:ascii="Calibri" w:hAnsi="Calibri"/>
                <w:b/>
                <w:color w:val="FFFFFF"/>
                <w:sz w:val="19"/>
              </w:rPr>
              <w:t>Status</w:t>
            </w:r>
          </w:p>
        </w:tc>
      </w:tr>
      <w:tr>
        <w:tc>
          <w:tcPr>
            <w:tcW w:type="dxa" w:w="2592"/>
            <w:shd w:val="clear" w:color="auto" w:fill="FFFFFF"/>
            <w:tcMar>
              <w:top w:w="80" w:type="dxa"/>
              <w:bottom w:w="80" w:type="dxa"/>
              <w:left w:w="140" w:type="dxa"/>
              <w:right w:w="140" w:type="dxa"/>
            </w:tcMar>
          </w:tcPr>
          <w:p>
            <w:r>
              <w:rPr>
                <w:rFonts w:ascii="Calibri" w:hAnsi="Calibri"/>
                <w:b/>
                <w:color w:val="1E293B"/>
                <w:sz w:val="18"/>
              </w:rPr>
              <w:t>Placebo Treatment Test</w:t>
            </w:r>
          </w:p>
        </w:tc>
        <w:tc>
          <w:tcPr>
            <w:tcW w:type="dxa" w:w="2592"/>
            <w:shd w:val="clear" w:color="auto" w:fill="FFFFFF"/>
            <w:tcMar>
              <w:top w:w="80" w:type="dxa"/>
              <w:bottom w:w="80" w:type="dxa"/>
              <w:left w:w="140" w:type="dxa"/>
              <w:right w:w="140" w:type="dxa"/>
            </w:tcMar>
          </w:tcPr>
          <w:p>
            <w:r>
              <w:rPr>
                <w:rFonts w:ascii="Calibri" w:hAnsi="Calibri"/>
                <w:color w:val="1E293B"/>
                <w:sz w:val="18"/>
              </w:rPr>
              <w:t>Permutes treatment assignments</w:t>
            </w:r>
          </w:p>
        </w:tc>
        <w:tc>
          <w:tcPr>
            <w:tcW w:type="dxa" w:w="3168"/>
            <w:shd w:val="clear" w:color="auto" w:fill="FFFFFF"/>
            <w:tcMar>
              <w:top w:w="80" w:type="dxa"/>
              <w:bottom w:w="80" w:type="dxa"/>
              <w:left w:w="140" w:type="dxa"/>
              <w:right w:w="140" w:type="dxa"/>
            </w:tcMar>
          </w:tcPr>
          <w:p>
            <w:r>
              <w:rPr>
                <w:rFonts w:ascii="Calibri" w:hAnsi="Calibri"/>
                <w:color w:val="1E293B"/>
                <w:sz w:val="18"/>
              </w:rPr>
              <w:t>p = 0.485 (Effect collapsed to +0.04%)</w:t>
            </w:r>
          </w:p>
        </w:tc>
        <w:tc>
          <w:tcPr>
            <w:tcW w:type="dxa" w:w="1008"/>
            <w:shd w:val="clear" w:color="auto" w:fill="FFFFFF"/>
            <w:tcMar>
              <w:top w:w="80" w:type="dxa"/>
              <w:bottom w:w="80" w:type="dxa"/>
              <w:left w:w="140" w:type="dxa"/>
              <w:right w:w="140" w:type="dxa"/>
            </w:tcMar>
          </w:tcPr>
          <w:p>
            <w:r>
              <w:rPr>
                <w:rFonts w:ascii="Calibri" w:hAnsi="Calibri"/>
                <w:color w:val="1E293B"/>
                <w:sz w:val="18"/>
              </w:rPr>
              <w:t>PASS</w:t>
            </w:r>
          </w:p>
        </w:tc>
      </w:tr>
      <w:tr>
        <w:tc>
          <w:tcPr>
            <w:tcW w:type="dxa" w:w="2592"/>
            <w:shd w:val="clear" w:color="auto" w:fill="F8FAFC"/>
            <w:tcMar>
              <w:top w:w="80" w:type="dxa"/>
              <w:bottom w:w="80" w:type="dxa"/>
              <w:left w:w="140" w:type="dxa"/>
              <w:right w:w="140" w:type="dxa"/>
            </w:tcMar>
          </w:tcPr>
          <w:p>
            <w:r>
              <w:rPr>
                <w:rFonts w:ascii="Calibri" w:hAnsi="Calibri"/>
                <w:b/>
                <w:color w:val="1E293B"/>
                <w:sz w:val="18"/>
              </w:rPr>
              <w:t>Random Confounder Injection</w:t>
            </w:r>
          </w:p>
        </w:tc>
        <w:tc>
          <w:tcPr>
            <w:tcW w:type="dxa" w:w="2592"/>
            <w:shd w:val="clear" w:color="auto" w:fill="F8FAFC"/>
            <w:tcMar>
              <w:top w:w="80" w:type="dxa"/>
              <w:bottom w:w="80" w:type="dxa"/>
              <w:left w:w="140" w:type="dxa"/>
              <w:right w:w="140" w:type="dxa"/>
            </w:tcMar>
          </w:tcPr>
          <w:p>
            <w:r>
              <w:rPr>
                <w:rFonts w:ascii="Calibri" w:hAnsi="Calibri"/>
                <w:color w:val="1E293B"/>
                <w:sz w:val="18"/>
              </w:rPr>
              <w:t>Adds standard normal noise</w:t>
            </w:r>
          </w:p>
        </w:tc>
        <w:tc>
          <w:tcPr>
            <w:tcW w:type="dxa" w:w="3168"/>
            <w:shd w:val="clear" w:color="auto" w:fill="F8FAFC"/>
            <w:tcMar>
              <w:top w:w="80" w:type="dxa"/>
              <w:bottom w:w="80" w:type="dxa"/>
              <w:left w:w="140" w:type="dxa"/>
              <w:right w:w="140" w:type="dxa"/>
            </w:tcMar>
          </w:tcPr>
          <w:p>
            <w:r>
              <w:rPr>
                <w:rFonts w:ascii="Calibri" w:hAnsi="Calibri"/>
                <w:color w:val="1E293B"/>
                <w:sz w:val="18"/>
              </w:rPr>
              <w:t>0.16% relative effect drift (&lt; 5.0%)</w:t>
            </w:r>
          </w:p>
        </w:tc>
        <w:tc>
          <w:tcPr>
            <w:tcW w:type="dxa" w:w="1008"/>
            <w:shd w:val="clear" w:color="auto" w:fill="F8FAFC"/>
            <w:tcMar>
              <w:top w:w="80" w:type="dxa"/>
              <w:bottom w:w="80" w:type="dxa"/>
              <w:left w:w="140" w:type="dxa"/>
              <w:right w:w="140" w:type="dxa"/>
            </w:tcMar>
          </w:tcPr>
          <w:p>
            <w:r>
              <w:rPr>
                <w:rFonts w:ascii="Calibri" w:hAnsi="Calibri"/>
                <w:color w:val="1E293B"/>
                <w:sz w:val="18"/>
              </w:rPr>
              <w:t>PASS</w:t>
            </w:r>
          </w:p>
        </w:tc>
      </w:tr>
      <w:tr>
        <w:tc>
          <w:tcPr>
            <w:tcW w:type="dxa" w:w="2592"/>
            <w:shd w:val="clear" w:color="auto" w:fill="FFFFFF"/>
            <w:tcMar>
              <w:top w:w="80" w:type="dxa"/>
              <w:bottom w:w="80" w:type="dxa"/>
              <w:left w:w="140" w:type="dxa"/>
              <w:right w:w="140" w:type="dxa"/>
            </w:tcMar>
          </w:tcPr>
          <w:p>
            <w:r>
              <w:rPr>
                <w:rFonts w:ascii="Calibri" w:hAnsi="Calibri"/>
                <w:b/>
                <w:color w:val="1E293B"/>
                <w:sz w:val="18"/>
              </w:rPr>
              <w:t>Data Subset Stability</w:t>
            </w:r>
          </w:p>
        </w:tc>
        <w:tc>
          <w:tcPr>
            <w:tcW w:type="dxa" w:w="2592"/>
            <w:shd w:val="clear" w:color="auto" w:fill="FFFFFF"/>
            <w:tcMar>
              <w:top w:w="80" w:type="dxa"/>
              <w:bottom w:w="80" w:type="dxa"/>
              <w:left w:w="140" w:type="dxa"/>
              <w:right w:w="140" w:type="dxa"/>
            </w:tcMar>
          </w:tcPr>
          <w:p>
            <w:r>
              <w:rPr>
                <w:rFonts w:ascii="Calibri" w:hAnsi="Calibri"/>
                <w:color w:val="1E293B"/>
                <w:sz w:val="18"/>
              </w:rPr>
              <w:t>10x 80% bootstrap subsampling</w:t>
            </w:r>
          </w:p>
        </w:tc>
        <w:tc>
          <w:tcPr>
            <w:tcW w:type="dxa" w:w="3168"/>
            <w:shd w:val="clear" w:color="auto" w:fill="FFFFFF"/>
            <w:tcMar>
              <w:top w:w="80" w:type="dxa"/>
              <w:bottom w:w="80" w:type="dxa"/>
              <w:left w:w="140" w:type="dxa"/>
              <w:right w:w="140" w:type="dxa"/>
            </w:tcMar>
          </w:tcPr>
          <w:p>
            <w:r>
              <w:rPr>
                <w:rFonts w:ascii="Calibri" w:hAnsi="Calibri"/>
                <w:color w:val="1E293B"/>
                <w:sz w:val="18"/>
              </w:rPr>
              <w:t>0.03% relative effect drift (&lt; 6.0%)</w:t>
            </w:r>
          </w:p>
        </w:tc>
        <w:tc>
          <w:tcPr>
            <w:tcW w:type="dxa" w:w="1008"/>
            <w:shd w:val="clear" w:color="auto" w:fill="FFFFFF"/>
            <w:tcMar>
              <w:top w:w="80" w:type="dxa"/>
              <w:bottom w:w="80" w:type="dxa"/>
              <w:left w:w="140" w:type="dxa"/>
              <w:right w:w="140" w:type="dxa"/>
            </w:tcMar>
          </w:tcPr>
          <w:p>
            <w:r>
              <w:rPr>
                <w:rFonts w:ascii="Calibri" w:hAnsi="Calibri"/>
                <w:color w:val="1E293B"/>
                <w:sz w:val="18"/>
              </w:rPr>
              <w:t>PASS</w:t>
            </w:r>
          </w:p>
        </w:tc>
      </w:tr>
      <w:tr>
        <w:tc>
          <w:tcPr>
            <w:tcW w:type="dxa" w:w="2592"/>
            <w:shd w:val="clear" w:color="auto" w:fill="F8FAFC"/>
            <w:tcMar>
              <w:top w:w="80" w:type="dxa"/>
              <w:bottom w:w="80" w:type="dxa"/>
              <w:left w:w="140" w:type="dxa"/>
              <w:right w:w="140" w:type="dxa"/>
            </w:tcMar>
          </w:tcPr>
          <w:p>
            <w:r>
              <w:rPr>
                <w:rFonts w:ascii="Calibri" w:hAnsi="Calibri"/>
                <w:b/>
                <w:color w:val="1E293B"/>
                <w:sz w:val="18"/>
              </w:rPr>
              <w:t>Positivity Trimming</w:t>
            </w:r>
          </w:p>
        </w:tc>
        <w:tc>
          <w:tcPr>
            <w:tcW w:type="dxa" w:w="2592"/>
            <w:shd w:val="clear" w:color="auto" w:fill="F8FAFC"/>
            <w:tcMar>
              <w:top w:w="80" w:type="dxa"/>
              <w:bottom w:w="80" w:type="dxa"/>
              <w:left w:w="140" w:type="dxa"/>
              <w:right w:w="140" w:type="dxa"/>
            </w:tcMar>
          </w:tcPr>
          <w:p>
            <w:r>
              <w:rPr>
                <w:rFonts w:ascii="Calibri" w:hAnsi="Calibri"/>
                <w:color w:val="1E293B"/>
                <w:sz w:val="18"/>
              </w:rPr>
              <w:t>Trims extreme tails (0.05-0.95)</w:t>
            </w:r>
          </w:p>
        </w:tc>
        <w:tc>
          <w:tcPr>
            <w:tcW w:type="dxa" w:w="3168"/>
            <w:shd w:val="clear" w:color="auto" w:fill="F8FAFC"/>
            <w:tcMar>
              <w:top w:w="80" w:type="dxa"/>
              <w:bottom w:w="80" w:type="dxa"/>
              <w:left w:w="140" w:type="dxa"/>
              <w:right w:w="140" w:type="dxa"/>
            </w:tcMar>
          </w:tcPr>
          <w:p>
            <w:r>
              <w:rPr>
                <w:rFonts w:ascii="Calibri" w:hAnsi="Calibri"/>
                <w:color w:val="1E293B"/>
                <w:sz w:val="18"/>
              </w:rPr>
              <w:t>0.17% relative effect drift (&lt; 8.0%)</w:t>
            </w:r>
          </w:p>
        </w:tc>
        <w:tc>
          <w:tcPr>
            <w:tcW w:type="dxa" w:w="1008"/>
            <w:shd w:val="clear" w:color="auto" w:fill="F8FAFC"/>
            <w:tcMar>
              <w:top w:w="80" w:type="dxa"/>
              <w:bottom w:w="80" w:type="dxa"/>
              <w:left w:w="140" w:type="dxa"/>
              <w:right w:w="140" w:type="dxa"/>
            </w:tcMar>
          </w:tcPr>
          <w:p>
            <w:r>
              <w:rPr>
                <w:rFonts w:ascii="Calibri" w:hAnsi="Calibri"/>
                <w:color w:val="1E293B"/>
                <w:sz w:val="18"/>
              </w:rPr>
              <w:t>PASS</w:t>
            </w:r>
          </w:p>
        </w:tc>
      </w:tr>
      <w:tr>
        <w:tc>
          <w:tcPr>
            <w:tcW w:type="dxa" w:w="2592"/>
            <w:shd w:val="clear" w:color="auto" w:fill="FFFFFF"/>
            <w:tcMar>
              <w:top w:w="80" w:type="dxa"/>
              <w:bottom w:w="80" w:type="dxa"/>
              <w:left w:w="140" w:type="dxa"/>
              <w:right w:w="140" w:type="dxa"/>
            </w:tcMar>
          </w:tcPr>
          <w:p>
            <w:r>
              <w:rPr>
                <w:rFonts w:ascii="Calibri" w:hAnsi="Calibri"/>
                <w:b/>
                <w:color w:val="1E293B"/>
                <w:sz w:val="18"/>
              </w:rPr>
              <w:t>Residual Permutation Diagnostic</w:t>
            </w:r>
          </w:p>
        </w:tc>
        <w:tc>
          <w:tcPr>
            <w:tcW w:type="dxa" w:w="2592"/>
            <w:shd w:val="clear" w:color="auto" w:fill="FFFFFF"/>
            <w:tcMar>
              <w:top w:w="80" w:type="dxa"/>
              <w:bottom w:w="80" w:type="dxa"/>
              <w:left w:w="140" w:type="dxa"/>
              <w:right w:w="140" w:type="dxa"/>
            </w:tcMar>
          </w:tcPr>
          <w:p>
            <w:r>
              <w:rPr>
                <w:rFonts w:ascii="Calibri" w:hAnsi="Calibri"/>
                <w:color w:val="1E293B"/>
                <w:sz w:val="18"/>
              </w:rPr>
              <w:t>Permutes DML residuals (500 draws)</w:t>
            </w:r>
          </w:p>
        </w:tc>
        <w:tc>
          <w:tcPr>
            <w:tcW w:type="dxa" w:w="3168"/>
            <w:shd w:val="clear" w:color="auto" w:fill="FFFFFF"/>
            <w:tcMar>
              <w:top w:w="80" w:type="dxa"/>
              <w:bottom w:w="80" w:type="dxa"/>
              <w:left w:w="140" w:type="dxa"/>
              <w:right w:w="140" w:type="dxa"/>
            </w:tcMar>
          </w:tcPr>
          <w:p>
            <w:r>
              <w:rPr>
                <w:rFonts w:ascii="Calibri" w:hAnsi="Calibri"/>
                <w:color w:val="1E293B"/>
                <w:sz w:val="18"/>
              </w:rPr>
              <w:t>Observed uplift +14.22% vs null [-2.12%, +2.02%] (p = 0.002)</w:t>
            </w:r>
          </w:p>
        </w:tc>
        <w:tc>
          <w:tcPr>
            <w:tcW w:type="dxa" w:w="1008"/>
            <w:shd w:val="clear" w:color="auto" w:fill="FFFFFF"/>
            <w:tcMar>
              <w:top w:w="80" w:type="dxa"/>
              <w:bottom w:w="80" w:type="dxa"/>
              <w:left w:w="140" w:type="dxa"/>
              <w:right w:w="140" w:type="dxa"/>
            </w:tcMar>
          </w:tcPr>
          <w:p>
            <w:r>
              <w:rPr>
                <w:rFonts w:ascii="Calibri" w:hAnsi="Calibri"/>
                <w:color w:val="1E293B"/>
                <w:sz w:val="18"/>
              </w:rPr>
              <w:t>PASS</w:t>
            </w:r>
          </w:p>
        </w:tc>
      </w:tr>
      <w:tr>
        <w:tc>
          <w:tcPr>
            <w:tcW w:type="dxa" w:w="2592"/>
            <w:shd w:val="clear" w:color="auto" w:fill="F8FAFC"/>
            <w:tcMar>
              <w:top w:w="80" w:type="dxa"/>
              <w:bottom w:w="80" w:type="dxa"/>
              <w:left w:w="140" w:type="dxa"/>
              <w:right w:w="140" w:type="dxa"/>
            </w:tcMar>
          </w:tcPr>
          <w:p>
            <w:r>
              <w:rPr>
                <w:rFonts w:ascii="Calibri" w:hAnsi="Calibri"/>
                <w:b/>
                <w:color w:val="1E293B"/>
                <w:sz w:val="18"/>
              </w:rPr>
              <w:t>Covariate Balance (PSM)</w:t>
            </w:r>
          </w:p>
        </w:tc>
        <w:tc>
          <w:tcPr>
            <w:tcW w:type="dxa" w:w="2592"/>
            <w:shd w:val="clear" w:color="auto" w:fill="F8FAFC"/>
            <w:tcMar>
              <w:top w:w="80" w:type="dxa"/>
              <w:bottom w:w="80" w:type="dxa"/>
              <w:left w:w="140" w:type="dxa"/>
              <w:right w:w="140" w:type="dxa"/>
            </w:tcMar>
          </w:tcPr>
          <w:p>
            <w:r>
              <w:rPr>
                <w:rFonts w:ascii="Calibri" w:hAnsi="Calibri"/>
                <w:color w:val="1E293B"/>
                <w:sz w:val="18"/>
              </w:rPr>
              <w:t>1:1 Caliper Matching (95.9% matched)</w:t>
            </w:r>
          </w:p>
        </w:tc>
        <w:tc>
          <w:tcPr>
            <w:tcW w:type="dxa" w:w="3168"/>
            <w:shd w:val="clear" w:color="auto" w:fill="F8FAFC"/>
            <w:tcMar>
              <w:top w:w="80" w:type="dxa"/>
              <w:bottom w:w="80" w:type="dxa"/>
              <w:left w:w="140" w:type="dxa"/>
              <w:right w:w="140" w:type="dxa"/>
            </w:tcMar>
          </w:tcPr>
          <w:p>
            <w:r>
              <w:rPr>
                <w:rFonts w:ascii="Calibri" w:hAnsi="Calibri"/>
                <w:color w:val="1E293B"/>
                <w:sz w:val="18"/>
              </w:rPr>
              <w:t>|SMD| &lt; 0.022 across all 9 confounders</w:t>
            </w:r>
          </w:p>
        </w:tc>
        <w:tc>
          <w:tcPr>
            <w:tcW w:type="dxa" w:w="1008"/>
            <w:shd w:val="clear" w:color="auto" w:fill="F8FAFC"/>
            <w:tcMar>
              <w:top w:w="80" w:type="dxa"/>
              <w:bottom w:w="80" w:type="dxa"/>
              <w:left w:w="140" w:type="dxa"/>
              <w:right w:w="140" w:type="dxa"/>
            </w:tcMar>
          </w:tcPr>
          <w:p>
            <w:r>
              <w:rPr>
                <w:rFonts w:ascii="Calibri" w:hAnsi="Calibri"/>
                <w:color w:val="1E293B"/>
                <w:sz w:val="18"/>
              </w:rPr>
              <w:t>PASS</w:t>
            </w:r>
          </w:p>
        </w:tc>
      </w:tr>
    </w:tbl>
    <w:p>
      <w:pPr>
        <w:spacing w:after="120"/>
      </w:pPr>
    </w:p>
    <w:p>
      <w:pPr>
        <w:keepNext/>
        <w:spacing w:before="360" w:after="120"/>
      </w:pPr>
      <w:r>
        <w:rPr>
          <w:rFonts w:ascii="Calibri" w:hAnsi="Calibri"/>
          <w:b/>
          <w:color w:val="0F172A"/>
          <w:sz w:val="32"/>
        </w:rPr>
        <w:t>14. Baseline Comparisons &amp; Financial Value Add</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880"/>
            <w:shd w:val="clear" w:color="auto" w:fill="1E293B"/>
            <w:tcMar>
              <w:top w:w="120" w:type="dxa"/>
              <w:bottom w:w="120" w:type="dxa"/>
              <w:left w:w="140" w:type="dxa"/>
              <w:right w:w="140" w:type="dxa"/>
            </w:tcMar>
          </w:tcPr>
          <w:p>
            <w:pPr>
              <w:jc w:val="left"/>
            </w:pPr>
            <w:r>
              <w:rPr>
                <w:rFonts w:ascii="Calibri" w:hAnsi="Calibri"/>
                <w:b/>
                <w:color w:val="FFFFFF"/>
                <w:sz w:val="19"/>
              </w:rPr>
              <w:t>Policy Name</w:t>
            </w:r>
          </w:p>
        </w:tc>
        <w:tc>
          <w:tcPr>
            <w:tcW w:type="dxa" w:w="1296"/>
            <w:shd w:val="clear" w:color="auto" w:fill="1E293B"/>
            <w:tcMar>
              <w:top w:w="120" w:type="dxa"/>
              <w:bottom w:w="120" w:type="dxa"/>
              <w:left w:w="140" w:type="dxa"/>
              <w:right w:w="140" w:type="dxa"/>
            </w:tcMar>
          </w:tcPr>
          <w:p>
            <w:pPr>
              <w:jc w:val="left"/>
            </w:pPr>
            <w:r>
              <w:rPr>
                <w:rFonts w:ascii="Calibri" w:hAnsi="Calibri"/>
                <w:b/>
                <w:color w:val="FFFFFF"/>
                <w:sz w:val="19"/>
              </w:rPr>
              <w:t>Budget</w:t>
            </w:r>
          </w:p>
        </w:tc>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Targeted Shoppers</w:t>
            </w:r>
          </w:p>
        </w:tc>
        <w:tc>
          <w:tcPr>
            <w:tcW w:type="dxa" w:w="1584"/>
            <w:shd w:val="clear" w:color="auto" w:fill="1E293B"/>
            <w:tcMar>
              <w:top w:w="120" w:type="dxa"/>
              <w:bottom w:w="120" w:type="dxa"/>
              <w:left w:w="140" w:type="dxa"/>
              <w:right w:w="140" w:type="dxa"/>
            </w:tcMar>
          </w:tcPr>
          <w:p>
            <w:pPr>
              <w:jc w:val="left"/>
            </w:pPr>
            <w:r>
              <w:rPr>
                <w:rFonts w:ascii="Calibri" w:hAnsi="Calibri"/>
                <w:b/>
                <w:color w:val="FFFFFF"/>
                <w:sz w:val="19"/>
              </w:rPr>
              <w:t>Incremental Orders</w:t>
            </w:r>
          </w:p>
        </w:tc>
        <w:tc>
          <w:tcPr>
            <w:tcW w:type="dxa" w:w="1728"/>
            <w:shd w:val="clear" w:color="auto" w:fill="1E293B"/>
            <w:tcMar>
              <w:top w:w="120" w:type="dxa"/>
              <w:bottom w:w="120" w:type="dxa"/>
              <w:left w:w="140" w:type="dxa"/>
              <w:right w:w="140" w:type="dxa"/>
            </w:tcMar>
          </w:tcPr>
          <w:p>
            <w:pPr>
              <w:jc w:val="left"/>
            </w:pPr>
            <w:r>
              <w:rPr>
                <w:rFonts w:ascii="Calibri" w:hAnsi="Calibri"/>
                <w:b/>
                <w:color w:val="FFFFFF"/>
                <w:sz w:val="19"/>
              </w:rPr>
              <w:t>Incremental Profit</w:t>
            </w:r>
          </w:p>
        </w:tc>
        <w:tc>
          <w:tcPr>
            <w:tcW w:type="dxa" w:w="864"/>
            <w:shd w:val="clear" w:color="auto" w:fill="1E293B"/>
            <w:tcMar>
              <w:top w:w="120" w:type="dxa"/>
              <w:bottom w:w="120" w:type="dxa"/>
              <w:left w:w="140" w:type="dxa"/>
              <w:right w:w="140" w:type="dxa"/>
            </w:tcMar>
          </w:tcPr>
          <w:p>
            <w:pPr>
              <w:jc w:val="left"/>
            </w:pPr>
            <w:r>
              <w:rPr>
                <w:rFonts w:ascii="Calibri" w:hAnsi="Calibri"/>
                <w:b/>
                <w:color w:val="FFFFFF"/>
                <w:sz w:val="19"/>
              </w:rPr>
              <w:t>RODS</w:t>
            </w:r>
          </w:p>
        </w:tc>
      </w:tr>
      <w:tr>
        <w:tc>
          <w:tcPr>
            <w:tcW w:type="dxa" w:w="2880"/>
            <w:shd w:val="clear" w:color="auto" w:fill="FFFFFF"/>
            <w:tcMar>
              <w:top w:w="80" w:type="dxa"/>
              <w:bottom w:w="80" w:type="dxa"/>
              <w:left w:w="140" w:type="dxa"/>
              <w:right w:w="140" w:type="dxa"/>
            </w:tcMar>
          </w:tcPr>
          <w:p>
            <w:r>
              <w:rPr>
                <w:rFonts w:ascii="Calibri" w:hAnsi="Calibri"/>
                <w:b/>
                <w:color w:val="1E293B"/>
                <w:sz w:val="18"/>
              </w:rPr>
              <w:t>DML MILP Optimal Policy</w:t>
            </w:r>
          </w:p>
        </w:tc>
        <w:tc>
          <w:tcPr>
            <w:tcW w:type="dxa" w:w="1296"/>
            <w:shd w:val="clear" w:color="auto" w:fill="FFFFFF"/>
            <w:tcMar>
              <w:top w:w="80" w:type="dxa"/>
              <w:bottom w:w="80" w:type="dxa"/>
              <w:left w:w="140" w:type="dxa"/>
              <w:right w:w="140" w:type="dxa"/>
            </w:tcMar>
          </w:tcPr>
          <w:p>
            <w:r>
              <w:rPr>
                <w:rFonts w:ascii="Calibri" w:hAnsi="Calibri"/>
                <w:color w:val="1E293B"/>
                <w:sz w:val="18"/>
              </w:rPr>
              <w:t>₹50,000.00</w:t>
            </w:r>
          </w:p>
        </w:tc>
        <w:tc>
          <w:tcPr>
            <w:tcW w:type="dxa" w:w="1584"/>
            <w:shd w:val="clear" w:color="auto" w:fill="FFFFFF"/>
            <w:tcMar>
              <w:top w:w="80" w:type="dxa"/>
              <w:bottom w:w="80" w:type="dxa"/>
              <w:left w:w="140" w:type="dxa"/>
              <w:right w:w="140" w:type="dxa"/>
            </w:tcMar>
          </w:tcPr>
          <w:p>
            <w:r>
              <w:rPr>
                <w:rFonts w:ascii="Calibri" w:hAnsi="Calibri"/>
                <w:color w:val="1E293B"/>
                <w:sz w:val="18"/>
              </w:rPr>
              <w:t>4,568 (45.7%)</w:t>
            </w:r>
          </w:p>
        </w:tc>
        <w:tc>
          <w:tcPr>
            <w:tcW w:type="dxa" w:w="1584"/>
            <w:shd w:val="clear" w:color="auto" w:fill="FFFFFF"/>
            <w:tcMar>
              <w:top w:w="80" w:type="dxa"/>
              <w:bottom w:w="80" w:type="dxa"/>
              <w:left w:w="140" w:type="dxa"/>
              <w:right w:w="140" w:type="dxa"/>
            </w:tcMar>
          </w:tcPr>
          <w:p>
            <w:r>
              <w:rPr>
                <w:rFonts w:ascii="Calibri" w:hAnsi="Calibri"/>
                <w:color w:val="1E293B"/>
                <w:sz w:val="18"/>
              </w:rPr>
              <w:t>+829.88</w:t>
            </w:r>
          </w:p>
        </w:tc>
        <w:tc>
          <w:tcPr>
            <w:tcW w:type="dxa" w:w="1728"/>
            <w:shd w:val="clear" w:color="auto" w:fill="FFFFFF"/>
            <w:tcMar>
              <w:top w:w="80" w:type="dxa"/>
              <w:bottom w:w="80" w:type="dxa"/>
              <w:left w:w="140" w:type="dxa"/>
              <w:right w:w="140" w:type="dxa"/>
            </w:tcMar>
          </w:tcPr>
          <w:p>
            <w:r>
              <w:rPr>
                <w:rFonts w:ascii="Calibri" w:hAnsi="Calibri"/>
                <w:color w:val="1E293B"/>
                <w:sz w:val="18"/>
              </w:rPr>
              <w:t>₹3,76,115.07</w:t>
            </w:r>
          </w:p>
        </w:tc>
        <w:tc>
          <w:tcPr>
            <w:tcW w:type="dxa" w:w="864"/>
            <w:shd w:val="clear" w:color="auto" w:fill="FFFFFF"/>
            <w:tcMar>
              <w:top w:w="80" w:type="dxa"/>
              <w:bottom w:w="80" w:type="dxa"/>
              <w:left w:w="140" w:type="dxa"/>
              <w:right w:w="140" w:type="dxa"/>
            </w:tcMar>
          </w:tcPr>
          <w:p>
            <w:r>
              <w:rPr>
                <w:rFonts w:ascii="Calibri" w:hAnsi="Calibri"/>
                <w:color w:val="1E293B"/>
                <w:sz w:val="18"/>
              </w:rPr>
              <w:t>7.52x</w:t>
            </w:r>
          </w:p>
        </w:tc>
      </w:tr>
      <w:tr>
        <w:tc>
          <w:tcPr>
            <w:tcW w:type="dxa" w:w="2880"/>
            <w:shd w:val="clear" w:color="auto" w:fill="F8FAFC"/>
            <w:tcMar>
              <w:top w:w="80" w:type="dxa"/>
              <w:bottom w:w="80" w:type="dxa"/>
              <w:left w:w="140" w:type="dxa"/>
              <w:right w:w="140" w:type="dxa"/>
            </w:tcMar>
          </w:tcPr>
          <w:p>
            <w:r>
              <w:rPr>
                <w:rFonts w:ascii="Calibri" w:hAnsi="Calibri"/>
                <w:b/>
                <w:color w:val="1E293B"/>
                <w:sz w:val="18"/>
              </w:rPr>
              <w:t>Random Allocation Heuristic</w:t>
            </w:r>
          </w:p>
        </w:tc>
        <w:tc>
          <w:tcPr>
            <w:tcW w:type="dxa" w:w="1296"/>
            <w:shd w:val="clear" w:color="auto" w:fill="F8FAFC"/>
            <w:tcMar>
              <w:top w:w="80" w:type="dxa"/>
              <w:bottom w:w="80" w:type="dxa"/>
              <w:left w:w="140" w:type="dxa"/>
              <w:right w:w="140" w:type="dxa"/>
            </w:tcMar>
          </w:tcPr>
          <w:p>
            <w:r>
              <w:rPr>
                <w:rFonts w:ascii="Calibri" w:hAnsi="Calibri"/>
                <w:color w:val="1E293B"/>
                <w:sz w:val="18"/>
              </w:rPr>
              <w:t>₹50,000.00</w:t>
            </w:r>
          </w:p>
        </w:tc>
        <w:tc>
          <w:tcPr>
            <w:tcW w:type="dxa" w:w="1584"/>
            <w:shd w:val="clear" w:color="auto" w:fill="F8FAFC"/>
            <w:tcMar>
              <w:top w:w="80" w:type="dxa"/>
              <w:bottom w:w="80" w:type="dxa"/>
              <w:left w:w="140" w:type="dxa"/>
              <w:right w:w="140" w:type="dxa"/>
            </w:tcMar>
          </w:tcPr>
          <w:p>
            <w:r>
              <w:rPr>
                <w:rFonts w:ascii="Calibri" w:hAnsi="Calibri"/>
                <w:color w:val="1E293B"/>
                <w:sz w:val="18"/>
              </w:rPr>
              <w:t>5,000 (50.0%)</w:t>
            </w:r>
          </w:p>
        </w:tc>
        <w:tc>
          <w:tcPr>
            <w:tcW w:type="dxa" w:w="1584"/>
            <w:shd w:val="clear" w:color="auto" w:fill="F8FAFC"/>
            <w:tcMar>
              <w:top w:w="80" w:type="dxa"/>
              <w:bottom w:w="80" w:type="dxa"/>
              <w:left w:w="140" w:type="dxa"/>
              <w:right w:w="140" w:type="dxa"/>
            </w:tcMar>
          </w:tcPr>
          <w:p>
            <w:r>
              <w:rPr>
                <w:rFonts w:ascii="Calibri" w:hAnsi="Calibri"/>
                <w:color w:val="1E293B"/>
                <w:sz w:val="18"/>
              </w:rPr>
              <w:t>+414.94</w:t>
            </w:r>
          </w:p>
        </w:tc>
        <w:tc>
          <w:tcPr>
            <w:tcW w:type="dxa" w:w="1728"/>
            <w:shd w:val="clear" w:color="auto" w:fill="F8FAFC"/>
            <w:tcMar>
              <w:top w:w="80" w:type="dxa"/>
              <w:bottom w:w="80" w:type="dxa"/>
              <w:left w:w="140" w:type="dxa"/>
              <w:right w:w="140" w:type="dxa"/>
            </w:tcMar>
          </w:tcPr>
          <w:p>
            <w:r>
              <w:rPr>
                <w:rFonts w:ascii="Calibri" w:hAnsi="Calibri"/>
                <w:color w:val="1E293B"/>
                <w:sz w:val="18"/>
              </w:rPr>
              <w:t>₹2,14,350.00</w:t>
            </w:r>
          </w:p>
        </w:tc>
        <w:tc>
          <w:tcPr>
            <w:tcW w:type="dxa" w:w="864"/>
            <w:shd w:val="clear" w:color="auto" w:fill="F8FAFC"/>
            <w:tcMar>
              <w:top w:w="80" w:type="dxa"/>
              <w:bottom w:w="80" w:type="dxa"/>
              <w:left w:w="140" w:type="dxa"/>
              <w:right w:w="140" w:type="dxa"/>
            </w:tcMar>
          </w:tcPr>
          <w:p>
            <w:r>
              <w:rPr>
                <w:rFonts w:ascii="Calibri" w:hAnsi="Calibri"/>
                <w:color w:val="1E293B"/>
                <w:sz w:val="18"/>
              </w:rPr>
              <w:t>4.29x</w:t>
            </w:r>
          </w:p>
        </w:tc>
      </w:tr>
      <w:tr>
        <w:tc>
          <w:tcPr>
            <w:tcW w:type="dxa" w:w="2880"/>
            <w:shd w:val="clear" w:color="auto" w:fill="FFFFFF"/>
            <w:tcMar>
              <w:top w:w="80" w:type="dxa"/>
              <w:bottom w:w="80" w:type="dxa"/>
              <w:left w:w="140" w:type="dxa"/>
              <w:right w:w="140" w:type="dxa"/>
            </w:tcMar>
          </w:tcPr>
          <w:p>
            <w:r>
              <w:rPr>
                <w:rFonts w:ascii="Calibri" w:hAnsi="Calibri"/>
                <w:b/>
                <w:color w:val="1E293B"/>
                <w:sz w:val="18"/>
              </w:rPr>
              <w:t>High Cart-Value Heuristic</w:t>
            </w:r>
          </w:p>
        </w:tc>
        <w:tc>
          <w:tcPr>
            <w:tcW w:type="dxa" w:w="1296"/>
            <w:shd w:val="clear" w:color="auto" w:fill="FFFFFF"/>
            <w:tcMar>
              <w:top w:w="80" w:type="dxa"/>
              <w:bottom w:w="80" w:type="dxa"/>
              <w:left w:w="140" w:type="dxa"/>
              <w:right w:w="140" w:type="dxa"/>
            </w:tcMar>
          </w:tcPr>
          <w:p>
            <w:r>
              <w:rPr>
                <w:rFonts w:ascii="Calibri" w:hAnsi="Calibri"/>
                <w:color w:val="1E293B"/>
                <w:sz w:val="18"/>
              </w:rPr>
              <w:t>₹50,000.00</w:t>
            </w:r>
          </w:p>
        </w:tc>
        <w:tc>
          <w:tcPr>
            <w:tcW w:type="dxa" w:w="1584"/>
            <w:shd w:val="clear" w:color="auto" w:fill="FFFFFF"/>
            <w:tcMar>
              <w:top w:w="80" w:type="dxa"/>
              <w:bottom w:w="80" w:type="dxa"/>
              <w:left w:w="140" w:type="dxa"/>
              <w:right w:w="140" w:type="dxa"/>
            </w:tcMar>
          </w:tcPr>
          <w:p>
            <w:r>
              <w:rPr>
                <w:rFonts w:ascii="Calibri" w:hAnsi="Calibri"/>
                <w:color w:val="1E293B"/>
                <w:sz w:val="18"/>
              </w:rPr>
              <w:t>5,000 (50.0%)</w:t>
            </w:r>
          </w:p>
        </w:tc>
        <w:tc>
          <w:tcPr>
            <w:tcW w:type="dxa" w:w="1584"/>
            <w:shd w:val="clear" w:color="auto" w:fill="FFFFFF"/>
            <w:tcMar>
              <w:top w:w="80" w:type="dxa"/>
              <w:bottom w:w="80" w:type="dxa"/>
              <w:left w:w="140" w:type="dxa"/>
              <w:right w:w="140" w:type="dxa"/>
            </w:tcMar>
          </w:tcPr>
          <w:p>
            <w:r>
              <w:rPr>
                <w:rFonts w:ascii="Calibri" w:hAnsi="Calibri"/>
                <w:color w:val="1E293B"/>
                <w:sz w:val="18"/>
              </w:rPr>
              <w:t>+584.20</w:t>
            </w:r>
          </w:p>
        </w:tc>
        <w:tc>
          <w:tcPr>
            <w:tcW w:type="dxa" w:w="1728"/>
            <w:shd w:val="clear" w:color="auto" w:fill="FFFFFF"/>
            <w:tcMar>
              <w:top w:w="80" w:type="dxa"/>
              <w:bottom w:w="80" w:type="dxa"/>
              <w:left w:w="140" w:type="dxa"/>
              <w:right w:w="140" w:type="dxa"/>
            </w:tcMar>
          </w:tcPr>
          <w:p>
            <w:r>
              <w:rPr>
                <w:rFonts w:ascii="Calibri" w:hAnsi="Calibri"/>
                <w:color w:val="1E293B"/>
                <w:sz w:val="18"/>
              </w:rPr>
              <w:t>₹2,92,800.00</w:t>
            </w:r>
          </w:p>
        </w:tc>
        <w:tc>
          <w:tcPr>
            <w:tcW w:type="dxa" w:w="864"/>
            <w:shd w:val="clear" w:color="auto" w:fill="FFFFFF"/>
            <w:tcMar>
              <w:top w:w="80" w:type="dxa"/>
              <w:bottom w:w="80" w:type="dxa"/>
              <w:left w:w="140" w:type="dxa"/>
              <w:right w:w="140" w:type="dxa"/>
            </w:tcMar>
          </w:tcPr>
          <w:p>
            <w:r>
              <w:rPr>
                <w:rFonts w:ascii="Calibri" w:hAnsi="Calibri"/>
                <w:color w:val="1E293B"/>
                <w:sz w:val="18"/>
              </w:rPr>
              <w:t>5.86x</w:t>
            </w:r>
          </w:p>
        </w:tc>
      </w:tr>
      <w:tr>
        <w:tc>
          <w:tcPr>
            <w:tcW w:type="dxa" w:w="2880"/>
            <w:shd w:val="clear" w:color="auto" w:fill="F8FAFC"/>
            <w:tcMar>
              <w:top w:w="80" w:type="dxa"/>
              <w:bottom w:w="80" w:type="dxa"/>
              <w:left w:w="140" w:type="dxa"/>
              <w:right w:w="140" w:type="dxa"/>
            </w:tcMar>
          </w:tcPr>
          <w:p>
            <w:r>
              <w:rPr>
                <w:rFonts w:ascii="Calibri" w:hAnsi="Calibri"/>
                <w:b/>
                <w:color w:val="1E293B"/>
                <w:sz w:val="18"/>
              </w:rPr>
              <w:t>Flat Blanket Heuristic</w:t>
            </w:r>
          </w:p>
        </w:tc>
        <w:tc>
          <w:tcPr>
            <w:tcW w:type="dxa" w:w="1296"/>
            <w:shd w:val="clear" w:color="auto" w:fill="F8FAFC"/>
            <w:tcMar>
              <w:top w:w="80" w:type="dxa"/>
              <w:bottom w:w="80" w:type="dxa"/>
              <w:left w:w="140" w:type="dxa"/>
              <w:right w:w="140" w:type="dxa"/>
            </w:tcMar>
          </w:tcPr>
          <w:p>
            <w:r>
              <w:rPr>
                <w:rFonts w:ascii="Calibri" w:hAnsi="Calibri"/>
                <w:color w:val="1E293B"/>
                <w:sz w:val="18"/>
              </w:rPr>
              <w:t>₹50,000.00</w:t>
            </w:r>
          </w:p>
        </w:tc>
        <w:tc>
          <w:tcPr>
            <w:tcW w:type="dxa" w:w="1584"/>
            <w:shd w:val="clear" w:color="auto" w:fill="F8FAFC"/>
            <w:tcMar>
              <w:top w:w="80" w:type="dxa"/>
              <w:bottom w:w="80" w:type="dxa"/>
              <w:left w:w="140" w:type="dxa"/>
              <w:right w:w="140" w:type="dxa"/>
            </w:tcMar>
          </w:tcPr>
          <w:p>
            <w:r>
              <w:rPr>
                <w:rFonts w:ascii="Calibri" w:hAnsi="Calibri"/>
                <w:color w:val="1E293B"/>
                <w:sz w:val="18"/>
              </w:rPr>
              <w:t>5,000 (50.0%)</w:t>
            </w:r>
          </w:p>
        </w:tc>
        <w:tc>
          <w:tcPr>
            <w:tcW w:type="dxa" w:w="1584"/>
            <w:shd w:val="clear" w:color="auto" w:fill="F8FAFC"/>
            <w:tcMar>
              <w:top w:w="80" w:type="dxa"/>
              <w:bottom w:w="80" w:type="dxa"/>
              <w:left w:w="140" w:type="dxa"/>
              <w:right w:w="140" w:type="dxa"/>
            </w:tcMar>
          </w:tcPr>
          <w:p>
            <w:r>
              <w:rPr>
                <w:rFonts w:ascii="Calibri" w:hAnsi="Calibri"/>
                <w:color w:val="1E293B"/>
                <w:sz w:val="18"/>
              </w:rPr>
              <w:t>+414.94</w:t>
            </w:r>
          </w:p>
        </w:tc>
        <w:tc>
          <w:tcPr>
            <w:tcW w:type="dxa" w:w="1728"/>
            <w:shd w:val="clear" w:color="auto" w:fill="F8FAFC"/>
            <w:tcMar>
              <w:top w:w="80" w:type="dxa"/>
              <w:bottom w:w="80" w:type="dxa"/>
              <w:left w:w="140" w:type="dxa"/>
              <w:right w:w="140" w:type="dxa"/>
            </w:tcMar>
          </w:tcPr>
          <w:p>
            <w:r>
              <w:rPr>
                <w:rFonts w:ascii="Calibri" w:hAnsi="Calibri"/>
                <w:color w:val="1E293B"/>
                <w:sz w:val="18"/>
              </w:rPr>
              <w:t>₹2,14,350.00</w:t>
            </w:r>
          </w:p>
        </w:tc>
        <w:tc>
          <w:tcPr>
            <w:tcW w:type="dxa" w:w="864"/>
            <w:shd w:val="clear" w:color="auto" w:fill="F8FAFC"/>
            <w:tcMar>
              <w:top w:w="80" w:type="dxa"/>
              <w:bottom w:w="80" w:type="dxa"/>
              <w:left w:w="140" w:type="dxa"/>
              <w:right w:w="140" w:type="dxa"/>
            </w:tcMar>
          </w:tcPr>
          <w:p>
            <w:r>
              <w:rPr>
                <w:rFonts w:ascii="Calibri" w:hAnsi="Calibri"/>
                <w:color w:val="1E293B"/>
                <w:sz w:val="18"/>
              </w:rPr>
              <w:t>4.29x</w:t>
            </w:r>
          </w:p>
        </w:tc>
      </w:tr>
    </w:tbl>
    <w:p>
      <w:pPr>
        <w:spacing w:after="120"/>
      </w:pPr>
    </w:p>
    <w:p>
      <w:pPr>
        <w:spacing w:after="120" w:line="276" w:lineRule="auto"/>
      </w:pPr>
      <w:r>
        <w:rPr>
          <w:rFonts w:ascii="Calibri" w:hAnsi="Calibri"/>
          <w:color w:val="334155"/>
          <w:sz w:val="21"/>
        </w:rPr>
        <w:t>The DML MILP policy achieves +₹1,61,765.07 in net incremental profit (+75.5% financial lift) over random targeting, proving the quantitative business case for causal machine learning.</w:t>
      </w:r>
    </w:p>
    <w:p>
      <w:pPr>
        <w:keepNext/>
        <w:spacing w:before="360" w:after="120"/>
      </w:pPr>
      <w:r>
        <w:rPr>
          <w:rFonts w:ascii="Calibri" w:hAnsi="Calibri"/>
          <w:b/>
          <w:color w:val="0F172A"/>
          <w:sz w:val="32"/>
        </w:rPr>
        <w:t>15. Limitations &amp; Assumptions</w:t>
      </w:r>
    </w:p>
    <w:p>
      <w:pPr>
        <w:spacing w:after="120" w:line="276" w:lineRule="auto"/>
      </w:pPr>
      <w:r>
        <w:rPr>
          <w:rFonts w:ascii="Calibri" w:hAnsi="Calibri"/>
          <w:color w:val="334155"/>
          <w:sz w:val="21"/>
        </w:rPr>
        <w:t>While empirical refutation tests confirm robustness on observable covariates, observational methods cannot mathematically prove the complete absence of unobserved confounding without randomized A/B experimentation. Deployment in live enterprise environments should begin with a staggered 10% A/B rollout.</w:t>
      </w:r>
    </w:p>
    <w:p>
      <w:pPr>
        <w:keepNext/>
        <w:spacing w:before="360" w:after="120"/>
      </w:pPr>
      <w:r>
        <w:rPr>
          <w:rFonts w:ascii="Calibri" w:hAnsi="Calibri"/>
          <w:b/>
          <w:color w:val="0F172A"/>
          <w:sz w:val="32"/>
        </w:rPr>
        <w:t>16. Ethical Considerations &amp; Deployment Risks</w:t>
      </w:r>
    </w:p>
    <w:p>
      <w:pPr>
        <w:spacing w:after="120" w:line="276" w:lineRule="auto"/>
      </w:pPr>
      <w:r>
        <w:rPr>
          <w:rFonts w:ascii="Calibri" w:hAnsi="Calibri"/>
          <w:color w:val="334155"/>
          <w:sz w:val="21"/>
        </w:rPr>
        <w:t>Dynamic personalized discounting presents potential fairness risks if demographic attributes correlate with pricing sensitivity. EconoCausal controls for this by excluding protected demographic classes from targeting algorithms and enforcing strict maximum discount depth limits (&lt;= 25% of basket value) to prevent predatory pricing.</w:t>
      </w:r>
    </w:p>
    <w:p>
      <w:pPr>
        <w:keepNext/>
        <w:spacing w:before="360" w:after="120"/>
      </w:pPr>
      <w:r>
        <w:rPr>
          <w:rFonts w:ascii="Calibri" w:hAnsi="Calibri"/>
          <w:b/>
          <w:color w:val="0F172A"/>
          <w:sz w:val="32"/>
        </w:rPr>
        <w:t>17. Conclusion &amp; Future Work</w:t>
      </w:r>
    </w:p>
    <w:p>
      <w:pPr>
        <w:spacing w:after="120" w:line="276" w:lineRule="auto"/>
      </w:pPr>
      <w:r>
        <w:rPr>
          <w:rFonts w:ascii="Calibri" w:hAnsi="Calibri"/>
          <w:color w:val="334155"/>
          <w:sz w:val="21"/>
        </w:rPr>
        <w:t>The EconoCausal capstone successfully demonstrates that combining Double Machine Learning with Mixed-Integer Linear Programming bridges the gap between statistical inference and operational decision-making. Future extensions include multi-product cross-elasticity modeling, contextual multi-armed bandits, and deep instrumental variable networks.</w:t>
      </w:r>
    </w:p>
    <w:p>
      <w:pPr>
        <w:keepNext/>
        <w:spacing w:before="360" w:after="120"/>
      </w:pPr>
      <w:r>
        <w:rPr>
          <w:rFonts w:ascii="Calibri" w:hAnsi="Calibri"/>
          <w:b/>
          <w:color w:val="0F172A"/>
          <w:sz w:val="32"/>
        </w:rPr>
        <w:t>18. References</w:t>
      </w:r>
    </w:p>
    <w:p>
      <w:pPr>
        <w:pStyle w:val="ListBullet"/>
        <w:spacing w:after="80" w:line="276" w:lineRule="auto"/>
      </w:pPr>
      <w:r>
        <w:rPr>
          <w:rFonts w:ascii="Calibri" w:hAnsi="Calibri"/>
          <w:color w:val="334155"/>
          <w:sz w:val="20"/>
        </w:rPr>
        <w:t>Chernozhukov, V., et al. (2018). 'Double/debiased machine learning for treatment and structural parameters.' The Econometrics Journal, 21(1), C1-C68.</w:t>
      </w:r>
    </w:p>
    <w:p>
      <w:pPr>
        <w:pStyle w:val="ListBullet"/>
        <w:spacing w:after="80" w:line="276" w:lineRule="auto"/>
      </w:pPr>
      <w:r>
        <w:rPr>
          <w:rFonts w:ascii="Calibri" w:hAnsi="Calibri"/>
          <w:color w:val="334155"/>
          <w:sz w:val="20"/>
        </w:rPr>
        <w:t>Athey, S., &amp; Imbens, G. W. (2016). 'Recursive partitioning for heterogeneous causal effects.' PNAS, 113(27), 7353-7360.</w:t>
      </w:r>
    </w:p>
    <w:p>
      <w:pPr>
        <w:pStyle w:val="ListBullet"/>
        <w:spacing w:after="80" w:line="276" w:lineRule="auto"/>
      </w:pPr>
      <w:r>
        <w:rPr>
          <w:rFonts w:ascii="Calibri" w:hAnsi="Calibri"/>
          <w:color w:val="334155"/>
          <w:sz w:val="20"/>
        </w:rPr>
        <w:t>Sharma, A., &amp; Kiciman, E. (2020). 'DoWhy: An end-to-end library for causal inference.' Microsoft Research.</w:t>
      </w:r>
    </w:p>
    <w:p>
      <w:pPr>
        <w:pStyle w:val="ListBullet"/>
        <w:spacing w:after="80" w:line="276" w:lineRule="auto"/>
      </w:pPr>
      <w:r>
        <w:rPr>
          <w:rFonts w:ascii="Calibri" w:hAnsi="Calibri"/>
          <w:color w:val="334155"/>
          <w:sz w:val="20"/>
        </w:rPr>
        <w:t>Rubin, D. B. (2005). 'Causal inference using potential outcomes.' JASA, 100(469), 322-331.</w:t>
      </w:r>
    </w:p>
    <w:p>
      <w:pPr>
        <w:pStyle w:val="ListBullet"/>
        <w:spacing w:after="80" w:line="276" w:lineRule="auto"/>
      </w:pPr>
      <w:r>
        <w:rPr>
          <w:rFonts w:ascii="Calibri" w:hAnsi="Calibri"/>
          <w:color w:val="334155"/>
          <w:sz w:val="20"/>
        </w:rPr>
        <w:t>Virtanen, P., et al. (2020). 'SciPy 1.0: Fundamental Algorithms for Scientific Computing in Python.' Nature Methods, 17, 261-272.</w:t>
      </w:r>
    </w:p>
    <w:p>
      <w:pPr>
        <w:keepNext/>
        <w:spacing w:before="360" w:after="120"/>
      </w:pPr>
      <w:r>
        <w:rPr>
          <w:rFonts w:ascii="Calibri" w:hAnsi="Calibri"/>
          <w:b/>
          <w:color w:val="0F172A"/>
          <w:sz w:val="32"/>
        </w:rPr>
        <w:t>19. Appendix: Test Commands &amp; Verification Suite</w:t>
      </w:r>
    </w:p>
    <w:p>
      <w:pPr>
        <w:spacing w:after="120" w:line="276" w:lineRule="auto"/>
      </w:pPr>
      <w:r>
        <w:rPr>
          <w:rFonts w:ascii="Calibri" w:hAnsi="Calibri"/>
          <w:color w:val="334155"/>
          <w:sz w:val="21"/>
        </w:rPr>
        <w:t>The repository defines 66 distinct automated unit test cases, of which 64 are safe runnable regression tests (with 2 tests permanently quarantined against benchmark data leakage):</w:t>
      </w:r>
    </w:p>
    <w:p>
      <w:pPr>
        <w:pStyle w:val="ListBullet"/>
        <w:spacing w:after="80" w:line="276" w:lineRule="auto"/>
      </w:pPr>
      <w:r>
        <w:rPr>
          <w:rFonts w:ascii="Calibri" w:hAnsi="Calibri"/>
          <w:color w:val="334155"/>
          <w:sz w:val="20"/>
        </w:rPr>
        <w:t>python -m unittest 02_Causal_ML.test_dml.TestDoubleMachineLearning.test_01_missing_file_handling 02_Causal_ML.test_dml.TestDoubleMachineLearning.test_02_anti_leakage_safeguard 02_Causal_ML.test_dml.TestDoubleMachineLearning.test_05_production_artifacts_unmodified  --&gt;  3 Safe Tests (test_05 passed live; test_01, test_02 WDAC-constrained; test_03, test_04 quarantined)</w:t>
      </w:r>
    </w:p>
    <w:p>
      <w:pPr>
        <w:pStyle w:val="ListBullet"/>
        <w:spacing w:after="80" w:line="276" w:lineRule="auto"/>
      </w:pPr>
      <w:r>
        <w:rPr>
          <w:rFonts w:ascii="Calibri" w:hAnsi="Calibri"/>
          <w:color w:val="334155"/>
          <w:sz w:val="20"/>
        </w:rPr>
        <w:t>python -m unittest 03_Backend_Optimization/test_optimizer.py  --&gt;  13/13 LIVE PASS (23.8s)</w:t>
      </w:r>
    </w:p>
    <w:p>
      <w:pPr>
        <w:pStyle w:val="ListBullet"/>
        <w:spacing w:after="80" w:line="276" w:lineRule="auto"/>
      </w:pPr>
      <w:r>
        <w:rPr>
          <w:rFonts w:ascii="Calibri" w:hAnsi="Calibri"/>
          <w:color w:val="334155"/>
          <w:sz w:val="20"/>
        </w:rPr>
        <w:t>python -B -m unittest 03_Backend_Optimization/test_validation.py  --&gt;  14 Tests (Historical Pass; Host WDAC Constrained in L8)</w:t>
      </w:r>
    </w:p>
    <w:p>
      <w:pPr>
        <w:pStyle w:val="ListBullet"/>
        <w:spacing w:after="80" w:line="276" w:lineRule="auto"/>
      </w:pPr>
      <w:r>
        <w:rPr>
          <w:rFonts w:ascii="Calibri" w:hAnsi="Calibri"/>
          <w:color w:val="334155"/>
          <w:sz w:val="20"/>
        </w:rPr>
        <w:t>python -m unittest 04_Frontend_Dashboard/backend/test_api.py  --&gt;  34 Tests (33 LIVE PASS; test_19 WDAC-constrained)</w:t>
      </w:r>
    </w:p>
    <w:p>
      <w:pPr>
        <w:pStyle w:val="ListBullet"/>
        <w:spacing w:after="80" w:line="276" w:lineRule="auto"/>
      </w:pPr>
      <w:r>
        <w:rPr>
          <w:rFonts w:ascii="Calibri" w:hAnsi="Calibri"/>
          <w:color w:val="334155"/>
          <w:sz w:val="20"/>
        </w:rPr>
        <w:t>python 01_Dataset_Analysis/inspect_dataset.py --path 01_Dataset_Analysis/cleaned_pricing_data.csv  --&gt;  LIVE PASS (10,000 rows, 16 cols)</w:t>
      </w:r>
    </w:p>
    <w:p>
      <w:pPr>
        <w:pStyle w:val="ListBullet"/>
        <w:spacing w:after="80" w:line="276" w:lineRule="auto"/>
      </w:pPr>
      <w:r>
        <w:rPr>
          <w:rFonts w:ascii="Calibri" w:hAnsi="Calibri"/>
          <w:color w:val="334155"/>
          <w:sz w:val="20"/>
        </w:rPr>
        <w:t>cd 04_Frontend_Dashboard &amp;&amp; npm run build  --&gt;  Vite Production Build LIVE PASS (2.22s, 0 errors)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