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200"/>
        <w:jc w:val="center"/>
      </w:pPr>
      <w:r>
        <w:rPr>
          <w:rFonts w:ascii="Aptos" w:hAnsi="Aptos"/>
          <w:b/>
          <w:color w:val="B45309"/>
          <w:sz w:val="20"/>
        </w:rPr>
        <w:t>ORDERUP CASE STUDY</w:t>
      </w:r>
    </w:p>
    <w:p>
      <w:pPr>
        <w:spacing w:after="240"/>
        <w:jc w:val="center"/>
      </w:pPr>
      <w:r>
        <w:rPr>
          <w:rFonts w:ascii="Aptos Display" w:hAnsi="Aptos Display"/>
          <w:b/>
          <w:color w:val="17324D"/>
          <w:sz w:val="56"/>
        </w:rPr>
        <w:t>From Deterministic Ecommerce</w:t>
        <w:br/>
        <w:t>to an Ontology-Based AI Platform</w:t>
      </w:r>
    </w:p>
    <w:p>
      <w:pPr>
        <w:spacing w:after="600"/>
        <w:jc w:val="center"/>
      </w:pPr>
      <w:r>
        <w:rPr>
          <w:rFonts w:ascii="Aptos" w:hAnsi="Aptos"/>
          <w:color w:val="245B78"/>
          <w:sz w:val="26"/>
        </w:rPr>
        <w:t>Future-state architecture, nondeterministic capabilities, LLM and voice strategy, governance, and migration roadmap</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7"/>
          </w:tcPr>
          <w:p>
            <w:pPr>
              <w:spacing w:after="60"/>
            </w:pPr>
            <w:r>
              <w:rPr>
                <w:rFonts w:ascii="Aptos" w:hAnsi="Aptos"/>
                <w:b/>
                <w:color w:val="245B78"/>
                <w:sz w:val="18"/>
              </w:rPr>
              <w:t>ARCHITECTURE THESIS</w:t>
            </w:r>
          </w:p>
          <w:p>
            <w:pPr>
              <w:spacing w:after="0"/>
            </w:pPr>
            <w:r>
              <w:rPr>
                <w:rFonts w:ascii="Aptos" w:hAnsi="Aptos"/>
                <w:color w:val="1F2937"/>
                <w:sz w:val="21"/>
              </w:rPr>
              <w:t>Preserve the existing Node.js and MySQL transaction system as the deterministic authority. Add an event-driven operational ontology, model platform, and governed action layer around it so AI can understand context, recommend decisions, and automate only within explicit policy boundaries.</w:t>
            </w:r>
          </w:p>
        </w:tc>
      </w:tr>
    </w:tbl>
    <w:p>
      <w:pPr>
        <w:spacing w:after="0"/>
      </w:pPr>
    </w:p>
    <w:p>
      <w:pPr>
        <w:spacing w:after="920"/>
      </w:pPr>
    </w:p>
    <w:p>
      <w:pPr>
        <w:jc w:val="center"/>
      </w:pPr>
      <w:r>
        <w:rPr>
          <w:rFonts w:ascii="Aptos" w:hAnsi="Aptos"/>
          <w:color w:val="667085"/>
          <w:sz w:val="20"/>
        </w:rPr>
        <w:t>Prepared as an AI architecture research case study</w:t>
        <w:br/>
        <w:t>Repository reviewed read-only; no application code changed</w:t>
        <w:br/>
        <w:t>1 August 2026</w:t>
      </w:r>
    </w:p>
    <w:p>
      <w:r>
        <w:br w:type="page"/>
      </w:r>
    </w:p>
    <w:p>
      <w:pPr>
        <w:pStyle w:val="Heading1"/>
      </w:pPr>
      <w:r>
        <w:t>Executive summary</w:t>
      </w:r>
    </w:p>
    <w:p>
      <w:pPr/>
      <w:r>
        <w:rPr>
          <w:rFonts w:ascii="Aptos" w:hAnsi="Aptos"/>
          <w:color w:val="1F2937"/>
        </w:rPr>
        <w:t>OrderUp is a multi-persona ecommerce and fulfillment platform serving customers, store managers, delivery agents, and platform managers through Flutter mobile/web experiences and a React administration portal. Its Node.js/Express API and MySQL database implement the operational system of record for identity, catalog, inventory, carts, orders, delivery, telemetry, notifications, returns, claims, and reviews.</w:t>
      </w:r>
    </w:p>
    <w:p>
      <w:pPr/>
      <w:r>
        <w:rPr>
          <w:rFonts w:ascii="Aptos" w:hAnsi="Aptos"/>
          <w:color w:val="1F2937"/>
        </w:rPr>
        <w:t>The recommended future state is not to replace this core with a graph database or an LLM. Instead, OrderUp should build an operational ontology as a semantic digital twin of commerce activity, synchronized through reliable domain events. Specialized prediction models and LLMs can reason over that context, while a governed action gateway sends validated commands back through the existing API.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7F5F3"/>
          </w:tcPr>
          <w:p>
            <w:pPr>
              <w:spacing w:after="60"/>
            </w:pPr>
            <w:r>
              <w:rPr>
                <w:rFonts w:ascii="Aptos" w:hAnsi="Aptos"/>
                <w:b/>
                <w:color w:val="087F78"/>
                <w:sz w:val="18"/>
              </w:rPr>
              <w:t>RECOMMENDED DIRECTION</w:t>
            </w:r>
          </w:p>
          <w:p>
            <w:pPr>
              <w:spacing w:after="0"/>
            </w:pPr>
            <w:r>
              <w:rPr>
                <w:rFonts w:ascii="Aptos" w:hAnsi="Aptos"/>
                <w:color w:val="1F2937"/>
                <w:sz w:val="21"/>
              </w:rPr>
              <w:t>Build an ontology-enabled intelligence plane around the deterministic core. Let AI read broadly, reason probabilistically, and propose narrowly; let deterministic services validate and commit every consequential business transaction.</w:t>
            </w:r>
          </w:p>
        </w:tc>
      </w:tr>
    </w:tbl>
    <w:p>
      <w:pPr>
        <w:spacing w:after="0"/>
      </w:pPr>
    </w:p>
    <w:p>
      <w:pPr>
        <w:pStyle w:val="Heading2"/>
      </w:pPr>
      <w:r>
        <w:t>Expected business value</w:t>
      </w:r>
    </w:p>
    <w:p>
      <w:pPr>
        <w:pStyle w:val="ListBullet"/>
      </w:pPr>
      <w:r>
        <w:rPr>
          <w:rFonts w:ascii="Aptos" w:hAnsi="Aptos"/>
          <w:color w:val="1F2937"/>
        </w:rPr>
        <w:t>More relevant product discovery and contextual customer assistance.</w:t>
      </w:r>
    </w:p>
    <w:p>
      <w:pPr>
        <w:pStyle w:val="ListBullet"/>
      </w:pPr>
      <w:r>
        <w:rPr>
          <w:rFonts w:ascii="Aptos" w:hAnsi="Aptos"/>
          <w:color w:val="1F2937"/>
        </w:rPr>
        <w:t>Better delivery assignment, routing, ETA prediction, and exception handling.</w:t>
      </w:r>
    </w:p>
    <w:p>
      <w:pPr>
        <w:pStyle w:val="ListBullet"/>
      </w:pPr>
      <w:r>
        <w:rPr>
          <w:rFonts w:ascii="Aptos" w:hAnsi="Aptos"/>
          <w:color w:val="1F2937"/>
        </w:rPr>
        <w:t>Demand forecasting, replenishment support, and inventory-risk visibility for stores.</w:t>
      </w:r>
    </w:p>
    <w:p>
      <w:pPr>
        <w:pStyle w:val="ListBullet"/>
      </w:pPr>
      <w:r>
        <w:rPr>
          <w:rFonts w:ascii="Aptos" w:hAnsi="Aptos"/>
          <w:color w:val="1F2937"/>
        </w:rPr>
        <w:t>Cross-domain operational intelligence for platform managers without manually joining many tables.</w:t>
      </w:r>
    </w:p>
    <w:p>
      <w:pPr>
        <w:pStyle w:val="ListBullet"/>
      </w:pPr>
      <w:r>
        <w:rPr>
          <w:rFonts w:ascii="Aptos" w:hAnsi="Aptos"/>
          <w:color w:val="1F2937"/>
        </w:rPr>
        <w:t>A safe foundation for conversational and voice agents across all four personas.</w:t>
      </w:r>
    </w:p>
    <w:p>
      <w:pPr>
        <w:pStyle w:val="ListBullet"/>
      </w:pPr>
      <w:r>
        <w:rPr>
          <w:rFonts w:ascii="Aptos" w:hAnsi="Aptos"/>
          <w:color w:val="1F2937"/>
        </w:rPr>
        <w:t>Faster evolution of AI models because semantic contracts are separated from transactional schemas.</w:t>
      </w:r>
    </w:p>
    <w:p>
      <w:pPr>
        <w:pStyle w:val="Heading2"/>
      </w:pPr>
      <w:r>
        <w:t>Principal recommendation</w:t>
      </w:r>
    </w:p>
    <w:p>
      <w:pPr/>
      <w:r>
        <w:rPr>
          <w:rFonts w:ascii="Aptos" w:hAnsi="Aptos"/>
          <w:color w:val="1F2937"/>
        </w:rPr>
        <w:t>Start with an order-store-inventory-delivery-temperature ontology. This domain has the strongest relationships in the present platform and supports valuable, measurable, comparatively low-risk use cases: ETA prediction, delivery-agent ranking, fulfillment exception detection, cold-chain risk, and operational root-cause analysis.</w:t>
      </w:r>
    </w:p>
    <w:p>
      <w:pPr>
        <w:pStyle w:val="Heading1"/>
      </w:pPr>
      <w:r>
        <w:t>Scope and evidence</w:t>
      </w:r>
    </w:p>
    <w:p>
      <w:pPr/>
      <w:r>
        <w:rPr>
          <w:rFonts w:ascii="Aptos" w:hAnsi="Aptos"/>
          <w:color w:val="1F2937"/>
        </w:rPr>
        <w:t>This case study is based on a read-only inspection of the provided OrderUp repository. The assessment considered the Flutter application, React administration portal, Node.js API, reverse-engineered MySQL schema, route/controller/model organization, order-state handling, delivery assignment, notifications, and temperature/location records. No source files, schemas, or runtime configuration were changed.</w:t>
      </w:r>
    </w:p>
    <w:p>
      <w:pPr>
        <w:pStyle w:val="Heading1"/>
      </w:pPr>
      <w:r>
        <w:t>Current platform at a glance</w:t>
      </w:r>
    </w:p>
    <w:tbl>
      <w:tblPr>
        <w:tblStyle w:val="TableGrid"/>
        <w:tblW w:type="dxa" w:w="9360"/>
        <w:jc w:val="center"/>
        <w:tblLayout w:type="fixed"/>
        <w:tblLook w:firstColumn="1" w:firstRow="1" w:lastColumn="0" w:lastRow="0" w:noHBand="0" w:noVBand="1" w:val="04A0"/>
        <w:tblInd w:w="120" w:type="dxa"/>
      </w:tblPr>
      <w:tblGrid>
        <w:gridCol w:w="1800"/>
        <w:gridCol w:w="3380"/>
        <w:gridCol w:w="4180"/>
      </w:tblGrid>
      <w:tr>
        <w:trPr>
          <w:tblHeader w:val="true"/>
        </w:trPr>
        <w:tc>
          <w:tcPr>
            <w:tcW w:type="dxa" w:w="1800"/>
            <w:shd w:fill="17324D"/>
            <w:tcMar>
              <w:top w:w="90" w:type="dxa"/>
              <w:start w:w="120" w:type="dxa"/>
              <w:bottom w:w="90" w:type="dxa"/>
              <w:end w:w="120" w:type="dxa"/>
            </w:tcMar>
            <w:vAlign w:val="center"/>
          </w:tcPr>
          <w:p>
            <w:pPr>
              <w:jc w:val="left"/>
            </w:pPr>
            <w:r>
              <w:rPr>
                <w:rFonts w:ascii="Aptos" w:hAnsi="Aptos"/>
                <w:b/>
                <w:color w:val="FFFFFF"/>
                <w:sz w:val="18"/>
              </w:rPr>
              <w:t>Area</w:t>
            </w:r>
          </w:p>
        </w:tc>
        <w:tc>
          <w:tcPr>
            <w:tcW w:type="dxa" w:w="3380"/>
            <w:shd w:fill="17324D"/>
            <w:tcMar>
              <w:top w:w="90" w:type="dxa"/>
              <w:start w:w="120" w:type="dxa"/>
              <w:bottom w:w="90" w:type="dxa"/>
              <w:end w:w="120" w:type="dxa"/>
            </w:tcMar>
            <w:vAlign w:val="center"/>
          </w:tcPr>
          <w:p>
            <w:pPr>
              <w:jc w:val="left"/>
            </w:pPr>
            <w:r>
              <w:rPr>
                <w:rFonts w:ascii="Aptos" w:hAnsi="Aptos"/>
                <w:b/>
                <w:color w:val="FFFFFF"/>
                <w:sz w:val="18"/>
              </w:rPr>
              <w:t>Observed implementation</w:t>
            </w:r>
          </w:p>
        </w:tc>
        <w:tc>
          <w:tcPr>
            <w:tcW w:type="dxa" w:w="4180"/>
            <w:shd w:fill="17324D"/>
            <w:tcMar>
              <w:top w:w="90" w:type="dxa"/>
              <w:start w:w="120" w:type="dxa"/>
              <w:bottom w:w="90" w:type="dxa"/>
              <w:end w:w="120" w:type="dxa"/>
            </w:tcMar>
            <w:vAlign w:val="center"/>
          </w:tcPr>
          <w:p>
            <w:pPr>
              <w:jc w:val="left"/>
            </w:pPr>
            <w:r>
              <w:rPr>
                <w:rFonts w:ascii="Aptos" w:hAnsi="Aptos"/>
                <w:b/>
                <w:color w:val="FFFFFF"/>
                <w:sz w:val="18"/>
              </w:rPr>
              <w:t>Architectural implication</w:t>
            </w:r>
          </w:p>
        </w:tc>
      </w:tr>
      <w:tr>
        <w:tc>
          <w:tcPr>
            <w:tcW w:type="dxa" w:w="1800"/>
            <w:tcMar>
              <w:top w:w="90" w:type="dxa"/>
              <w:start w:w="120" w:type="dxa"/>
              <w:bottom w:w="90" w:type="dxa"/>
              <w:end w:w="120" w:type="dxa"/>
            </w:tcMar>
            <w:vAlign w:val="center"/>
          </w:tcPr>
          <w:p>
            <w:r>
              <w:rPr>
                <w:rFonts w:ascii="Aptos" w:hAnsi="Aptos"/>
                <w:color w:val="1F2937"/>
                <w:sz w:val="18"/>
              </w:rPr>
              <w:t>Experiences</w:t>
            </w:r>
          </w:p>
        </w:tc>
        <w:tc>
          <w:tcPr>
            <w:tcW w:type="dxa" w:w="3380"/>
            <w:tcMar>
              <w:top w:w="90" w:type="dxa"/>
              <w:start w:w="120" w:type="dxa"/>
              <w:bottom w:w="90" w:type="dxa"/>
              <w:end w:w="120" w:type="dxa"/>
            </w:tcMar>
            <w:vAlign w:val="center"/>
          </w:tcPr>
          <w:p>
            <w:r>
              <w:rPr>
                <w:rFonts w:ascii="Aptos" w:hAnsi="Aptos"/>
                <w:color w:val="1F2937"/>
                <w:sz w:val="18"/>
              </w:rPr>
              <w:t>Flutter mobile/web and React admin portal</w:t>
            </w:r>
          </w:p>
        </w:tc>
        <w:tc>
          <w:tcPr>
            <w:tcW w:type="dxa" w:w="4180"/>
            <w:tcMar>
              <w:top w:w="90" w:type="dxa"/>
              <w:start w:w="120" w:type="dxa"/>
              <w:bottom w:w="90" w:type="dxa"/>
              <w:end w:w="120" w:type="dxa"/>
            </w:tcMar>
            <w:vAlign w:val="center"/>
          </w:tcPr>
          <w:p>
            <w:r>
              <w:rPr>
                <w:rFonts w:ascii="Aptos" w:hAnsi="Aptos"/>
                <w:color w:val="1F2937"/>
                <w:sz w:val="18"/>
              </w:rPr>
              <w:t>Shared APIs already form a practical migration boundary.</w:t>
            </w:r>
          </w:p>
        </w:tc>
      </w:tr>
      <w:tr>
        <w:tc>
          <w:tcPr>
            <w:tcW w:type="dxa" w:w="1800"/>
            <w:shd w:fill="F8FAFB"/>
            <w:tcMar>
              <w:top w:w="90" w:type="dxa"/>
              <w:start w:w="120" w:type="dxa"/>
              <w:bottom w:w="90" w:type="dxa"/>
              <w:end w:w="120" w:type="dxa"/>
            </w:tcMar>
            <w:vAlign w:val="center"/>
          </w:tcPr>
          <w:p>
            <w:r>
              <w:rPr>
                <w:rFonts w:ascii="Aptos" w:hAnsi="Aptos"/>
                <w:color w:val="1F2937"/>
                <w:sz w:val="18"/>
              </w:rPr>
              <w:t>Personas</w:t>
            </w:r>
          </w:p>
        </w:tc>
        <w:tc>
          <w:tcPr>
            <w:tcW w:type="dxa" w:w="3380"/>
            <w:shd w:fill="F8FAFB"/>
            <w:tcMar>
              <w:top w:w="90" w:type="dxa"/>
              <w:start w:w="120" w:type="dxa"/>
              <w:bottom w:w="90" w:type="dxa"/>
              <w:end w:w="120" w:type="dxa"/>
            </w:tcMar>
            <w:vAlign w:val="center"/>
          </w:tcPr>
          <w:p>
            <w:r>
              <w:rPr>
                <w:rFonts w:ascii="Aptos" w:hAnsi="Aptos"/>
                <w:color w:val="1F2937"/>
                <w:sz w:val="18"/>
              </w:rPr>
              <w:t>Customer, store manager/producer, delivery agent, platform manager</w:t>
            </w:r>
          </w:p>
        </w:tc>
        <w:tc>
          <w:tcPr>
            <w:tcW w:type="dxa" w:w="4180"/>
            <w:shd w:fill="F8FAFB"/>
            <w:tcMar>
              <w:top w:w="90" w:type="dxa"/>
              <w:start w:w="120" w:type="dxa"/>
              <w:bottom w:w="90" w:type="dxa"/>
              <w:end w:w="120" w:type="dxa"/>
            </w:tcMar>
            <w:vAlign w:val="center"/>
          </w:tcPr>
          <w:p>
            <w:r>
              <w:rPr>
                <w:rFonts w:ascii="Aptos" w:hAnsi="Aptos"/>
                <w:color w:val="1F2937"/>
                <w:sz w:val="18"/>
              </w:rPr>
              <w:t>Ontology must represent roles independently from person identity.</w:t>
            </w:r>
          </w:p>
        </w:tc>
      </w:tr>
      <w:tr>
        <w:tc>
          <w:tcPr>
            <w:tcW w:type="dxa" w:w="1800"/>
            <w:tcMar>
              <w:top w:w="90" w:type="dxa"/>
              <w:start w:w="120" w:type="dxa"/>
              <w:bottom w:w="90" w:type="dxa"/>
              <w:end w:w="120" w:type="dxa"/>
            </w:tcMar>
            <w:vAlign w:val="center"/>
          </w:tcPr>
          <w:p>
            <w:r>
              <w:rPr>
                <w:rFonts w:ascii="Aptos" w:hAnsi="Aptos"/>
                <w:color w:val="1F2937"/>
                <w:sz w:val="18"/>
              </w:rPr>
              <w:t>Application</w:t>
            </w:r>
          </w:p>
        </w:tc>
        <w:tc>
          <w:tcPr>
            <w:tcW w:type="dxa" w:w="3380"/>
            <w:tcMar>
              <w:top w:w="90" w:type="dxa"/>
              <w:start w:w="120" w:type="dxa"/>
              <w:bottom w:w="90" w:type="dxa"/>
              <w:end w:w="120" w:type="dxa"/>
            </w:tcMar>
            <w:vAlign w:val="center"/>
          </w:tcPr>
          <w:p>
            <w:r>
              <w:rPr>
                <w:rFonts w:ascii="Aptos" w:hAnsi="Aptos"/>
                <w:color w:val="1F2937"/>
                <w:sz w:val="18"/>
              </w:rPr>
              <w:t>Node.js and Express controllers, routes, models</w:t>
            </w:r>
          </w:p>
        </w:tc>
        <w:tc>
          <w:tcPr>
            <w:tcW w:type="dxa" w:w="4180"/>
            <w:tcMar>
              <w:top w:w="90" w:type="dxa"/>
              <w:start w:w="120" w:type="dxa"/>
              <w:bottom w:w="90" w:type="dxa"/>
              <w:end w:w="120" w:type="dxa"/>
            </w:tcMar>
            <w:vAlign w:val="center"/>
          </w:tcPr>
          <w:p>
            <w:r>
              <w:rPr>
                <w:rFonts w:ascii="Aptos" w:hAnsi="Aptos"/>
                <w:color w:val="1F2937"/>
                <w:sz w:val="18"/>
              </w:rPr>
              <w:t>Retain as the deterministic command and transaction layer.</w:t>
            </w:r>
          </w:p>
        </w:tc>
      </w:tr>
      <w:tr>
        <w:tc>
          <w:tcPr>
            <w:tcW w:type="dxa" w:w="1800"/>
            <w:shd w:fill="F8FAFB"/>
            <w:tcMar>
              <w:top w:w="90" w:type="dxa"/>
              <w:start w:w="120" w:type="dxa"/>
              <w:bottom w:w="90" w:type="dxa"/>
              <w:end w:w="120" w:type="dxa"/>
            </w:tcMar>
            <w:vAlign w:val="center"/>
          </w:tcPr>
          <w:p>
            <w:r>
              <w:rPr>
                <w:rFonts w:ascii="Aptos" w:hAnsi="Aptos"/>
                <w:color w:val="1F2937"/>
                <w:sz w:val="18"/>
              </w:rPr>
              <w:t>Operational data</w:t>
            </w:r>
          </w:p>
        </w:tc>
        <w:tc>
          <w:tcPr>
            <w:tcW w:type="dxa" w:w="3380"/>
            <w:shd w:fill="F8FAFB"/>
            <w:tcMar>
              <w:top w:w="90" w:type="dxa"/>
              <w:start w:w="120" w:type="dxa"/>
              <w:bottom w:w="90" w:type="dxa"/>
              <w:end w:w="120" w:type="dxa"/>
            </w:tcMar>
            <w:vAlign w:val="center"/>
          </w:tcPr>
          <w:p>
            <w:r>
              <w:rPr>
                <w:rFonts w:ascii="Aptos" w:hAnsi="Aptos"/>
                <w:color w:val="1F2937"/>
                <w:sz w:val="18"/>
              </w:rPr>
              <w:t>MySQL with users, products, inventory, carts, orders, returns, telemetry, notifications</w:t>
            </w:r>
          </w:p>
        </w:tc>
        <w:tc>
          <w:tcPr>
            <w:tcW w:type="dxa" w:w="4180"/>
            <w:shd w:fill="F8FAFB"/>
            <w:tcMar>
              <w:top w:w="90" w:type="dxa"/>
              <w:start w:w="120" w:type="dxa"/>
              <w:bottom w:w="90" w:type="dxa"/>
              <w:end w:w="120" w:type="dxa"/>
            </w:tcMar>
            <w:vAlign w:val="center"/>
          </w:tcPr>
          <w:p>
            <w:r>
              <w:rPr>
                <w:rFonts w:ascii="Aptos" w:hAnsi="Aptos"/>
                <w:color w:val="1F2937"/>
                <w:sz w:val="18"/>
              </w:rPr>
              <w:t>Strong source for a semantic read model; it should remain authoritative.</w:t>
            </w:r>
          </w:p>
        </w:tc>
      </w:tr>
      <w:tr>
        <w:tc>
          <w:tcPr>
            <w:tcW w:type="dxa" w:w="1800"/>
            <w:tcMar>
              <w:top w:w="90" w:type="dxa"/>
              <w:start w:w="120" w:type="dxa"/>
              <w:bottom w:w="90" w:type="dxa"/>
              <w:end w:w="120" w:type="dxa"/>
            </w:tcMar>
            <w:vAlign w:val="center"/>
          </w:tcPr>
          <w:p>
            <w:r>
              <w:rPr>
                <w:rFonts w:ascii="Aptos" w:hAnsi="Aptos"/>
                <w:color w:val="1F2937"/>
                <w:sz w:val="18"/>
              </w:rPr>
              <w:t>Identity and messaging</w:t>
            </w:r>
          </w:p>
        </w:tc>
        <w:tc>
          <w:tcPr>
            <w:tcW w:type="dxa" w:w="3380"/>
            <w:tcMar>
              <w:top w:w="90" w:type="dxa"/>
              <w:start w:w="120" w:type="dxa"/>
              <w:bottom w:w="90" w:type="dxa"/>
              <w:end w:w="120" w:type="dxa"/>
            </w:tcMar>
            <w:vAlign w:val="center"/>
          </w:tcPr>
          <w:p>
            <w:r>
              <w:rPr>
                <w:rFonts w:ascii="Aptos" w:hAnsi="Aptos"/>
                <w:color w:val="1F2937"/>
                <w:sz w:val="18"/>
              </w:rPr>
              <w:t>Firebase authentication and push notifications</w:t>
            </w:r>
          </w:p>
        </w:tc>
        <w:tc>
          <w:tcPr>
            <w:tcW w:type="dxa" w:w="4180"/>
            <w:tcMar>
              <w:top w:w="90" w:type="dxa"/>
              <w:start w:w="120" w:type="dxa"/>
              <w:bottom w:w="90" w:type="dxa"/>
              <w:end w:w="120" w:type="dxa"/>
            </w:tcMar>
            <w:vAlign w:val="center"/>
          </w:tcPr>
          <w:p>
            <w:r>
              <w:rPr>
                <w:rFonts w:ascii="Aptos" w:hAnsi="Aptos"/>
                <w:color w:val="1F2937"/>
                <w:sz w:val="18"/>
              </w:rPr>
              <w:t>Preserve integration; expose identity and consent context semantically.</w:t>
            </w:r>
          </w:p>
        </w:tc>
      </w:tr>
      <w:tr>
        <w:tc>
          <w:tcPr>
            <w:tcW w:type="dxa" w:w="1800"/>
            <w:shd w:fill="F8FAFB"/>
            <w:tcMar>
              <w:top w:w="90" w:type="dxa"/>
              <w:start w:w="120" w:type="dxa"/>
              <w:bottom w:w="90" w:type="dxa"/>
              <w:end w:w="120" w:type="dxa"/>
            </w:tcMar>
            <w:vAlign w:val="center"/>
          </w:tcPr>
          <w:p>
            <w:r>
              <w:rPr>
                <w:rFonts w:ascii="Aptos" w:hAnsi="Aptos"/>
                <w:color w:val="1F2937"/>
                <w:sz w:val="18"/>
              </w:rPr>
              <w:t>Payments and assets</w:t>
            </w:r>
          </w:p>
        </w:tc>
        <w:tc>
          <w:tcPr>
            <w:tcW w:type="dxa" w:w="3380"/>
            <w:shd w:fill="F8FAFB"/>
            <w:tcMar>
              <w:top w:w="90" w:type="dxa"/>
              <w:start w:w="120" w:type="dxa"/>
              <w:bottom w:w="90" w:type="dxa"/>
              <w:end w:w="120" w:type="dxa"/>
            </w:tcMar>
            <w:vAlign w:val="center"/>
          </w:tcPr>
          <w:p>
            <w:r>
              <w:rPr>
                <w:rFonts w:ascii="Aptos" w:hAnsi="Aptos"/>
                <w:color w:val="1F2937"/>
                <w:sz w:val="18"/>
              </w:rPr>
              <w:t>Razorpay and object/image storage</w:t>
            </w:r>
          </w:p>
        </w:tc>
        <w:tc>
          <w:tcPr>
            <w:tcW w:type="dxa" w:w="4180"/>
            <w:shd w:fill="F8FAFB"/>
            <w:tcMar>
              <w:top w:w="90" w:type="dxa"/>
              <w:start w:w="120" w:type="dxa"/>
              <w:bottom w:w="90" w:type="dxa"/>
              <w:end w:w="120" w:type="dxa"/>
            </w:tcMar>
            <w:vAlign w:val="center"/>
          </w:tcPr>
          <w:p>
            <w:r>
              <w:rPr>
                <w:rFonts w:ascii="Aptos" w:hAnsi="Aptos"/>
                <w:color w:val="1F2937"/>
                <w:sz w:val="18"/>
              </w:rPr>
              <w:t>Wrap through existing deterministic services and governed tools.</w:t>
            </w:r>
          </w:p>
        </w:tc>
      </w:tr>
      <w:tr>
        <w:tc>
          <w:tcPr>
            <w:tcW w:type="dxa" w:w="1800"/>
            <w:tcMar>
              <w:top w:w="90" w:type="dxa"/>
              <w:start w:w="120" w:type="dxa"/>
              <w:bottom w:w="90" w:type="dxa"/>
              <w:end w:w="120" w:type="dxa"/>
            </w:tcMar>
            <w:vAlign w:val="center"/>
          </w:tcPr>
          <w:p>
            <w:r>
              <w:rPr>
                <w:rFonts w:ascii="Aptos" w:hAnsi="Aptos"/>
                <w:color w:val="1F2937"/>
                <w:sz w:val="18"/>
              </w:rPr>
              <w:t>Fulfillment</w:t>
            </w:r>
          </w:p>
        </w:tc>
        <w:tc>
          <w:tcPr>
            <w:tcW w:type="dxa" w:w="3380"/>
            <w:tcMar>
              <w:top w:w="90" w:type="dxa"/>
              <w:start w:w="120" w:type="dxa"/>
              <w:bottom w:w="90" w:type="dxa"/>
              <w:end w:w="120" w:type="dxa"/>
            </w:tcMar>
            <w:vAlign w:val="center"/>
          </w:tcPr>
          <w:p>
            <w:r>
              <w:rPr>
                <w:rFonts w:ascii="Aptos" w:hAnsi="Aptos"/>
                <w:color w:val="1F2937"/>
                <w:sz w:val="18"/>
              </w:rPr>
              <w:t>Item-level status, delivery agent, truck, addresses, history</w:t>
            </w:r>
          </w:p>
        </w:tc>
        <w:tc>
          <w:tcPr>
            <w:tcW w:type="dxa" w:w="4180"/>
            <w:tcMar>
              <w:top w:w="90" w:type="dxa"/>
              <w:start w:w="120" w:type="dxa"/>
              <w:bottom w:w="90" w:type="dxa"/>
              <w:end w:w="120" w:type="dxa"/>
            </w:tcMar>
            <w:vAlign w:val="center"/>
          </w:tcPr>
          <w:p>
            <w:r>
              <w:rPr>
                <w:rFonts w:ascii="Aptos" w:hAnsi="Aptos"/>
                <w:color w:val="1F2937"/>
                <w:sz w:val="18"/>
              </w:rPr>
              <w:t>Natural starting point for operational graph and decision models.</w:t>
            </w:r>
          </w:p>
        </w:tc>
      </w:tr>
    </w:tbl>
    <w:p>
      <w:pPr>
        <w:spacing w:after="0"/>
      </w:pPr>
    </w:p>
    <w:p>
      <w:pPr>
        <w:pStyle w:val="Heading2"/>
      </w:pPr>
      <w:r>
        <w:t>Current-state strengths</w:t>
      </w:r>
    </w:p>
    <w:p>
      <w:pPr>
        <w:pStyle w:val="ListBullet"/>
      </w:pPr>
      <w:r>
        <w:rPr>
          <w:rFonts w:ascii="Aptos" w:hAnsi="Aptos"/>
          <w:color w:val="1F2937"/>
        </w:rPr>
        <w:t>A recognizable separation among clients, API, and operational database.</w:t>
      </w:r>
    </w:p>
    <w:p>
      <w:pPr>
        <w:pStyle w:val="ListBullet"/>
      </w:pPr>
      <w:r>
        <w:rPr>
          <w:rFonts w:ascii="Aptos" w:hAnsi="Aptos"/>
          <w:color w:val="1F2937"/>
        </w:rPr>
        <w:t>Rich commerce and fulfillment data, including item-level status and historical observations.</w:t>
      </w:r>
    </w:p>
    <w:p>
      <w:pPr>
        <w:pStyle w:val="ListBullet"/>
      </w:pPr>
      <w:r>
        <w:rPr>
          <w:rFonts w:ascii="Aptos" w:hAnsi="Aptos"/>
          <w:color w:val="1F2937"/>
        </w:rPr>
        <w:t>Four clearly identified operational personas with distinct workflows.</w:t>
      </w:r>
    </w:p>
    <w:p>
      <w:pPr>
        <w:pStyle w:val="ListBullet"/>
      </w:pPr>
      <w:r>
        <w:rPr>
          <w:rFonts w:ascii="Aptos" w:hAnsi="Aptos"/>
          <w:color w:val="1F2937"/>
        </w:rPr>
        <w:t>Existing notification, location, and temperature channels that can support proactive intelligence.</w:t>
      </w:r>
    </w:p>
    <w:p>
      <w:pPr>
        <w:pStyle w:val="ListBullet"/>
      </w:pPr>
      <w:r>
        <w:rPr>
          <w:rFonts w:ascii="Aptos" w:hAnsi="Aptos"/>
          <w:color w:val="1F2937"/>
        </w:rPr>
        <w:t>A small client-side ontology abstraction that demonstrates interest in typed entities and relationships.</w:t>
      </w:r>
    </w:p>
    <w:p>
      <w:pPr>
        <w:pStyle w:val="Heading2"/>
      </w:pPr>
      <w:r>
        <w:t>Current-state limitations</w:t>
      </w:r>
    </w:p>
    <w:p>
      <w:pPr>
        <w:pStyle w:val="ListBullet"/>
      </w:pPr>
      <w:r>
        <w:rPr>
          <w:rFonts w:ascii="Aptos" w:hAnsi="Aptos"/>
          <w:color w:val="1F2937"/>
        </w:rPr>
        <w:t>Business meaning is distributed across numeric codes, table names, SQL joins, controller logic, and client assumptions.</w:t>
      </w:r>
    </w:p>
    <w:p>
      <w:pPr>
        <w:pStyle w:val="ListBullet"/>
      </w:pPr>
      <w:r>
        <w:rPr>
          <w:rFonts w:ascii="Aptos" w:hAnsi="Aptos"/>
          <w:color w:val="1F2937"/>
        </w:rPr>
        <w:t>The Flutter ontology abstraction is client-owned and is not a governed platform semantic layer.</w:t>
      </w:r>
    </w:p>
    <w:p>
      <w:pPr>
        <w:pStyle w:val="ListBullet"/>
      </w:pPr>
      <w:r>
        <w:rPr>
          <w:rFonts w:ascii="Aptos" w:hAnsi="Aptos"/>
          <w:color w:val="1F2937"/>
        </w:rPr>
        <w:t>There is no durable representation for inferred facts, confidence, provenance, evidence, or model versions.</w:t>
      </w:r>
    </w:p>
    <w:p>
      <w:pPr>
        <w:pStyle w:val="ListBullet"/>
      </w:pPr>
      <w:r>
        <w:rPr>
          <w:rFonts w:ascii="Aptos" w:hAnsi="Aptos"/>
          <w:color w:val="1F2937"/>
        </w:rPr>
        <w:t>Cross-domain questions require application-specific joins instead of stable semantic queries.</w:t>
      </w:r>
    </w:p>
    <w:p>
      <w:pPr>
        <w:pStyle w:val="ListBullet"/>
      </w:pPr>
      <w:r>
        <w:rPr>
          <w:rFonts w:ascii="Aptos" w:hAnsi="Aptos"/>
          <w:color w:val="1F2937"/>
        </w:rPr>
        <w:t>Probabilistic recommendations and deterministic execution are not separated by a formal action boundary.</w:t>
      </w:r>
    </w:p>
    <w:p>
      <w:pPr>
        <w:pStyle w:val="ListBullet"/>
      </w:pPr>
      <w:r>
        <w:rPr>
          <w:rFonts w:ascii="Aptos" w:hAnsi="Aptos"/>
          <w:color w:val="1F2937"/>
        </w:rPr>
        <w:t>Delivery assignment can fall back to a random selection rather than a transparent context-aware ranking.</w:t>
      </w:r>
    </w:p>
    <w:p>
      <w:r>
        <w:br w:type="page"/>
      </w:r>
    </w:p>
    <w:p>
      <w:pPr>
        <w:pStyle w:val="Heading1"/>
      </w:pPr>
      <w:r>
        <w:t>Architecture principles</w:t>
      </w:r>
    </w:p>
    <w:p>
      <w:pPr>
        <w:pStyle w:val="ListNumber"/>
      </w:pPr>
      <w:r>
        <w:rPr>
          <w:rFonts w:ascii="Aptos" w:hAnsi="Aptos"/>
          <w:color w:val="1F2937"/>
        </w:rPr>
        <w:t>Preserve the system of record. MySQL and existing commerce services remain authoritative for orders, inventory, money, identity, and status transitions.</w:t>
      </w:r>
    </w:p>
    <w:p>
      <w:pPr>
        <w:pStyle w:val="ListNumber"/>
      </w:pPr>
      <w:r>
        <w:rPr>
          <w:rFonts w:ascii="Aptos" w:hAnsi="Aptos"/>
          <w:color w:val="1F2937"/>
        </w:rPr>
        <w:t>Build the ontology as a semantic read model. The graph describes business meaning and relationships; it does not become an alternate transaction authority.</w:t>
      </w:r>
    </w:p>
    <w:p>
      <w:pPr>
        <w:pStyle w:val="ListNumber"/>
      </w:pPr>
      <w:r>
        <w:rPr>
          <w:rFonts w:ascii="Aptos" w:hAnsi="Aptos"/>
          <w:color w:val="1F2937"/>
        </w:rPr>
        <w:t>Synchronize with events, not controller dual writes. Use a transactional outbox or change-data capture so ontology projections can be replayed and reconciled.</w:t>
      </w:r>
    </w:p>
    <w:p>
      <w:pPr>
        <w:pStyle w:val="ListNumber"/>
      </w:pPr>
      <w:r>
        <w:rPr>
          <w:rFonts w:ascii="Aptos" w:hAnsi="Aptos"/>
          <w:color w:val="1F2937"/>
        </w:rPr>
        <w:t>Represent uncertainty explicitly. Predictions and inferred facts carry confidence, evidence, model version, observation time, and expiration.</w:t>
      </w:r>
    </w:p>
    <w:p>
      <w:pPr>
        <w:pStyle w:val="ListNumber"/>
      </w:pPr>
      <w:r>
        <w:rPr>
          <w:rFonts w:ascii="Aptos" w:hAnsi="Aptos"/>
          <w:color w:val="1F2937"/>
        </w:rPr>
        <w:t>Separate recommendation from execution. Models produce structured recommendations or action proposals; policies and deterministic services decide whether to execute.</w:t>
      </w:r>
    </w:p>
    <w:p>
      <w:pPr>
        <w:pStyle w:val="ListNumber"/>
      </w:pPr>
      <w:r>
        <w:rPr>
          <w:rFonts w:ascii="Aptos" w:hAnsi="Aptos"/>
          <w:color w:val="1F2937"/>
        </w:rPr>
        <w:t>Use the right model for each job. LLMs handle language and reasoning; forecasting, ranking, anomaly detection, and optimization use specialized models.</w:t>
      </w:r>
    </w:p>
    <w:p>
      <w:pPr>
        <w:pStyle w:val="ListNumber"/>
      </w:pPr>
      <w:r>
        <w:rPr>
          <w:rFonts w:ascii="Aptos" w:hAnsi="Aptos"/>
          <w:color w:val="1F2937"/>
        </w:rPr>
        <w:t>Design for hybrid inference. A model gateway should support cloud APIs, private local models, small models, and on-device models without coupling clients to a vendor.</w:t>
      </w:r>
    </w:p>
    <w:p>
      <w:pPr>
        <w:pStyle w:val="ListNumber"/>
      </w:pPr>
      <w:r>
        <w:rPr>
          <w:rFonts w:ascii="Aptos" w:hAnsi="Aptos"/>
          <w:color w:val="1F2937"/>
        </w:rPr>
        <w:t>Make human oversight proportional to impact. Low-risk assistance can be automated earlier; financial, identity, and policy-sensitive decisions require confirmation or approval.</w:t>
      </w:r>
    </w:p>
    <w:p>
      <w:pPr>
        <w:pStyle w:val="Heading1"/>
      </w:pPr>
      <w:r>
        <w:t>Future-state architecture</w:t>
      </w:r>
    </w:p>
    <w:p>
      <w:pPr/>
      <w:r>
        <w:rPr>
          <w:rFonts w:ascii="Aptos" w:hAnsi="Aptos"/>
          <w:color w:val="1F2937"/>
        </w:rPr>
        <w:t>The target platform introduces an intelligence plane between user experiences and the deterministic commerce core. Ontology-aware retrieval gives models grounded context. A model gateway selects cloud or local inference. A governed action gateway converts approved proposals into typed commands executed by the existing Node.js API.</w:t>
      </w:r>
    </w:p>
    <w:p>
      <w:pPr>
        <w:keepNext/>
        <w:jc w:val="center"/>
      </w:pPr>
      <w:r>
        <w:drawing>
          <wp:inline xmlns:a="http://schemas.openxmlformats.org/drawingml/2006/main" xmlns:pic="http://schemas.openxmlformats.org/drawingml/2006/picture">
            <wp:extent cx="5897880" cy="3931920"/>
            <wp:docPr id="1" name="Picture 1"/>
            <wp:cNvGraphicFramePr>
              <a:graphicFrameLocks noChangeAspect="1"/>
            </wp:cNvGraphicFramePr>
            <a:graphic>
              <a:graphicData uri="http://schemas.openxmlformats.org/drawingml/2006/picture">
                <pic:pic>
                  <pic:nvPicPr>
                    <pic:cNvPr id="0" name="orderup_future_architecture.png"/>
                    <pic:cNvPicPr/>
                  </pic:nvPicPr>
                  <pic:blipFill>
                    <a:blip r:embed="rId11"/>
                    <a:stretch>
                      <a:fillRect/>
                    </a:stretch>
                  </pic:blipFill>
                  <pic:spPr>
                    <a:xfrm>
                      <a:off x="0" y="0"/>
                      <a:ext cx="5897880" cy="3931920"/>
                    </a:xfrm>
                    <a:prstGeom prst="rect"/>
                  </pic:spPr>
                </pic:pic>
              </a:graphicData>
            </a:graphic>
          </wp:inline>
        </w:drawing>
      </w:r>
    </w:p>
    <w:p>
      <w:pPr>
        <w:pStyle w:val="FigureCaption"/>
        <w:jc w:val="center"/>
      </w:pPr>
      <w:r>
        <w:t>Figure 1. Proposed layered architecture: multimodal experiences and nondeterministic intelligence around the unchanged deterministic commerce core.</w:t>
      </w:r>
    </w:p>
    <w:p>
      <w:pPr>
        <w:pStyle w:val="Heading2"/>
      </w:pPr>
      <w:r>
        <w:t>Layer responsibilities</w:t>
      </w:r>
    </w:p>
    <w:tbl>
      <w:tblPr>
        <w:tblStyle w:val="TableGrid"/>
        <w:tblW w:type="dxa" w:w="9360"/>
        <w:jc w:val="center"/>
        <w:tblLayout w:type="fixed"/>
        <w:tblLook w:firstColumn="1" w:firstRow="1" w:lastColumn="0" w:lastRow="0" w:noHBand="0" w:noVBand="1" w:val="04A0"/>
        <w:tblInd w:w="120" w:type="dxa"/>
      </w:tblPr>
      <w:tblGrid>
        <w:gridCol w:w="2350"/>
        <w:gridCol w:w="7010"/>
      </w:tblGrid>
      <w:tr>
        <w:trPr>
          <w:tblHeader w:val="true"/>
        </w:trPr>
        <w:tc>
          <w:tcPr>
            <w:tcW w:type="dxa" w:w="2350"/>
            <w:shd w:fill="17324D"/>
            <w:tcMar>
              <w:top w:w="90" w:type="dxa"/>
              <w:start w:w="120" w:type="dxa"/>
              <w:bottom w:w="90" w:type="dxa"/>
              <w:end w:w="120" w:type="dxa"/>
            </w:tcMar>
            <w:vAlign w:val="center"/>
          </w:tcPr>
          <w:p>
            <w:pPr>
              <w:jc w:val="left"/>
            </w:pPr>
            <w:r>
              <w:rPr>
                <w:rFonts w:ascii="Aptos" w:hAnsi="Aptos"/>
                <w:b/>
                <w:color w:val="FFFFFF"/>
                <w:sz w:val="18"/>
              </w:rPr>
              <w:t>Layer</w:t>
            </w:r>
          </w:p>
        </w:tc>
        <w:tc>
          <w:tcPr>
            <w:tcW w:type="dxa" w:w="7010"/>
            <w:shd w:fill="17324D"/>
            <w:tcMar>
              <w:top w:w="90" w:type="dxa"/>
              <w:start w:w="120" w:type="dxa"/>
              <w:bottom w:w="90" w:type="dxa"/>
              <w:end w:w="120" w:type="dxa"/>
            </w:tcMar>
            <w:vAlign w:val="center"/>
          </w:tcPr>
          <w:p>
            <w:pPr>
              <w:jc w:val="left"/>
            </w:pPr>
            <w:r>
              <w:rPr>
                <w:rFonts w:ascii="Aptos" w:hAnsi="Aptos"/>
                <w:b/>
                <w:color w:val="FFFFFF"/>
                <w:sz w:val="18"/>
              </w:rPr>
              <w:t>Responsibility</w:t>
            </w:r>
          </w:p>
        </w:tc>
      </w:tr>
      <w:tr>
        <w:tc>
          <w:tcPr>
            <w:tcW w:type="dxa" w:w="2350"/>
            <w:tcMar>
              <w:top w:w="90" w:type="dxa"/>
              <w:start w:w="120" w:type="dxa"/>
              <w:bottom w:w="90" w:type="dxa"/>
              <w:end w:w="120" w:type="dxa"/>
            </w:tcMar>
            <w:vAlign w:val="center"/>
          </w:tcPr>
          <w:p>
            <w:r>
              <w:rPr>
                <w:rFonts w:ascii="Aptos" w:hAnsi="Aptos"/>
                <w:color w:val="1F2937"/>
                <w:sz w:val="18"/>
              </w:rPr>
              <w:t>Experience and personas</w:t>
            </w:r>
          </w:p>
        </w:tc>
        <w:tc>
          <w:tcPr>
            <w:tcW w:type="dxa" w:w="7010"/>
            <w:tcMar>
              <w:top w:w="90" w:type="dxa"/>
              <w:start w:w="120" w:type="dxa"/>
              <w:bottom w:w="90" w:type="dxa"/>
              <w:end w:w="120" w:type="dxa"/>
            </w:tcMar>
            <w:vAlign w:val="center"/>
          </w:tcPr>
          <w:p>
            <w:r>
              <w:rPr>
                <w:rFonts w:ascii="Aptos" w:hAnsi="Aptos"/>
                <w:color w:val="1F2937"/>
                <w:sz w:val="18"/>
              </w:rPr>
              <w:t>Flutter, admin portal, operational dashboards, conversational copilots, and voice interaction.</w:t>
            </w:r>
          </w:p>
        </w:tc>
      </w:tr>
      <w:tr>
        <w:tc>
          <w:tcPr>
            <w:tcW w:type="dxa" w:w="2350"/>
            <w:shd w:fill="F8FAFB"/>
            <w:tcMar>
              <w:top w:w="90" w:type="dxa"/>
              <w:start w:w="120" w:type="dxa"/>
              <w:bottom w:w="90" w:type="dxa"/>
              <w:end w:w="120" w:type="dxa"/>
            </w:tcMar>
            <w:vAlign w:val="center"/>
          </w:tcPr>
          <w:p>
            <w:r>
              <w:rPr>
                <w:rFonts w:ascii="Aptos" w:hAnsi="Aptos"/>
                <w:color w:val="1F2937"/>
                <w:sz w:val="18"/>
              </w:rPr>
              <w:t>Multimodal interaction</w:t>
            </w:r>
          </w:p>
        </w:tc>
        <w:tc>
          <w:tcPr>
            <w:tcW w:type="dxa" w:w="7010"/>
            <w:shd w:fill="F8FAFB"/>
            <w:tcMar>
              <w:top w:w="90" w:type="dxa"/>
              <w:start w:w="120" w:type="dxa"/>
              <w:bottom w:w="90" w:type="dxa"/>
              <w:end w:w="120" w:type="dxa"/>
            </w:tcMar>
            <w:vAlign w:val="center"/>
          </w:tcPr>
          <w:p>
            <w:r>
              <w:rPr>
                <w:rFonts w:ascii="Aptos" w:hAnsi="Aptos"/>
                <w:color w:val="1F2937"/>
                <w:sz w:val="18"/>
              </w:rPr>
              <w:t>API/BFF, sessions, realtime delivery, speech processing, vision, and document intake.</w:t>
            </w:r>
          </w:p>
        </w:tc>
      </w:tr>
      <w:tr>
        <w:tc>
          <w:tcPr>
            <w:tcW w:type="dxa" w:w="2350"/>
            <w:tcMar>
              <w:top w:w="90" w:type="dxa"/>
              <w:start w:w="120" w:type="dxa"/>
              <w:bottom w:w="90" w:type="dxa"/>
              <w:end w:w="120" w:type="dxa"/>
            </w:tcMar>
            <w:vAlign w:val="center"/>
          </w:tcPr>
          <w:p>
            <w:r>
              <w:rPr>
                <w:rFonts w:ascii="Aptos" w:hAnsi="Aptos"/>
                <w:color w:val="1F2937"/>
                <w:sz w:val="18"/>
              </w:rPr>
              <w:t>AI orchestration and models</w:t>
            </w:r>
          </w:p>
        </w:tc>
        <w:tc>
          <w:tcPr>
            <w:tcW w:type="dxa" w:w="7010"/>
            <w:tcMar>
              <w:top w:w="90" w:type="dxa"/>
              <w:start w:w="120" w:type="dxa"/>
              <w:bottom w:w="90" w:type="dxa"/>
              <w:end w:w="120" w:type="dxa"/>
            </w:tcMar>
            <w:vAlign w:val="center"/>
          </w:tcPr>
          <w:p>
            <w:r>
              <w:rPr>
                <w:rFonts w:ascii="Aptos" w:hAnsi="Aptos"/>
                <w:color w:val="1F2937"/>
                <w:sz w:val="18"/>
              </w:rPr>
              <w:t>Context assembly, model routing, tool selection, generation, structured outputs, and evaluation.</w:t>
            </w:r>
          </w:p>
        </w:tc>
      </w:tr>
      <w:tr>
        <w:tc>
          <w:tcPr>
            <w:tcW w:type="dxa" w:w="2350"/>
            <w:shd w:fill="F8FAFB"/>
            <w:tcMar>
              <w:top w:w="90" w:type="dxa"/>
              <w:start w:w="120" w:type="dxa"/>
              <w:bottom w:w="90" w:type="dxa"/>
              <w:end w:w="120" w:type="dxa"/>
            </w:tcMar>
            <w:vAlign w:val="center"/>
          </w:tcPr>
          <w:p>
            <w:r>
              <w:rPr>
                <w:rFonts w:ascii="Aptos" w:hAnsi="Aptos"/>
                <w:color w:val="1F2937"/>
                <w:sz w:val="18"/>
              </w:rPr>
              <w:t>Semantic access</w:t>
            </w:r>
          </w:p>
        </w:tc>
        <w:tc>
          <w:tcPr>
            <w:tcW w:type="dxa" w:w="7010"/>
            <w:shd w:fill="F8FAFB"/>
            <w:tcMar>
              <w:top w:w="90" w:type="dxa"/>
              <w:start w:w="120" w:type="dxa"/>
              <w:bottom w:w="90" w:type="dxa"/>
              <w:end w:w="120" w:type="dxa"/>
            </w:tcMar>
            <w:vAlign w:val="center"/>
          </w:tcPr>
          <w:p>
            <w:r>
              <w:rPr>
                <w:rFonts w:ascii="Aptos" w:hAnsi="Aptos"/>
                <w:color w:val="1F2937"/>
                <w:sz w:val="18"/>
              </w:rPr>
              <w:t>Ontology-aware RAG, stable domain queries, policy checks, and governed action proposals.</w:t>
            </w:r>
          </w:p>
        </w:tc>
      </w:tr>
      <w:tr>
        <w:tc>
          <w:tcPr>
            <w:tcW w:type="dxa" w:w="2350"/>
            <w:tcMar>
              <w:top w:w="90" w:type="dxa"/>
              <w:start w:w="120" w:type="dxa"/>
              <w:bottom w:w="90" w:type="dxa"/>
              <w:end w:w="120" w:type="dxa"/>
            </w:tcMar>
            <w:vAlign w:val="center"/>
          </w:tcPr>
          <w:p>
            <w:r>
              <w:rPr>
                <w:rFonts w:ascii="Aptos" w:hAnsi="Aptos"/>
                <w:color w:val="1F2937"/>
                <w:sz w:val="18"/>
              </w:rPr>
              <w:t>Ontology and intelligence</w:t>
            </w:r>
          </w:p>
        </w:tc>
        <w:tc>
          <w:tcPr>
            <w:tcW w:type="dxa" w:w="7010"/>
            <w:tcMar>
              <w:top w:w="90" w:type="dxa"/>
              <w:start w:w="120" w:type="dxa"/>
              <w:bottom w:w="90" w:type="dxa"/>
              <w:end w:w="120" w:type="dxa"/>
            </w:tcMar>
            <w:vAlign w:val="center"/>
          </w:tcPr>
          <w:p>
            <w:r>
              <w:rPr>
                <w:rFonts w:ascii="Aptos" w:hAnsi="Aptos"/>
                <w:color w:val="1F2937"/>
                <w:sz w:val="18"/>
              </w:rPr>
              <w:t>Canonical concepts, graph relationships, temporal facts, vectors, features, reasoning, and predictions.</w:t>
            </w:r>
          </w:p>
        </w:tc>
      </w:tr>
      <w:tr>
        <w:tc>
          <w:tcPr>
            <w:tcW w:type="dxa" w:w="2350"/>
            <w:shd w:fill="F8FAFB"/>
            <w:tcMar>
              <w:top w:w="90" w:type="dxa"/>
              <w:start w:w="120" w:type="dxa"/>
              <w:bottom w:w="90" w:type="dxa"/>
              <w:end w:w="120" w:type="dxa"/>
            </w:tcMar>
            <w:vAlign w:val="center"/>
          </w:tcPr>
          <w:p>
            <w:r>
              <w:rPr>
                <w:rFonts w:ascii="Aptos" w:hAnsi="Aptos"/>
                <w:color w:val="1F2937"/>
                <w:sz w:val="18"/>
              </w:rPr>
              <w:t>Event integration</w:t>
            </w:r>
          </w:p>
        </w:tc>
        <w:tc>
          <w:tcPr>
            <w:tcW w:type="dxa" w:w="7010"/>
            <w:shd w:fill="F8FAFB"/>
            <w:tcMar>
              <w:top w:w="90" w:type="dxa"/>
              <w:start w:w="120" w:type="dxa"/>
              <w:bottom w:w="90" w:type="dxa"/>
              <w:end w:w="120" w:type="dxa"/>
            </w:tcMar>
            <w:vAlign w:val="center"/>
          </w:tcPr>
          <w:p>
            <w:r>
              <w:rPr>
                <w:rFonts w:ascii="Aptos" w:hAnsi="Aptos"/>
                <w:color w:val="1F2937"/>
                <w:sz w:val="18"/>
              </w:rPr>
              <w:t>Outbox/CDC, versioned domain events, projectors, entity resolution, and reconciliation.</w:t>
            </w:r>
          </w:p>
        </w:tc>
      </w:tr>
      <w:tr>
        <w:tc>
          <w:tcPr>
            <w:tcW w:type="dxa" w:w="2350"/>
            <w:tcMar>
              <w:top w:w="90" w:type="dxa"/>
              <w:start w:w="120" w:type="dxa"/>
              <w:bottom w:w="90" w:type="dxa"/>
              <w:end w:w="120" w:type="dxa"/>
            </w:tcMar>
            <w:vAlign w:val="center"/>
          </w:tcPr>
          <w:p>
            <w:r>
              <w:rPr>
                <w:rFonts w:ascii="Aptos" w:hAnsi="Aptos"/>
                <w:color w:val="1F2937"/>
                <w:sz w:val="18"/>
              </w:rPr>
              <w:t>Deterministic commerce core</w:t>
            </w:r>
          </w:p>
        </w:tc>
        <w:tc>
          <w:tcPr>
            <w:tcW w:type="dxa" w:w="7010"/>
            <w:tcMar>
              <w:top w:w="90" w:type="dxa"/>
              <w:start w:w="120" w:type="dxa"/>
              <w:bottom w:w="90" w:type="dxa"/>
              <w:end w:w="120" w:type="dxa"/>
            </w:tcMar>
            <w:vAlign w:val="center"/>
          </w:tcPr>
          <w:p>
            <w:r>
              <w:rPr>
                <w:rFonts w:ascii="Aptos" w:hAnsi="Aptos"/>
                <w:color w:val="1F2937"/>
                <w:sz w:val="18"/>
              </w:rPr>
              <w:t>Authentication, carts, orders, inventory, prices, payments, returns, fulfillment states, and authoritative persistence.</w:t>
            </w:r>
          </w:p>
        </w:tc>
      </w:tr>
    </w:tbl>
    <w:p>
      <w:pPr>
        <w:spacing w:after="0"/>
      </w:pPr>
    </w:p>
    <w:p>
      <w:r>
        <w:br w:type="page"/>
      </w:r>
    </w:p>
    <w:p>
      <w:pPr>
        <w:pStyle w:val="Heading1"/>
      </w:pPr>
      <w:r>
        <w:t>Operational ontology design</w:t>
      </w:r>
    </w:p>
    <w:p>
      <w:pPr/>
      <w:r>
        <w:rPr>
          <w:rFonts w:ascii="Aptos" w:hAnsi="Aptos"/>
          <w:color w:val="1F2937"/>
        </w:rPr>
        <w:t>The ontology should model business meaning rather than mechanically convert each relational table into a node type. Transactional tables remain optimized for writes; the ontology is optimized for context, traversal, inference, explainability, and stable domain semantics.</w:t>
      </w:r>
    </w:p>
    <w:p>
      <w:pPr>
        <w:pStyle w:val="Heading2"/>
      </w:pPr>
      <w:r>
        <w:t>Core concepts</w:t>
      </w:r>
    </w:p>
    <w:tbl>
      <w:tblPr>
        <w:tblStyle w:val="TableGrid"/>
        <w:tblW w:type="dxa" w:w="9360"/>
        <w:jc w:val="center"/>
        <w:tblLayout w:type="fixed"/>
        <w:tblLook w:firstColumn="1" w:firstRow="1" w:lastColumn="0" w:lastRow="0" w:noHBand="0" w:noVBand="1" w:val="04A0"/>
        <w:tblInd w:w="120" w:type="dxa"/>
      </w:tblPr>
      <w:tblGrid>
        <w:gridCol w:w="2350"/>
        <w:gridCol w:w="7010"/>
      </w:tblGrid>
      <w:tr>
        <w:trPr>
          <w:tblHeader w:val="true"/>
        </w:trPr>
        <w:tc>
          <w:tcPr>
            <w:tcW w:type="dxa" w:w="2350"/>
            <w:shd w:fill="17324D"/>
            <w:tcMar>
              <w:top w:w="90" w:type="dxa"/>
              <w:start w:w="120" w:type="dxa"/>
              <w:bottom w:w="90" w:type="dxa"/>
              <w:end w:w="120" w:type="dxa"/>
            </w:tcMar>
            <w:vAlign w:val="center"/>
          </w:tcPr>
          <w:p>
            <w:pPr>
              <w:jc w:val="left"/>
            </w:pPr>
            <w:r>
              <w:rPr>
                <w:rFonts w:ascii="Aptos" w:hAnsi="Aptos"/>
                <w:b/>
                <w:color w:val="FFFFFF"/>
                <w:sz w:val="18"/>
              </w:rPr>
              <w:t>Domain</w:t>
            </w:r>
          </w:p>
        </w:tc>
        <w:tc>
          <w:tcPr>
            <w:tcW w:type="dxa" w:w="7010"/>
            <w:shd w:fill="17324D"/>
            <w:tcMar>
              <w:top w:w="90" w:type="dxa"/>
              <w:start w:w="120" w:type="dxa"/>
              <w:bottom w:w="90" w:type="dxa"/>
              <w:end w:w="120" w:type="dxa"/>
            </w:tcMar>
            <w:vAlign w:val="center"/>
          </w:tcPr>
          <w:p>
            <w:pPr>
              <w:jc w:val="left"/>
            </w:pPr>
            <w:r>
              <w:rPr>
                <w:rFonts w:ascii="Aptos" w:hAnsi="Aptos"/>
                <w:b/>
                <w:color w:val="FFFFFF"/>
                <w:sz w:val="18"/>
              </w:rPr>
              <w:t>Canonical concepts</w:t>
            </w:r>
          </w:p>
        </w:tc>
      </w:tr>
      <w:tr>
        <w:tc>
          <w:tcPr>
            <w:tcW w:type="dxa" w:w="2350"/>
            <w:tcMar>
              <w:top w:w="90" w:type="dxa"/>
              <w:start w:w="120" w:type="dxa"/>
              <w:bottom w:w="90" w:type="dxa"/>
              <w:end w:w="120" w:type="dxa"/>
            </w:tcMar>
            <w:vAlign w:val="center"/>
          </w:tcPr>
          <w:p>
            <w:r>
              <w:rPr>
                <w:rFonts w:ascii="Aptos" w:hAnsi="Aptos"/>
                <w:color w:val="1F2937"/>
                <w:sz w:val="18"/>
              </w:rPr>
              <w:t>Identity and organization</w:t>
            </w:r>
          </w:p>
        </w:tc>
        <w:tc>
          <w:tcPr>
            <w:tcW w:type="dxa" w:w="7010"/>
            <w:tcMar>
              <w:top w:w="90" w:type="dxa"/>
              <w:start w:w="120" w:type="dxa"/>
              <w:bottom w:w="90" w:type="dxa"/>
              <w:end w:w="120" w:type="dxa"/>
            </w:tcMar>
            <w:vAlign w:val="center"/>
          </w:tcPr>
          <w:p>
            <w:r>
              <w:rPr>
                <w:rFonts w:ascii="Aptos" w:hAnsi="Aptos"/>
                <w:color w:val="1F2937"/>
                <w:sz w:val="18"/>
              </w:rPr>
              <w:t>Person, Customer, Worker, DeliveryAgent, StoreManager, PlatformManager, Role, Permission, Store, Organization, ServiceArea</w:t>
            </w:r>
          </w:p>
        </w:tc>
      </w:tr>
      <w:tr>
        <w:tc>
          <w:tcPr>
            <w:tcW w:type="dxa" w:w="2350"/>
            <w:shd w:fill="F8FAFB"/>
            <w:tcMar>
              <w:top w:w="90" w:type="dxa"/>
              <w:start w:w="120" w:type="dxa"/>
              <w:bottom w:w="90" w:type="dxa"/>
              <w:end w:w="120" w:type="dxa"/>
            </w:tcMar>
            <w:vAlign w:val="center"/>
          </w:tcPr>
          <w:p>
            <w:r>
              <w:rPr>
                <w:rFonts w:ascii="Aptos" w:hAnsi="Aptos"/>
                <w:color w:val="1F2937"/>
                <w:sz w:val="18"/>
              </w:rPr>
              <w:t>Catalog and inventory</w:t>
            </w:r>
          </w:p>
        </w:tc>
        <w:tc>
          <w:tcPr>
            <w:tcW w:type="dxa" w:w="7010"/>
            <w:shd w:fill="F8FAFB"/>
            <w:tcMar>
              <w:top w:w="90" w:type="dxa"/>
              <w:start w:w="120" w:type="dxa"/>
              <w:bottom w:w="90" w:type="dxa"/>
              <w:end w:w="120" w:type="dxa"/>
            </w:tcMar>
            <w:vAlign w:val="center"/>
          </w:tcPr>
          <w:p>
            <w:r>
              <w:rPr>
                <w:rFonts w:ascii="Aptos" w:hAnsi="Aptos"/>
                <w:color w:val="1F2937"/>
                <w:sz w:val="18"/>
              </w:rPr>
              <w:t>Product, ProductVariant, Category, UnitOfMeasure, CatalogListing, Price, Promotion, InventoryPosition, StockMovement</w:t>
            </w:r>
          </w:p>
        </w:tc>
      </w:tr>
      <w:tr>
        <w:tc>
          <w:tcPr>
            <w:tcW w:type="dxa" w:w="2350"/>
            <w:tcMar>
              <w:top w:w="90" w:type="dxa"/>
              <w:start w:w="120" w:type="dxa"/>
              <w:bottom w:w="90" w:type="dxa"/>
              <w:end w:w="120" w:type="dxa"/>
            </w:tcMar>
            <w:vAlign w:val="center"/>
          </w:tcPr>
          <w:p>
            <w:r>
              <w:rPr>
                <w:rFonts w:ascii="Aptos" w:hAnsi="Aptos"/>
                <w:color w:val="1F2937"/>
                <w:sz w:val="18"/>
              </w:rPr>
              <w:t>Commerce</w:t>
            </w:r>
          </w:p>
        </w:tc>
        <w:tc>
          <w:tcPr>
            <w:tcW w:type="dxa" w:w="7010"/>
            <w:tcMar>
              <w:top w:w="90" w:type="dxa"/>
              <w:start w:w="120" w:type="dxa"/>
              <w:bottom w:w="90" w:type="dxa"/>
              <w:end w:w="120" w:type="dxa"/>
            </w:tcMar>
            <w:vAlign w:val="center"/>
          </w:tcPr>
          <w:p>
            <w:r>
              <w:rPr>
                <w:rFonts w:ascii="Aptos" w:hAnsi="Aptos"/>
                <w:color w:val="1F2937"/>
                <w:sz w:val="18"/>
              </w:rPr>
              <w:t>Cart, CartItem, Order, OrderLine, Payment, Charge, Refund, Address, Review</w:t>
            </w:r>
          </w:p>
        </w:tc>
      </w:tr>
      <w:tr>
        <w:tc>
          <w:tcPr>
            <w:tcW w:type="dxa" w:w="2350"/>
            <w:shd w:fill="F8FAFB"/>
            <w:tcMar>
              <w:top w:w="90" w:type="dxa"/>
              <w:start w:w="120" w:type="dxa"/>
              <w:bottom w:w="90" w:type="dxa"/>
              <w:end w:w="120" w:type="dxa"/>
            </w:tcMar>
            <w:vAlign w:val="center"/>
          </w:tcPr>
          <w:p>
            <w:r>
              <w:rPr>
                <w:rFonts w:ascii="Aptos" w:hAnsi="Aptos"/>
                <w:color w:val="1F2937"/>
                <w:sz w:val="18"/>
              </w:rPr>
              <w:t>Fulfillment</w:t>
            </w:r>
          </w:p>
        </w:tc>
        <w:tc>
          <w:tcPr>
            <w:tcW w:type="dxa" w:w="7010"/>
            <w:shd w:fill="F8FAFB"/>
            <w:tcMar>
              <w:top w:w="90" w:type="dxa"/>
              <w:start w:w="120" w:type="dxa"/>
              <w:bottom w:w="90" w:type="dxa"/>
              <w:end w:w="120" w:type="dxa"/>
            </w:tcMar>
            <w:vAlign w:val="center"/>
          </w:tcPr>
          <w:p>
            <w:r>
              <w:rPr>
                <w:rFonts w:ascii="Aptos" w:hAnsi="Aptos"/>
                <w:color w:val="1F2937"/>
                <w:sz w:val="18"/>
              </w:rPr>
              <w:t>Fulfillment, Delivery, DeliveryTask, Route, Stop, AgentAssignment, Vehicle, DeliveryWindow, ProofOfDelivery</w:t>
            </w:r>
          </w:p>
        </w:tc>
      </w:tr>
      <w:tr>
        <w:tc>
          <w:tcPr>
            <w:tcW w:type="dxa" w:w="2350"/>
            <w:tcMar>
              <w:top w:w="90" w:type="dxa"/>
              <w:start w:w="120" w:type="dxa"/>
              <w:bottom w:w="90" w:type="dxa"/>
              <w:end w:w="120" w:type="dxa"/>
            </w:tcMar>
            <w:vAlign w:val="center"/>
          </w:tcPr>
          <w:p>
            <w:r>
              <w:rPr>
                <w:rFonts w:ascii="Aptos" w:hAnsi="Aptos"/>
                <w:color w:val="1F2937"/>
                <w:sz w:val="18"/>
              </w:rPr>
              <w:t>Returns and service</w:t>
            </w:r>
          </w:p>
        </w:tc>
        <w:tc>
          <w:tcPr>
            <w:tcW w:type="dxa" w:w="7010"/>
            <w:tcMar>
              <w:top w:w="90" w:type="dxa"/>
              <w:start w:w="120" w:type="dxa"/>
              <w:bottom w:w="90" w:type="dxa"/>
              <w:end w:w="120" w:type="dxa"/>
            </w:tcMar>
            <w:vAlign w:val="center"/>
          </w:tcPr>
          <w:p>
            <w:r>
              <w:rPr>
                <w:rFonts w:ascii="Aptos" w:hAnsi="Aptos"/>
                <w:color w:val="1F2937"/>
                <w:sz w:val="18"/>
              </w:rPr>
              <w:t>ReturnRequest, ReplacementRequest, Claim, Reason, Evidence, Resolution, Exception</w:t>
            </w:r>
          </w:p>
        </w:tc>
      </w:tr>
      <w:tr>
        <w:tc>
          <w:tcPr>
            <w:tcW w:type="dxa" w:w="2350"/>
            <w:shd w:fill="F8FAFB"/>
            <w:tcMar>
              <w:top w:w="90" w:type="dxa"/>
              <w:start w:w="120" w:type="dxa"/>
              <w:bottom w:w="90" w:type="dxa"/>
              <w:end w:w="120" w:type="dxa"/>
            </w:tcMar>
            <w:vAlign w:val="center"/>
          </w:tcPr>
          <w:p>
            <w:r>
              <w:rPr>
                <w:rFonts w:ascii="Aptos" w:hAnsi="Aptos"/>
                <w:color w:val="1F2937"/>
                <w:sz w:val="18"/>
              </w:rPr>
              <w:t>Telemetry</w:t>
            </w:r>
          </w:p>
        </w:tc>
        <w:tc>
          <w:tcPr>
            <w:tcW w:type="dxa" w:w="7010"/>
            <w:shd w:fill="F8FAFB"/>
            <w:tcMar>
              <w:top w:w="90" w:type="dxa"/>
              <w:start w:w="120" w:type="dxa"/>
              <w:bottom w:w="90" w:type="dxa"/>
              <w:end w:w="120" w:type="dxa"/>
            </w:tcMar>
            <w:vAlign w:val="center"/>
          </w:tcPr>
          <w:p>
            <w:r>
              <w:rPr>
                <w:rFonts w:ascii="Aptos" w:hAnsi="Aptos"/>
                <w:color w:val="1F2937"/>
                <w:sz w:val="18"/>
              </w:rPr>
              <w:t>LocationObservation, TemperatureObservation, Device, Sensor, Threshold, Breach</w:t>
            </w:r>
          </w:p>
        </w:tc>
      </w:tr>
      <w:tr>
        <w:tc>
          <w:tcPr>
            <w:tcW w:type="dxa" w:w="2350"/>
            <w:tcMar>
              <w:top w:w="90" w:type="dxa"/>
              <w:start w:w="120" w:type="dxa"/>
              <w:bottom w:w="90" w:type="dxa"/>
              <w:end w:w="120" w:type="dxa"/>
            </w:tcMar>
            <w:vAlign w:val="center"/>
          </w:tcPr>
          <w:p>
            <w:r>
              <w:rPr>
                <w:rFonts w:ascii="Aptos" w:hAnsi="Aptos"/>
                <w:color w:val="1F2937"/>
                <w:sz w:val="18"/>
              </w:rPr>
              <w:t>Intelligence</w:t>
            </w:r>
          </w:p>
        </w:tc>
        <w:tc>
          <w:tcPr>
            <w:tcW w:type="dxa" w:w="7010"/>
            <w:tcMar>
              <w:top w:w="90" w:type="dxa"/>
              <w:start w:w="120" w:type="dxa"/>
              <w:bottom w:w="90" w:type="dxa"/>
              <w:end w:w="120" w:type="dxa"/>
            </w:tcMar>
            <w:vAlign w:val="center"/>
          </w:tcPr>
          <w:p>
            <w:r>
              <w:rPr>
                <w:rFonts w:ascii="Aptos" w:hAnsi="Aptos"/>
                <w:color w:val="1F2937"/>
                <w:sz w:val="18"/>
              </w:rPr>
              <w:t>Recommendation, Prediction, RiskAssessment, Explanation, Decision, ActionProposal, PolicyEvaluation, HumanApproval, ActionExecution, ModelVersion</w:t>
            </w:r>
          </w:p>
        </w:tc>
      </w:tr>
    </w:tbl>
    <w:p>
      <w:pPr>
        <w:spacing w:after="0"/>
      </w:pPr>
    </w:p>
    <w:p>
      <w:pPr>
        <w:pStyle w:val="Heading2"/>
      </w:pPr>
      <w:r>
        <w:t>Representative relationships</w:t>
      </w:r>
    </w:p>
    <w:p>
      <w:pPr>
        <w:pStyle w:val="ListBullet"/>
      </w:pPr>
      <w:r>
        <w:rPr>
          <w:rFonts w:ascii="Aptos" w:hAnsi="Aptos"/>
          <w:color w:val="1F2937"/>
        </w:rPr>
        <w:t>Customer PLACED Order; Order CONTAINS OrderLine; OrderLine REFERENCES Product.</w:t>
      </w:r>
    </w:p>
    <w:p>
      <w:pPr>
        <w:pStyle w:val="ListBullet"/>
      </w:pPr>
      <w:r>
        <w:rPr>
          <w:rFonts w:ascii="Aptos" w:hAnsi="Aptos"/>
          <w:color w:val="1F2937"/>
        </w:rPr>
        <w:t>Store OFFERS CatalogListing; CatalogListing LISTS Product; Store HOLDS InventoryPosition.</w:t>
      </w:r>
    </w:p>
    <w:p>
      <w:pPr>
        <w:pStyle w:val="ListBullet"/>
      </w:pPr>
      <w:r>
        <w:rPr>
          <w:rFonts w:ascii="Aptos" w:hAnsi="Aptos"/>
          <w:color w:val="1F2937"/>
        </w:rPr>
        <w:t>OrderLine FULFILLED_BY Store; Order REQUIRES Fulfillment; Fulfillment ASSIGNED_TO DeliveryAgent.</w:t>
      </w:r>
    </w:p>
    <w:p>
      <w:pPr>
        <w:pStyle w:val="ListBullet"/>
      </w:pPr>
      <w:r>
        <w:rPr>
          <w:rFonts w:ascii="Aptos" w:hAnsi="Aptos"/>
          <w:color w:val="1F2937"/>
        </w:rPr>
        <w:t>Fulfillment USES Vehicle; Delivery HAS_OBSERVATION TemperatureObservation; Claim CONCERNS OrderLine.</w:t>
      </w:r>
    </w:p>
    <w:p>
      <w:pPr>
        <w:pStyle w:val="ListBullet"/>
      </w:pPr>
      <w:r>
        <w:rPr>
          <w:rFonts w:ascii="Aptos" w:hAnsi="Aptos"/>
          <w:color w:val="1F2937"/>
        </w:rPr>
        <w:t>Recommendation PROPOSES ActionProposal; Decision BASED_ON Evidence; ActionExecution AUTHORIZED_BY PolicyEvaluation.</w:t>
      </w:r>
    </w:p>
    <w:p>
      <w:pPr>
        <w:pStyle w:val="Heading2"/>
      </w:pPr>
      <w:r>
        <w:t>Fact contract</w:t>
      </w:r>
    </w:p>
    <w:p>
      <w:pPr/>
      <w:r>
        <w:rPr>
          <w:rFonts w:ascii="Aptos" w:hAnsi="Aptos"/>
          <w:color w:val="1F2937"/>
        </w:rPr>
        <w:t>Every asserted, inferred, or predicted fact should carry enough context to be trusted and retired safely. Required metadata should include source system and record, event or observation time, ingestion time, tenant/store scope, assertion type, confidence, model or rule version, evidence references, and expiration where applicable.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3E6"/>
          </w:tcPr>
          <w:p>
            <w:pPr>
              <w:spacing w:after="60"/>
            </w:pPr>
            <w:r>
              <w:rPr>
                <w:rFonts w:ascii="Aptos" w:hAnsi="Aptos"/>
                <w:b/>
                <w:color w:val="B45309"/>
                <w:sz w:val="18"/>
              </w:rPr>
              <w:t>TEMPORAL REASONING EXAMPLE</w:t>
            </w:r>
          </w:p>
          <w:p>
            <w:pPr>
              <w:spacing w:after="0"/>
            </w:pPr>
            <w:r>
              <w:rPr>
                <w:rFonts w:ascii="Aptos" w:hAnsi="Aptos"/>
                <w:color w:val="1F2937"/>
                <w:sz w:val="21"/>
              </w:rPr>
              <w:t>“Customer prefers morning delivery” should not be stored as an eternal fact. It may be an inference with 0.76 confidence, supported by six recent orders, generated by preference-model version 3, and expiring after 90 days.</w:t>
            </w:r>
          </w:p>
        </w:tc>
      </w:tr>
    </w:tbl>
    <w:p>
      <w:pPr>
        <w:spacing w:after="0"/>
      </w:pPr>
    </w:p>
    <w:p>
      <w:pPr>
        <w:pStyle w:val="Heading2"/>
      </w:pPr>
      <w:r>
        <w:t>Semantic actions</w:t>
      </w:r>
    </w:p>
    <w:p>
      <w:pPr/>
      <w:r>
        <w:rPr>
          <w:rFonts w:ascii="Aptos" w:hAnsi="Aptos"/>
          <w:color w:val="1F2937"/>
        </w:rPr>
        <w:t>An operational ontology must describe what may be done, not only what exists. Candidate actions include RecommendProducts, ProposeCart, ReserveInventory, PlaceOrder, RecommendDeliveryAssignment, AssignDeliveryAgent, ProposeRoute, UpdateFulfillmentStatus, ReportDeliveryException, RecommendClaimResolution, ApproveRefund, CreatePromotionDraft, PublishPromotion, SendNotification, and EscalateCase.</w:t>
      </w:r>
    </w:p>
    <w:p>
      <w:pPr/>
      <w:r>
        <w:rPr>
          <w:rFonts w:ascii="Aptos" w:hAnsi="Aptos"/>
          <w:color w:val="1F2937"/>
        </w:rPr>
        <w:t>Each action contract should define the authorized proposer and approver, input schema, preconditions, deterministic validations, impact limits, human-approval requirement, idempotency key, compensation behavior, and audit requirements.</w:t>
      </w:r>
    </w:p>
    <w:p>
      <w:pPr>
        <w:pStyle w:val="Heading1"/>
      </w:pPr>
      <w:r>
        <w:t>LLM and model architecture</w:t>
      </w:r>
    </w:p>
    <w:p>
      <w:pPr/>
      <w:r>
        <w:rPr>
          <w:rFonts w:ascii="Aptos" w:hAnsi="Aptos"/>
          <w:color w:val="1F2937"/>
        </w:rPr>
        <w:t>A unified model gateway should insulate the platform from model vendors and deployment modes. The orchestrator requests a capability and operating constraints; the gateway selects the appropriate model based on quality, latency, privacy, availability, and cost.</w:t>
      </w:r>
    </w:p>
    <w:tbl>
      <w:tblPr>
        <w:tblStyle w:val="TableGrid"/>
        <w:tblW w:type="dxa" w:w="9360"/>
        <w:jc w:val="center"/>
        <w:tblLayout w:type="fixed"/>
        <w:tblLook w:firstColumn="1" w:firstRow="1" w:lastColumn="0" w:lastRow="0" w:noHBand="0" w:noVBand="1" w:val="04A0"/>
        <w:tblInd w:w="120" w:type="dxa"/>
      </w:tblPr>
      <w:tblGrid>
        <w:gridCol w:w="1700"/>
        <w:gridCol w:w="4560"/>
        <w:gridCol w:w="3100"/>
      </w:tblGrid>
      <w:tr>
        <w:trPr>
          <w:tblHeader w:val="true"/>
        </w:trPr>
        <w:tc>
          <w:tcPr>
            <w:tcW w:type="dxa" w:w="1700"/>
            <w:shd w:fill="17324D"/>
            <w:tcMar>
              <w:top w:w="90" w:type="dxa"/>
              <w:start w:w="120" w:type="dxa"/>
              <w:bottom w:w="90" w:type="dxa"/>
              <w:end w:w="120" w:type="dxa"/>
            </w:tcMar>
            <w:vAlign w:val="center"/>
          </w:tcPr>
          <w:p>
            <w:pPr>
              <w:jc w:val="left"/>
            </w:pPr>
            <w:r>
              <w:rPr>
                <w:rFonts w:ascii="Aptos" w:hAnsi="Aptos"/>
                <w:b/>
                <w:color w:val="FFFFFF"/>
                <w:sz w:val="18"/>
              </w:rPr>
              <w:t>Model class</w:t>
            </w:r>
          </w:p>
        </w:tc>
        <w:tc>
          <w:tcPr>
            <w:tcW w:type="dxa" w:w="4560"/>
            <w:shd w:fill="17324D"/>
            <w:tcMar>
              <w:top w:w="90" w:type="dxa"/>
              <w:start w:w="120" w:type="dxa"/>
              <w:bottom w:w="90" w:type="dxa"/>
              <w:end w:w="120" w:type="dxa"/>
            </w:tcMar>
            <w:vAlign w:val="center"/>
          </w:tcPr>
          <w:p>
            <w:pPr>
              <w:jc w:val="left"/>
            </w:pPr>
            <w:r>
              <w:rPr>
                <w:rFonts w:ascii="Aptos" w:hAnsi="Aptos"/>
                <w:b/>
                <w:color w:val="FFFFFF"/>
                <w:sz w:val="18"/>
              </w:rPr>
              <w:t>Best-fit responsibilities</w:t>
            </w:r>
          </w:p>
        </w:tc>
        <w:tc>
          <w:tcPr>
            <w:tcW w:type="dxa" w:w="3100"/>
            <w:shd w:fill="17324D"/>
            <w:tcMar>
              <w:top w:w="90" w:type="dxa"/>
              <w:start w:w="120" w:type="dxa"/>
              <w:bottom w:w="90" w:type="dxa"/>
              <w:end w:w="120" w:type="dxa"/>
            </w:tcMar>
            <w:vAlign w:val="center"/>
          </w:tcPr>
          <w:p>
            <w:pPr>
              <w:jc w:val="left"/>
            </w:pPr>
            <w:r>
              <w:rPr>
                <w:rFonts w:ascii="Aptos" w:hAnsi="Aptos"/>
                <w:b/>
                <w:color w:val="FFFFFF"/>
                <w:sz w:val="18"/>
              </w:rPr>
              <w:t>Deployment options</w:t>
            </w:r>
          </w:p>
        </w:tc>
      </w:tr>
      <w:tr>
        <w:tc>
          <w:tcPr>
            <w:tcW w:type="dxa" w:w="1700"/>
            <w:tcMar>
              <w:top w:w="90" w:type="dxa"/>
              <w:start w:w="120" w:type="dxa"/>
              <w:bottom w:w="90" w:type="dxa"/>
              <w:end w:w="120" w:type="dxa"/>
            </w:tcMar>
            <w:vAlign w:val="center"/>
          </w:tcPr>
          <w:p>
            <w:r>
              <w:rPr>
                <w:rFonts w:ascii="Aptos" w:hAnsi="Aptos"/>
                <w:color w:val="1F2937"/>
                <w:sz w:val="17"/>
              </w:rPr>
              <w:t>Frontier/general LLM</w:t>
            </w:r>
          </w:p>
        </w:tc>
        <w:tc>
          <w:tcPr>
            <w:tcW w:type="dxa" w:w="4560"/>
            <w:tcMar>
              <w:top w:w="90" w:type="dxa"/>
              <w:start w:w="120" w:type="dxa"/>
              <w:bottom w:w="90" w:type="dxa"/>
              <w:end w:w="120" w:type="dxa"/>
            </w:tcMar>
            <w:vAlign w:val="center"/>
          </w:tcPr>
          <w:p>
            <w:r>
              <w:rPr>
                <w:rFonts w:ascii="Aptos" w:hAnsi="Aptos"/>
                <w:color w:val="1F2937"/>
                <w:sz w:val="17"/>
              </w:rPr>
              <w:t>Complex reasoning, conversation, synthesis, tool planning, multilingual assistance</w:t>
            </w:r>
          </w:p>
        </w:tc>
        <w:tc>
          <w:tcPr>
            <w:tcW w:type="dxa" w:w="3100"/>
            <w:tcMar>
              <w:top w:w="90" w:type="dxa"/>
              <w:start w:w="120" w:type="dxa"/>
              <w:bottom w:w="90" w:type="dxa"/>
              <w:end w:w="120" w:type="dxa"/>
            </w:tcMar>
            <w:vAlign w:val="center"/>
          </w:tcPr>
          <w:p>
            <w:r>
              <w:rPr>
                <w:rFonts w:ascii="Aptos" w:hAnsi="Aptos"/>
                <w:color w:val="1F2937"/>
                <w:sz w:val="17"/>
              </w:rPr>
              <w:t>Cloud API or capable self-hosted model</w:t>
            </w:r>
          </w:p>
        </w:tc>
      </w:tr>
      <w:tr>
        <w:tc>
          <w:tcPr>
            <w:tcW w:type="dxa" w:w="1700"/>
            <w:shd w:fill="F8FAFB"/>
            <w:tcMar>
              <w:top w:w="90" w:type="dxa"/>
              <w:start w:w="120" w:type="dxa"/>
              <w:bottom w:w="90" w:type="dxa"/>
              <w:end w:w="120" w:type="dxa"/>
            </w:tcMar>
            <w:vAlign w:val="center"/>
          </w:tcPr>
          <w:p>
            <w:r>
              <w:rPr>
                <w:rFonts w:ascii="Aptos" w:hAnsi="Aptos"/>
                <w:color w:val="1F2937"/>
                <w:sz w:val="17"/>
              </w:rPr>
              <w:t>Small language model</w:t>
            </w:r>
          </w:p>
        </w:tc>
        <w:tc>
          <w:tcPr>
            <w:tcW w:type="dxa" w:w="4560"/>
            <w:shd w:fill="F8FAFB"/>
            <w:tcMar>
              <w:top w:w="90" w:type="dxa"/>
              <w:start w:w="120" w:type="dxa"/>
              <w:bottom w:w="90" w:type="dxa"/>
              <w:end w:w="120" w:type="dxa"/>
            </w:tcMar>
            <w:vAlign w:val="center"/>
          </w:tcPr>
          <w:p>
            <w:r>
              <w:rPr>
                <w:rFonts w:ascii="Aptos" w:hAnsi="Aptos"/>
                <w:color w:val="1F2937"/>
                <w:sz w:val="17"/>
              </w:rPr>
              <w:t>Intent, classification, extraction, routing, concise summarization</w:t>
            </w:r>
          </w:p>
        </w:tc>
        <w:tc>
          <w:tcPr>
            <w:tcW w:type="dxa" w:w="3100"/>
            <w:shd w:fill="F8FAFB"/>
            <w:tcMar>
              <w:top w:w="90" w:type="dxa"/>
              <w:start w:w="120" w:type="dxa"/>
              <w:bottom w:w="90" w:type="dxa"/>
              <w:end w:w="120" w:type="dxa"/>
            </w:tcMar>
            <w:vAlign w:val="center"/>
          </w:tcPr>
          <w:p>
            <w:r>
              <w:rPr>
                <w:rFonts w:ascii="Aptos" w:hAnsi="Aptos"/>
                <w:color w:val="1F2937"/>
                <w:sz w:val="17"/>
              </w:rPr>
              <w:t>Local service, edge, or on-device</w:t>
            </w:r>
          </w:p>
        </w:tc>
      </w:tr>
      <w:tr>
        <w:tc>
          <w:tcPr>
            <w:tcW w:type="dxa" w:w="1700"/>
            <w:tcMar>
              <w:top w:w="90" w:type="dxa"/>
              <w:start w:w="120" w:type="dxa"/>
              <w:bottom w:w="90" w:type="dxa"/>
              <w:end w:w="120" w:type="dxa"/>
            </w:tcMar>
            <w:vAlign w:val="center"/>
          </w:tcPr>
          <w:p>
            <w:r>
              <w:rPr>
                <w:rFonts w:ascii="Aptos" w:hAnsi="Aptos"/>
                <w:color w:val="1F2937"/>
                <w:sz w:val="17"/>
              </w:rPr>
              <w:t>Embedding/reranker</w:t>
            </w:r>
          </w:p>
        </w:tc>
        <w:tc>
          <w:tcPr>
            <w:tcW w:type="dxa" w:w="4560"/>
            <w:tcMar>
              <w:top w:w="90" w:type="dxa"/>
              <w:start w:w="120" w:type="dxa"/>
              <w:bottom w:w="90" w:type="dxa"/>
              <w:end w:w="120" w:type="dxa"/>
            </w:tcMar>
            <w:vAlign w:val="center"/>
          </w:tcPr>
          <w:p>
            <w:r>
              <w:rPr>
                <w:rFonts w:ascii="Aptos" w:hAnsi="Aptos"/>
                <w:color w:val="1F2937"/>
                <w:sz w:val="17"/>
              </w:rPr>
              <w:t>Semantic retrieval, similarity, candidate reranking</w:t>
            </w:r>
          </w:p>
        </w:tc>
        <w:tc>
          <w:tcPr>
            <w:tcW w:type="dxa" w:w="3100"/>
            <w:tcMar>
              <w:top w:w="90" w:type="dxa"/>
              <w:start w:w="120" w:type="dxa"/>
              <w:bottom w:w="90" w:type="dxa"/>
              <w:end w:w="120" w:type="dxa"/>
            </w:tcMar>
            <w:vAlign w:val="center"/>
          </w:tcPr>
          <w:p>
            <w:r>
              <w:rPr>
                <w:rFonts w:ascii="Aptos" w:hAnsi="Aptos"/>
                <w:color w:val="1F2937"/>
                <w:sz w:val="17"/>
              </w:rPr>
              <w:t>Managed API or local inference</w:t>
            </w:r>
          </w:p>
        </w:tc>
      </w:tr>
      <w:tr>
        <w:tc>
          <w:tcPr>
            <w:tcW w:type="dxa" w:w="1700"/>
            <w:shd w:fill="F8FAFB"/>
            <w:tcMar>
              <w:top w:w="90" w:type="dxa"/>
              <w:start w:w="120" w:type="dxa"/>
              <w:bottom w:w="90" w:type="dxa"/>
              <w:end w:w="120" w:type="dxa"/>
            </w:tcMar>
            <w:vAlign w:val="center"/>
          </w:tcPr>
          <w:p>
            <w:r>
              <w:rPr>
                <w:rFonts w:ascii="Aptos" w:hAnsi="Aptos"/>
                <w:color w:val="1F2937"/>
                <w:sz w:val="17"/>
              </w:rPr>
              <w:t>Speech models</w:t>
            </w:r>
          </w:p>
        </w:tc>
        <w:tc>
          <w:tcPr>
            <w:tcW w:type="dxa" w:w="4560"/>
            <w:shd w:fill="F8FAFB"/>
            <w:tcMar>
              <w:top w:w="90" w:type="dxa"/>
              <w:start w:w="120" w:type="dxa"/>
              <w:bottom w:w="90" w:type="dxa"/>
              <w:end w:w="120" w:type="dxa"/>
            </w:tcMar>
            <w:vAlign w:val="center"/>
          </w:tcPr>
          <w:p>
            <w:r>
              <w:rPr>
                <w:rFonts w:ascii="Aptos" w:hAnsi="Aptos"/>
                <w:color w:val="1F2937"/>
                <w:sz w:val="17"/>
              </w:rPr>
              <w:t>Voice activity, denoising, speech recognition, language detection, speech generation</w:t>
            </w:r>
          </w:p>
        </w:tc>
        <w:tc>
          <w:tcPr>
            <w:tcW w:type="dxa" w:w="3100"/>
            <w:shd w:fill="F8FAFB"/>
            <w:tcMar>
              <w:top w:w="90" w:type="dxa"/>
              <w:start w:w="120" w:type="dxa"/>
              <w:bottom w:w="90" w:type="dxa"/>
              <w:end w:w="120" w:type="dxa"/>
            </w:tcMar>
            <w:vAlign w:val="center"/>
          </w:tcPr>
          <w:p>
            <w:r>
              <w:rPr>
                <w:rFonts w:ascii="Aptos" w:hAnsi="Aptos"/>
                <w:color w:val="1F2937"/>
                <w:sz w:val="17"/>
              </w:rPr>
              <w:t>Cloud, local, or device hybrid</w:t>
            </w:r>
          </w:p>
        </w:tc>
      </w:tr>
      <w:tr>
        <w:tc>
          <w:tcPr>
            <w:tcW w:type="dxa" w:w="1700"/>
            <w:tcMar>
              <w:top w:w="90" w:type="dxa"/>
              <w:start w:w="120" w:type="dxa"/>
              <w:bottom w:w="90" w:type="dxa"/>
              <w:end w:w="120" w:type="dxa"/>
            </w:tcMar>
            <w:vAlign w:val="center"/>
          </w:tcPr>
          <w:p>
            <w:r>
              <w:rPr>
                <w:rFonts w:ascii="Aptos" w:hAnsi="Aptos"/>
                <w:color w:val="1F2937"/>
                <w:sz w:val="17"/>
              </w:rPr>
              <w:t>Vision model</w:t>
            </w:r>
          </w:p>
        </w:tc>
        <w:tc>
          <w:tcPr>
            <w:tcW w:type="dxa" w:w="4560"/>
            <w:tcMar>
              <w:top w:w="90" w:type="dxa"/>
              <w:start w:w="120" w:type="dxa"/>
              <w:bottom w:w="90" w:type="dxa"/>
              <w:end w:w="120" w:type="dxa"/>
            </w:tcMar>
            <w:vAlign w:val="center"/>
          </w:tcPr>
          <w:p>
            <w:r>
              <w:rPr>
                <w:rFonts w:ascii="Aptos" w:hAnsi="Aptos"/>
                <w:color w:val="1F2937"/>
                <w:sz w:val="17"/>
              </w:rPr>
              <w:t>Product intake, claim evidence, proof-of-delivery quality, OCR-assisted understanding</w:t>
            </w:r>
          </w:p>
        </w:tc>
        <w:tc>
          <w:tcPr>
            <w:tcW w:type="dxa" w:w="3100"/>
            <w:tcMar>
              <w:top w:w="90" w:type="dxa"/>
              <w:start w:w="120" w:type="dxa"/>
              <w:bottom w:w="90" w:type="dxa"/>
              <w:end w:w="120" w:type="dxa"/>
            </w:tcMar>
            <w:vAlign w:val="center"/>
          </w:tcPr>
          <w:p>
            <w:r>
              <w:rPr>
                <w:rFonts w:ascii="Aptos" w:hAnsi="Aptos"/>
                <w:color w:val="1F2937"/>
                <w:sz w:val="17"/>
              </w:rPr>
              <w:t>Cloud or private GPU</w:t>
            </w:r>
          </w:p>
        </w:tc>
      </w:tr>
      <w:tr>
        <w:tc>
          <w:tcPr>
            <w:tcW w:type="dxa" w:w="1700"/>
            <w:shd w:fill="F8FAFB"/>
            <w:tcMar>
              <w:top w:w="90" w:type="dxa"/>
              <w:start w:w="120" w:type="dxa"/>
              <w:bottom w:w="90" w:type="dxa"/>
              <w:end w:w="120" w:type="dxa"/>
            </w:tcMar>
            <w:vAlign w:val="center"/>
          </w:tcPr>
          <w:p>
            <w:r>
              <w:rPr>
                <w:rFonts w:ascii="Aptos" w:hAnsi="Aptos"/>
                <w:color w:val="1F2937"/>
                <w:sz w:val="17"/>
              </w:rPr>
              <w:t>Predictive model</w:t>
            </w:r>
          </w:p>
        </w:tc>
        <w:tc>
          <w:tcPr>
            <w:tcW w:type="dxa" w:w="4560"/>
            <w:shd w:fill="F8FAFB"/>
            <w:tcMar>
              <w:top w:w="90" w:type="dxa"/>
              <w:start w:w="120" w:type="dxa"/>
              <w:bottom w:w="90" w:type="dxa"/>
              <w:end w:w="120" w:type="dxa"/>
            </w:tcMar>
            <w:vAlign w:val="center"/>
          </w:tcPr>
          <w:p>
            <w:r>
              <w:rPr>
                <w:rFonts w:ascii="Aptos" w:hAnsi="Aptos"/>
                <w:color w:val="1F2937"/>
                <w:sz w:val="17"/>
              </w:rPr>
              <w:t>ETA, demand, churn, return risk, anomaly detection</w:t>
            </w:r>
          </w:p>
        </w:tc>
        <w:tc>
          <w:tcPr>
            <w:tcW w:type="dxa" w:w="3100"/>
            <w:shd w:fill="F8FAFB"/>
            <w:tcMar>
              <w:top w:w="90" w:type="dxa"/>
              <w:start w:w="120" w:type="dxa"/>
              <w:bottom w:w="90" w:type="dxa"/>
              <w:end w:w="120" w:type="dxa"/>
            </w:tcMar>
            <w:vAlign w:val="center"/>
          </w:tcPr>
          <w:p>
            <w:r>
              <w:rPr>
                <w:rFonts w:ascii="Aptos" w:hAnsi="Aptos"/>
                <w:color w:val="1F2937"/>
                <w:sz w:val="17"/>
              </w:rPr>
              <w:t>Feature-based managed or self-hosted service</w:t>
            </w:r>
          </w:p>
        </w:tc>
      </w:tr>
      <w:tr>
        <w:tc>
          <w:tcPr>
            <w:tcW w:type="dxa" w:w="1700"/>
            <w:tcMar>
              <w:top w:w="90" w:type="dxa"/>
              <w:start w:w="120" w:type="dxa"/>
              <w:bottom w:w="90" w:type="dxa"/>
              <w:end w:w="120" w:type="dxa"/>
            </w:tcMar>
            <w:vAlign w:val="center"/>
          </w:tcPr>
          <w:p>
            <w:r>
              <w:rPr>
                <w:rFonts w:ascii="Aptos" w:hAnsi="Aptos"/>
                <w:color w:val="1F2937"/>
                <w:sz w:val="17"/>
              </w:rPr>
              <w:t>Optimization solver</w:t>
            </w:r>
          </w:p>
        </w:tc>
        <w:tc>
          <w:tcPr>
            <w:tcW w:type="dxa" w:w="4560"/>
            <w:tcMar>
              <w:top w:w="90" w:type="dxa"/>
              <w:start w:w="120" w:type="dxa"/>
              <w:bottom w:w="90" w:type="dxa"/>
              <w:end w:w="120" w:type="dxa"/>
            </w:tcMar>
            <w:vAlign w:val="center"/>
          </w:tcPr>
          <w:p>
            <w:r>
              <w:rPr>
                <w:rFonts w:ascii="Aptos" w:hAnsi="Aptos"/>
                <w:color w:val="1F2937"/>
                <w:sz w:val="17"/>
              </w:rPr>
              <w:t>Routing, assignment, capacity allocation, replenishment</w:t>
            </w:r>
          </w:p>
        </w:tc>
        <w:tc>
          <w:tcPr>
            <w:tcW w:type="dxa" w:w="3100"/>
            <w:tcMar>
              <w:top w:w="90" w:type="dxa"/>
              <w:start w:w="120" w:type="dxa"/>
              <w:bottom w:w="90" w:type="dxa"/>
              <w:end w:w="120" w:type="dxa"/>
            </w:tcMar>
            <w:vAlign w:val="center"/>
          </w:tcPr>
          <w:p>
            <w:r>
              <w:rPr>
                <w:rFonts w:ascii="Aptos" w:hAnsi="Aptos"/>
                <w:color w:val="1F2937"/>
                <w:sz w:val="17"/>
              </w:rPr>
              <w:t>Deterministic or stochastic optimization service</w:t>
            </w:r>
          </w:p>
        </w:tc>
      </w:tr>
    </w:tbl>
    <w:p>
      <w:pPr>
        <w:spacing w:after="0"/>
      </w:pPr>
    </w:p>
    <w:p>
      <w:pPr>
        <w:pStyle w:val="Heading2"/>
      </w:pPr>
      <w:r>
        <w:t>Cloud versus local inference</w:t>
      </w:r>
    </w:p>
    <w:tbl>
      <w:tblPr>
        <w:tblStyle w:val="TableGrid"/>
        <w:tblW w:type="dxa" w:w="9360"/>
        <w:jc w:val="center"/>
        <w:tblLayout w:type="fixed"/>
        <w:tblLook w:firstColumn="1" w:firstRow="1" w:lastColumn="0" w:lastRow="0" w:noHBand="0" w:noVBand="1" w:val="04A0"/>
        <w:tblInd w:w="120" w:type="dxa"/>
      </w:tblPr>
      <w:tblGrid>
        <w:gridCol w:w="1300"/>
        <w:gridCol w:w="2500"/>
        <w:gridCol w:w="2800"/>
        <w:gridCol w:w="2760"/>
      </w:tblGrid>
      <w:tr>
        <w:trPr>
          <w:tblHeader w:val="true"/>
        </w:trPr>
        <w:tc>
          <w:tcPr>
            <w:tcW w:type="dxa" w:w="1300"/>
            <w:shd w:fill="17324D"/>
            <w:tcMar>
              <w:top w:w="90" w:type="dxa"/>
              <w:start w:w="120" w:type="dxa"/>
              <w:bottom w:w="90" w:type="dxa"/>
              <w:end w:w="120" w:type="dxa"/>
            </w:tcMar>
            <w:vAlign w:val="center"/>
          </w:tcPr>
          <w:p>
            <w:pPr>
              <w:jc w:val="left"/>
            </w:pPr>
            <w:r>
              <w:rPr>
                <w:rFonts w:ascii="Aptos" w:hAnsi="Aptos"/>
                <w:b/>
                <w:color w:val="FFFFFF"/>
                <w:sz w:val="18"/>
              </w:rPr>
              <w:t>Choice</w:t>
            </w:r>
          </w:p>
        </w:tc>
        <w:tc>
          <w:tcPr>
            <w:tcW w:type="dxa" w:w="2500"/>
            <w:shd w:fill="17324D"/>
            <w:tcMar>
              <w:top w:w="90" w:type="dxa"/>
              <w:start w:w="120" w:type="dxa"/>
              <w:bottom w:w="90" w:type="dxa"/>
              <w:end w:w="120" w:type="dxa"/>
            </w:tcMar>
            <w:vAlign w:val="center"/>
          </w:tcPr>
          <w:p>
            <w:pPr>
              <w:jc w:val="left"/>
            </w:pPr>
            <w:r>
              <w:rPr>
                <w:rFonts w:ascii="Aptos" w:hAnsi="Aptos"/>
                <w:b/>
                <w:color w:val="FFFFFF"/>
                <w:sz w:val="18"/>
              </w:rPr>
              <w:t>Advantages</w:t>
            </w:r>
          </w:p>
        </w:tc>
        <w:tc>
          <w:tcPr>
            <w:tcW w:type="dxa" w:w="2800"/>
            <w:shd w:fill="17324D"/>
            <w:tcMar>
              <w:top w:w="90" w:type="dxa"/>
              <w:start w:w="120" w:type="dxa"/>
              <w:bottom w:w="90" w:type="dxa"/>
              <w:end w:w="120" w:type="dxa"/>
            </w:tcMar>
            <w:vAlign w:val="center"/>
          </w:tcPr>
          <w:p>
            <w:pPr>
              <w:jc w:val="left"/>
            </w:pPr>
            <w:r>
              <w:rPr>
                <w:rFonts w:ascii="Aptos" w:hAnsi="Aptos"/>
                <w:b/>
                <w:color w:val="FFFFFF"/>
                <w:sz w:val="18"/>
              </w:rPr>
              <w:t>Trade-offs</w:t>
            </w:r>
          </w:p>
        </w:tc>
        <w:tc>
          <w:tcPr>
            <w:tcW w:type="dxa" w:w="2760"/>
            <w:shd w:fill="17324D"/>
            <w:tcMar>
              <w:top w:w="90" w:type="dxa"/>
              <w:start w:w="120" w:type="dxa"/>
              <w:bottom w:w="90" w:type="dxa"/>
              <w:end w:w="120" w:type="dxa"/>
            </w:tcMar>
            <w:vAlign w:val="center"/>
          </w:tcPr>
          <w:p>
            <w:pPr>
              <w:jc w:val="left"/>
            </w:pPr>
            <w:r>
              <w:rPr>
                <w:rFonts w:ascii="Aptos" w:hAnsi="Aptos"/>
                <w:b/>
                <w:color w:val="FFFFFF"/>
                <w:sz w:val="18"/>
              </w:rPr>
              <w:t>Recommended use</w:t>
            </w:r>
          </w:p>
        </w:tc>
      </w:tr>
      <w:tr>
        <w:tc>
          <w:tcPr>
            <w:tcW w:type="dxa" w:w="1300"/>
            <w:tcMar>
              <w:top w:w="90" w:type="dxa"/>
              <w:start w:w="120" w:type="dxa"/>
              <w:bottom w:w="90" w:type="dxa"/>
              <w:end w:w="120" w:type="dxa"/>
            </w:tcMar>
            <w:vAlign w:val="center"/>
          </w:tcPr>
          <w:p>
            <w:r>
              <w:rPr>
                <w:rFonts w:ascii="Aptos" w:hAnsi="Aptos"/>
                <w:color w:val="1F2937"/>
                <w:sz w:val="17"/>
              </w:rPr>
              <w:t>Cloud LLM API</w:t>
            </w:r>
          </w:p>
        </w:tc>
        <w:tc>
          <w:tcPr>
            <w:tcW w:type="dxa" w:w="2500"/>
            <w:tcMar>
              <w:top w:w="90" w:type="dxa"/>
              <w:start w:w="120" w:type="dxa"/>
              <w:bottom w:w="90" w:type="dxa"/>
              <w:end w:w="120" w:type="dxa"/>
            </w:tcMar>
            <w:vAlign w:val="center"/>
          </w:tcPr>
          <w:p>
            <w:r>
              <w:rPr>
                <w:rFonts w:ascii="Aptos" w:hAnsi="Aptos"/>
                <w:color w:val="1F2937"/>
                <w:sz w:val="17"/>
              </w:rPr>
              <w:t>Fast adoption; strong reasoning; managed scaling</w:t>
            </w:r>
          </w:p>
        </w:tc>
        <w:tc>
          <w:tcPr>
            <w:tcW w:type="dxa" w:w="2800"/>
            <w:tcMar>
              <w:top w:w="90" w:type="dxa"/>
              <w:start w:w="120" w:type="dxa"/>
              <w:bottom w:w="90" w:type="dxa"/>
              <w:end w:w="120" w:type="dxa"/>
            </w:tcMar>
            <w:vAlign w:val="center"/>
          </w:tcPr>
          <w:p>
            <w:r>
              <w:rPr>
                <w:rFonts w:ascii="Aptos" w:hAnsi="Aptos"/>
                <w:color w:val="1F2937"/>
                <w:sz w:val="17"/>
              </w:rPr>
              <w:t>Network dependency; usage cost; governance and vendor considerations</w:t>
            </w:r>
          </w:p>
        </w:tc>
        <w:tc>
          <w:tcPr>
            <w:tcW w:type="dxa" w:w="2760"/>
            <w:tcMar>
              <w:top w:w="90" w:type="dxa"/>
              <w:start w:w="120" w:type="dxa"/>
              <w:bottom w:w="90" w:type="dxa"/>
              <w:end w:w="120" w:type="dxa"/>
            </w:tcMar>
            <w:vAlign w:val="center"/>
          </w:tcPr>
          <w:p>
            <w:r>
              <w:rPr>
                <w:rFonts w:ascii="Aptos" w:hAnsi="Aptos"/>
                <w:color w:val="1F2937"/>
                <w:sz w:val="17"/>
              </w:rPr>
              <w:t>Complex copilots and early experimentation</w:t>
            </w:r>
          </w:p>
        </w:tc>
      </w:tr>
      <w:tr>
        <w:tc>
          <w:tcPr>
            <w:tcW w:type="dxa" w:w="1300"/>
            <w:shd w:fill="F8FAFB"/>
            <w:tcMar>
              <w:top w:w="90" w:type="dxa"/>
              <w:start w:w="120" w:type="dxa"/>
              <w:bottom w:w="90" w:type="dxa"/>
              <w:end w:w="120" w:type="dxa"/>
            </w:tcMar>
            <w:vAlign w:val="center"/>
          </w:tcPr>
          <w:p>
            <w:r>
              <w:rPr>
                <w:rFonts w:ascii="Aptos" w:hAnsi="Aptos"/>
                <w:color w:val="1F2937"/>
                <w:sz w:val="17"/>
              </w:rPr>
              <w:t>Local LLM</w:t>
            </w:r>
          </w:p>
        </w:tc>
        <w:tc>
          <w:tcPr>
            <w:tcW w:type="dxa" w:w="2500"/>
            <w:shd w:fill="F8FAFB"/>
            <w:tcMar>
              <w:top w:w="90" w:type="dxa"/>
              <w:start w:w="120" w:type="dxa"/>
              <w:bottom w:w="90" w:type="dxa"/>
              <w:end w:w="120" w:type="dxa"/>
            </w:tcMar>
            <w:vAlign w:val="center"/>
          </w:tcPr>
          <w:p>
            <w:r>
              <w:rPr>
                <w:rFonts w:ascii="Aptos" w:hAnsi="Aptos"/>
                <w:color w:val="1F2937"/>
                <w:sz w:val="17"/>
              </w:rPr>
              <w:t>Privacy control; predictable environment; custom deployment</w:t>
            </w:r>
          </w:p>
        </w:tc>
        <w:tc>
          <w:tcPr>
            <w:tcW w:type="dxa" w:w="2800"/>
            <w:shd w:fill="F8FAFB"/>
            <w:tcMar>
              <w:top w:w="90" w:type="dxa"/>
              <w:start w:w="120" w:type="dxa"/>
              <w:bottom w:w="90" w:type="dxa"/>
              <w:end w:w="120" w:type="dxa"/>
            </w:tcMar>
            <w:vAlign w:val="center"/>
          </w:tcPr>
          <w:p>
            <w:r>
              <w:rPr>
                <w:rFonts w:ascii="Aptos" w:hAnsi="Aptos"/>
                <w:color w:val="1F2937"/>
                <w:sz w:val="17"/>
              </w:rPr>
              <w:t>GPU operations; capacity; model lifecycle; potentially lower quality</w:t>
            </w:r>
          </w:p>
        </w:tc>
        <w:tc>
          <w:tcPr>
            <w:tcW w:type="dxa" w:w="2760"/>
            <w:shd w:fill="F8FAFB"/>
            <w:tcMar>
              <w:top w:w="90" w:type="dxa"/>
              <w:start w:w="120" w:type="dxa"/>
              <w:bottom w:w="90" w:type="dxa"/>
              <w:end w:w="120" w:type="dxa"/>
            </w:tcMar>
            <w:vAlign w:val="center"/>
          </w:tcPr>
          <w:p>
            <w:r>
              <w:rPr>
                <w:rFonts w:ascii="Aptos" w:hAnsi="Aptos"/>
                <w:color w:val="1F2937"/>
                <w:sz w:val="17"/>
              </w:rPr>
              <w:t>Sensitive operational contexts and stable high-volume tasks</w:t>
            </w:r>
          </w:p>
        </w:tc>
      </w:tr>
      <w:tr>
        <w:tc>
          <w:tcPr>
            <w:tcW w:type="dxa" w:w="1300"/>
            <w:tcMar>
              <w:top w:w="90" w:type="dxa"/>
              <w:start w:w="120" w:type="dxa"/>
              <w:bottom w:w="90" w:type="dxa"/>
              <w:end w:w="120" w:type="dxa"/>
            </w:tcMar>
            <w:vAlign w:val="center"/>
          </w:tcPr>
          <w:p>
            <w:r>
              <w:rPr>
                <w:rFonts w:ascii="Aptos" w:hAnsi="Aptos"/>
                <w:color w:val="1F2937"/>
                <w:sz w:val="17"/>
              </w:rPr>
              <w:t>Small/on-device</w:t>
            </w:r>
          </w:p>
        </w:tc>
        <w:tc>
          <w:tcPr>
            <w:tcW w:type="dxa" w:w="2500"/>
            <w:tcMar>
              <w:top w:w="90" w:type="dxa"/>
              <w:start w:w="120" w:type="dxa"/>
              <w:bottom w:w="90" w:type="dxa"/>
              <w:end w:w="120" w:type="dxa"/>
            </w:tcMar>
            <w:vAlign w:val="center"/>
          </w:tcPr>
          <w:p>
            <w:r>
              <w:rPr>
                <w:rFonts w:ascii="Aptos" w:hAnsi="Aptos"/>
                <w:color w:val="1F2937"/>
                <w:sz w:val="17"/>
              </w:rPr>
              <w:t>Low latency; offline support; low marginal cost</w:t>
            </w:r>
          </w:p>
        </w:tc>
        <w:tc>
          <w:tcPr>
            <w:tcW w:type="dxa" w:w="2800"/>
            <w:tcMar>
              <w:top w:w="90" w:type="dxa"/>
              <w:start w:w="120" w:type="dxa"/>
              <w:bottom w:w="90" w:type="dxa"/>
              <w:end w:w="120" w:type="dxa"/>
            </w:tcMar>
            <w:vAlign w:val="center"/>
          </w:tcPr>
          <w:p>
            <w:r>
              <w:rPr>
                <w:rFonts w:ascii="Aptos" w:hAnsi="Aptos"/>
                <w:color w:val="1F2937"/>
                <w:sz w:val="17"/>
              </w:rPr>
              <w:t>Limited context and reasoning</w:t>
            </w:r>
          </w:p>
        </w:tc>
        <w:tc>
          <w:tcPr>
            <w:tcW w:type="dxa" w:w="2760"/>
            <w:tcMar>
              <w:top w:w="90" w:type="dxa"/>
              <w:start w:w="120" w:type="dxa"/>
              <w:bottom w:w="90" w:type="dxa"/>
              <w:end w:w="120" w:type="dxa"/>
            </w:tcMar>
            <w:vAlign w:val="center"/>
          </w:tcPr>
          <w:p>
            <w:r>
              <w:rPr>
                <w:rFonts w:ascii="Aptos" w:hAnsi="Aptos"/>
                <w:color w:val="1F2937"/>
                <w:sz w:val="17"/>
              </w:rPr>
              <w:t>Voice commands, intent, extraction, and offline drafts</w:t>
            </w:r>
          </w:p>
        </w:tc>
      </w:tr>
      <w:tr>
        <w:tc>
          <w:tcPr>
            <w:tcW w:type="dxa" w:w="1300"/>
            <w:shd w:fill="F8FAFB"/>
            <w:tcMar>
              <w:top w:w="90" w:type="dxa"/>
              <w:start w:w="120" w:type="dxa"/>
              <w:bottom w:w="90" w:type="dxa"/>
              <w:end w:w="120" w:type="dxa"/>
            </w:tcMar>
            <w:vAlign w:val="center"/>
          </w:tcPr>
          <w:p>
            <w:r>
              <w:rPr>
                <w:rFonts w:ascii="Aptos" w:hAnsi="Aptos"/>
                <w:color w:val="1F2937"/>
                <w:sz w:val="17"/>
              </w:rPr>
              <w:t>Hybrid gateway</w:t>
            </w:r>
          </w:p>
        </w:tc>
        <w:tc>
          <w:tcPr>
            <w:tcW w:type="dxa" w:w="2500"/>
            <w:shd w:fill="F8FAFB"/>
            <w:tcMar>
              <w:top w:w="90" w:type="dxa"/>
              <w:start w:w="120" w:type="dxa"/>
              <w:bottom w:w="90" w:type="dxa"/>
              <w:end w:w="120" w:type="dxa"/>
            </w:tcMar>
            <w:vAlign w:val="center"/>
          </w:tcPr>
          <w:p>
            <w:r>
              <w:rPr>
                <w:rFonts w:ascii="Aptos" w:hAnsi="Aptos"/>
                <w:color w:val="1F2937"/>
                <w:sz w:val="17"/>
              </w:rPr>
              <w:t>Best model per task; graceful fallback; progressive portability</w:t>
            </w:r>
          </w:p>
        </w:tc>
        <w:tc>
          <w:tcPr>
            <w:tcW w:type="dxa" w:w="2800"/>
            <w:shd w:fill="F8FAFB"/>
            <w:tcMar>
              <w:top w:w="90" w:type="dxa"/>
              <w:start w:w="120" w:type="dxa"/>
              <w:bottom w:w="90" w:type="dxa"/>
              <w:end w:w="120" w:type="dxa"/>
            </w:tcMar>
            <w:vAlign w:val="center"/>
          </w:tcPr>
          <w:p>
            <w:r>
              <w:rPr>
                <w:rFonts w:ascii="Aptos" w:hAnsi="Aptos"/>
                <w:color w:val="1F2937"/>
                <w:sz w:val="17"/>
              </w:rPr>
              <w:t>Requires strong evaluation and routing policy</w:t>
            </w:r>
          </w:p>
        </w:tc>
        <w:tc>
          <w:tcPr>
            <w:tcW w:type="dxa" w:w="2760"/>
            <w:shd w:fill="F8FAFB"/>
            <w:tcMar>
              <w:top w:w="90" w:type="dxa"/>
              <w:start w:w="120" w:type="dxa"/>
              <w:bottom w:w="90" w:type="dxa"/>
              <w:end w:w="120" w:type="dxa"/>
            </w:tcMar>
            <w:vAlign w:val="center"/>
          </w:tcPr>
          <w:p>
            <w:r>
              <w:rPr>
                <w:rFonts w:ascii="Aptos" w:hAnsi="Aptos"/>
                <w:color w:val="1F2937"/>
                <w:sz w:val="17"/>
              </w:rPr>
              <w:t>Preferred strategic architecture</w:t>
            </w:r>
          </w:p>
        </w:tc>
      </w:tr>
    </w:tbl>
    <w:p>
      <w:pPr>
        <w:spacing w:after="0"/>
      </w:pPr>
    </w:p>
    <w:p>
      <w:pPr>
        <w:pStyle w:val="Heading2"/>
      </w:pPr>
      <w:r>
        <w:t>Ontology-aware RAG</w:t>
      </w:r>
    </w:p>
    <w:p>
      <w:pPr/>
      <w:r>
        <w:rPr>
          <w:rFonts w:ascii="Aptos" w:hAnsi="Aptos"/>
          <w:color w:val="1F2937"/>
        </w:rPr>
        <w:t>Retrieval should combine graph traversal, semantic search, feature access, and deterministic API lookups. A customer assistant needs only the subgraph and documents relevant to that customer, location, products, stores, and active order. A platform manager may receive broader aggregated context. Authorization must be applied before retrieval, not only after the model responds.</w:t>
      </w:r>
    </w:p>
    <w:p>
      <w:pPr>
        <w:pStyle w:val="Heading1"/>
      </w:pPr>
      <w:r>
        <w:t>Voice interaction architecture</w:t>
      </w:r>
    </w:p>
    <w:p>
      <w:pPr/>
      <w:r>
        <w:rPr>
          <w:rFonts w:ascii="Aptos" w:hAnsi="Aptos"/>
          <w:color w:val="1F2937"/>
        </w:rPr>
        <w:t>Voice is especially valuable for delivery agents because it supports hands-free work. The pipeline should include optional wake-word detection, voice-activity detection, noise suppression, speech-to-text, language and intent detection, ontology-grounded reasoning, governed action confirmation, and text-to-speech.</w:t>
      </w:r>
    </w:p>
    <w:p>
      <w:pPr>
        <w:pStyle w:val="Heading2"/>
      </w:pPr>
      <w:r>
        <w:t>Example delivery-agent voice flow</w:t>
      </w:r>
    </w:p>
    <w:p>
      <w:pPr>
        <w:pStyle w:val="ListNumber"/>
      </w:pPr>
      <w:r>
        <w:rPr>
          <w:rFonts w:ascii="Aptos" w:hAnsi="Aptos"/>
          <w:color w:val="1F2937"/>
        </w:rPr>
        <w:t>The delivery agent says, “Customer is unavailable. Delay this delivery.”</w:t>
      </w:r>
    </w:p>
    <w:p>
      <w:pPr>
        <w:pStyle w:val="ListNumber"/>
      </w:pPr>
      <w:r>
        <w:rPr>
          <w:rFonts w:ascii="Aptos" w:hAnsi="Aptos"/>
          <w:color w:val="1F2937"/>
        </w:rPr>
        <w:t>The speech pipeline removes noise, transcribes the utterance, and records language and recognition confidence.</w:t>
      </w:r>
    </w:p>
    <w:p>
      <w:pPr>
        <w:pStyle w:val="ListNumber"/>
      </w:pPr>
      <w:r>
        <w:rPr>
          <w:rFonts w:ascii="Aptos" w:hAnsi="Aptos"/>
          <w:color w:val="1F2937"/>
        </w:rPr>
        <w:t>The copilot retrieves the agent's assigned delivery, current route, order, customer instructions, and applicable policy.</w:t>
      </w:r>
    </w:p>
    <w:p>
      <w:pPr>
        <w:pStyle w:val="ListNumber"/>
      </w:pPr>
      <w:r>
        <w:rPr>
          <w:rFonts w:ascii="Aptos" w:hAnsi="Aptos"/>
          <w:color w:val="1F2937"/>
        </w:rPr>
        <w:t>The copilot asks for explicit confirmation: “Delay by 15 minutes and notify the customer?”</w:t>
      </w:r>
    </w:p>
    <w:p>
      <w:pPr>
        <w:pStyle w:val="ListNumber"/>
      </w:pPr>
      <w:r>
        <w:rPr>
          <w:rFonts w:ascii="Aptos" w:hAnsi="Aptos"/>
          <w:color w:val="1F2937"/>
        </w:rPr>
        <w:t>After confirmation, it submits typed ReportDeliveryException and UpdateETA proposals.</w:t>
      </w:r>
    </w:p>
    <w:p>
      <w:pPr>
        <w:pStyle w:val="ListNumber"/>
      </w:pPr>
      <w:r>
        <w:rPr>
          <w:rFonts w:ascii="Aptos" w:hAnsi="Aptos"/>
          <w:color w:val="1F2937"/>
        </w:rPr>
        <w:t>The action gateway validates identity, assignment, permissions, impact, and policy before invoking the Node.js API.</w:t>
      </w:r>
    </w:p>
    <w:p>
      <w:pPr>
        <w:pStyle w:val="ListNumber"/>
      </w:pPr>
      <w:r>
        <w:rPr>
          <w:rFonts w:ascii="Aptos" w:hAnsi="Aptos"/>
          <w:color w:val="1F2937"/>
        </w:rPr>
        <w:t>The API commits the transaction to MySQL, emits a domain event, and returns the confirmed outcome for spoken feedback.</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3E6"/>
          </w:tcPr>
          <w:p>
            <w:pPr>
              <w:spacing w:after="60"/>
            </w:pPr>
            <w:r>
              <w:rPr>
                <w:rFonts w:ascii="Aptos" w:hAnsi="Aptos"/>
                <w:b/>
                <w:color w:val="B45309"/>
                <w:sz w:val="18"/>
              </w:rPr>
              <w:t>VOICE SAFETY RULE</w:t>
            </w:r>
          </w:p>
          <w:p>
            <w:pPr>
              <w:spacing w:after="0"/>
            </w:pPr>
            <w:r>
              <w:rPr>
                <w:rFonts w:ascii="Aptos" w:hAnsi="Aptos"/>
                <w:color w:val="1F2937"/>
                <w:sz w:val="21"/>
              </w:rPr>
              <w:t>Never interpret silence as approval. Separate dictation from execution, require confirmation for consequential actions, preserve the transcript and action trail, and support queued drafts when connectivity is poor.</w:t>
            </w:r>
          </w:p>
        </w:tc>
      </w:tr>
    </w:tbl>
    <w:p>
      <w:pPr>
        <w:spacing w:after="0"/>
      </w:pPr>
    </w:p>
    <w:p>
      <w:r>
        <w:br w:type="page"/>
      </w:r>
    </w:p>
    <w:p>
      <w:pPr>
        <w:pStyle w:val="Heading1"/>
      </w:pPr>
      <w:r>
        <w:t>Nondeterministic capabilities by persona</w:t>
      </w:r>
    </w:p>
    <w:p>
      <w:pPr/>
      <w:r>
        <w:rPr>
          <w:rFonts w:ascii="Aptos" w:hAnsi="Aptos"/>
          <w:color w:val="1F2937"/>
        </w:rPr>
        <w:t>Nondeterministic features may be probabilistic, generative, ranking-based, optimization-based, or agentic. They should complement—not absorb—the deterministic commerce rules.</w:t>
      </w:r>
    </w:p>
    <w:p>
      <w:pPr>
        <w:pStyle w:val="Heading2"/>
      </w:pPr>
      <w:r>
        <w:t>Customer</w:t>
      </w:r>
    </w:p>
    <w:tbl>
      <w:tblPr>
        <w:tblStyle w:val="TableGrid"/>
        <w:tblW w:type="dxa" w:w="9360"/>
        <w:jc w:val="center"/>
        <w:tblLayout w:type="fixed"/>
        <w:tblLook w:firstColumn="1" w:firstRow="1" w:lastColumn="0" w:lastRow="0" w:noHBand="0" w:noVBand="1" w:val="04A0"/>
        <w:tblInd w:w="120" w:type="dxa"/>
      </w:tblPr>
      <w:tblGrid>
        <w:gridCol w:w="2150"/>
        <w:gridCol w:w="4210"/>
        <w:gridCol w:w="3000"/>
      </w:tblGrid>
      <w:tr>
        <w:trPr>
          <w:tblHeader w:val="true"/>
        </w:trPr>
        <w:tc>
          <w:tcPr>
            <w:tcW w:type="dxa" w:w="2150"/>
            <w:shd w:fill="17324D"/>
            <w:tcMar>
              <w:top w:w="90" w:type="dxa"/>
              <w:start w:w="120" w:type="dxa"/>
              <w:bottom w:w="90" w:type="dxa"/>
              <w:end w:w="120" w:type="dxa"/>
            </w:tcMar>
            <w:vAlign w:val="center"/>
          </w:tcPr>
          <w:p>
            <w:pPr>
              <w:jc w:val="left"/>
            </w:pPr>
            <w:r>
              <w:rPr>
                <w:rFonts w:ascii="Aptos" w:hAnsi="Aptos"/>
                <w:b/>
                <w:color w:val="FFFFFF"/>
                <w:sz w:val="18"/>
              </w:rPr>
              <w:t>Capability</w:t>
            </w:r>
          </w:p>
        </w:tc>
        <w:tc>
          <w:tcPr>
            <w:tcW w:type="dxa" w:w="4210"/>
            <w:shd w:fill="17324D"/>
            <w:tcMar>
              <w:top w:w="90" w:type="dxa"/>
              <w:start w:w="120" w:type="dxa"/>
              <w:bottom w:w="90" w:type="dxa"/>
              <w:end w:w="120" w:type="dxa"/>
            </w:tcMar>
            <w:vAlign w:val="center"/>
          </w:tcPr>
          <w:p>
            <w:pPr>
              <w:jc w:val="left"/>
            </w:pPr>
            <w:r>
              <w:rPr>
                <w:rFonts w:ascii="Aptos" w:hAnsi="Aptos"/>
                <w:b/>
                <w:color w:val="FFFFFF"/>
                <w:sz w:val="18"/>
              </w:rPr>
              <w:t>AI contribution</w:t>
            </w:r>
          </w:p>
        </w:tc>
        <w:tc>
          <w:tcPr>
            <w:tcW w:type="dxa" w:w="3000"/>
            <w:shd w:fill="17324D"/>
            <w:tcMar>
              <w:top w:w="90" w:type="dxa"/>
              <w:start w:w="120" w:type="dxa"/>
              <w:bottom w:w="90" w:type="dxa"/>
              <w:end w:w="120" w:type="dxa"/>
            </w:tcMar>
            <w:vAlign w:val="center"/>
          </w:tcPr>
          <w:p>
            <w:pPr>
              <w:jc w:val="left"/>
            </w:pPr>
            <w:r>
              <w:rPr>
                <w:rFonts w:ascii="Aptos" w:hAnsi="Aptos"/>
                <w:b/>
                <w:color w:val="FFFFFF"/>
                <w:sz w:val="18"/>
              </w:rPr>
              <w:t>Deterministic boundary</w:t>
            </w:r>
          </w:p>
        </w:tc>
      </w:tr>
      <w:tr>
        <w:tc>
          <w:tcPr>
            <w:tcW w:type="dxa" w:w="2150"/>
            <w:tcMar>
              <w:top w:w="90" w:type="dxa"/>
              <w:start w:w="120" w:type="dxa"/>
              <w:bottom w:w="90" w:type="dxa"/>
              <w:end w:w="120" w:type="dxa"/>
            </w:tcMar>
            <w:vAlign w:val="center"/>
          </w:tcPr>
          <w:p>
            <w:r>
              <w:rPr>
                <w:rFonts w:ascii="Aptos" w:hAnsi="Aptos"/>
                <w:color w:val="1F2937"/>
                <w:sz w:val="17"/>
              </w:rPr>
              <w:t>Semantic product discovery</w:t>
            </w:r>
          </w:p>
        </w:tc>
        <w:tc>
          <w:tcPr>
            <w:tcW w:type="dxa" w:w="4210"/>
            <w:tcMar>
              <w:top w:w="90" w:type="dxa"/>
              <w:start w:w="120" w:type="dxa"/>
              <w:bottom w:w="90" w:type="dxa"/>
              <w:end w:w="120" w:type="dxa"/>
            </w:tcMar>
            <w:vAlign w:val="center"/>
          </w:tcPr>
          <w:p>
            <w:r>
              <w:rPr>
                <w:rFonts w:ascii="Aptos" w:hAnsi="Aptos"/>
                <w:color w:val="1F2937"/>
                <w:sz w:val="17"/>
              </w:rPr>
              <w:t>Interpret intent and rank products across catalog, store, availability, and location context</w:t>
            </w:r>
          </w:p>
        </w:tc>
        <w:tc>
          <w:tcPr>
            <w:tcW w:type="dxa" w:w="3000"/>
            <w:tcMar>
              <w:top w:w="90" w:type="dxa"/>
              <w:start w:w="120" w:type="dxa"/>
              <w:bottom w:w="90" w:type="dxa"/>
              <w:end w:w="120" w:type="dxa"/>
            </w:tcMar>
            <w:vAlign w:val="center"/>
          </w:tcPr>
          <w:p>
            <w:r>
              <w:rPr>
                <w:rFonts w:ascii="Aptos" w:hAnsi="Aptos"/>
                <w:color w:val="1F2937"/>
                <w:sz w:val="17"/>
              </w:rPr>
              <w:t>API returns authoritative price and availability</w:t>
            </w:r>
          </w:p>
        </w:tc>
      </w:tr>
      <w:tr>
        <w:tc>
          <w:tcPr>
            <w:tcW w:type="dxa" w:w="2150"/>
            <w:shd w:fill="F8FAFB"/>
            <w:tcMar>
              <w:top w:w="90" w:type="dxa"/>
              <w:start w:w="120" w:type="dxa"/>
              <w:bottom w:w="90" w:type="dxa"/>
              <w:end w:w="120" w:type="dxa"/>
            </w:tcMar>
            <w:vAlign w:val="center"/>
          </w:tcPr>
          <w:p>
            <w:r>
              <w:rPr>
                <w:rFonts w:ascii="Aptos" w:hAnsi="Aptos"/>
                <w:color w:val="1F2937"/>
                <w:sz w:val="17"/>
              </w:rPr>
              <w:t>Conversational shopping</w:t>
            </w:r>
          </w:p>
        </w:tc>
        <w:tc>
          <w:tcPr>
            <w:tcW w:type="dxa" w:w="4210"/>
            <w:shd w:fill="F8FAFB"/>
            <w:tcMar>
              <w:top w:w="90" w:type="dxa"/>
              <w:start w:w="120" w:type="dxa"/>
              <w:bottom w:w="90" w:type="dxa"/>
              <w:end w:w="120" w:type="dxa"/>
            </w:tcMar>
            <w:vAlign w:val="center"/>
          </w:tcPr>
          <w:p>
            <w:r>
              <w:rPr>
                <w:rFonts w:ascii="Aptos" w:hAnsi="Aptos"/>
                <w:color w:val="1F2937"/>
                <w:sz w:val="17"/>
              </w:rPr>
              <w:t>Build a proposed cart and explain choices or substitutes</w:t>
            </w:r>
          </w:p>
        </w:tc>
        <w:tc>
          <w:tcPr>
            <w:tcW w:type="dxa" w:w="3000"/>
            <w:shd w:fill="F8FAFB"/>
            <w:tcMar>
              <w:top w:w="90" w:type="dxa"/>
              <w:start w:w="120" w:type="dxa"/>
              <w:bottom w:w="90" w:type="dxa"/>
              <w:end w:w="120" w:type="dxa"/>
            </w:tcMar>
            <w:vAlign w:val="center"/>
          </w:tcPr>
          <w:p>
            <w:r>
              <w:rPr>
                <w:rFonts w:ascii="Aptos" w:hAnsi="Aptos"/>
                <w:color w:val="1F2937"/>
                <w:sz w:val="17"/>
              </w:rPr>
              <w:t>Cart mutation and checkout use existing commands</w:t>
            </w:r>
          </w:p>
        </w:tc>
      </w:tr>
      <w:tr>
        <w:tc>
          <w:tcPr>
            <w:tcW w:type="dxa" w:w="2150"/>
            <w:tcMar>
              <w:top w:w="90" w:type="dxa"/>
              <w:start w:w="120" w:type="dxa"/>
              <w:bottom w:w="90" w:type="dxa"/>
              <w:end w:w="120" w:type="dxa"/>
            </w:tcMar>
            <w:vAlign w:val="center"/>
          </w:tcPr>
          <w:p>
            <w:r>
              <w:rPr>
                <w:rFonts w:ascii="Aptos" w:hAnsi="Aptos"/>
                <w:color w:val="1F2937"/>
                <w:sz w:val="17"/>
              </w:rPr>
              <w:t>Personalized recommendations</w:t>
            </w:r>
          </w:p>
        </w:tc>
        <w:tc>
          <w:tcPr>
            <w:tcW w:type="dxa" w:w="4210"/>
            <w:tcMar>
              <w:top w:w="90" w:type="dxa"/>
              <w:start w:w="120" w:type="dxa"/>
              <w:bottom w:w="90" w:type="dxa"/>
              <w:end w:w="120" w:type="dxa"/>
            </w:tcMar>
            <w:vAlign w:val="center"/>
          </w:tcPr>
          <w:p>
            <w:r>
              <w:rPr>
                <w:rFonts w:ascii="Aptos" w:hAnsi="Aptos"/>
                <w:color w:val="1F2937"/>
                <w:sz w:val="17"/>
              </w:rPr>
              <w:t>Rank products using preferences, purchases, reviews, and feasibility</w:t>
            </w:r>
          </w:p>
        </w:tc>
        <w:tc>
          <w:tcPr>
            <w:tcW w:type="dxa" w:w="3000"/>
            <w:tcMar>
              <w:top w:w="90" w:type="dxa"/>
              <w:start w:w="120" w:type="dxa"/>
              <w:bottom w:w="90" w:type="dxa"/>
              <w:end w:w="120" w:type="dxa"/>
            </w:tcMar>
            <w:vAlign w:val="center"/>
          </w:tcPr>
          <w:p>
            <w:r>
              <w:rPr>
                <w:rFonts w:ascii="Aptos" w:hAnsi="Aptos"/>
                <w:color w:val="1F2937"/>
                <w:sz w:val="17"/>
              </w:rPr>
              <w:t>Eligibility, price, consent, and inventory remain rules</w:t>
            </w:r>
          </w:p>
        </w:tc>
      </w:tr>
      <w:tr>
        <w:tc>
          <w:tcPr>
            <w:tcW w:type="dxa" w:w="2150"/>
            <w:shd w:fill="F8FAFB"/>
            <w:tcMar>
              <w:top w:w="90" w:type="dxa"/>
              <w:start w:w="120" w:type="dxa"/>
              <w:bottom w:w="90" w:type="dxa"/>
              <w:end w:w="120" w:type="dxa"/>
            </w:tcMar>
            <w:vAlign w:val="center"/>
          </w:tcPr>
          <w:p>
            <w:r>
              <w:rPr>
                <w:rFonts w:ascii="Aptos" w:hAnsi="Aptos"/>
                <w:color w:val="1F2937"/>
                <w:sz w:val="17"/>
              </w:rPr>
              <w:t>ETA and proactive assistance</w:t>
            </w:r>
          </w:p>
        </w:tc>
        <w:tc>
          <w:tcPr>
            <w:tcW w:type="dxa" w:w="4210"/>
            <w:shd w:fill="F8FAFB"/>
            <w:tcMar>
              <w:top w:w="90" w:type="dxa"/>
              <w:start w:w="120" w:type="dxa"/>
              <w:bottom w:w="90" w:type="dxa"/>
              <w:end w:w="120" w:type="dxa"/>
            </w:tcMar>
            <w:vAlign w:val="center"/>
          </w:tcPr>
          <w:p>
            <w:r>
              <w:rPr>
                <w:rFonts w:ascii="Aptos" w:hAnsi="Aptos"/>
                <w:color w:val="1F2937"/>
                <w:sz w:val="17"/>
              </w:rPr>
              <w:t>Predict arrival ranges and identify likely delays or cold-chain risk</w:t>
            </w:r>
          </w:p>
        </w:tc>
        <w:tc>
          <w:tcPr>
            <w:tcW w:type="dxa" w:w="3000"/>
            <w:shd w:fill="F8FAFB"/>
            <w:tcMar>
              <w:top w:w="90" w:type="dxa"/>
              <w:start w:w="120" w:type="dxa"/>
              <w:bottom w:w="90" w:type="dxa"/>
              <w:end w:w="120" w:type="dxa"/>
            </w:tcMar>
            <w:vAlign w:val="center"/>
          </w:tcPr>
          <w:p>
            <w:r>
              <w:rPr>
                <w:rFonts w:ascii="Aptos" w:hAnsi="Aptos"/>
                <w:color w:val="1F2937"/>
                <w:sz w:val="17"/>
              </w:rPr>
              <w:t>Committed status and remedies follow policy</w:t>
            </w:r>
          </w:p>
        </w:tc>
      </w:tr>
      <w:tr>
        <w:tc>
          <w:tcPr>
            <w:tcW w:type="dxa" w:w="2150"/>
            <w:tcMar>
              <w:top w:w="90" w:type="dxa"/>
              <w:start w:w="120" w:type="dxa"/>
              <w:bottom w:w="90" w:type="dxa"/>
              <w:end w:w="120" w:type="dxa"/>
            </w:tcMar>
            <w:vAlign w:val="center"/>
          </w:tcPr>
          <w:p>
            <w:r>
              <w:rPr>
                <w:rFonts w:ascii="Aptos" w:hAnsi="Aptos"/>
                <w:color w:val="1F2937"/>
                <w:sz w:val="17"/>
              </w:rPr>
              <w:t>Natural-language return</w:t>
            </w:r>
          </w:p>
        </w:tc>
        <w:tc>
          <w:tcPr>
            <w:tcW w:type="dxa" w:w="4210"/>
            <w:tcMar>
              <w:top w:w="90" w:type="dxa"/>
              <w:start w:w="120" w:type="dxa"/>
              <w:bottom w:w="90" w:type="dxa"/>
              <w:end w:w="120" w:type="dxa"/>
            </w:tcMar>
            <w:vAlign w:val="center"/>
          </w:tcPr>
          <w:p>
            <w:r>
              <w:rPr>
                <w:rFonts w:ascii="Aptos" w:hAnsi="Aptos"/>
                <w:color w:val="1F2937"/>
                <w:sz w:val="17"/>
              </w:rPr>
              <w:t>Extract item, reason, evidence, and requested remedy</w:t>
            </w:r>
          </w:p>
        </w:tc>
        <w:tc>
          <w:tcPr>
            <w:tcW w:type="dxa" w:w="3000"/>
            <w:tcMar>
              <w:top w:w="90" w:type="dxa"/>
              <w:start w:w="120" w:type="dxa"/>
              <w:bottom w:w="90" w:type="dxa"/>
              <w:end w:w="120" w:type="dxa"/>
            </w:tcMar>
            <w:vAlign w:val="center"/>
          </w:tcPr>
          <w:p>
            <w:r>
              <w:rPr>
                <w:rFonts w:ascii="Aptos" w:hAnsi="Aptos"/>
                <w:color w:val="1F2937"/>
                <w:sz w:val="17"/>
              </w:rPr>
              <w:t>Eligibility, refund, and approval remain deterministic</w:t>
            </w:r>
          </w:p>
        </w:tc>
      </w:tr>
    </w:tbl>
    <w:p>
      <w:pPr>
        <w:spacing w:after="0"/>
      </w:pPr>
    </w:p>
    <w:p>
      <w:pPr>
        <w:pStyle w:val="Heading2"/>
      </w:pPr>
      <w:r>
        <w:t>Store manager</w:t>
      </w:r>
    </w:p>
    <w:p>
      <w:pPr>
        <w:pStyle w:val="ListBullet"/>
      </w:pPr>
      <w:r>
        <w:rPr>
          <w:rFonts w:ascii="Aptos" w:hAnsi="Aptos"/>
          <w:color w:val="1F2937"/>
        </w:rPr>
        <w:t>Demand forecasting by product, store, weekday, season, and delivery area.</w:t>
      </w:r>
    </w:p>
    <w:p>
      <w:pPr>
        <w:pStyle w:val="ListBullet"/>
      </w:pPr>
      <w:r>
        <w:rPr>
          <w:rFonts w:ascii="Aptos" w:hAnsi="Aptos"/>
          <w:color w:val="1F2937"/>
        </w:rPr>
        <w:t>Replenishment recommendations with demand, lead-time, and safety-stock explanations.</w:t>
      </w:r>
    </w:p>
    <w:p>
      <w:pPr>
        <w:pStyle w:val="ListBullet"/>
      </w:pPr>
      <w:r>
        <w:rPr>
          <w:rFonts w:ascii="Aptos" w:hAnsi="Aptos"/>
          <w:color w:val="1F2937"/>
        </w:rPr>
        <w:t>Inventory anomaly, shrinkage, depletion, and stale-stock detection.</w:t>
      </w:r>
    </w:p>
    <w:p>
      <w:pPr>
        <w:pStyle w:val="ListBullet"/>
      </w:pPr>
      <w:r>
        <w:rPr>
          <w:rFonts w:ascii="Aptos" w:hAnsi="Aptos"/>
          <w:color w:val="1F2937"/>
        </w:rPr>
        <w:t>Product onboarding assistance for extraction, categorization, descriptions, units, and tags.</w:t>
      </w:r>
    </w:p>
    <w:p>
      <w:pPr>
        <w:pStyle w:val="ListBullet"/>
      </w:pPr>
      <w:r>
        <w:rPr>
          <w:rFonts w:ascii="Aptos" w:hAnsi="Aptos"/>
          <w:color w:val="1F2937"/>
        </w:rPr>
        <w:t>Promotion drafts based on inventory, margin, demand, and customer cohorts.</w:t>
      </w:r>
    </w:p>
    <w:p>
      <w:pPr>
        <w:pStyle w:val="ListBullet"/>
      </w:pPr>
      <w:r>
        <w:rPr>
          <w:rFonts w:ascii="Aptos" w:hAnsi="Aptos"/>
          <w:color w:val="1F2937"/>
        </w:rPr>
        <w:t>Fulfillment workload forecasting and exception prioritization.</w:t>
      </w:r>
    </w:p>
    <w:p>
      <w:pPr>
        <w:pStyle w:val="ListBullet"/>
      </w:pPr>
      <w:r>
        <w:rPr>
          <w:rFonts w:ascii="Aptos" w:hAnsi="Aptos"/>
          <w:color w:val="1F2937"/>
        </w:rPr>
        <w:t>Review and claim clustering into actionable store or product issues.</w:t>
      </w:r>
    </w:p>
    <w:p>
      <w:pPr>
        <w:pStyle w:val="Heading2"/>
      </w:pPr>
      <w:r>
        <w:t>Delivery agent</w:t>
      </w:r>
    </w:p>
    <w:p>
      <w:pPr>
        <w:pStyle w:val="ListBullet"/>
      </w:pPr>
      <w:r>
        <w:rPr>
          <w:rFonts w:ascii="Aptos" w:hAnsi="Aptos"/>
          <w:color w:val="1F2937"/>
        </w:rPr>
        <w:t>Context-aware assignment ranking using distance, workload, capacity, vehicle, skills, service area, and reliability.</w:t>
      </w:r>
    </w:p>
    <w:p>
      <w:pPr>
        <w:pStyle w:val="ListBullet"/>
      </w:pPr>
      <w:r>
        <w:rPr>
          <w:rFonts w:ascii="Aptos" w:hAnsi="Aptos"/>
          <w:color w:val="1F2937"/>
        </w:rPr>
        <w:t>Route and stop-sequence optimization across pickups and deliveries.</w:t>
      </w:r>
    </w:p>
    <w:p>
      <w:pPr>
        <w:pStyle w:val="ListBullet"/>
      </w:pPr>
      <w:r>
        <w:rPr>
          <w:rFonts w:ascii="Aptos" w:hAnsi="Aptos"/>
          <w:color w:val="1F2937"/>
        </w:rPr>
        <w:t>Continuous ETA prediction and customer-notification recommendations.</w:t>
      </w:r>
    </w:p>
    <w:p>
      <w:pPr>
        <w:pStyle w:val="ListBullet"/>
      </w:pPr>
      <w:r>
        <w:rPr>
          <w:rFonts w:ascii="Aptos" w:hAnsi="Aptos"/>
          <w:color w:val="1F2937"/>
        </w:rPr>
        <w:t>Voice briefings, proposed status updates, and exception capture.</w:t>
      </w:r>
    </w:p>
    <w:p>
      <w:pPr>
        <w:pStyle w:val="ListBullet"/>
      </w:pPr>
      <w:r>
        <w:rPr>
          <w:rFonts w:ascii="Aptos" w:hAnsi="Aptos"/>
          <w:color w:val="1F2937"/>
        </w:rPr>
        <w:t>Proof-of-delivery quality analysis and inconsistent-location detection.</w:t>
      </w:r>
    </w:p>
    <w:p>
      <w:pPr>
        <w:pStyle w:val="ListBullet"/>
      </w:pPr>
      <w:r>
        <w:rPr>
          <w:rFonts w:ascii="Aptos" w:hAnsi="Aptos"/>
          <w:color w:val="1F2937"/>
        </w:rPr>
        <w:t>Predictive temperature-risk alerts before a threshold breach occurs.</w:t>
      </w:r>
    </w:p>
    <w:p>
      <w:pPr>
        <w:pStyle w:val="Heading2"/>
      </w:pPr>
      <w:r>
        <w:t>Platform manager</w:t>
      </w:r>
    </w:p>
    <w:p>
      <w:pPr>
        <w:pStyle w:val="ListBullet"/>
      </w:pPr>
      <w:r>
        <w:rPr>
          <w:rFonts w:ascii="Aptos" w:hAnsi="Aptos"/>
          <w:color w:val="1F2937"/>
        </w:rPr>
        <w:t>An ontology-powered operations command center that explains emerging issues across stores, orders, deliveries, inventory, and claims.</w:t>
      </w:r>
    </w:p>
    <w:p>
      <w:pPr>
        <w:pStyle w:val="ListBullet"/>
      </w:pPr>
      <w:r>
        <w:rPr>
          <w:rFonts w:ascii="Aptos" w:hAnsi="Aptos"/>
          <w:color w:val="1F2937"/>
        </w:rPr>
        <w:t>Natural-language analytics over governed semantic questions.</w:t>
      </w:r>
    </w:p>
    <w:p>
      <w:pPr>
        <w:pStyle w:val="ListBullet"/>
      </w:pPr>
      <w:r>
        <w:rPr>
          <w:rFonts w:ascii="Aptos" w:hAnsi="Aptos"/>
          <w:color w:val="1F2937"/>
        </w:rPr>
        <w:t>Fraud and abuse risk analysis connecting users, devices, addresses, returns, stores, and transactions.</w:t>
      </w:r>
    </w:p>
    <w:p>
      <w:pPr>
        <w:pStyle w:val="ListBullet"/>
      </w:pPr>
      <w:r>
        <w:rPr>
          <w:rFonts w:ascii="Aptos" w:hAnsi="Aptos"/>
          <w:color w:val="1F2937"/>
        </w:rPr>
        <w:t>Claim triage, evidence assembly, and resolution recommendations.</w:t>
      </w:r>
    </w:p>
    <w:p>
      <w:pPr>
        <w:pStyle w:val="ListBullet"/>
      </w:pPr>
      <w:r>
        <w:rPr>
          <w:rFonts w:ascii="Aptos" w:hAnsi="Aptos"/>
          <w:color w:val="1F2937"/>
        </w:rPr>
        <w:t>Store health and operational-risk scoring.</w:t>
      </w:r>
    </w:p>
    <w:p>
      <w:pPr>
        <w:pStyle w:val="ListBullet"/>
      </w:pPr>
      <w:r>
        <w:rPr>
          <w:rFonts w:ascii="Aptos" w:hAnsi="Aptos"/>
          <w:color w:val="1F2937"/>
        </w:rPr>
        <w:t>Policy-impact simulation before fee, delivery, or service-area changes.</w:t>
      </w:r>
    </w:p>
    <w:p>
      <w:pPr>
        <w:pStyle w:val="ListBullet"/>
      </w:pPr>
      <w:r>
        <w:rPr>
          <w:rFonts w:ascii="Aptos" w:hAnsi="Aptos"/>
          <w:color w:val="1F2937"/>
        </w:rPr>
        <w:t>Data-quality stewardship and ontology-governance assistance.</w:t>
      </w:r>
    </w:p>
    <w:p>
      <w:pPr>
        <w:pStyle w:val="Heading1"/>
      </w:pPr>
      <w:r>
        <w:t>What must remain deterministic</w:t>
      </w:r>
    </w:p>
    <w:tbl>
      <w:tblPr>
        <w:tblStyle w:val="TableGrid"/>
        <w:tblW w:type="dxa" w:w="9360"/>
        <w:jc w:val="center"/>
        <w:tblLayout w:type="fixed"/>
        <w:tblLook w:firstColumn="1" w:firstRow="1" w:lastColumn="0" w:lastRow="0" w:noHBand="0" w:noVBand="1" w:val="04A0"/>
        <w:tblInd w:w="120" w:type="dxa"/>
      </w:tblPr>
      <w:tblGrid>
        <w:gridCol w:w="4550"/>
        <w:gridCol w:w="4810"/>
      </w:tblGrid>
      <w:tr>
        <w:trPr>
          <w:tblHeader w:val="true"/>
        </w:trPr>
        <w:tc>
          <w:tcPr>
            <w:tcW w:type="dxa" w:w="4550"/>
            <w:shd w:fill="17324D"/>
            <w:tcMar>
              <w:top w:w="90" w:type="dxa"/>
              <w:start w:w="120" w:type="dxa"/>
              <w:bottom w:w="90" w:type="dxa"/>
              <w:end w:w="120" w:type="dxa"/>
            </w:tcMar>
            <w:vAlign w:val="center"/>
          </w:tcPr>
          <w:p>
            <w:pPr>
              <w:jc w:val="left"/>
            </w:pPr>
            <w:r>
              <w:rPr>
                <w:rFonts w:ascii="Aptos" w:hAnsi="Aptos"/>
                <w:b/>
                <w:color w:val="FFFFFF"/>
                <w:sz w:val="18"/>
              </w:rPr>
              <w:t>Always deterministic</w:t>
            </w:r>
          </w:p>
        </w:tc>
        <w:tc>
          <w:tcPr>
            <w:tcW w:type="dxa" w:w="4810"/>
            <w:shd w:fill="17324D"/>
            <w:tcMar>
              <w:top w:w="90" w:type="dxa"/>
              <w:start w:w="120" w:type="dxa"/>
              <w:bottom w:w="90" w:type="dxa"/>
              <w:end w:w="120" w:type="dxa"/>
            </w:tcMar>
            <w:vAlign w:val="center"/>
          </w:tcPr>
          <w:p>
            <w:pPr>
              <w:jc w:val="left"/>
            </w:pPr>
            <w:r>
              <w:rPr>
                <w:rFonts w:ascii="Aptos" w:hAnsi="Aptos"/>
                <w:b/>
                <w:color w:val="FFFFFF"/>
                <w:sz w:val="18"/>
              </w:rPr>
              <w:t>AI may assist by</w:t>
            </w:r>
          </w:p>
        </w:tc>
      </w:tr>
      <w:tr>
        <w:tc>
          <w:tcPr>
            <w:tcW w:type="dxa" w:w="4550"/>
            <w:tcMar>
              <w:top w:w="90" w:type="dxa"/>
              <w:start w:w="120" w:type="dxa"/>
              <w:bottom w:w="90" w:type="dxa"/>
              <w:end w:w="120" w:type="dxa"/>
            </w:tcMar>
            <w:vAlign w:val="center"/>
          </w:tcPr>
          <w:p>
            <w:r>
              <w:rPr>
                <w:rFonts w:ascii="Aptos" w:hAnsi="Aptos"/>
                <w:color w:val="1F2937"/>
                <w:sz w:val="17"/>
              </w:rPr>
              <w:t>Authentication, authorization, role and tenant enforcement</w:t>
            </w:r>
          </w:p>
        </w:tc>
        <w:tc>
          <w:tcPr>
            <w:tcW w:type="dxa" w:w="4810"/>
            <w:tcMar>
              <w:top w:w="90" w:type="dxa"/>
              <w:start w:w="120" w:type="dxa"/>
              <w:bottom w:w="90" w:type="dxa"/>
              <w:end w:w="120" w:type="dxa"/>
            </w:tcMar>
            <w:vAlign w:val="center"/>
          </w:tcPr>
          <w:p>
            <w:r>
              <w:rPr>
                <w:rFonts w:ascii="Aptos" w:hAnsi="Aptos"/>
                <w:color w:val="1F2937"/>
                <w:sz w:val="17"/>
              </w:rPr>
              <w:t>Classifying intent and selecting permitted tools</w:t>
            </w:r>
          </w:p>
        </w:tc>
      </w:tr>
      <w:tr>
        <w:tc>
          <w:tcPr>
            <w:tcW w:type="dxa" w:w="4550"/>
            <w:shd w:fill="F8FAFB"/>
            <w:tcMar>
              <w:top w:w="90" w:type="dxa"/>
              <w:start w:w="120" w:type="dxa"/>
              <w:bottom w:w="90" w:type="dxa"/>
              <w:end w:w="120" w:type="dxa"/>
            </w:tcMar>
            <w:vAlign w:val="center"/>
          </w:tcPr>
          <w:p>
            <w:r>
              <w:rPr>
                <w:rFonts w:ascii="Aptos" w:hAnsi="Aptos"/>
                <w:color w:val="1F2937"/>
                <w:sz w:val="17"/>
              </w:rPr>
              <w:t>Price, fee, tax, discount, and promotion calculation</w:t>
            </w:r>
          </w:p>
        </w:tc>
        <w:tc>
          <w:tcPr>
            <w:tcW w:type="dxa" w:w="4810"/>
            <w:shd w:fill="F8FAFB"/>
            <w:tcMar>
              <w:top w:w="90" w:type="dxa"/>
              <w:start w:w="120" w:type="dxa"/>
              <w:bottom w:w="90" w:type="dxa"/>
              <w:end w:w="120" w:type="dxa"/>
            </w:tcMar>
            <w:vAlign w:val="center"/>
          </w:tcPr>
          <w:p>
            <w:r>
              <w:rPr>
                <w:rFonts w:ascii="Aptos" w:hAnsi="Aptos"/>
                <w:color w:val="1F2937"/>
                <w:sz w:val="17"/>
              </w:rPr>
              <w:t>Drafting or recommending a promotion</w:t>
            </w:r>
          </w:p>
        </w:tc>
      </w:tr>
      <w:tr>
        <w:tc>
          <w:tcPr>
            <w:tcW w:type="dxa" w:w="4550"/>
            <w:tcMar>
              <w:top w:w="90" w:type="dxa"/>
              <w:start w:w="120" w:type="dxa"/>
              <w:bottom w:w="90" w:type="dxa"/>
              <w:end w:w="120" w:type="dxa"/>
            </w:tcMar>
            <w:vAlign w:val="center"/>
          </w:tcPr>
          <w:p>
            <w:r>
              <w:rPr>
                <w:rFonts w:ascii="Aptos" w:hAnsi="Aptos"/>
                <w:color w:val="1F2937"/>
                <w:sz w:val="17"/>
              </w:rPr>
              <w:t>Inventory reservation, decrement, and release</w:t>
            </w:r>
          </w:p>
        </w:tc>
        <w:tc>
          <w:tcPr>
            <w:tcW w:type="dxa" w:w="4810"/>
            <w:tcMar>
              <w:top w:w="90" w:type="dxa"/>
              <w:start w:w="120" w:type="dxa"/>
              <w:bottom w:w="90" w:type="dxa"/>
              <w:end w:w="120" w:type="dxa"/>
            </w:tcMar>
            <w:vAlign w:val="center"/>
          </w:tcPr>
          <w:p>
            <w:r>
              <w:rPr>
                <w:rFonts w:ascii="Aptos" w:hAnsi="Aptos"/>
                <w:color w:val="1F2937"/>
                <w:sz w:val="17"/>
              </w:rPr>
              <w:t>Forecasting demand and proposing replenishment</w:t>
            </w:r>
          </w:p>
        </w:tc>
      </w:tr>
      <w:tr>
        <w:tc>
          <w:tcPr>
            <w:tcW w:type="dxa" w:w="4550"/>
            <w:shd w:fill="F8FAFB"/>
            <w:tcMar>
              <w:top w:w="90" w:type="dxa"/>
              <w:start w:w="120" w:type="dxa"/>
              <w:bottom w:w="90" w:type="dxa"/>
              <w:end w:w="120" w:type="dxa"/>
            </w:tcMar>
            <w:vAlign w:val="center"/>
          </w:tcPr>
          <w:p>
            <w:r>
              <w:rPr>
                <w:rFonts w:ascii="Aptos" w:hAnsi="Aptos"/>
                <w:color w:val="1F2937"/>
                <w:sz w:val="17"/>
              </w:rPr>
              <w:t>Order creation and allowed status transitions</w:t>
            </w:r>
          </w:p>
        </w:tc>
        <w:tc>
          <w:tcPr>
            <w:tcW w:type="dxa" w:w="4810"/>
            <w:shd w:fill="F8FAFB"/>
            <w:tcMar>
              <w:top w:w="90" w:type="dxa"/>
              <w:start w:w="120" w:type="dxa"/>
              <w:bottom w:w="90" w:type="dxa"/>
              <w:end w:w="120" w:type="dxa"/>
            </w:tcMar>
            <w:vAlign w:val="center"/>
          </w:tcPr>
          <w:p>
            <w:r>
              <w:rPr>
                <w:rFonts w:ascii="Aptos" w:hAnsi="Aptos"/>
                <w:color w:val="1F2937"/>
                <w:sz w:val="17"/>
              </w:rPr>
              <w:t>Summarizing context and proposing the next action</w:t>
            </w:r>
          </w:p>
        </w:tc>
      </w:tr>
      <w:tr>
        <w:tc>
          <w:tcPr>
            <w:tcW w:type="dxa" w:w="4550"/>
            <w:tcMar>
              <w:top w:w="90" w:type="dxa"/>
              <w:start w:w="120" w:type="dxa"/>
              <w:bottom w:w="90" w:type="dxa"/>
              <w:end w:w="120" w:type="dxa"/>
            </w:tcMar>
            <w:vAlign w:val="center"/>
          </w:tcPr>
          <w:p>
            <w:r>
              <w:rPr>
                <w:rFonts w:ascii="Aptos" w:hAnsi="Aptos"/>
                <w:color w:val="1F2937"/>
                <w:sz w:val="17"/>
              </w:rPr>
              <w:t>Payment, capture, refund, and reconciliation</w:t>
            </w:r>
          </w:p>
        </w:tc>
        <w:tc>
          <w:tcPr>
            <w:tcW w:type="dxa" w:w="4810"/>
            <w:tcMar>
              <w:top w:w="90" w:type="dxa"/>
              <w:start w:w="120" w:type="dxa"/>
              <w:bottom w:w="90" w:type="dxa"/>
              <w:end w:w="120" w:type="dxa"/>
            </w:tcMar>
            <w:vAlign w:val="center"/>
          </w:tcPr>
          <w:p>
            <w:r>
              <w:rPr>
                <w:rFonts w:ascii="Aptos" w:hAnsi="Aptos"/>
                <w:color w:val="1F2937"/>
                <w:sz w:val="17"/>
              </w:rPr>
              <w:t>Collecting evidence and recommending a resolution</w:t>
            </w:r>
          </w:p>
        </w:tc>
      </w:tr>
      <w:tr>
        <w:tc>
          <w:tcPr>
            <w:tcW w:type="dxa" w:w="4550"/>
            <w:shd w:fill="F8FAFB"/>
            <w:tcMar>
              <w:top w:w="90" w:type="dxa"/>
              <w:start w:w="120" w:type="dxa"/>
              <w:bottom w:w="90" w:type="dxa"/>
              <w:end w:w="120" w:type="dxa"/>
            </w:tcMar>
            <w:vAlign w:val="center"/>
          </w:tcPr>
          <w:p>
            <w:r>
              <w:rPr>
                <w:rFonts w:ascii="Aptos" w:hAnsi="Aptos"/>
                <w:color w:val="1F2937"/>
                <w:sz w:val="17"/>
              </w:rPr>
              <w:t>Return and claim eligibility</w:t>
            </w:r>
          </w:p>
        </w:tc>
        <w:tc>
          <w:tcPr>
            <w:tcW w:type="dxa" w:w="4810"/>
            <w:shd w:fill="F8FAFB"/>
            <w:tcMar>
              <w:top w:w="90" w:type="dxa"/>
              <w:start w:w="120" w:type="dxa"/>
              <w:bottom w:w="90" w:type="dxa"/>
              <w:end w:w="120" w:type="dxa"/>
            </w:tcMar>
            <w:vAlign w:val="center"/>
          </w:tcPr>
          <w:p>
            <w:r>
              <w:rPr>
                <w:rFonts w:ascii="Aptos" w:hAnsi="Aptos"/>
                <w:color w:val="1F2937"/>
                <w:sz w:val="17"/>
              </w:rPr>
              <w:t>Classifying reasons and estimating risk</w:t>
            </w:r>
          </w:p>
        </w:tc>
      </w:tr>
      <w:tr>
        <w:tc>
          <w:tcPr>
            <w:tcW w:type="dxa" w:w="4550"/>
            <w:tcMar>
              <w:top w:w="90" w:type="dxa"/>
              <w:start w:w="120" w:type="dxa"/>
              <w:bottom w:w="90" w:type="dxa"/>
              <w:end w:w="120" w:type="dxa"/>
            </w:tcMar>
            <w:vAlign w:val="center"/>
          </w:tcPr>
          <w:p>
            <w:r>
              <w:rPr>
                <w:rFonts w:ascii="Aptos" w:hAnsi="Aptos"/>
                <w:color w:val="1F2937"/>
                <w:sz w:val="17"/>
              </w:rPr>
              <w:t>Consent, PII access, retention, and account actions</w:t>
            </w:r>
          </w:p>
        </w:tc>
        <w:tc>
          <w:tcPr>
            <w:tcW w:type="dxa" w:w="4810"/>
            <w:tcMar>
              <w:top w:w="90" w:type="dxa"/>
              <w:start w:w="120" w:type="dxa"/>
              <w:bottom w:w="90" w:type="dxa"/>
              <w:end w:w="120" w:type="dxa"/>
            </w:tcMar>
            <w:vAlign w:val="center"/>
          </w:tcPr>
          <w:p>
            <w:r>
              <w:rPr>
                <w:rFonts w:ascii="Aptos" w:hAnsi="Aptos"/>
                <w:color w:val="1F2937"/>
                <w:sz w:val="17"/>
              </w:rPr>
              <w:t>Detecting sensitive data and prompting safe handling</w:t>
            </w:r>
          </w:p>
        </w:tc>
      </w:tr>
      <w:tr>
        <w:tc>
          <w:tcPr>
            <w:tcW w:type="dxa" w:w="4550"/>
            <w:shd w:fill="F8FAFB"/>
            <w:tcMar>
              <w:top w:w="90" w:type="dxa"/>
              <w:start w:w="120" w:type="dxa"/>
              <w:bottom w:w="90" w:type="dxa"/>
              <w:end w:w="120" w:type="dxa"/>
            </w:tcMar>
            <w:vAlign w:val="center"/>
          </w:tcPr>
          <w:p>
            <w:r>
              <w:rPr>
                <w:rFonts w:ascii="Aptos" w:hAnsi="Aptos"/>
                <w:color w:val="1F2937"/>
                <w:sz w:val="17"/>
              </w:rPr>
              <w:t>Idempotency, concurrency, and audit persistence</w:t>
            </w:r>
          </w:p>
        </w:tc>
        <w:tc>
          <w:tcPr>
            <w:tcW w:type="dxa" w:w="4810"/>
            <w:shd w:fill="F8FAFB"/>
            <w:tcMar>
              <w:top w:w="90" w:type="dxa"/>
              <w:start w:w="120" w:type="dxa"/>
              <w:bottom w:w="90" w:type="dxa"/>
              <w:end w:w="120" w:type="dxa"/>
            </w:tcMar>
            <w:vAlign w:val="center"/>
          </w:tcPr>
          <w:p>
            <w:r>
              <w:rPr>
                <w:rFonts w:ascii="Aptos" w:hAnsi="Aptos"/>
                <w:color w:val="1F2937"/>
                <w:sz w:val="17"/>
              </w:rPr>
              <w:t>Generating an idempotent typed action proposal</w:t>
            </w:r>
          </w:p>
        </w:tc>
      </w:tr>
    </w:tbl>
    <w:p>
      <w:pPr>
        <w:spacing w:after="0"/>
      </w:pPr>
    </w:p>
    <w:p>
      <w:pPr>
        <w:pStyle w:val="Heading2"/>
      </w:pPr>
      <w:r>
        <w:t>Governed action pattern</w:t>
      </w:r>
    </w:p>
    <w:p>
      <w:pPr>
        <w:pStyle w:val="ListNumber"/>
      </w:pPr>
      <w:r>
        <w:rPr>
          <w:rFonts w:ascii="Aptos" w:hAnsi="Aptos"/>
          <w:color w:val="1F2937"/>
        </w:rPr>
        <w:t>A model emits a schema-valid recommendation or action proposal with confidence, explanation, evidence, and model version.</w:t>
      </w:r>
    </w:p>
    <w:p>
      <w:pPr>
        <w:pStyle w:val="ListNumber"/>
      </w:pPr>
      <w:r>
        <w:rPr>
          <w:rFonts w:ascii="Aptos" w:hAnsi="Aptos"/>
          <w:color w:val="1F2937"/>
        </w:rPr>
        <w:t>The action gateway authenticates the actor and evaluates role, tenant, resource ownership, policy, and impact limits.</w:t>
      </w:r>
    </w:p>
    <w:p>
      <w:pPr>
        <w:pStyle w:val="ListNumber"/>
      </w:pPr>
      <w:r>
        <w:rPr>
          <w:rFonts w:ascii="Aptos" w:hAnsi="Aptos"/>
          <w:color w:val="1F2937"/>
        </w:rPr>
        <w:t>The system requests human approval when the action class or impact requires it.</w:t>
      </w:r>
    </w:p>
    <w:p>
      <w:pPr>
        <w:pStyle w:val="ListNumber"/>
      </w:pPr>
      <w:r>
        <w:rPr>
          <w:rFonts w:ascii="Aptos" w:hAnsi="Aptos"/>
          <w:color w:val="1F2937"/>
        </w:rPr>
        <w:t>The gateway invokes an allowlisted existing API command with an idempotency key; it never sends raw SQL.</w:t>
      </w:r>
    </w:p>
    <w:p>
      <w:pPr>
        <w:pStyle w:val="ListNumber"/>
      </w:pPr>
      <w:r>
        <w:rPr>
          <w:rFonts w:ascii="Aptos" w:hAnsi="Aptos"/>
          <w:color w:val="1F2937"/>
        </w:rPr>
        <w:t>The deterministic core validates all preconditions and commits or rejects the transaction.</w:t>
      </w:r>
    </w:p>
    <w:p>
      <w:pPr>
        <w:pStyle w:val="ListNumber"/>
      </w:pPr>
      <w:r>
        <w:rPr>
          <w:rFonts w:ascii="Aptos" w:hAnsi="Aptos"/>
          <w:color w:val="1F2937"/>
        </w:rPr>
        <w:t>The outcome is recorded with the proposal, policy evaluation, approval, command result, and resulting domain event.</w:t>
      </w:r>
    </w:p>
    <w:p>
      <w:pPr>
        <w:pStyle w:val="Heading1"/>
      </w:pPr>
      <w:r>
        <w:t>Governance and safety</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17324D"/>
            <w:tcMar>
              <w:top w:w="90" w:type="dxa"/>
              <w:start w:w="120" w:type="dxa"/>
              <w:bottom w:w="90" w:type="dxa"/>
              <w:end w:w="120" w:type="dxa"/>
            </w:tcMar>
            <w:vAlign w:val="center"/>
          </w:tcPr>
          <w:p>
            <w:pPr>
              <w:jc w:val="left"/>
            </w:pPr>
            <w:r>
              <w:rPr>
                <w:rFonts w:ascii="Aptos" w:hAnsi="Aptos"/>
                <w:b/>
                <w:color w:val="FFFFFF"/>
                <w:sz w:val="18"/>
              </w:rPr>
              <w:t>Control</w:t>
            </w:r>
          </w:p>
        </w:tc>
        <w:tc>
          <w:tcPr>
            <w:tcW w:type="dxa" w:w="6760"/>
            <w:shd w:fill="17324D"/>
            <w:tcMar>
              <w:top w:w="90" w:type="dxa"/>
              <w:start w:w="120" w:type="dxa"/>
              <w:bottom w:w="90" w:type="dxa"/>
              <w:end w:w="120" w:type="dxa"/>
            </w:tcMar>
            <w:vAlign w:val="center"/>
          </w:tcPr>
          <w:p>
            <w:pPr>
              <w:jc w:val="left"/>
            </w:pPr>
            <w:r>
              <w:rPr>
                <w:rFonts w:ascii="Aptos" w:hAnsi="Aptos"/>
                <w:b/>
                <w:color w:val="FFFFFF"/>
                <w:sz w:val="18"/>
              </w:rPr>
              <w:t>Purpose</w:t>
            </w:r>
          </w:p>
        </w:tc>
      </w:tr>
      <w:tr>
        <w:tc>
          <w:tcPr>
            <w:tcW w:type="dxa" w:w="2600"/>
            <w:tcMar>
              <w:top w:w="90" w:type="dxa"/>
              <w:start w:w="120" w:type="dxa"/>
              <w:bottom w:w="90" w:type="dxa"/>
              <w:end w:w="120" w:type="dxa"/>
            </w:tcMar>
            <w:vAlign w:val="center"/>
          </w:tcPr>
          <w:p>
            <w:r>
              <w:rPr>
                <w:rFonts w:ascii="Aptos" w:hAnsi="Aptos"/>
                <w:color w:val="1F2937"/>
                <w:sz w:val="18"/>
              </w:rPr>
              <w:t>Identity and tenant isolation</w:t>
            </w:r>
          </w:p>
        </w:tc>
        <w:tc>
          <w:tcPr>
            <w:tcW w:type="dxa" w:w="6760"/>
            <w:tcMar>
              <w:top w:w="90" w:type="dxa"/>
              <w:start w:w="120" w:type="dxa"/>
              <w:bottom w:w="90" w:type="dxa"/>
              <w:end w:w="120" w:type="dxa"/>
            </w:tcMar>
            <w:vAlign w:val="center"/>
          </w:tcPr>
          <w:p>
            <w:r>
              <w:rPr>
                <w:rFonts w:ascii="Aptos" w:hAnsi="Aptos"/>
                <w:color w:val="1F2937"/>
                <w:sz w:val="18"/>
              </w:rPr>
              <w:t>Prevent cross-store or cross-customer context leakage.</w:t>
            </w:r>
          </w:p>
        </w:tc>
      </w:tr>
      <w:tr>
        <w:tc>
          <w:tcPr>
            <w:tcW w:type="dxa" w:w="2600"/>
            <w:shd w:fill="F8FAFB"/>
            <w:tcMar>
              <w:top w:w="90" w:type="dxa"/>
              <w:start w:w="120" w:type="dxa"/>
              <w:bottom w:w="90" w:type="dxa"/>
              <w:end w:w="120" w:type="dxa"/>
            </w:tcMar>
            <w:vAlign w:val="center"/>
          </w:tcPr>
          <w:p>
            <w:r>
              <w:rPr>
                <w:rFonts w:ascii="Aptos" w:hAnsi="Aptos"/>
                <w:color w:val="1F2937"/>
                <w:sz w:val="18"/>
              </w:rPr>
              <w:t>Retrieval authorization</w:t>
            </w:r>
          </w:p>
        </w:tc>
        <w:tc>
          <w:tcPr>
            <w:tcW w:type="dxa" w:w="6760"/>
            <w:shd w:fill="F8FAFB"/>
            <w:tcMar>
              <w:top w:w="90" w:type="dxa"/>
              <w:start w:w="120" w:type="dxa"/>
              <w:bottom w:w="90" w:type="dxa"/>
              <w:end w:w="120" w:type="dxa"/>
            </w:tcMar>
            <w:vAlign w:val="center"/>
          </w:tcPr>
          <w:p>
            <w:r>
              <w:rPr>
                <w:rFonts w:ascii="Aptos" w:hAnsi="Aptos"/>
                <w:color w:val="1F2937"/>
                <w:sz w:val="18"/>
              </w:rPr>
              <w:t>Apply policy before graph, vector, or feature retrieval.</w:t>
            </w:r>
          </w:p>
        </w:tc>
      </w:tr>
      <w:tr>
        <w:tc>
          <w:tcPr>
            <w:tcW w:type="dxa" w:w="2600"/>
            <w:tcMar>
              <w:top w:w="90" w:type="dxa"/>
              <w:start w:w="120" w:type="dxa"/>
              <w:bottom w:w="90" w:type="dxa"/>
              <w:end w:w="120" w:type="dxa"/>
            </w:tcMar>
            <w:vAlign w:val="center"/>
          </w:tcPr>
          <w:p>
            <w:r>
              <w:rPr>
                <w:rFonts w:ascii="Aptos" w:hAnsi="Aptos"/>
                <w:color w:val="1F2937"/>
                <w:sz w:val="18"/>
              </w:rPr>
              <w:t>PII controls</w:t>
            </w:r>
          </w:p>
        </w:tc>
        <w:tc>
          <w:tcPr>
            <w:tcW w:type="dxa" w:w="6760"/>
            <w:tcMar>
              <w:top w:w="90" w:type="dxa"/>
              <w:start w:w="120" w:type="dxa"/>
              <w:bottom w:w="90" w:type="dxa"/>
              <w:end w:w="120" w:type="dxa"/>
            </w:tcMar>
            <w:vAlign w:val="center"/>
          </w:tcPr>
          <w:p>
            <w:r>
              <w:rPr>
                <w:rFonts w:ascii="Aptos" w:hAnsi="Aptos"/>
                <w:color w:val="1F2937"/>
                <w:sz w:val="18"/>
              </w:rPr>
              <w:t>Minimize, redact, tokenize, and audit sensitive information.</w:t>
            </w:r>
          </w:p>
        </w:tc>
      </w:tr>
      <w:tr>
        <w:tc>
          <w:tcPr>
            <w:tcW w:type="dxa" w:w="2600"/>
            <w:shd w:fill="F8FAFB"/>
            <w:tcMar>
              <w:top w:w="90" w:type="dxa"/>
              <w:start w:w="120" w:type="dxa"/>
              <w:bottom w:w="90" w:type="dxa"/>
              <w:end w:w="120" w:type="dxa"/>
            </w:tcMar>
            <w:vAlign w:val="center"/>
          </w:tcPr>
          <w:p>
            <w:r>
              <w:rPr>
                <w:rFonts w:ascii="Aptos" w:hAnsi="Aptos"/>
                <w:color w:val="1F2937"/>
                <w:sz w:val="18"/>
              </w:rPr>
              <w:t>Model and prompt registry</w:t>
            </w:r>
          </w:p>
        </w:tc>
        <w:tc>
          <w:tcPr>
            <w:tcW w:type="dxa" w:w="6760"/>
            <w:shd w:fill="F8FAFB"/>
            <w:tcMar>
              <w:top w:w="90" w:type="dxa"/>
              <w:start w:w="120" w:type="dxa"/>
              <w:bottom w:w="90" w:type="dxa"/>
              <w:end w:w="120" w:type="dxa"/>
            </w:tcMar>
            <w:vAlign w:val="center"/>
          </w:tcPr>
          <w:p>
            <w:r>
              <w:rPr>
                <w:rFonts w:ascii="Aptos" w:hAnsi="Aptos"/>
                <w:color w:val="1F2937"/>
                <w:sz w:val="18"/>
              </w:rPr>
              <w:t>Version prompts, tools, schemas, models, and routing policies.</w:t>
            </w:r>
          </w:p>
        </w:tc>
      </w:tr>
      <w:tr>
        <w:tc>
          <w:tcPr>
            <w:tcW w:type="dxa" w:w="2600"/>
            <w:tcMar>
              <w:top w:w="90" w:type="dxa"/>
              <w:start w:w="120" w:type="dxa"/>
              <w:bottom w:w="90" w:type="dxa"/>
              <w:end w:w="120" w:type="dxa"/>
            </w:tcMar>
            <w:vAlign w:val="center"/>
          </w:tcPr>
          <w:p>
            <w:r>
              <w:rPr>
                <w:rFonts w:ascii="Aptos" w:hAnsi="Aptos"/>
                <w:color w:val="1F2937"/>
                <w:sz w:val="18"/>
              </w:rPr>
              <w:t>Evaluation and red teaming</w:t>
            </w:r>
          </w:p>
        </w:tc>
        <w:tc>
          <w:tcPr>
            <w:tcW w:type="dxa" w:w="6760"/>
            <w:tcMar>
              <w:top w:w="90" w:type="dxa"/>
              <w:start w:w="120" w:type="dxa"/>
              <w:bottom w:w="90" w:type="dxa"/>
              <w:end w:w="120" w:type="dxa"/>
            </w:tcMar>
            <w:vAlign w:val="center"/>
          </w:tcPr>
          <w:p>
            <w:r>
              <w:rPr>
                <w:rFonts w:ascii="Aptos" w:hAnsi="Aptos"/>
                <w:color w:val="1F2937"/>
                <w:sz w:val="18"/>
              </w:rPr>
              <w:t>Test grounding, tool selection, bias, refusal, prompt injection, and unsafe action behavior.</w:t>
            </w:r>
          </w:p>
        </w:tc>
      </w:tr>
      <w:tr>
        <w:tc>
          <w:tcPr>
            <w:tcW w:type="dxa" w:w="2600"/>
            <w:shd w:fill="F8FAFB"/>
            <w:tcMar>
              <w:top w:w="90" w:type="dxa"/>
              <w:start w:w="120" w:type="dxa"/>
              <w:bottom w:w="90" w:type="dxa"/>
              <w:end w:w="120" w:type="dxa"/>
            </w:tcMar>
            <w:vAlign w:val="center"/>
          </w:tcPr>
          <w:p>
            <w:r>
              <w:rPr>
                <w:rFonts w:ascii="Aptos" w:hAnsi="Aptos"/>
                <w:color w:val="1F2937"/>
                <w:sz w:val="18"/>
              </w:rPr>
              <w:t>Confidence and impact thresholds</w:t>
            </w:r>
          </w:p>
        </w:tc>
        <w:tc>
          <w:tcPr>
            <w:tcW w:type="dxa" w:w="6760"/>
            <w:shd w:fill="F8FAFB"/>
            <w:tcMar>
              <w:top w:w="90" w:type="dxa"/>
              <w:start w:w="120" w:type="dxa"/>
              <w:bottom w:w="90" w:type="dxa"/>
              <w:end w:w="120" w:type="dxa"/>
            </w:tcMar>
            <w:vAlign w:val="center"/>
          </w:tcPr>
          <w:p>
            <w:r>
              <w:rPr>
                <w:rFonts w:ascii="Aptos" w:hAnsi="Aptos"/>
                <w:color w:val="1F2937"/>
                <w:sz w:val="18"/>
              </w:rPr>
              <w:t>Make autonomy proportional to model certainty and business consequence.</w:t>
            </w:r>
          </w:p>
        </w:tc>
      </w:tr>
      <w:tr>
        <w:tc>
          <w:tcPr>
            <w:tcW w:type="dxa" w:w="2600"/>
            <w:tcMar>
              <w:top w:w="90" w:type="dxa"/>
              <w:start w:w="120" w:type="dxa"/>
              <w:bottom w:w="90" w:type="dxa"/>
              <w:end w:w="120" w:type="dxa"/>
            </w:tcMar>
            <w:vAlign w:val="center"/>
          </w:tcPr>
          <w:p>
            <w:r>
              <w:rPr>
                <w:rFonts w:ascii="Aptos" w:hAnsi="Aptos"/>
                <w:color w:val="1F2937"/>
                <w:sz w:val="18"/>
              </w:rPr>
              <w:t>Human approval</w:t>
            </w:r>
          </w:p>
        </w:tc>
        <w:tc>
          <w:tcPr>
            <w:tcW w:type="dxa" w:w="6760"/>
            <w:tcMar>
              <w:top w:w="90" w:type="dxa"/>
              <w:start w:w="120" w:type="dxa"/>
              <w:bottom w:w="90" w:type="dxa"/>
              <w:end w:w="120" w:type="dxa"/>
            </w:tcMar>
            <w:vAlign w:val="center"/>
          </w:tcPr>
          <w:p>
            <w:r>
              <w:rPr>
                <w:rFonts w:ascii="Aptos" w:hAnsi="Aptos"/>
                <w:color w:val="1F2937"/>
                <w:sz w:val="18"/>
              </w:rPr>
              <w:t>Provide accountable review for financial, identity, policy, and irreversible actions.</w:t>
            </w:r>
          </w:p>
        </w:tc>
      </w:tr>
      <w:tr>
        <w:tc>
          <w:tcPr>
            <w:tcW w:type="dxa" w:w="2600"/>
            <w:shd w:fill="F8FAFB"/>
            <w:tcMar>
              <w:top w:w="90" w:type="dxa"/>
              <w:start w:w="120" w:type="dxa"/>
              <w:bottom w:w="90" w:type="dxa"/>
              <w:end w:w="120" w:type="dxa"/>
            </w:tcMar>
            <w:vAlign w:val="center"/>
          </w:tcPr>
          <w:p>
            <w:r>
              <w:rPr>
                <w:rFonts w:ascii="Aptos" w:hAnsi="Aptos"/>
                <w:color w:val="1F2937"/>
                <w:sz w:val="18"/>
              </w:rPr>
              <w:t>Tracing and audit</w:t>
            </w:r>
          </w:p>
        </w:tc>
        <w:tc>
          <w:tcPr>
            <w:tcW w:type="dxa" w:w="6760"/>
            <w:shd w:fill="F8FAFB"/>
            <w:tcMar>
              <w:top w:w="90" w:type="dxa"/>
              <w:start w:w="120" w:type="dxa"/>
              <w:bottom w:w="90" w:type="dxa"/>
              <w:end w:w="120" w:type="dxa"/>
            </w:tcMar>
            <w:vAlign w:val="center"/>
          </w:tcPr>
          <w:p>
            <w:r>
              <w:rPr>
                <w:rFonts w:ascii="Aptos" w:hAnsi="Aptos"/>
                <w:color w:val="1F2937"/>
                <w:sz w:val="18"/>
              </w:rPr>
              <w:t>Reconstruct evidence, reasoning inputs, policy checks, commands, and outcomes.</w:t>
            </w:r>
          </w:p>
        </w:tc>
      </w:tr>
      <w:tr>
        <w:tc>
          <w:tcPr>
            <w:tcW w:type="dxa" w:w="2600"/>
            <w:tcMar>
              <w:top w:w="90" w:type="dxa"/>
              <w:start w:w="120" w:type="dxa"/>
              <w:bottom w:w="90" w:type="dxa"/>
              <w:end w:w="120" w:type="dxa"/>
            </w:tcMar>
            <w:vAlign w:val="center"/>
          </w:tcPr>
          <w:p>
            <w:r>
              <w:rPr>
                <w:rFonts w:ascii="Aptos" w:hAnsi="Aptos"/>
                <w:color w:val="1F2937"/>
                <w:sz w:val="18"/>
              </w:rPr>
              <w:t>Quality, drift, and cost monitoring</w:t>
            </w:r>
          </w:p>
        </w:tc>
        <w:tc>
          <w:tcPr>
            <w:tcW w:type="dxa" w:w="6760"/>
            <w:tcMar>
              <w:top w:w="90" w:type="dxa"/>
              <w:start w:w="120" w:type="dxa"/>
              <w:bottom w:w="90" w:type="dxa"/>
              <w:end w:w="120" w:type="dxa"/>
            </w:tcMar>
            <w:vAlign w:val="center"/>
          </w:tcPr>
          <w:p>
            <w:r>
              <w:rPr>
                <w:rFonts w:ascii="Aptos" w:hAnsi="Aptos"/>
                <w:color w:val="1F2937"/>
                <w:sz w:val="18"/>
              </w:rPr>
              <w:t>Detect degradation, distribution shifts, excessive latency, and unsustainable spend.</w:t>
            </w:r>
          </w:p>
        </w:tc>
      </w:tr>
    </w:tbl>
    <w:p>
      <w:pPr>
        <w:spacing w:after="0"/>
      </w:pPr>
    </w:p>
    <w:p>
      <w:pPr>
        <w:pStyle w:val="Heading2"/>
      </w:pPr>
      <w:r>
        <w:t>Automation levels</w:t>
      </w:r>
    </w:p>
    <w:tbl>
      <w:tblPr>
        <w:tblStyle w:val="TableGrid"/>
        <w:tblW w:type="dxa" w:w="9360"/>
        <w:jc w:val="center"/>
        <w:tblLayout w:type="fixed"/>
        <w:tblLook w:firstColumn="1" w:firstRow="1" w:lastColumn="0" w:lastRow="0" w:noHBand="0" w:noVBand="1" w:val="04A0"/>
        <w:tblInd w:w="120" w:type="dxa"/>
      </w:tblPr>
      <w:tblGrid>
        <w:gridCol w:w="1100"/>
        <w:gridCol w:w="4000"/>
        <w:gridCol w:w="4260"/>
      </w:tblGrid>
      <w:tr>
        <w:trPr>
          <w:tblHeader w:val="true"/>
        </w:trPr>
        <w:tc>
          <w:tcPr>
            <w:tcW w:type="dxa" w:w="1100"/>
            <w:shd w:fill="17324D"/>
            <w:tcMar>
              <w:top w:w="90" w:type="dxa"/>
              <w:start w:w="120" w:type="dxa"/>
              <w:bottom w:w="90" w:type="dxa"/>
              <w:end w:w="120" w:type="dxa"/>
            </w:tcMar>
            <w:vAlign w:val="center"/>
          </w:tcPr>
          <w:p>
            <w:pPr>
              <w:jc w:val="left"/>
            </w:pPr>
            <w:r>
              <w:rPr>
                <w:rFonts w:ascii="Aptos" w:hAnsi="Aptos"/>
                <w:b/>
                <w:color w:val="FFFFFF"/>
                <w:sz w:val="18"/>
              </w:rPr>
              <w:t>Level</w:t>
            </w:r>
          </w:p>
        </w:tc>
        <w:tc>
          <w:tcPr>
            <w:tcW w:type="dxa" w:w="4000"/>
            <w:shd w:fill="17324D"/>
            <w:tcMar>
              <w:top w:w="90" w:type="dxa"/>
              <w:start w:w="120" w:type="dxa"/>
              <w:bottom w:w="90" w:type="dxa"/>
              <w:end w:w="120" w:type="dxa"/>
            </w:tcMar>
            <w:vAlign w:val="center"/>
          </w:tcPr>
          <w:p>
            <w:pPr>
              <w:jc w:val="left"/>
            </w:pPr>
            <w:r>
              <w:rPr>
                <w:rFonts w:ascii="Aptos" w:hAnsi="Aptos"/>
                <w:b/>
                <w:color w:val="FFFFFF"/>
                <w:sz w:val="18"/>
              </w:rPr>
              <w:t>Behavior</w:t>
            </w:r>
          </w:p>
        </w:tc>
        <w:tc>
          <w:tcPr>
            <w:tcW w:type="dxa" w:w="4260"/>
            <w:shd w:fill="17324D"/>
            <w:tcMar>
              <w:top w:w="90" w:type="dxa"/>
              <w:start w:w="120" w:type="dxa"/>
              <w:bottom w:w="90" w:type="dxa"/>
              <w:end w:w="120" w:type="dxa"/>
            </w:tcMar>
            <w:vAlign w:val="center"/>
          </w:tcPr>
          <w:p>
            <w:pPr>
              <w:jc w:val="left"/>
            </w:pPr>
            <w:r>
              <w:rPr>
                <w:rFonts w:ascii="Aptos" w:hAnsi="Aptos"/>
                <w:b/>
                <w:color w:val="FFFFFF"/>
                <w:sz w:val="18"/>
              </w:rPr>
              <w:t>OrderUp example</w:t>
            </w:r>
          </w:p>
        </w:tc>
      </w:tr>
      <w:tr>
        <w:tc>
          <w:tcPr>
            <w:tcW w:type="dxa" w:w="1100"/>
            <w:tcMar>
              <w:top w:w="90" w:type="dxa"/>
              <w:start w:w="120" w:type="dxa"/>
              <w:bottom w:w="90" w:type="dxa"/>
              <w:end w:w="120" w:type="dxa"/>
            </w:tcMar>
            <w:vAlign w:val="center"/>
          </w:tcPr>
          <w:p>
            <w:r>
              <w:rPr>
                <w:rFonts w:ascii="Aptos" w:hAnsi="Aptos"/>
                <w:color w:val="1F2937"/>
                <w:sz w:val="17"/>
              </w:rPr>
              <w:t>L0 Observe</w:t>
            </w:r>
          </w:p>
        </w:tc>
        <w:tc>
          <w:tcPr>
            <w:tcW w:type="dxa" w:w="4000"/>
            <w:tcMar>
              <w:top w:w="90" w:type="dxa"/>
              <w:start w:w="120" w:type="dxa"/>
              <w:bottom w:w="90" w:type="dxa"/>
              <w:end w:w="120" w:type="dxa"/>
            </w:tcMar>
            <w:vAlign w:val="center"/>
          </w:tcPr>
          <w:p>
            <w:r>
              <w:rPr>
                <w:rFonts w:ascii="Aptos" w:hAnsi="Aptos"/>
                <w:color w:val="1F2937"/>
                <w:sz w:val="17"/>
              </w:rPr>
              <w:t>No recommendation or action</w:t>
            </w:r>
          </w:p>
        </w:tc>
        <w:tc>
          <w:tcPr>
            <w:tcW w:type="dxa" w:w="4260"/>
            <w:tcMar>
              <w:top w:w="90" w:type="dxa"/>
              <w:start w:w="120" w:type="dxa"/>
              <w:bottom w:w="90" w:type="dxa"/>
              <w:end w:w="120" w:type="dxa"/>
            </w:tcMar>
            <w:vAlign w:val="center"/>
          </w:tcPr>
          <w:p>
            <w:r>
              <w:rPr>
                <w:rFonts w:ascii="Aptos" w:hAnsi="Aptos"/>
                <w:color w:val="1F2937"/>
                <w:sz w:val="17"/>
              </w:rPr>
              <w:t>Detect a likely late delivery</w:t>
            </w:r>
          </w:p>
        </w:tc>
      </w:tr>
      <w:tr>
        <w:tc>
          <w:tcPr>
            <w:tcW w:type="dxa" w:w="1100"/>
            <w:shd w:fill="F8FAFB"/>
            <w:tcMar>
              <w:top w:w="90" w:type="dxa"/>
              <w:start w:w="120" w:type="dxa"/>
              <w:bottom w:w="90" w:type="dxa"/>
              <w:end w:w="120" w:type="dxa"/>
            </w:tcMar>
            <w:vAlign w:val="center"/>
          </w:tcPr>
          <w:p>
            <w:r>
              <w:rPr>
                <w:rFonts w:ascii="Aptos" w:hAnsi="Aptos"/>
                <w:color w:val="1F2937"/>
                <w:sz w:val="17"/>
              </w:rPr>
              <w:t>L1 Recommend</w:t>
            </w:r>
          </w:p>
        </w:tc>
        <w:tc>
          <w:tcPr>
            <w:tcW w:type="dxa" w:w="4000"/>
            <w:shd w:fill="F8FAFB"/>
            <w:tcMar>
              <w:top w:w="90" w:type="dxa"/>
              <w:start w:w="120" w:type="dxa"/>
              <w:bottom w:w="90" w:type="dxa"/>
              <w:end w:w="120" w:type="dxa"/>
            </w:tcMar>
            <w:vAlign w:val="center"/>
          </w:tcPr>
          <w:p>
            <w:r>
              <w:rPr>
                <w:rFonts w:ascii="Aptos" w:hAnsi="Aptos"/>
                <w:color w:val="1F2937"/>
                <w:sz w:val="17"/>
              </w:rPr>
              <w:t>Rank or explain; user decides</w:t>
            </w:r>
          </w:p>
        </w:tc>
        <w:tc>
          <w:tcPr>
            <w:tcW w:type="dxa" w:w="4260"/>
            <w:shd w:fill="F8FAFB"/>
            <w:tcMar>
              <w:top w:w="90" w:type="dxa"/>
              <w:start w:w="120" w:type="dxa"/>
              <w:bottom w:w="90" w:type="dxa"/>
              <w:end w:w="120" w:type="dxa"/>
            </w:tcMar>
            <w:vAlign w:val="center"/>
          </w:tcPr>
          <w:p>
            <w:r>
              <w:rPr>
                <w:rFonts w:ascii="Aptos" w:hAnsi="Aptos"/>
                <w:color w:val="1F2937"/>
                <w:sz w:val="17"/>
              </w:rPr>
              <w:t>Recommend delivery agents</w:t>
            </w:r>
          </w:p>
        </w:tc>
      </w:tr>
      <w:tr>
        <w:tc>
          <w:tcPr>
            <w:tcW w:type="dxa" w:w="1100"/>
            <w:tcMar>
              <w:top w:w="90" w:type="dxa"/>
              <w:start w:w="120" w:type="dxa"/>
              <w:bottom w:w="90" w:type="dxa"/>
              <w:end w:w="120" w:type="dxa"/>
            </w:tcMar>
            <w:vAlign w:val="center"/>
          </w:tcPr>
          <w:p>
            <w:r>
              <w:rPr>
                <w:rFonts w:ascii="Aptos" w:hAnsi="Aptos"/>
                <w:color w:val="1F2937"/>
                <w:sz w:val="17"/>
              </w:rPr>
              <w:t>L2 Draft</w:t>
            </w:r>
          </w:p>
        </w:tc>
        <w:tc>
          <w:tcPr>
            <w:tcW w:type="dxa" w:w="4000"/>
            <w:tcMar>
              <w:top w:w="90" w:type="dxa"/>
              <w:start w:w="120" w:type="dxa"/>
              <w:bottom w:w="90" w:type="dxa"/>
              <w:end w:w="120" w:type="dxa"/>
            </w:tcMar>
            <w:vAlign w:val="center"/>
          </w:tcPr>
          <w:p>
            <w:r>
              <w:rPr>
                <w:rFonts w:ascii="Aptos" w:hAnsi="Aptos"/>
                <w:color w:val="1F2937"/>
                <w:sz w:val="17"/>
              </w:rPr>
              <w:t>Prepare a structured action for approval</w:t>
            </w:r>
          </w:p>
        </w:tc>
        <w:tc>
          <w:tcPr>
            <w:tcW w:type="dxa" w:w="4260"/>
            <w:tcMar>
              <w:top w:w="90" w:type="dxa"/>
              <w:start w:w="120" w:type="dxa"/>
              <w:bottom w:w="90" w:type="dxa"/>
              <w:end w:w="120" w:type="dxa"/>
            </w:tcMar>
            <w:vAlign w:val="center"/>
          </w:tcPr>
          <w:p>
            <w:r>
              <w:rPr>
                <w:rFonts w:ascii="Aptos" w:hAnsi="Aptos"/>
                <w:color w:val="1F2937"/>
                <w:sz w:val="17"/>
              </w:rPr>
              <w:t>Draft a claim resolution or promotion</w:t>
            </w:r>
          </w:p>
        </w:tc>
      </w:tr>
      <w:tr>
        <w:tc>
          <w:tcPr>
            <w:tcW w:type="dxa" w:w="1100"/>
            <w:shd w:fill="F8FAFB"/>
            <w:tcMar>
              <w:top w:w="90" w:type="dxa"/>
              <w:start w:w="120" w:type="dxa"/>
              <w:bottom w:w="90" w:type="dxa"/>
              <w:end w:w="120" w:type="dxa"/>
            </w:tcMar>
            <w:vAlign w:val="center"/>
          </w:tcPr>
          <w:p>
            <w:r>
              <w:rPr>
                <w:rFonts w:ascii="Aptos" w:hAnsi="Aptos"/>
                <w:color w:val="1F2937"/>
                <w:sz w:val="17"/>
              </w:rPr>
              <w:t>L3 Bounded automation</w:t>
            </w:r>
          </w:p>
        </w:tc>
        <w:tc>
          <w:tcPr>
            <w:tcW w:type="dxa" w:w="4000"/>
            <w:shd w:fill="F8FAFB"/>
            <w:tcMar>
              <w:top w:w="90" w:type="dxa"/>
              <w:start w:w="120" w:type="dxa"/>
              <w:bottom w:w="90" w:type="dxa"/>
              <w:end w:w="120" w:type="dxa"/>
            </w:tcMar>
            <w:vAlign w:val="center"/>
          </w:tcPr>
          <w:p>
            <w:r>
              <w:rPr>
                <w:rFonts w:ascii="Aptos" w:hAnsi="Aptos"/>
                <w:color w:val="1F2937"/>
                <w:sz w:val="17"/>
              </w:rPr>
              <w:t>Execute only under strict policy, confidence, and impact limits</w:t>
            </w:r>
          </w:p>
        </w:tc>
        <w:tc>
          <w:tcPr>
            <w:tcW w:type="dxa" w:w="4260"/>
            <w:shd w:fill="F8FAFB"/>
            <w:tcMar>
              <w:top w:w="90" w:type="dxa"/>
              <w:start w:w="120" w:type="dxa"/>
              <w:bottom w:w="90" w:type="dxa"/>
              <w:end w:w="120" w:type="dxa"/>
            </w:tcMar>
            <w:vAlign w:val="center"/>
          </w:tcPr>
          <w:p>
            <w:r>
              <w:rPr>
                <w:rFonts w:ascii="Aptos" w:hAnsi="Aptos"/>
                <w:color w:val="1F2937"/>
                <w:sz w:val="17"/>
              </w:rPr>
              <w:t>Send a low-risk delay notification</w:t>
            </w:r>
          </w:p>
        </w:tc>
      </w:tr>
      <w:tr>
        <w:tc>
          <w:tcPr>
            <w:tcW w:type="dxa" w:w="1100"/>
            <w:tcMar>
              <w:top w:w="90" w:type="dxa"/>
              <w:start w:w="120" w:type="dxa"/>
              <w:bottom w:w="90" w:type="dxa"/>
              <w:end w:w="120" w:type="dxa"/>
            </w:tcMar>
            <w:vAlign w:val="center"/>
          </w:tcPr>
          <w:p>
            <w:r>
              <w:rPr>
                <w:rFonts w:ascii="Aptos" w:hAnsi="Aptos"/>
                <w:color w:val="1F2937"/>
                <w:sz w:val="17"/>
              </w:rPr>
              <w:t>L4 Prohibited autonomy</w:t>
            </w:r>
          </w:p>
        </w:tc>
        <w:tc>
          <w:tcPr>
            <w:tcW w:type="dxa" w:w="4000"/>
            <w:tcMar>
              <w:top w:w="90" w:type="dxa"/>
              <w:start w:w="120" w:type="dxa"/>
              <w:bottom w:w="90" w:type="dxa"/>
              <w:end w:w="120" w:type="dxa"/>
            </w:tcMar>
            <w:vAlign w:val="center"/>
          </w:tcPr>
          <w:p>
            <w:r>
              <w:rPr>
                <w:rFonts w:ascii="Aptos" w:hAnsi="Aptos"/>
                <w:color w:val="1F2937"/>
                <w:sz w:val="17"/>
              </w:rPr>
              <w:t>Unbounded or direct high-impact execution</w:t>
            </w:r>
          </w:p>
        </w:tc>
        <w:tc>
          <w:tcPr>
            <w:tcW w:type="dxa" w:w="4260"/>
            <w:tcMar>
              <w:top w:w="90" w:type="dxa"/>
              <w:start w:w="120" w:type="dxa"/>
              <w:bottom w:w="90" w:type="dxa"/>
              <w:end w:w="120" w:type="dxa"/>
            </w:tcMar>
            <w:vAlign w:val="center"/>
          </w:tcPr>
          <w:p>
            <w:r>
              <w:rPr>
                <w:rFonts w:ascii="Aptos" w:hAnsi="Aptos"/>
                <w:color w:val="1F2937"/>
                <w:sz w:val="17"/>
              </w:rPr>
              <w:t>Arbitrary pricing, refunds, account changes, or database writes</w:t>
            </w:r>
          </w:p>
        </w:tc>
      </w:tr>
    </w:tbl>
    <w:p>
      <w:pPr>
        <w:spacing w:after="0"/>
      </w:pPr>
    </w:p>
    <w:p>
      <w:r>
        <w:br w:type="page"/>
      </w:r>
    </w:p>
    <w:p>
      <w:pPr>
        <w:pStyle w:val="Heading1"/>
      </w:pPr>
      <w:r>
        <w:t>Migration roadmap</w:t>
      </w:r>
    </w:p>
    <w:tbl>
      <w:tblPr>
        <w:tblStyle w:val="TableGrid"/>
        <w:tblW w:type="dxa" w:w="9360"/>
        <w:jc w:val="center"/>
        <w:tblLayout w:type="fixed"/>
        <w:tblLook w:firstColumn="1" w:firstRow="1" w:lastColumn="0" w:lastRow="0" w:noHBand="0" w:noVBand="1" w:val="04A0"/>
        <w:tblInd w:w="120" w:type="dxa"/>
      </w:tblPr>
      <w:tblGrid>
        <w:gridCol w:w="1150"/>
        <w:gridCol w:w="2700"/>
        <w:gridCol w:w="5510"/>
      </w:tblGrid>
      <w:tr>
        <w:trPr>
          <w:tblHeader w:val="true"/>
        </w:trPr>
        <w:tc>
          <w:tcPr>
            <w:tcW w:type="dxa" w:w="1150"/>
            <w:shd w:fill="17324D"/>
            <w:tcMar>
              <w:top w:w="90" w:type="dxa"/>
              <w:start w:w="120" w:type="dxa"/>
              <w:bottom w:w="90" w:type="dxa"/>
              <w:end w:w="120" w:type="dxa"/>
            </w:tcMar>
            <w:vAlign w:val="center"/>
          </w:tcPr>
          <w:p>
            <w:pPr>
              <w:jc w:val="left"/>
            </w:pPr>
            <w:r>
              <w:rPr>
                <w:rFonts w:ascii="Aptos" w:hAnsi="Aptos"/>
                <w:b/>
                <w:color w:val="FFFFFF"/>
                <w:sz w:val="18"/>
              </w:rPr>
              <w:t>Phase</w:t>
            </w:r>
          </w:p>
        </w:tc>
        <w:tc>
          <w:tcPr>
            <w:tcW w:type="dxa" w:w="2700"/>
            <w:shd w:fill="17324D"/>
            <w:tcMar>
              <w:top w:w="90" w:type="dxa"/>
              <w:start w:w="120" w:type="dxa"/>
              <w:bottom w:w="90" w:type="dxa"/>
              <w:end w:w="120" w:type="dxa"/>
            </w:tcMar>
            <w:vAlign w:val="center"/>
          </w:tcPr>
          <w:p>
            <w:pPr>
              <w:jc w:val="left"/>
            </w:pPr>
            <w:r>
              <w:rPr>
                <w:rFonts w:ascii="Aptos" w:hAnsi="Aptos"/>
                <w:b/>
                <w:color w:val="FFFFFF"/>
                <w:sz w:val="18"/>
              </w:rPr>
              <w:t>Primary outcome</w:t>
            </w:r>
          </w:p>
        </w:tc>
        <w:tc>
          <w:tcPr>
            <w:tcW w:type="dxa" w:w="5510"/>
            <w:shd w:fill="17324D"/>
            <w:tcMar>
              <w:top w:w="90" w:type="dxa"/>
              <w:start w:w="120" w:type="dxa"/>
              <w:bottom w:w="90" w:type="dxa"/>
              <w:end w:w="120" w:type="dxa"/>
            </w:tcMar>
            <w:vAlign w:val="center"/>
          </w:tcPr>
          <w:p>
            <w:pPr>
              <w:jc w:val="left"/>
            </w:pPr>
            <w:r>
              <w:rPr>
                <w:rFonts w:ascii="Aptos" w:hAnsi="Aptos"/>
                <w:b/>
                <w:color w:val="FFFFFF"/>
                <w:sz w:val="18"/>
              </w:rPr>
              <w:t>Representative work</w:t>
            </w:r>
          </w:p>
        </w:tc>
      </w:tr>
      <w:tr>
        <w:tc>
          <w:tcPr>
            <w:tcW w:type="dxa" w:w="1150"/>
            <w:tcMar>
              <w:top w:w="90" w:type="dxa"/>
              <w:start w:w="120" w:type="dxa"/>
              <w:bottom w:w="90" w:type="dxa"/>
              <w:end w:w="120" w:type="dxa"/>
            </w:tcMar>
            <w:vAlign w:val="center"/>
          </w:tcPr>
          <w:p>
            <w:r>
              <w:rPr>
                <w:rFonts w:ascii="Aptos" w:hAnsi="Aptos"/>
                <w:color w:val="1F2937"/>
                <w:sz w:val="17"/>
              </w:rPr>
              <w:t>0. Language and governance</w:t>
            </w:r>
          </w:p>
        </w:tc>
        <w:tc>
          <w:tcPr>
            <w:tcW w:type="dxa" w:w="2700"/>
            <w:tcMar>
              <w:top w:w="90" w:type="dxa"/>
              <w:start w:w="120" w:type="dxa"/>
              <w:bottom w:w="90" w:type="dxa"/>
              <w:end w:w="120" w:type="dxa"/>
            </w:tcMar>
            <w:vAlign w:val="center"/>
          </w:tcPr>
          <w:p>
            <w:r>
              <w:rPr>
                <w:rFonts w:ascii="Aptos" w:hAnsi="Aptos"/>
                <w:color w:val="1F2937"/>
                <w:sz w:val="17"/>
              </w:rPr>
              <w:t>A shared semantic contract</w:t>
            </w:r>
          </w:p>
        </w:tc>
        <w:tc>
          <w:tcPr>
            <w:tcW w:type="dxa" w:w="5510"/>
            <w:tcMar>
              <w:top w:w="90" w:type="dxa"/>
              <w:start w:w="120" w:type="dxa"/>
              <w:bottom w:w="90" w:type="dxa"/>
              <w:end w:w="120" w:type="dxa"/>
            </w:tcMar>
            <w:vAlign w:val="center"/>
          </w:tcPr>
          <w:p>
            <w:r>
              <w:rPr>
                <w:rFonts w:ascii="Aptos" w:hAnsi="Aptos"/>
                <w:color w:val="1F2937"/>
                <w:sz w:val="17"/>
              </w:rPr>
              <w:t>Domain vocabulary, owners, status semantics, identity, tenant, privacy, retention, ontology and event versioning</w:t>
            </w:r>
          </w:p>
        </w:tc>
      </w:tr>
      <w:tr>
        <w:tc>
          <w:tcPr>
            <w:tcW w:type="dxa" w:w="1150"/>
            <w:shd w:fill="F8FAFB"/>
            <w:tcMar>
              <w:top w:w="90" w:type="dxa"/>
              <w:start w:w="120" w:type="dxa"/>
              <w:bottom w:w="90" w:type="dxa"/>
              <w:end w:w="120" w:type="dxa"/>
            </w:tcMar>
            <w:vAlign w:val="center"/>
          </w:tcPr>
          <w:p>
            <w:r>
              <w:rPr>
                <w:rFonts w:ascii="Aptos" w:hAnsi="Aptos"/>
                <w:color w:val="1F2937"/>
                <w:sz w:val="17"/>
              </w:rPr>
              <w:t>1. Semantic read model</w:t>
            </w:r>
          </w:p>
        </w:tc>
        <w:tc>
          <w:tcPr>
            <w:tcW w:type="dxa" w:w="2700"/>
            <w:shd w:fill="F8FAFB"/>
            <w:tcMar>
              <w:top w:w="90" w:type="dxa"/>
              <w:start w:w="120" w:type="dxa"/>
              <w:bottom w:w="90" w:type="dxa"/>
              <w:end w:w="120" w:type="dxa"/>
            </w:tcMar>
            <w:vAlign w:val="center"/>
          </w:tcPr>
          <w:p>
            <w:r>
              <w:rPr>
                <w:rFonts w:ascii="Aptos" w:hAnsi="Aptos"/>
                <w:color w:val="1F2937"/>
                <w:sz w:val="17"/>
              </w:rPr>
              <w:t>An event-synchronized operational graph</w:t>
            </w:r>
          </w:p>
        </w:tc>
        <w:tc>
          <w:tcPr>
            <w:tcW w:type="dxa" w:w="5510"/>
            <w:shd w:fill="F8FAFB"/>
            <w:tcMar>
              <w:top w:w="90" w:type="dxa"/>
              <w:start w:w="120" w:type="dxa"/>
              <w:bottom w:w="90" w:type="dxa"/>
              <w:end w:w="120" w:type="dxa"/>
            </w:tcMar>
            <w:vAlign w:val="center"/>
          </w:tcPr>
          <w:p>
            <w:r>
              <w:rPr>
                <w:rFonts w:ascii="Aptos" w:hAnsi="Aptos"/>
                <w:color w:val="1F2937"/>
                <w:sz w:val="17"/>
              </w:rPr>
              <w:t>Transactional outbox/CDC, backfill, versioned events, projectors, entity resolution, reconciliation</w:t>
            </w:r>
          </w:p>
        </w:tc>
      </w:tr>
      <w:tr>
        <w:tc>
          <w:tcPr>
            <w:tcW w:type="dxa" w:w="1150"/>
            <w:tcMar>
              <w:top w:w="90" w:type="dxa"/>
              <w:start w:w="120" w:type="dxa"/>
              <w:bottom w:w="90" w:type="dxa"/>
              <w:end w:w="120" w:type="dxa"/>
            </w:tcMar>
            <w:vAlign w:val="center"/>
          </w:tcPr>
          <w:p>
            <w:r>
              <w:rPr>
                <w:rFonts w:ascii="Aptos" w:hAnsi="Aptos"/>
                <w:color w:val="1F2937"/>
                <w:sz w:val="17"/>
              </w:rPr>
              <w:t>2. Semantic query</w:t>
            </w:r>
          </w:p>
        </w:tc>
        <w:tc>
          <w:tcPr>
            <w:tcW w:type="dxa" w:w="2700"/>
            <w:tcMar>
              <w:top w:w="90" w:type="dxa"/>
              <w:start w:w="120" w:type="dxa"/>
              <w:bottom w:w="90" w:type="dxa"/>
              <w:end w:w="120" w:type="dxa"/>
            </w:tcMar>
            <w:vAlign w:val="center"/>
          </w:tcPr>
          <w:p>
            <w:r>
              <w:rPr>
                <w:rFonts w:ascii="Aptos" w:hAnsi="Aptos"/>
                <w:color w:val="1F2937"/>
                <w:sz w:val="17"/>
              </w:rPr>
              <w:t>Stable domain APIs and read-only intelligence</w:t>
            </w:r>
          </w:p>
        </w:tc>
        <w:tc>
          <w:tcPr>
            <w:tcW w:type="dxa" w:w="5510"/>
            <w:tcMar>
              <w:top w:w="90" w:type="dxa"/>
              <w:start w:w="120" w:type="dxa"/>
              <w:bottom w:w="90" w:type="dxa"/>
              <w:end w:w="120" w:type="dxa"/>
            </w:tcMar>
            <w:vAlign w:val="center"/>
          </w:tcPr>
          <w:p>
            <w:r>
              <w:rPr>
                <w:rFonts w:ascii="Aptos" w:hAnsi="Aptos"/>
                <w:color w:val="1F2937"/>
                <w:sz w:val="17"/>
              </w:rPr>
              <w:t>Ontology service, query APIs, graph security, ontology-aware RAG, platform and store copilots</w:t>
            </w:r>
          </w:p>
        </w:tc>
      </w:tr>
      <w:tr>
        <w:tc>
          <w:tcPr>
            <w:tcW w:type="dxa" w:w="1150"/>
            <w:shd w:fill="F8FAFB"/>
            <w:tcMar>
              <w:top w:w="90" w:type="dxa"/>
              <w:start w:w="120" w:type="dxa"/>
              <w:bottom w:w="90" w:type="dxa"/>
              <w:end w:w="120" w:type="dxa"/>
            </w:tcMar>
            <w:vAlign w:val="center"/>
          </w:tcPr>
          <w:p>
            <w:r>
              <w:rPr>
                <w:rFonts w:ascii="Aptos" w:hAnsi="Aptos"/>
                <w:color w:val="1F2937"/>
                <w:sz w:val="17"/>
              </w:rPr>
              <w:t>3. Models and recommendations</w:t>
            </w:r>
          </w:p>
        </w:tc>
        <w:tc>
          <w:tcPr>
            <w:tcW w:type="dxa" w:w="2700"/>
            <w:shd w:fill="F8FAFB"/>
            <w:tcMar>
              <w:top w:w="90" w:type="dxa"/>
              <w:start w:w="120" w:type="dxa"/>
              <w:bottom w:w="90" w:type="dxa"/>
              <w:end w:w="120" w:type="dxa"/>
            </w:tcMar>
            <w:vAlign w:val="center"/>
          </w:tcPr>
          <w:p>
            <w:r>
              <w:rPr>
                <w:rFonts w:ascii="Aptos" w:hAnsi="Aptos"/>
                <w:color w:val="1F2937"/>
                <w:sz w:val="17"/>
              </w:rPr>
              <w:t>Measurable nondeterministic capabilities</w:t>
            </w:r>
          </w:p>
        </w:tc>
        <w:tc>
          <w:tcPr>
            <w:tcW w:type="dxa" w:w="5510"/>
            <w:shd w:fill="F8FAFB"/>
            <w:tcMar>
              <w:top w:w="90" w:type="dxa"/>
              <w:start w:w="120" w:type="dxa"/>
              <w:bottom w:w="90" w:type="dxa"/>
              <w:end w:w="120" w:type="dxa"/>
            </w:tcMar>
            <w:vAlign w:val="center"/>
          </w:tcPr>
          <w:p>
            <w:r>
              <w:rPr>
                <w:rFonts w:ascii="Aptos" w:hAnsi="Aptos"/>
                <w:color w:val="1F2937"/>
                <w:sz w:val="17"/>
              </w:rPr>
              <w:t>ETA, demand, anomaly, ranking, route optimization, feature store, feedback capture, shadow mode</w:t>
            </w:r>
          </w:p>
        </w:tc>
      </w:tr>
      <w:tr>
        <w:tc>
          <w:tcPr>
            <w:tcW w:type="dxa" w:w="1150"/>
            <w:tcMar>
              <w:top w:w="90" w:type="dxa"/>
              <w:start w:w="120" w:type="dxa"/>
              <w:bottom w:w="90" w:type="dxa"/>
              <w:end w:w="120" w:type="dxa"/>
            </w:tcMar>
            <w:vAlign w:val="center"/>
          </w:tcPr>
          <w:p>
            <w:r>
              <w:rPr>
                <w:rFonts w:ascii="Aptos" w:hAnsi="Aptos"/>
                <w:color w:val="1F2937"/>
                <w:sz w:val="17"/>
              </w:rPr>
              <w:t>4. Governed actions</w:t>
            </w:r>
          </w:p>
        </w:tc>
        <w:tc>
          <w:tcPr>
            <w:tcW w:type="dxa" w:w="2700"/>
            <w:tcMar>
              <w:top w:w="90" w:type="dxa"/>
              <w:start w:w="120" w:type="dxa"/>
              <w:bottom w:w="90" w:type="dxa"/>
              <w:end w:w="120" w:type="dxa"/>
            </w:tcMar>
            <w:vAlign w:val="center"/>
          </w:tcPr>
          <w:p>
            <w:r>
              <w:rPr>
                <w:rFonts w:ascii="Aptos" w:hAnsi="Aptos"/>
                <w:color w:val="1F2937"/>
                <w:sz w:val="17"/>
              </w:rPr>
              <w:t>Safe recommendations-to-execution boundary</w:t>
            </w:r>
          </w:p>
        </w:tc>
        <w:tc>
          <w:tcPr>
            <w:tcW w:type="dxa" w:w="5510"/>
            <w:tcMar>
              <w:top w:w="90" w:type="dxa"/>
              <w:start w:w="120" w:type="dxa"/>
              <w:bottom w:w="90" w:type="dxa"/>
              <w:end w:w="120" w:type="dxa"/>
            </w:tcMar>
            <w:vAlign w:val="center"/>
          </w:tcPr>
          <w:p>
            <w:r>
              <w:rPr>
                <w:rFonts w:ascii="Aptos" w:hAnsi="Aptos"/>
                <w:color w:val="1F2937"/>
                <w:sz w:val="17"/>
              </w:rPr>
              <w:t>Action schemas, policy engine, approval workflow, idempotency, decision audit</w:t>
            </w:r>
          </w:p>
        </w:tc>
      </w:tr>
      <w:tr>
        <w:tc>
          <w:tcPr>
            <w:tcW w:type="dxa" w:w="1150"/>
            <w:shd w:fill="F8FAFB"/>
            <w:tcMar>
              <w:top w:w="90" w:type="dxa"/>
              <w:start w:w="120" w:type="dxa"/>
              <w:bottom w:w="90" w:type="dxa"/>
              <w:end w:w="120" w:type="dxa"/>
            </w:tcMar>
            <w:vAlign w:val="center"/>
          </w:tcPr>
          <w:p>
            <w:r>
              <w:rPr>
                <w:rFonts w:ascii="Aptos" w:hAnsi="Aptos"/>
                <w:color w:val="1F2937"/>
                <w:sz w:val="17"/>
              </w:rPr>
              <w:t>5. Controlled agents</w:t>
            </w:r>
          </w:p>
        </w:tc>
        <w:tc>
          <w:tcPr>
            <w:tcW w:type="dxa" w:w="2700"/>
            <w:shd w:fill="F8FAFB"/>
            <w:tcMar>
              <w:top w:w="90" w:type="dxa"/>
              <w:start w:w="120" w:type="dxa"/>
              <w:bottom w:w="90" w:type="dxa"/>
              <w:end w:w="120" w:type="dxa"/>
            </w:tcMar>
            <w:vAlign w:val="center"/>
          </w:tcPr>
          <w:p>
            <w:r>
              <w:rPr>
                <w:rFonts w:ascii="Aptos" w:hAnsi="Aptos"/>
                <w:color w:val="1F2937"/>
                <w:sz w:val="17"/>
              </w:rPr>
              <w:t>Multi-step workflows within explicit authority</w:t>
            </w:r>
          </w:p>
        </w:tc>
        <w:tc>
          <w:tcPr>
            <w:tcW w:type="dxa" w:w="5510"/>
            <w:shd w:fill="F8FAFB"/>
            <w:tcMar>
              <w:top w:w="90" w:type="dxa"/>
              <w:start w:w="120" w:type="dxa"/>
              <w:bottom w:w="90" w:type="dxa"/>
              <w:end w:w="120" w:type="dxa"/>
            </w:tcMar>
            <w:vAlign w:val="center"/>
          </w:tcPr>
          <w:p>
            <w:r>
              <w:rPr>
                <w:rFonts w:ascii="Aptos" w:hAnsi="Aptos"/>
                <w:color w:val="1F2937"/>
                <w:sz w:val="17"/>
              </w:rPr>
              <w:t>Exception resolution, replenishment, delivery orchestration, and claim investigation agents</w:t>
            </w:r>
          </w:p>
        </w:tc>
      </w:tr>
    </w:tbl>
    <w:p>
      <w:pPr>
        <w:spacing w:after="0"/>
      </w:pPr>
    </w:p>
    <w:p>
      <w:pPr>
        <w:pStyle w:val="Heading2"/>
      </w:pPr>
      <w:r>
        <w:t>Recommended first releases</w:t>
      </w:r>
    </w:p>
    <w:p>
      <w:pPr>
        <w:pStyle w:val="ListNumber"/>
      </w:pPr>
      <w:r>
        <w:rPr>
          <w:rFonts w:ascii="Aptos" w:hAnsi="Aptos"/>
          <w:color w:val="1F2937"/>
        </w:rPr>
        <w:t>Read-only platform operations copilot over orders, stores, inventory, delivery, claims, and telemetry.</w:t>
      </w:r>
    </w:p>
    <w:p>
      <w:pPr>
        <w:pStyle w:val="ListNumber"/>
      </w:pPr>
      <w:r>
        <w:rPr>
          <w:rFonts w:ascii="Aptos" w:hAnsi="Aptos"/>
          <w:color w:val="1F2937"/>
        </w:rPr>
        <w:t>Store-manager inventory-risk and demand insights.</w:t>
      </w:r>
    </w:p>
    <w:p>
      <w:pPr>
        <w:pStyle w:val="ListNumber"/>
      </w:pPr>
      <w:r>
        <w:rPr>
          <w:rFonts w:ascii="Aptos" w:hAnsi="Aptos"/>
          <w:color w:val="1F2937"/>
        </w:rPr>
        <w:t>Customer semantic product discovery with grounded availability and price retrieval.</w:t>
      </w:r>
    </w:p>
    <w:p>
      <w:pPr>
        <w:pStyle w:val="ListNumber"/>
      </w:pPr>
      <w:r>
        <w:rPr>
          <w:rFonts w:ascii="Aptos" w:hAnsi="Aptos"/>
          <w:color w:val="1F2937"/>
        </w:rPr>
        <w:t>Delivery ETA prediction and at-risk fulfillment alerts.</w:t>
      </w:r>
    </w:p>
    <w:p>
      <w:pPr>
        <w:pStyle w:val="ListNumber"/>
      </w:pPr>
      <w:r>
        <w:rPr>
          <w:rFonts w:ascii="Aptos" w:hAnsi="Aptos"/>
          <w:color w:val="1F2937"/>
        </w:rPr>
        <w:t>Context-aware delivery-agent ranking in shadow mode, compared with current assignment outcomes.</w:t>
      </w:r>
    </w:p>
    <w:p>
      <w:pPr>
        <w:pStyle w:val="ListNumber"/>
      </w:pPr>
      <w:r>
        <w:rPr>
          <w:rFonts w:ascii="Aptos" w:hAnsi="Aptos"/>
          <w:color w:val="1F2937"/>
        </w:rPr>
        <w:t>Voice-based delivery exception reporting with explicit confirmation and no autonomous status commit.</w:t>
      </w:r>
    </w:p>
    <w:p>
      <w:pPr>
        <w:pStyle w:val="Heading1"/>
      </w:pPr>
      <w:r>
        <w:t>Pilot recommendation: intelligent delivery assignment</w:t>
      </w:r>
    </w:p>
    <w:p>
      <w:pPr/>
      <w:r>
        <w:rPr>
          <w:rFonts w:ascii="Aptos" w:hAnsi="Aptos"/>
          <w:color w:val="1F2937"/>
        </w:rPr>
        <w:t>Delivery assignment is the strongest first closed-loop case because the current platform already tracks agents, order items, locations, stores, addresses, and status. The new capability can initially run in shadow mode without changing assignments.</w:t>
      </w:r>
    </w:p>
    <w:tbl>
      <w:tblPr>
        <w:tblStyle w:val="TableGrid"/>
        <w:tblW w:type="dxa" w:w="9360"/>
        <w:jc w:val="center"/>
        <w:tblLayout w:type="fixed"/>
        <w:tblLook w:firstColumn="1" w:firstRow="1" w:lastColumn="0" w:lastRow="0" w:noHBand="0" w:noVBand="1" w:val="04A0"/>
        <w:tblInd w:w="120" w:type="dxa"/>
      </w:tblPr>
      <w:tblGrid>
        <w:gridCol w:w="1250"/>
        <w:gridCol w:w="4850"/>
        <w:gridCol w:w="3260"/>
      </w:tblGrid>
      <w:tr>
        <w:trPr>
          <w:tblHeader w:val="true"/>
        </w:trPr>
        <w:tc>
          <w:tcPr>
            <w:tcW w:type="dxa" w:w="1250"/>
            <w:shd w:fill="17324D"/>
            <w:tcMar>
              <w:top w:w="90" w:type="dxa"/>
              <w:start w:w="120" w:type="dxa"/>
              <w:bottom w:w="90" w:type="dxa"/>
              <w:end w:w="120" w:type="dxa"/>
            </w:tcMar>
            <w:vAlign w:val="center"/>
          </w:tcPr>
          <w:p>
            <w:pPr>
              <w:jc w:val="left"/>
            </w:pPr>
            <w:r>
              <w:rPr>
                <w:rFonts w:ascii="Aptos" w:hAnsi="Aptos"/>
                <w:b/>
                <w:color w:val="FFFFFF"/>
                <w:sz w:val="18"/>
              </w:rPr>
              <w:t>Stage</w:t>
            </w:r>
          </w:p>
        </w:tc>
        <w:tc>
          <w:tcPr>
            <w:tcW w:type="dxa" w:w="4850"/>
            <w:shd w:fill="17324D"/>
            <w:tcMar>
              <w:top w:w="90" w:type="dxa"/>
              <w:start w:w="120" w:type="dxa"/>
              <w:bottom w:w="90" w:type="dxa"/>
              <w:end w:w="120" w:type="dxa"/>
            </w:tcMar>
            <w:vAlign w:val="center"/>
          </w:tcPr>
          <w:p>
            <w:pPr>
              <w:jc w:val="left"/>
            </w:pPr>
            <w:r>
              <w:rPr>
                <w:rFonts w:ascii="Aptos" w:hAnsi="Aptos"/>
                <w:b/>
                <w:color w:val="FFFFFF"/>
                <w:sz w:val="18"/>
              </w:rPr>
              <w:t>Description</w:t>
            </w:r>
          </w:p>
        </w:tc>
        <w:tc>
          <w:tcPr>
            <w:tcW w:type="dxa" w:w="3260"/>
            <w:shd w:fill="17324D"/>
            <w:tcMar>
              <w:top w:w="90" w:type="dxa"/>
              <w:start w:w="120" w:type="dxa"/>
              <w:bottom w:w="90" w:type="dxa"/>
              <w:end w:w="120" w:type="dxa"/>
            </w:tcMar>
            <w:vAlign w:val="center"/>
          </w:tcPr>
          <w:p>
            <w:pPr>
              <w:jc w:val="left"/>
            </w:pPr>
            <w:r>
              <w:rPr>
                <w:rFonts w:ascii="Aptos" w:hAnsi="Aptos"/>
                <w:b/>
                <w:color w:val="FFFFFF"/>
                <w:sz w:val="18"/>
              </w:rPr>
              <w:t>Success evidence</w:t>
            </w:r>
          </w:p>
        </w:tc>
      </w:tr>
      <w:tr>
        <w:tc>
          <w:tcPr>
            <w:tcW w:type="dxa" w:w="1250"/>
            <w:tcMar>
              <w:top w:w="90" w:type="dxa"/>
              <w:start w:w="120" w:type="dxa"/>
              <w:bottom w:w="90" w:type="dxa"/>
              <w:end w:w="120" w:type="dxa"/>
            </w:tcMar>
            <w:vAlign w:val="center"/>
          </w:tcPr>
          <w:p>
            <w:r>
              <w:rPr>
                <w:rFonts w:ascii="Aptos" w:hAnsi="Aptos"/>
                <w:color w:val="1F2937"/>
                <w:sz w:val="17"/>
              </w:rPr>
              <w:t>Eligibility</w:t>
            </w:r>
          </w:p>
        </w:tc>
        <w:tc>
          <w:tcPr>
            <w:tcW w:type="dxa" w:w="4850"/>
            <w:tcMar>
              <w:top w:w="90" w:type="dxa"/>
              <w:start w:w="120" w:type="dxa"/>
              <w:bottom w:w="90" w:type="dxa"/>
              <w:end w:w="120" w:type="dxa"/>
            </w:tcMar>
            <w:vAlign w:val="center"/>
          </w:tcPr>
          <w:p>
            <w:r>
              <w:rPr>
                <w:rFonts w:ascii="Aptos" w:hAnsi="Aptos"/>
                <w:color w:val="1F2937"/>
                <w:sz w:val="17"/>
              </w:rPr>
              <w:t>Deterministic filtering of active, authorized, available agents with valid service area and vehicle constraints</w:t>
            </w:r>
          </w:p>
        </w:tc>
        <w:tc>
          <w:tcPr>
            <w:tcW w:type="dxa" w:w="3260"/>
            <w:tcMar>
              <w:top w:w="90" w:type="dxa"/>
              <w:start w:w="120" w:type="dxa"/>
              <w:bottom w:w="90" w:type="dxa"/>
              <w:end w:w="120" w:type="dxa"/>
            </w:tcMar>
            <w:vAlign w:val="center"/>
          </w:tcPr>
          <w:p>
            <w:r>
              <w:rPr>
                <w:rFonts w:ascii="Aptos" w:hAnsi="Aptos"/>
                <w:color w:val="1F2937"/>
                <w:sz w:val="17"/>
              </w:rPr>
              <w:t>No ineligible agent appears in candidates</w:t>
            </w:r>
          </w:p>
        </w:tc>
      </w:tr>
      <w:tr>
        <w:tc>
          <w:tcPr>
            <w:tcW w:type="dxa" w:w="1250"/>
            <w:shd w:fill="F8FAFB"/>
            <w:tcMar>
              <w:top w:w="90" w:type="dxa"/>
              <w:start w:w="120" w:type="dxa"/>
              <w:bottom w:w="90" w:type="dxa"/>
              <w:end w:w="120" w:type="dxa"/>
            </w:tcMar>
            <w:vAlign w:val="center"/>
          </w:tcPr>
          <w:p>
            <w:r>
              <w:rPr>
                <w:rFonts w:ascii="Aptos" w:hAnsi="Aptos"/>
                <w:color w:val="1F2937"/>
                <w:sz w:val="17"/>
              </w:rPr>
              <w:t>Ranking</w:t>
            </w:r>
          </w:p>
        </w:tc>
        <w:tc>
          <w:tcPr>
            <w:tcW w:type="dxa" w:w="4850"/>
            <w:shd w:fill="F8FAFB"/>
            <w:tcMar>
              <w:top w:w="90" w:type="dxa"/>
              <w:start w:w="120" w:type="dxa"/>
              <w:bottom w:w="90" w:type="dxa"/>
              <w:end w:w="120" w:type="dxa"/>
            </w:tcMar>
            <w:vAlign w:val="center"/>
          </w:tcPr>
          <w:p>
            <w:r>
              <w:rPr>
                <w:rFonts w:ascii="Aptos" w:hAnsi="Aptos"/>
                <w:color w:val="1F2937"/>
                <w:sz w:val="17"/>
              </w:rPr>
              <w:t>Model or optimization service scores distance, workload, capacity, route fit, reliability, and delivery windows</w:t>
            </w:r>
          </w:p>
        </w:tc>
        <w:tc>
          <w:tcPr>
            <w:tcW w:type="dxa" w:w="3260"/>
            <w:shd w:fill="F8FAFB"/>
            <w:tcMar>
              <w:top w:w="90" w:type="dxa"/>
              <w:start w:w="120" w:type="dxa"/>
              <w:bottom w:w="90" w:type="dxa"/>
              <w:end w:w="120" w:type="dxa"/>
            </w:tcMar>
            <w:vAlign w:val="center"/>
          </w:tcPr>
          <w:p>
            <w:r>
              <w:rPr>
                <w:rFonts w:ascii="Aptos" w:hAnsi="Aptos"/>
                <w:color w:val="1F2937"/>
                <w:sz w:val="17"/>
              </w:rPr>
              <w:t>Improved acceptance, travel time, and on-time delivery</w:t>
            </w:r>
          </w:p>
        </w:tc>
      </w:tr>
      <w:tr>
        <w:tc>
          <w:tcPr>
            <w:tcW w:type="dxa" w:w="1250"/>
            <w:tcMar>
              <w:top w:w="90" w:type="dxa"/>
              <w:start w:w="120" w:type="dxa"/>
              <w:bottom w:w="90" w:type="dxa"/>
              <w:end w:w="120" w:type="dxa"/>
            </w:tcMar>
            <w:vAlign w:val="center"/>
          </w:tcPr>
          <w:p>
            <w:r>
              <w:rPr>
                <w:rFonts w:ascii="Aptos" w:hAnsi="Aptos"/>
                <w:color w:val="1F2937"/>
                <w:sz w:val="17"/>
              </w:rPr>
              <w:t>Explanation</w:t>
            </w:r>
          </w:p>
        </w:tc>
        <w:tc>
          <w:tcPr>
            <w:tcW w:type="dxa" w:w="4850"/>
            <w:tcMar>
              <w:top w:w="90" w:type="dxa"/>
              <w:start w:w="120" w:type="dxa"/>
              <w:bottom w:w="90" w:type="dxa"/>
              <w:end w:w="120" w:type="dxa"/>
            </w:tcMar>
            <w:vAlign w:val="center"/>
          </w:tcPr>
          <w:p>
            <w:r>
              <w:rPr>
                <w:rFonts w:ascii="Aptos" w:hAnsi="Aptos"/>
                <w:color w:val="1F2937"/>
                <w:sz w:val="17"/>
              </w:rPr>
              <w:t>Ontology traces the evidence behind each recommendation</w:t>
            </w:r>
          </w:p>
        </w:tc>
        <w:tc>
          <w:tcPr>
            <w:tcW w:type="dxa" w:w="3260"/>
            <w:tcMar>
              <w:top w:w="90" w:type="dxa"/>
              <w:start w:w="120" w:type="dxa"/>
              <w:bottom w:w="90" w:type="dxa"/>
              <w:end w:w="120" w:type="dxa"/>
            </w:tcMar>
            <w:vAlign w:val="center"/>
          </w:tcPr>
          <w:p>
            <w:r>
              <w:rPr>
                <w:rFonts w:ascii="Aptos" w:hAnsi="Aptos"/>
                <w:color w:val="1F2937"/>
                <w:sz w:val="17"/>
              </w:rPr>
              <w:t>Dispatchers understand and can challenge ranking</w:t>
            </w:r>
          </w:p>
        </w:tc>
      </w:tr>
      <w:tr>
        <w:tc>
          <w:tcPr>
            <w:tcW w:type="dxa" w:w="1250"/>
            <w:shd w:fill="F8FAFB"/>
            <w:tcMar>
              <w:top w:w="90" w:type="dxa"/>
              <w:start w:w="120" w:type="dxa"/>
              <w:bottom w:w="90" w:type="dxa"/>
              <w:end w:w="120" w:type="dxa"/>
            </w:tcMar>
            <w:vAlign w:val="center"/>
          </w:tcPr>
          <w:p>
            <w:r>
              <w:rPr>
                <w:rFonts w:ascii="Aptos" w:hAnsi="Aptos"/>
                <w:color w:val="1F2937"/>
                <w:sz w:val="17"/>
              </w:rPr>
              <w:t>Shadow evaluation</w:t>
            </w:r>
          </w:p>
        </w:tc>
        <w:tc>
          <w:tcPr>
            <w:tcW w:type="dxa" w:w="4850"/>
            <w:shd w:fill="F8FAFB"/>
            <w:tcMar>
              <w:top w:w="90" w:type="dxa"/>
              <w:start w:w="120" w:type="dxa"/>
              <w:bottom w:w="90" w:type="dxa"/>
              <w:end w:w="120" w:type="dxa"/>
            </w:tcMar>
            <w:vAlign w:val="center"/>
          </w:tcPr>
          <w:p>
            <w:r>
              <w:rPr>
                <w:rFonts w:ascii="Aptos" w:hAnsi="Aptos"/>
                <w:color w:val="1F2937"/>
                <w:sz w:val="17"/>
              </w:rPr>
              <w:t>Compare recommendations with real assignment and outcome without execution</w:t>
            </w:r>
          </w:p>
        </w:tc>
        <w:tc>
          <w:tcPr>
            <w:tcW w:type="dxa" w:w="3260"/>
            <w:shd w:fill="F8FAFB"/>
            <w:tcMar>
              <w:top w:w="90" w:type="dxa"/>
              <w:start w:w="120" w:type="dxa"/>
              <w:bottom w:w="90" w:type="dxa"/>
              <w:end w:w="120" w:type="dxa"/>
            </w:tcMar>
            <w:vAlign w:val="center"/>
          </w:tcPr>
          <w:p>
            <w:r>
              <w:rPr>
                <w:rFonts w:ascii="Aptos" w:hAnsi="Aptos"/>
                <w:color w:val="1F2937"/>
                <w:sz w:val="17"/>
              </w:rPr>
              <w:t>Stable uplift across stores and time periods</w:t>
            </w:r>
          </w:p>
        </w:tc>
      </w:tr>
      <w:tr>
        <w:tc>
          <w:tcPr>
            <w:tcW w:type="dxa" w:w="1250"/>
            <w:tcMar>
              <w:top w:w="90" w:type="dxa"/>
              <w:start w:w="120" w:type="dxa"/>
              <w:bottom w:w="90" w:type="dxa"/>
              <w:end w:w="120" w:type="dxa"/>
            </w:tcMar>
            <w:vAlign w:val="center"/>
          </w:tcPr>
          <w:p>
            <w:r>
              <w:rPr>
                <w:rFonts w:ascii="Aptos" w:hAnsi="Aptos"/>
                <w:color w:val="1F2937"/>
                <w:sz w:val="17"/>
              </w:rPr>
              <w:t>Human-approved execution</w:t>
            </w:r>
          </w:p>
        </w:tc>
        <w:tc>
          <w:tcPr>
            <w:tcW w:type="dxa" w:w="4850"/>
            <w:tcMar>
              <w:top w:w="90" w:type="dxa"/>
              <w:start w:w="120" w:type="dxa"/>
              <w:bottom w:w="90" w:type="dxa"/>
              <w:end w:w="120" w:type="dxa"/>
            </w:tcMar>
            <w:vAlign w:val="center"/>
          </w:tcPr>
          <w:p>
            <w:r>
              <w:rPr>
                <w:rFonts w:ascii="Aptos" w:hAnsi="Aptos"/>
                <w:color w:val="1F2937"/>
                <w:sz w:val="17"/>
              </w:rPr>
              <w:t>Dispatcher accepts a recommendation through the governed action gateway</w:t>
            </w:r>
          </w:p>
        </w:tc>
        <w:tc>
          <w:tcPr>
            <w:tcW w:type="dxa" w:w="3260"/>
            <w:tcMar>
              <w:top w:w="90" w:type="dxa"/>
              <w:start w:w="120" w:type="dxa"/>
              <w:bottom w:w="90" w:type="dxa"/>
              <w:end w:w="120" w:type="dxa"/>
            </w:tcMar>
            <w:vAlign w:val="center"/>
          </w:tcPr>
          <w:p>
            <w:r>
              <w:rPr>
                <w:rFonts w:ascii="Aptos" w:hAnsi="Aptos"/>
                <w:color w:val="1F2937"/>
                <w:sz w:val="17"/>
              </w:rPr>
              <w:t>High acceptance and low override/error rate</w:t>
            </w:r>
          </w:p>
        </w:tc>
      </w:tr>
      <w:tr>
        <w:tc>
          <w:tcPr>
            <w:tcW w:type="dxa" w:w="1250"/>
            <w:shd w:fill="F8FAFB"/>
            <w:tcMar>
              <w:top w:w="90" w:type="dxa"/>
              <w:start w:w="120" w:type="dxa"/>
              <w:bottom w:w="90" w:type="dxa"/>
              <w:end w:w="120" w:type="dxa"/>
            </w:tcMar>
            <w:vAlign w:val="center"/>
          </w:tcPr>
          <w:p>
            <w:r>
              <w:rPr>
                <w:rFonts w:ascii="Aptos" w:hAnsi="Aptos"/>
                <w:color w:val="1F2937"/>
                <w:sz w:val="17"/>
              </w:rPr>
              <w:t>Bounded automation</w:t>
            </w:r>
          </w:p>
        </w:tc>
        <w:tc>
          <w:tcPr>
            <w:tcW w:type="dxa" w:w="4850"/>
            <w:shd w:fill="F8FAFB"/>
            <w:tcMar>
              <w:top w:w="90" w:type="dxa"/>
              <w:start w:w="120" w:type="dxa"/>
              <w:bottom w:w="90" w:type="dxa"/>
              <w:end w:w="120" w:type="dxa"/>
            </w:tcMar>
            <w:vAlign w:val="center"/>
          </w:tcPr>
          <w:p>
            <w:r>
              <w:rPr>
                <w:rFonts w:ascii="Aptos" w:hAnsi="Aptos"/>
                <w:color w:val="1F2937"/>
                <w:sz w:val="17"/>
              </w:rPr>
              <w:t>Optional auto-assignment only for low-risk cases that satisfy all thresholds</w:t>
            </w:r>
          </w:p>
        </w:tc>
        <w:tc>
          <w:tcPr>
            <w:tcW w:type="dxa" w:w="3260"/>
            <w:shd w:fill="F8FAFB"/>
            <w:tcMar>
              <w:top w:w="90" w:type="dxa"/>
              <w:start w:w="120" w:type="dxa"/>
              <w:bottom w:w="90" w:type="dxa"/>
              <w:end w:w="120" w:type="dxa"/>
            </w:tcMar>
            <w:vAlign w:val="center"/>
          </w:tcPr>
          <w:p>
            <w:r>
              <w:rPr>
                <w:rFonts w:ascii="Aptos" w:hAnsi="Aptos"/>
                <w:color w:val="1F2937"/>
                <w:sz w:val="17"/>
              </w:rPr>
              <w:t>Audited performance remains within safety limits</w:t>
            </w:r>
          </w:p>
        </w:tc>
      </w:tr>
    </w:tbl>
    <w:p>
      <w:pPr>
        <w:spacing w:after="0"/>
      </w:pPr>
    </w:p>
    <w:p>
      <w:pPr>
        <w:pStyle w:val="Heading1"/>
      </w:pPr>
      <w:r>
        <w:t>Measurement framework</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shd w:fill="17324D"/>
            <w:tcMar>
              <w:top w:w="90" w:type="dxa"/>
              <w:start w:w="120" w:type="dxa"/>
              <w:bottom w:w="90" w:type="dxa"/>
              <w:end w:w="120" w:type="dxa"/>
            </w:tcMar>
            <w:vAlign w:val="center"/>
          </w:tcPr>
          <w:p>
            <w:pPr>
              <w:jc w:val="left"/>
            </w:pPr>
            <w:r>
              <w:rPr>
                <w:rFonts w:ascii="Aptos" w:hAnsi="Aptos"/>
                <w:b/>
                <w:color w:val="FFFFFF"/>
                <w:sz w:val="18"/>
              </w:rPr>
              <w:t>Dimension</w:t>
            </w:r>
          </w:p>
        </w:tc>
        <w:tc>
          <w:tcPr>
            <w:tcW w:type="dxa" w:w="7360"/>
            <w:shd w:fill="17324D"/>
            <w:tcMar>
              <w:top w:w="90" w:type="dxa"/>
              <w:start w:w="120" w:type="dxa"/>
              <w:bottom w:w="90" w:type="dxa"/>
              <w:end w:w="120" w:type="dxa"/>
            </w:tcMar>
            <w:vAlign w:val="center"/>
          </w:tcPr>
          <w:p>
            <w:pPr>
              <w:jc w:val="left"/>
            </w:pPr>
            <w:r>
              <w:rPr>
                <w:rFonts w:ascii="Aptos" w:hAnsi="Aptos"/>
                <w:b/>
                <w:color w:val="FFFFFF"/>
                <w:sz w:val="18"/>
              </w:rPr>
              <w:t>Example metrics</w:t>
            </w:r>
          </w:p>
        </w:tc>
      </w:tr>
      <w:tr>
        <w:tc>
          <w:tcPr>
            <w:tcW w:type="dxa" w:w="2000"/>
            <w:tcMar>
              <w:top w:w="90" w:type="dxa"/>
              <w:start w:w="120" w:type="dxa"/>
              <w:bottom w:w="90" w:type="dxa"/>
              <w:end w:w="120" w:type="dxa"/>
            </w:tcMar>
            <w:vAlign w:val="center"/>
          </w:tcPr>
          <w:p>
            <w:r>
              <w:rPr>
                <w:rFonts w:ascii="Aptos" w:hAnsi="Aptos"/>
                <w:color w:val="1F2937"/>
                <w:sz w:val="18"/>
              </w:rPr>
              <w:t>Business</w:t>
            </w:r>
          </w:p>
        </w:tc>
        <w:tc>
          <w:tcPr>
            <w:tcW w:type="dxa" w:w="7360"/>
            <w:tcMar>
              <w:top w:w="90" w:type="dxa"/>
              <w:start w:w="120" w:type="dxa"/>
              <w:bottom w:w="90" w:type="dxa"/>
              <w:end w:w="120" w:type="dxa"/>
            </w:tcMar>
            <w:vAlign w:val="center"/>
          </w:tcPr>
          <w:p>
            <w:r>
              <w:rPr>
                <w:rFonts w:ascii="Aptos" w:hAnsi="Aptos"/>
                <w:color w:val="1F2937"/>
                <w:sz w:val="18"/>
              </w:rPr>
              <w:t>Conversion, basket value, stockout rate, fulfillment cost, on-time delivery, claim resolution time</w:t>
            </w:r>
          </w:p>
        </w:tc>
      </w:tr>
      <w:tr>
        <w:tc>
          <w:tcPr>
            <w:tcW w:type="dxa" w:w="2000"/>
            <w:shd w:fill="F8FAFB"/>
            <w:tcMar>
              <w:top w:w="90" w:type="dxa"/>
              <w:start w:w="120" w:type="dxa"/>
              <w:bottom w:w="90" w:type="dxa"/>
              <w:end w:w="120" w:type="dxa"/>
            </w:tcMar>
            <w:vAlign w:val="center"/>
          </w:tcPr>
          <w:p>
            <w:r>
              <w:rPr>
                <w:rFonts w:ascii="Aptos" w:hAnsi="Aptos"/>
                <w:color w:val="1F2937"/>
                <w:sz w:val="18"/>
              </w:rPr>
              <w:t>Model</w:t>
            </w:r>
          </w:p>
        </w:tc>
        <w:tc>
          <w:tcPr>
            <w:tcW w:type="dxa" w:w="7360"/>
            <w:shd w:fill="F8FAFB"/>
            <w:tcMar>
              <w:top w:w="90" w:type="dxa"/>
              <w:start w:w="120" w:type="dxa"/>
              <w:bottom w:w="90" w:type="dxa"/>
              <w:end w:w="120" w:type="dxa"/>
            </w:tcMar>
            <w:vAlign w:val="center"/>
          </w:tcPr>
          <w:p>
            <w:r>
              <w:rPr>
                <w:rFonts w:ascii="Aptos" w:hAnsi="Aptos"/>
                <w:color w:val="1F2937"/>
                <w:sz w:val="18"/>
              </w:rPr>
              <w:t>Precision/recall, ranking gain, ETA error, forecast error, calibration, subgroup performance</w:t>
            </w:r>
          </w:p>
        </w:tc>
      </w:tr>
      <w:tr>
        <w:tc>
          <w:tcPr>
            <w:tcW w:type="dxa" w:w="2000"/>
            <w:tcMar>
              <w:top w:w="90" w:type="dxa"/>
              <w:start w:w="120" w:type="dxa"/>
              <w:bottom w:w="90" w:type="dxa"/>
              <w:end w:w="120" w:type="dxa"/>
            </w:tcMar>
            <w:vAlign w:val="center"/>
          </w:tcPr>
          <w:p>
            <w:r>
              <w:rPr>
                <w:rFonts w:ascii="Aptos" w:hAnsi="Aptos"/>
                <w:color w:val="1F2937"/>
                <w:sz w:val="18"/>
              </w:rPr>
              <w:t>User</w:t>
            </w:r>
          </w:p>
        </w:tc>
        <w:tc>
          <w:tcPr>
            <w:tcW w:type="dxa" w:w="7360"/>
            <w:tcMar>
              <w:top w:w="90" w:type="dxa"/>
              <w:start w:w="120" w:type="dxa"/>
              <w:bottom w:w="90" w:type="dxa"/>
              <w:end w:w="120" w:type="dxa"/>
            </w:tcMar>
            <w:vAlign w:val="center"/>
          </w:tcPr>
          <w:p>
            <w:r>
              <w:rPr>
                <w:rFonts w:ascii="Aptos" w:hAnsi="Aptos"/>
                <w:color w:val="1F2937"/>
                <w:sz w:val="18"/>
              </w:rPr>
              <w:t>Recommendation acceptance, override rate, task time, satisfaction, voice correction rate</w:t>
            </w:r>
          </w:p>
        </w:tc>
      </w:tr>
      <w:tr>
        <w:tc>
          <w:tcPr>
            <w:tcW w:type="dxa" w:w="2000"/>
            <w:shd w:fill="F8FAFB"/>
            <w:tcMar>
              <w:top w:w="90" w:type="dxa"/>
              <w:start w:w="120" w:type="dxa"/>
              <w:bottom w:w="90" w:type="dxa"/>
              <w:end w:w="120" w:type="dxa"/>
            </w:tcMar>
            <w:vAlign w:val="center"/>
          </w:tcPr>
          <w:p>
            <w:r>
              <w:rPr>
                <w:rFonts w:ascii="Aptos" w:hAnsi="Aptos"/>
                <w:color w:val="1F2937"/>
                <w:sz w:val="18"/>
              </w:rPr>
              <w:t>Safety</w:t>
            </w:r>
          </w:p>
        </w:tc>
        <w:tc>
          <w:tcPr>
            <w:tcW w:type="dxa" w:w="7360"/>
            <w:shd w:fill="F8FAFB"/>
            <w:tcMar>
              <w:top w:w="90" w:type="dxa"/>
              <w:start w:w="120" w:type="dxa"/>
              <w:bottom w:w="90" w:type="dxa"/>
              <w:end w:w="120" w:type="dxa"/>
            </w:tcMar>
            <w:vAlign w:val="center"/>
          </w:tcPr>
          <w:p>
            <w:r>
              <w:rPr>
                <w:rFonts w:ascii="Aptos" w:hAnsi="Aptos"/>
                <w:color w:val="1F2937"/>
                <w:sz w:val="18"/>
              </w:rPr>
              <w:t>Unauthorized tool attempts, policy rejection rate, false automation, PII leakage, grounded-answer rate</w:t>
            </w:r>
          </w:p>
        </w:tc>
      </w:tr>
      <w:tr>
        <w:tc>
          <w:tcPr>
            <w:tcW w:type="dxa" w:w="2000"/>
            <w:tcMar>
              <w:top w:w="90" w:type="dxa"/>
              <w:start w:w="120" w:type="dxa"/>
              <w:bottom w:w="90" w:type="dxa"/>
              <w:end w:w="120" w:type="dxa"/>
            </w:tcMar>
            <w:vAlign w:val="center"/>
          </w:tcPr>
          <w:p>
            <w:r>
              <w:rPr>
                <w:rFonts w:ascii="Aptos" w:hAnsi="Aptos"/>
                <w:color w:val="1F2937"/>
                <w:sz w:val="18"/>
              </w:rPr>
              <w:t>Platform</w:t>
            </w:r>
          </w:p>
        </w:tc>
        <w:tc>
          <w:tcPr>
            <w:tcW w:type="dxa" w:w="7360"/>
            <w:tcMar>
              <w:top w:w="90" w:type="dxa"/>
              <w:start w:w="120" w:type="dxa"/>
              <w:bottom w:w="90" w:type="dxa"/>
              <w:end w:w="120" w:type="dxa"/>
            </w:tcMar>
            <w:vAlign w:val="center"/>
          </w:tcPr>
          <w:p>
            <w:r>
              <w:rPr>
                <w:rFonts w:ascii="Aptos" w:hAnsi="Aptos"/>
                <w:color w:val="1F2937"/>
                <w:sz w:val="18"/>
              </w:rPr>
              <w:t>Event lag, graph freshness, reconciliation error, latency, availability, inference cost</w:t>
            </w:r>
          </w:p>
        </w:tc>
      </w:tr>
      <w:tr>
        <w:tc>
          <w:tcPr>
            <w:tcW w:type="dxa" w:w="2000"/>
            <w:shd w:fill="F8FAFB"/>
            <w:tcMar>
              <w:top w:w="90" w:type="dxa"/>
              <w:start w:w="120" w:type="dxa"/>
              <w:bottom w:w="90" w:type="dxa"/>
              <w:end w:w="120" w:type="dxa"/>
            </w:tcMar>
            <w:vAlign w:val="center"/>
          </w:tcPr>
          <w:p>
            <w:r>
              <w:rPr>
                <w:rFonts w:ascii="Aptos" w:hAnsi="Aptos"/>
                <w:color w:val="1F2937"/>
                <w:sz w:val="18"/>
              </w:rPr>
              <w:t>Learning</w:t>
            </w:r>
          </w:p>
        </w:tc>
        <w:tc>
          <w:tcPr>
            <w:tcW w:type="dxa" w:w="7360"/>
            <w:shd w:fill="F8FAFB"/>
            <w:tcMar>
              <w:top w:w="90" w:type="dxa"/>
              <w:start w:w="120" w:type="dxa"/>
              <w:bottom w:w="90" w:type="dxa"/>
              <w:end w:w="120" w:type="dxa"/>
            </w:tcMar>
            <w:vAlign w:val="center"/>
          </w:tcPr>
          <w:p>
            <w:r>
              <w:rPr>
                <w:rFonts w:ascii="Aptos" w:hAnsi="Aptos"/>
                <w:color w:val="1F2937"/>
                <w:sz w:val="18"/>
              </w:rPr>
              <w:t>Feedback coverage, experiment velocity, time from model registration to safe deployment</w:t>
            </w:r>
          </w:p>
        </w:tc>
      </w:tr>
    </w:tbl>
    <w:p>
      <w:pPr>
        <w:spacing w:after="0"/>
      </w:pPr>
    </w:p>
    <w:p>
      <w:pPr>
        <w:pStyle w:val="Heading1"/>
      </w:pPr>
      <w:r>
        <w:t>Risks and mitigations</w:t>
      </w:r>
    </w:p>
    <w:tbl>
      <w:tblPr>
        <w:tblStyle w:val="TableGrid"/>
        <w:tblW w:type="dxa" w:w="9360"/>
        <w:jc w:val="center"/>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7324D"/>
            <w:tcMar>
              <w:top w:w="90" w:type="dxa"/>
              <w:start w:w="120" w:type="dxa"/>
              <w:bottom w:w="90" w:type="dxa"/>
              <w:end w:w="120" w:type="dxa"/>
            </w:tcMar>
            <w:vAlign w:val="center"/>
          </w:tcPr>
          <w:p>
            <w:pPr>
              <w:jc w:val="left"/>
            </w:pPr>
            <w:r>
              <w:rPr>
                <w:rFonts w:ascii="Aptos" w:hAnsi="Aptos"/>
                <w:b/>
                <w:color w:val="FFFFFF"/>
                <w:sz w:val="18"/>
              </w:rPr>
              <w:t>Risk</w:t>
            </w:r>
          </w:p>
        </w:tc>
        <w:tc>
          <w:tcPr>
            <w:tcW w:type="dxa" w:w="3000"/>
            <w:shd w:fill="17324D"/>
            <w:tcMar>
              <w:top w:w="90" w:type="dxa"/>
              <w:start w:w="120" w:type="dxa"/>
              <w:bottom w:w="90" w:type="dxa"/>
              <w:end w:w="120" w:type="dxa"/>
            </w:tcMar>
            <w:vAlign w:val="center"/>
          </w:tcPr>
          <w:p>
            <w:pPr>
              <w:jc w:val="left"/>
            </w:pPr>
            <w:r>
              <w:rPr>
                <w:rFonts w:ascii="Aptos" w:hAnsi="Aptos"/>
                <w:b/>
                <w:color w:val="FFFFFF"/>
                <w:sz w:val="18"/>
              </w:rPr>
              <w:t>Consequence</w:t>
            </w:r>
          </w:p>
        </w:tc>
        <w:tc>
          <w:tcPr>
            <w:tcW w:type="dxa" w:w="4160"/>
            <w:shd w:fill="17324D"/>
            <w:tcMar>
              <w:top w:w="90" w:type="dxa"/>
              <w:start w:w="120" w:type="dxa"/>
              <w:bottom w:w="90" w:type="dxa"/>
              <w:end w:w="120" w:type="dxa"/>
            </w:tcMar>
            <w:vAlign w:val="center"/>
          </w:tcPr>
          <w:p>
            <w:pPr>
              <w:jc w:val="left"/>
            </w:pPr>
            <w:r>
              <w:rPr>
                <w:rFonts w:ascii="Aptos" w:hAnsi="Aptos"/>
                <w:b/>
                <w:color w:val="FFFFFF"/>
                <w:sz w:val="18"/>
              </w:rPr>
              <w:t>Mitigation</w:t>
            </w:r>
          </w:p>
        </w:tc>
      </w:tr>
      <w:tr>
        <w:tc>
          <w:tcPr>
            <w:tcW w:type="dxa" w:w="2200"/>
            <w:tcMar>
              <w:top w:w="90" w:type="dxa"/>
              <w:start w:w="120" w:type="dxa"/>
              <w:bottom w:w="90" w:type="dxa"/>
              <w:end w:w="120" w:type="dxa"/>
            </w:tcMar>
            <w:vAlign w:val="center"/>
          </w:tcPr>
          <w:p>
            <w:r>
              <w:rPr>
                <w:rFonts w:ascii="Aptos" w:hAnsi="Aptos"/>
                <w:color w:val="1F2937"/>
                <w:sz w:val="17"/>
              </w:rPr>
              <w:t>Ontology mirrors the database</w:t>
            </w:r>
          </w:p>
        </w:tc>
        <w:tc>
          <w:tcPr>
            <w:tcW w:type="dxa" w:w="3000"/>
            <w:tcMar>
              <w:top w:w="90" w:type="dxa"/>
              <w:start w:w="120" w:type="dxa"/>
              <w:bottom w:w="90" w:type="dxa"/>
              <w:end w:w="120" w:type="dxa"/>
            </w:tcMar>
            <w:vAlign w:val="center"/>
          </w:tcPr>
          <w:p>
            <w:r>
              <w:rPr>
                <w:rFonts w:ascii="Aptos" w:hAnsi="Aptos"/>
                <w:color w:val="1F2937"/>
                <w:sz w:val="17"/>
              </w:rPr>
              <w:t>Little semantic value; tight coupling to legacy schema</w:t>
            </w:r>
          </w:p>
        </w:tc>
        <w:tc>
          <w:tcPr>
            <w:tcW w:type="dxa" w:w="4160"/>
            <w:tcMar>
              <w:top w:w="90" w:type="dxa"/>
              <w:start w:w="120" w:type="dxa"/>
              <w:bottom w:w="90" w:type="dxa"/>
              <w:end w:w="120" w:type="dxa"/>
            </w:tcMar>
            <w:vAlign w:val="center"/>
          </w:tcPr>
          <w:p>
            <w:r>
              <w:rPr>
                <w:rFonts w:ascii="Aptos" w:hAnsi="Aptos"/>
                <w:color w:val="1F2937"/>
                <w:sz w:val="17"/>
              </w:rPr>
              <w:t>Model business concepts and mappings separately; assign domain owners</w:t>
            </w:r>
          </w:p>
        </w:tc>
      </w:tr>
      <w:tr>
        <w:tc>
          <w:tcPr>
            <w:tcW w:type="dxa" w:w="2200"/>
            <w:shd w:fill="F8FAFB"/>
            <w:tcMar>
              <w:top w:w="90" w:type="dxa"/>
              <w:start w:w="120" w:type="dxa"/>
              <w:bottom w:w="90" w:type="dxa"/>
              <w:end w:w="120" w:type="dxa"/>
            </w:tcMar>
            <w:vAlign w:val="center"/>
          </w:tcPr>
          <w:p>
            <w:r>
              <w:rPr>
                <w:rFonts w:ascii="Aptos" w:hAnsi="Aptos"/>
                <w:color w:val="1F2937"/>
                <w:sz w:val="17"/>
              </w:rPr>
              <w:t>Dual-write divergence</w:t>
            </w:r>
          </w:p>
        </w:tc>
        <w:tc>
          <w:tcPr>
            <w:tcW w:type="dxa" w:w="3000"/>
            <w:shd w:fill="F8FAFB"/>
            <w:tcMar>
              <w:top w:w="90" w:type="dxa"/>
              <w:start w:w="120" w:type="dxa"/>
              <w:bottom w:w="90" w:type="dxa"/>
              <w:end w:w="120" w:type="dxa"/>
            </w:tcMar>
            <w:vAlign w:val="center"/>
          </w:tcPr>
          <w:p>
            <w:r>
              <w:rPr>
                <w:rFonts w:ascii="Aptos" w:hAnsi="Aptos"/>
                <w:color w:val="1F2937"/>
                <w:sz w:val="17"/>
              </w:rPr>
              <w:t>Graph and MySQL disagree</w:t>
            </w:r>
          </w:p>
        </w:tc>
        <w:tc>
          <w:tcPr>
            <w:tcW w:type="dxa" w:w="4160"/>
            <w:shd w:fill="F8FAFB"/>
            <w:tcMar>
              <w:top w:w="90" w:type="dxa"/>
              <w:start w:w="120" w:type="dxa"/>
              <w:bottom w:w="90" w:type="dxa"/>
              <w:end w:w="120" w:type="dxa"/>
            </w:tcMar>
            <w:vAlign w:val="center"/>
          </w:tcPr>
          <w:p>
            <w:r>
              <w:rPr>
                <w:rFonts w:ascii="Aptos" w:hAnsi="Aptos"/>
                <w:color w:val="1F2937"/>
                <w:sz w:val="17"/>
              </w:rPr>
              <w:t>Outbox/CDC, idempotent projections, replay, and reconciliation</w:t>
            </w:r>
          </w:p>
        </w:tc>
      </w:tr>
      <w:tr>
        <w:tc>
          <w:tcPr>
            <w:tcW w:type="dxa" w:w="2200"/>
            <w:tcMar>
              <w:top w:w="90" w:type="dxa"/>
              <w:start w:w="120" w:type="dxa"/>
              <w:bottom w:w="90" w:type="dxa"/>
              <w:end w:w="120" w:type="dxa"/>
            </w:tcMar>
            <w:vAlign w:val="center"/>
          </w:tcPr>
          <w:p>
            <w:r>
              <w:rPr>
                <w:rFonts w:ascii="Aptos" w:hAnsi="Aptos"/>
                <w:color w:val="1F2937"/>
                <w:sz w:val="17"/>
              </w:rPr>
              <w:t>LLM directly mutates state</w:t>
            </w:r>
          </w:p>
        </w:tc>
        <w:tc>
          <w:tcPr>
            <w:tcW w:type="dxa" w:w="3000"/>
            <w:tcMar>
              <w:top w:w="90" w:type="dxa"/>
              <w:start w:w="120" w:type="dxa"/>
              <w:bottom w:w="90" w:type="dxa"/>
              <w:end w:w="120" w:type="dxa"/>
            </w:tcMar>
            <w:vAlign w:val="center"/>
          </w:tcPr>
          <w:p>
            <w:r>
              <w:rPr>
                <w:rFonts w:ascii="Aptos" w:hAnsi="Aptos"/>
                <w:color w:val="1F2937"/>
                <w:sz w:val="17"/>
              </w:rPr>
              <w:t>Unauthorized or inconsistent transactions</w:t>
            </w:r>
          </w:p>
        </w:tc>
        <w:tc>
          <w:tcPr>
            <w:tcW w:type="dxa" w:w="4160"/>
            <w:tcMar>
              <w:top w:w="90" w:type="dxa"/>
              <w:start w:w="120" w:type="dxa"/>
              <w:bottom w:w="90" w:type="dxa"/>
              <w:end w:w="120" w:type="dxa"/>
            </w:tcMar>
            <w:vAlign w:val="center"/>
          </w:tcPr>
          <w:p>
            <w:r>
              <w:rPr>
                <w:rFonts w:ascii="Aptos" w:hAnsi="Aptos"/>
                <w:color w:val="1F2937"/>
                <w:sz w:val="17"/>
              </w:rPr>
              <w:t>Allowlisted governed actions through existing APIs only</w:t>
            </w:r>
          </w:p>
        </w:tc>
      </w:tr>
      <w:tr>
        <w:tc>
          <w:tcPr>
            <w:tcW w:type="dxa" w:w="2200"/>
            <w:shd w:fill="F8FAFB"/>
            <w:tcMar>
              <w:top w:w="90" w:type="dxa"/>
              <w:start w:w="120" w:type="dxa"/>
              <w:bottom w:w="90" w:type="dxa"/>
              <w:end w:w="120" w:type="dxa"/>
            </w:tcMar>
            <w:vAlign w:val="center"/>
          </w:tcPr>
          <w:p>
            <w:r>
              <w:rPr>
                <w:rFonts w:ascii="Aptos" w:hAnsi="Aptos"/>
                <w:color w:val="1F2937"/>
                <w:sz w:val="17"/>
              </w:rPr>
              <w:t>Stale or over-broad context</w:t>
            </w:r>
          </w:p>
        </w:tc>
        <w:tc>
          <w:tcPr>
            <w:tcW w:type="dxa" w:w="3000"/>
            <w:shd w:fill="F8FAFB"/>
            <w:tcMar>
              <w:top w:w="90" w:type="dxa"/>
              <w:start w:w="120" w:type="dxa"/>
              <w:bottom w:w="90" w:type="dxa"/>
              <w:end w:w="120" w:type="dxa"/>
            </w:tcMar>
            <w:vAlign w:val="center"/>
          </w:tcPr>
          <w:p>
            <w:r>
              <w:rPr>
                <w:rFonts w:ascii="Aptos" w:hAnsi="Aptos"/>
                <w:color w:val="1F2937"/>
                <w:sz w:val="17"/>
              </w:rPr>
              <w:t>Incorrect answers or privacy leakage</w:t>
            </w:r>
          </w:p>
        </w:tc>
        <w:tc>
          <w:tcPr>
            <w:tcW w:type="dxa" w:w="4160"/>
            <w:shd w:fill="F8FAFB"/>
            <w:tcMar>
              <w:top w:w="90" w:type="dxa"/>
              <w:start w:w="120" w:type="dxa"/>
              <w:bottom w:w="90" w:type="dxa"/>
              <w:end w:w="120" w:type="dxa"/>
            </w:tcMar>
            <w:vAlign w:val="center"/>
          </w:tcPr>
          <w:p>
            <w:r>
              <w:rPr>
                <w:rFonts w:ascii="Aptos" w:hAnsi="Aptos"/>
                <w:color w:val="1F2937"/>
                <w:sz w:val="17"/>
              </w:rPr>
              <w:t>Freshness metadata, scoped retrieval, tenant filters, and source citations</w:t>
            </w:r>
          </w:p>
        </w:tc>
      </w:tr>
      <w:tr>
        <w:tc>
          <w:tcPr>
            <w:tcW w:type="dxa" w:w="2200"/>
            <w:tcMar>
              <w:top w:w="90" w:type="dxa"/>
              <w:start w:w="120" w:type="dxa"/>
              <w:bottom w:w="90" w:type="dxa"/>
              <w:end w:w="120" w:type="dxa"/>
            </w:tcMar>
            <w:vAlign w:val="center"/>
          </w:tcPr>
          <w:p>
            <w:r>
              <w:rPr>
                <w:rFonts w:ascii="Aptos" w:hAnsi="Aptos"/>
                <w:color w:val="1F2937"/>
                <w:sz w:val="17"/>
              </w:rPr>
              <w:t>Uncalibrated confidence</w:t>
            </w:r>
          </w:p>
        </w:tc>
        <w:tc>
          <w:tcPr>
            <w:tcW w:type="dxa" w:w="3000"/>
            <w:tcMar>
              <w:top w:w="90" w:type="dxa"/>
              <w:start w:w="120" w:type="dxa"/>
              <w:bottom w:w="90" w:type="dxa"/>
              <w:end w:w="120" w:type="dxa"/>
            </w:tcMar>
            <w:vAlign w:val="center"/>
          </w:tcPr>
          <w:p>
            <w:r>
              <w:rPr>
                <w:rFonts w:ascii="Aptos" w:hAnsi="Aptos"/>
                <w:color w:val="1F2937"/>
                <w:sz w:val="17"/>
              </w:rPr>
              <w:t>Unsafe automation</w:t>
            </w:r>
          </w:p>
        </w:tc>
        <w:tc>
          <w:tcPr>
            <w:tcW w:type="dxa" w:w="4160"/>
            <w:tcMar>
              <w:top w:w="90" w:type="dxa"/>
              <w:start w:w="120" w:type="dxa"/>
              <w:bottom w:w="90" w:type="dxa"/>
              <w:end w:w="120" w:type="dxa"/>
            </w:tcMar>
            <w:vAlign w:val="center"/>
          </w:tcPr>
          <w:p>
            <w:r>
              <w:rPr>
                <w:rFonts w:ascii="Aptos" w:hAnsi="Aptos"/>
                <w:color w:val="1F2937"/>
                <w:sz w:val="17"/>
              </w:rPr>
              <w:t>Outcome-based calibration, shadow mode, and impact thresholds</w:t>
            </w:r>
          </w:p>
        </w:tc>
      </w:tr>
      <w:tr>
        <w:tc>
          <w:tcPr>
            <w:tcW w:type="dxa" w:w="2200"/>
            <w:shd w:fill="F8FAFB"/>
            <w:tcMar>
              <w:top w:w="90" w:type="dxa"/>
              <w:start w:w="120" w:type="dxa"/>
              <w:bottom w:w="90" w:type="dxa"/>
              <w:end w:w="120" w:type="dxa"/>
            </w:tcMar>
            <w:vAlign w:val="center"/>
          </w:tcPr>
          <w:p>
            <w:r>
              <w:rPr>
                <w:rFonts w:ascii="Aptos" w:hAnsi="Aptos"/>
                <w:color w:val="1F2937"/>
                <w:sz w:val="17"/>
              </w:rPr>
              <w:t>Vendor lock-in</w:t>
            </w:r>
          </w:p>
        </w:tc>
        <w:tc>
          <w:tcPr>
            <w:tcW w:type="dxa" w:w="3000"/>
            <w:shd w:fill="F8FAFB"/>
            <w:tcMar>
              <w:top w:w="90" w:type="dxa"/>
              <w:start w:w="120" w:type="dxa"/>
              <w:bottom w:w="90" w:type="dxa"/>
              <w:end w:w="120" w:type="dxa"/>
            </w:tcMar>
            <w:vAlign w:val="center"/>
          </w:tcPr>
          <w:p>
            <w:r>
              <w:rPr>
                <w:rFonts w:ascii="Aptos" w:hAnsi="Aptos"/>
                <w:color w:val="1F2937"/>
                <w:sz w:val="17"/>
              </w:rPr>
              <w:t>Cost or capability constraints</w:t>
            </w:r>
          </w:p>
        </w:tc>
        <w:tc>
          <w:tcPr>
            <w:tcW w:type="dxa" w:w="4160"/>
            <w:shd w:fill="F8FAFB"/>
            <w:tcMar>
              <w:top w:w="90" w:type="dxa"/>
              <w:start w:w="120" w:type="dxa"/>
              <w:bottom w:w="90" w:type="dxa"/>
              <w:end w:w="120" w:type="dxa"/>
            </w:tcMar>
            <w:vAlign w:val="center"/>
          </w:tcPr>
          <w:p>
            <w:r>
              <w:rPr>
                <w:rFonts w:ascii="Aptos" w:hAnsi="Aptos"/>
                <w:color w:val="1F2937"/>
                <w:sz w:val="17"/>
              </w:rPr>
              <w:t>Unified model gateway, normalized schemas, portable evaluations</w:t>
            </w:r>
          </w:p>
        </w:tc>
      </w:tr>
      <w:tr>
        <w:tc>
          <w:tcPr>
            <w:tcW w:type="dxa" w:w="2200"/>
            <w:tcMar>
              <w:top w:w="90" w:type="dxa"/>
              <w:start w:w="120" w:type="dxa"/>
              <w:bottom w:w="90" w:type="dxa"/>
              <w:end w:w="120" w:type="dxa"/>
            </w:tcMar>
            <w:vAlign w:val="center"/>
          </w:tcPr>
          <w:p>
            <w:r>
              <w:rPr>
                <w:rFonts w:ascii="Aptos" w:hAnsi="Aptos"/>
                <w:color w:val="1F2937"/>
                <w:sz w:val="17"/>
              </w:rPr>
              <w:t>Voice transcription error</w:t>
            </w:r>
          </w:p>
        </w:tc>
        <w:tc>
          <w:tcPr>
            <w:tcW w:type="dxa" w:w="3000"/>
            <w:tcMar>
              <w:top w:w="90" w:type="dxa"/>
              <w:start w:w="120" w:type="dxa"/>
              <w:bottom w:w="90" w:type="dxa"/>
              <w:end w:w="120" w:type="dxa"/>
            </w:tcMar>
            <w:vAlign w:val="center"/>
          </w:tcPr>
          <w:p>
            <w:r>
              <w:rPr>
                <w:rFonts w:ascii="Aptos" w:hAnsi="Aptos"/>
                <w:color w:val="1F2937"/>
                <w:sz w:val="17"/>
              </w:rPr>
              <w:t>Wrong delivery update</w:t>
            </w:r>
          </w:p>
        </w:tc>
        <w:tc>
          <w:tcPr>
            <w:tcW w:type="dxa" w:w="4160"/>
            <w:tcMar>
              <w:top w:w="90" w:type="dxa"/>
              <w:start w:w="120" w:type="dxa"/>
              <w:bottom w:w="90" w:type="dxa"/>
              <w:end w:w="120" w:type="dxa"/>
            </w:tcMar>
            <w:vAlign w:val="center"/>
          </w:tcPr>
          <w:p>
            <w:r>
              <w:rPr>
                <w:rFonts w:ascii="Aptos" w:hAnsi="Aptos"/>
                <w:color w:val="1F2937"/>
                <w:sz w:val="17"/>
              </w:rPr>
              <w:t>Confidence thresholds, visual transcript, explicit confirmation</w:t>
            </w:r>
          </w:p>
        </w:tc>
      </w:tr>
      <w:tr>
        <w:tc>
          <w:tcPr>
            <w:tcW w:type="dxa" w:w="2200"/>
            <w:shd w:fill="F8FAFB"/>
            <w:tcMar>
              <w:top w:w="90" w:type="dxa"/>
              <w:start w:w="120" w:type="dxa"/>
              <w:bottom w:w="90" w:type="dxa"/>
              <w:end w:w="120" w:type="dxa"/>
            </w:tcMar>
            <w:vAlign w:val="center"/>
          </w:tcPr>
          <w:p>
            <w:r>
              <w:rPr>
                <w:rFonts w:ascii="Aptos" w:hAnsi="Aptos"/>
                <w:color w:val="1F2937"/>
                <w:sz w:val="17"/>
              </w:rPr>
              <w:t>Excessive platform complexity</w:t>
            </w:r>
          </w:p>
        </w:tc>
        <w:tc>
          <w:tcPr>
            <w:tcW w:type="dxa" w:w="3000"/>
            <w:shd w:fill="F8FAFB"/>
            <w:tcMar>
              <w:top w:w="90" w:type="dxa"/>
              <w:start w:w="120" w:type="dxa"/>
              <w:bottom w:w="90" w:type="dxa"/>
              <w:end w:w="120" w:type="dxa"/>
            </w:tcMar>
            <w:vAlign w:val="center"/>
          </w:tcPr>
          <w:p>
            <w:r>
              <w:rPr>
                <w:rFonts w:ascii="Aptos" w:hAnsi="Aptos"/>
                <w:color w:val="1F2937"/>
                <w:sz w:val="17"/>
              </w:rPr>
              <w:t>Slow delivery and high operations burden</w:t>
            </w:r>
          </w:p>
        </w:tc>
        <w:tc>
          <w:tcPr>
            <w:tcW w:type="dxa" w:w="4160"/>
            <w:shd w:fill="F8FAFB"/>
            <w:tcMar>
              <w:top w:w="90" w:type="dxa"/>
              <w:start w:w="120" w:type="dxa"/>
              <w:bottom w:w="90" w:type="dxa"/>
              <w:end w:w="120" w:type="dxa"/>
            </w:tcMar>
            <w:vAlign w:val="center"/>
          </w:tcPr>
          <w:p>
            <w:r>
              <w:rPr>
                <w:rFonts w:ascii="Aptos" w:hAnsi="Aptos"/>
                <w:color w:val="1F2937"/>
                <w:sz w:val="17"/>
              </w:rPr>
              <w:t>Start with a narrow domain graph and managed services where appropriate</w:t>
            </w:r>
          </w:p>
        </w:tc>
      </w:tr>
    </w:tbl>
    <w:p>
      <w:pPr>
        <w:spacing w:after="0"/>
      </w:pPr>
    </w:p>
    <w:p>
      <w:pPr>
        <w:pStyle w:val="Heading1"/>
      </w:pPr>
      <w:r>
        <w:t>Target technology shape</w:t>
      </w:r>
    </w:p>
    <w:p>
      <w:pPr>
        <w:pStyle w:val="ListBullet"/>
      </w:pPr>
      <w:r>
        <w:rPr>
          <w:rFonts w:ascii="Aptos" w:hAnsi="Aptos"/>
          <w:color w:val="1F2937"/>
        </w:rPr>
        <w:t>MySQL remains the authoritative operational store.</w:t>
      </w:r>
    </w:p>
    <w:p>
      <w:pPr>
        <w:pStyle w:val="ListBullet"/>
      </w:pPr>
      <w:r>
        <w:rPr>
          <w:rFonts w:ascii="Aptos" w:hAnsi="Aptos"/>
          <w:color w:val="1F2937"/>
        </w:rPr>
        <w:t>A transactional outbox and event broker provide reliable semantic synchronization and replay.</w:t>
      </w:r>
    </w:p>
    <w:p>
      <w:pPr>
        <w:pStyle w:val="ListBullet"/>
      </w:pPr>
      <w:r>
        <w:rPr>
          <w:rFonts w:ascii="Aptos" w:hAnsi="Aptos"/>
          <w:color w:val="1F2937"/>
        </w:rPr>
        <w:t>A typed property graph stores operational entities, relationships, temporal facts, and provenance.</w:t>
      </w:r>
    </w:p>
    <w:p>
      <w:pPr>
        <w:pStyle w:val="ListBullet"/>
      </w:pPr>
      <w:r>
        <w:rPr>
          <w:rFonts w:ascii="Aptos" w:hAnsi="Aptos"/>
          <w:color w:val="1F2937"/>
        </w:rPr>
        <w:t>A vector store supports semantic retrieval of product descriptions, reviews, claims, and operational documents.</w:t>
      </w:r>
    </w:p>
    <w:p>
      <w:pPr>
        <w:pStyle w:val="ListBullet"/>
      </w:pPr>
      <w:r>
        <w:rPr>
          <w:rFonts w:ascii="Aptos" w:hAnsi="Aptos"/>
          <w:color w:val="1F2937"/>
        </w:rPr>
        <w:t>A feature store provides point-in-time-correct inputs for ETA, demand, risk, ranking, and anomaly models.</w:t>
      </w:r>
    </w:p>
    <w:p>
      <w:pPr>
        <w:pStyle w:val="ListBullet"/>
      </w:pPr>
      <w:r>
        <w:rPr>
          <w:rFonts w:ascii="Aptos" w:hAnsi="Aptos"/>
          <w:color w:val="1F2937"/>
        </w:rPr>
        <w:t>A policy engine and action gateway enforce deterministic constraints before command execution.</w:t>
      </w:r>
    </w:p>
    <w:p>
      <w:pPr>
        <w:pStyle w:val="ListBullet"/>
      </w:pPr>
      <w:r>
        <w:rPr>
          <w:rFonts w:ascii="Aptos" w:hAnsi="Aptos"/>
          <w:color w:val="1F2937"/>
        </w:rPr>
        <w:t>A model gateway routes among cloud LLM APIs, private local LLMs, small language models, speech, vision, embeddings, and rerankers.</w:t>
      </w:r>
    </w:p>
    <w:p>
      <w:pPr>
        <w:pStyle w:val="ListBullet"/>
      </w:pPr>
      <w:r>
        <w:rPr>
          <w:rFonts w:ascii="Aptos" w:hAnsi="Aptos"/>
          <w:color w:val="1F2937"/>
        </w:rPr>
        <w:t>An evaluation and observability platform connects model inputs and recommendations to approvals, commands, and business outcomes.</w:t>
      </w:r>
    </w:p>
    <w:p>
      <w:pPr/>
      <w:r>
        <w:rPr>
          <w:rFonts w:ascii="Aptos" w:hAnsi="Aptos"/>
          <w:color w:val="1F2937"/>
        </w:rPr>
        <w:t>RDF/OWL is not required for the first implementation. A typed property graph with explicit schema, controlled vocabularies, temporal facts, provenance, and action contracts is likely a better initial fit for operational ecommerce. Standards-based semantic-web technologies can be introduced where interoperability or formal reasoning creates clear value.</w:t>
      </w:r>
    </w:p>
    <w:p>
      <w:pPr>
        <w:pStyle w:val="Heading1"/>
      </w:pPr>
      <w:r>
        <w:t>Decision and next steps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7"/>
          </w:tcPr>
          <w:p>
            <w:pPr>
              <w:spacing w:after="60"/>
            </w:pPr>
            <w:r>
              <w:rPr>
                <w:rFonts w:ascii="Aptos" w:hAnsi="Aptos"/>
                <w:b/>
                <w:color w:val="245B78"/>
                <w:sz w:val="18"/>
              </w:rPr>
              <w:t>TARGET STATE</w:t>
            </w:r>
          </w:p>
          <w:p>
            <w:pPr>
              <w:spacing w:after="0"/>
            </w:pPr>
            <w:r>
              <w:rPr>
                <w:rFonts w:ascii="Aptos" w:hAnsi="Aptos"/>
                <w:color w:val="1F2937"/>
                <w:sz w:val="21"/>
              </w:rPr>
              <w:t>Existing deterministic commerce core + event-driven semantic digital twin + prediction and recommendation services + policy-controlled actions + persona-specific multimodal copilots.</w:t>
            </w:r>
          </w:p>
        </w:tc>
      </w:tr>
    </w:tbl>
    <w:p>
      <w:pPr>
        <w:spacing w:after="0"/>
      </w:pPr>
    </w:p>
    <w:p>
      <w:pPr>
        <w:pStyle w:val="ListNumber"/>
      </w:pPr>
      <w:r>
        <w:rPr>
          <w:rFonts w:ascii="Aptos" w:hAnsi="Aptos"/>
          <w:color w:val="1F2937"/>
        </w:rPr>
        <w:t>Approve the order-store-inventory-delivery-temperature domain as the first ontology slice.</w:t>
      </w:r>
    </w:p>
    <w:p>
      <w:pPr>
        <w:pStyle w:val="ListNumber"/>
      </w:pPr>
      <w:r>
        <w:rPr>
          <w:rFonts w:ascii="Aptos" w:hAnsi="Aptos"/>
          <w:color w:val="1F2937"/>
        </w:rPr>
        <w:t>Name business and technical owners for ontology, events, identity, fulfillment, and AI governance.</w:t>
      </w:r>
    </w:p>
    <w:p>
      <w:pPr>
        <w:pStyle w:val="ListNumber"/>
      </w:pPr>
      <w:r>
        <w:rPr>
          <w:rFonts w:ascii="Aptos" w:hAnsi="Aptos"/>
          <w:color w:val="1F2937"/>
        </w:rPr>
        <w:t>Define canonical identifiers, status meanings, temporal semantics, and the first versioned domain events.</w:t>
      </w:r>
    </w:p>
    <w:p>
      <w:pPr>
        <w:pStyle w:val="ListNumber"/>
      </w:pPr>
      <w:r>
        <w:rPr>
          <w:rFonts w:ascii="Aptos" w:hAnsi="Aptos"/>
          <w:color w:val="1F2937"/>
        </w:rPr>
        <w:t>Implement a read-only graph projection and reconciliation proof of concept.</w:t>
      </w:r>
    </w:p>
    <w:p>
      <w:pPr>
        <w:pStyle w:val="ListNumber"/>
      </w:pPr>
      <w:r>
        <w:rPr>
          <w:rFonts w:ascii="Aptos" w:hAnsi="Aptos"/>
          <w:color w:val="1F2937"/>
        </w:rPr>
        <w:t>Deliver a platform operations query experience and measure answer grounding, freshness, and task-time reduction.</w:t>
      </w:r>
    </w:p>
    <w:p>
      <w:pPr>
        <w:pStyle w:val="ListNumber"/>
      </w:pPr>
      <w:r>
        <w:rPr>
          <w:rFonts w:ascii="Aptos" w:hAnsi="Aptos"/>
          <w:color w:val="1F2937"/>
        </w:rPr>
        <w:t>Run ETA and delivery-assignment models in shadow mode before introducing human-approved actions.</w:t>
      </w:r>
    </w:p>
    <w:p>
      <w:pPr>
        <w:pStyle w:val="ListNumber"/>
      </w:pPr>
      <w:r>
        <w:rPr>
          <w:rFonts w:ascii="Aptos" w:hAnsi="Aptos"/>
          <w:color w:val="1F2937"/>
        </w:rPr>
        <w:t>Add voice interaction only through the governed action path, beginning with exception reporting and status-update drafts.</w:t>
      </w:r>
    </w:p>
    <w:p>
      <w:pPr>
        <w:pStyle w:val="Heading1"/>
      </w:pPr>
      <w:r>
        <w:t>Conclusion</w:t>
      </w:r>
    </w:p>
    <w:p>
      <w:pPr/>
      <w:r>
        <w:rPr>
          <w:rFonts w:ascii="Aptos" w:hAnsi="Aptos"/>
          <w:color w:val="1F2937"/>
        </w:rPr>
        <w:t>OrderUp already has the transactional foundations and operational data needed for an ontology-based platform. The strategic opportunity is to make the relationships among customers, stores, products, inventory, orders, agents, vehicles, claims, and telemetry explicit and queryable, then place probabilistic intelligence above that semantic foundation.</w:t>
      </w:r>
    </w:p>
    <w:p>
      <w:pPr/>
      <w:r>
        <w:rPr>
          <w:rFonts w:ascii="Aptos" w:hAnsi="Aptos"/>
          <w:color w:val="1F2937"/>
        </w:rPr>
        <w:t>The architecture succeeds when the ontology improves understanding without becoming a second source of transactional truth, and when AI improves decisions without bypassing business controls. This separation enables innovation in recommendations, forecasting, routing, operations, and voice interaction while preserving the integrity of orders, inventory, payments, identity, and fulfillment.</w:t>
      </w:r>
    </w:p>
    <w:sectPr w:rsidR="00FC693F" w:rsidRPr="0006063C" w:rsidSect="00034616">
      <w:headerReference w:type="default" r:id="rId9"/>
      <w:footerReference w:type="default" r:id="rId10"/>
      <w:pgSz w:w="12240" w:h="15840"/>
      <w:pgMar w:top="1181" w:right="1440" w:bottom="108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Architecture research working paper  |  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ORDERUP  |  ONTOLOGY-BASED PLATFORM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87F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160"/>
    </w:pPr>
    <w:rPr>
      <w:rFonts w:ascii="Aptos" w:hAnsi="Aptos"/>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OrderUp Ontology-Based Platform Case Study</dc:title>
  <dc:subject>Future-state AI architecture and migration roadmap</dc:subject>
  <dc:creator>OrderUp Architecture Research</dc:creator>
  <cp:keywords>OrderUp, ontology, ecommerce, AI architecture, LLM, voice, knowledge graph</cp:keywords>
  <dc:description>generated by python-docx</dc:description>
  <cp:lastModifiedBy/>
  <cp:revision>1</cp:revision>
  <dcterms:created xsi:type="dcterms:W3CDTF">2013-12-23T23:15:00Z</dcterms:created>
  <dcterms:modified xsi:type="dcterms:W3CDTF">2013-12-23T23:15:00Z</dcterms:modified>
  <cp:category/>
</cp:coreProperties>
</file>