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17365D"/>
          <w:sz w:val="56"/>
        </w:rPr>
        <w:t>AI CRICKET COMMENTARY MODULE</w:t>
      </w:r>
    </w:p>
    <w:p>
      <w:pPr>
        <w:spacing w:after="560"/>
        <w:jc w:val="center"/>
      </w:pPr>
      <w:r>
        <w:rPr>
          <w:rFonts w:ascii="Calibri" w:hAnsi="Calibri"/>
          <w:b w:val="0"/>
          <w:i w:val="0"/>
          <w:color w:val="1F4D78"/>
          <w:sz w:val="30"/>
        </w:rPr>
        <w:t>Full Technical, Integration, Deployment &amp; Operations Documentation</w:t>
      </w:r>
    </w:p>
    <w:tbl>
      <w:tblPr>
        <w:tblStyle w:val="TableGrid"/>
        <w:tblW w:type="dxa" w:w="9360"/>
        <w:tblLayout w:type="fixed"/>
        <w:tblLook w:firstColumn="1" w:firstRow="1" w:lastColumn="0" w:lastRow="0" w:noHBand="0" w:noVBand="1" w:val="04A0"/>
        <w:jc w:val="center"/>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jc w:val="left"/>
            </w:pPr>
            <w:r>
              <w:rPr>
                <w:rFonts w:ascii="Calibri" w:hAnsi="Calibri"/>
                <w:b/>
                <w:i w:val="0"/>
                <w:color w:val="17365D"/>
                <w:sz w:val="20"/>
              </w:rPr>
              <w:t>Document Item</w:t>
            </w:r>
          </w:p>
        </w:tc>
        <w:tc>
          <w:tcPr>
            <w:tcW w:type="dxa" w:w="6660"/>
            <w:tcMar>
              <w:top w:w="80" w:type="dxa"/>
              <w:start w:w="120" w:type="dxa"/>
              <w:bottom w:w="80" w:type="dxa"/>
              <w:end w:w="120" w:type="dxa"/>
            </w:tcMar>
            <w:vAlign w:val="center"/>
            <w:shd w:fill="E8EEF5"/>
          </w:tcPr>
          <w:p>
            <w:pPr>
              <w:jc w:val="left"/>
            </w:pPr>
            <w:r>
              <w:rPr>
                <w:rFonts w:ascii="Calibri" w:hAnsi="Calibri"/>
                <w:b/>
                <w:i w:val="0"/>
                <w:color w:val="17365D"/>
                <w:sz w:val="20"/>
              </w:rPr>
              <w:t>Value</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20"/>
              </w:rPr>
              <w:t>Module</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20"/>
              </w:rPr>
              <w:t>AI Cricket Commentary</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20"/>
              </w:rPr>
              <w:t>Document version</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20"/>
              </w:rPr>
              <w:t>1.0</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20"/>
              </w:rPr>
              <w:t>Status</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20"/>
              </w:rPr>
              <w:t>Staging deployed; production integration pending</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20"/>
              </w:rPr>
              <w:t>Last updated</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20"/>
              </w:rPr>
              <w:t>15 June 2026</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20"/>
              </w:rPr>
              <w:t>Google Cloud project</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20"/>
              </w:rPr>
              <w:t>sportsanalytics-495612</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20"/>
              </w:rPr>
              <w:t>Primary audience</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20"/>
              </w:rPr>
              <w:t>Architecture, backend, frontend, database, QA, deployment and operations teams</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7F3EC"/>
          </w:tcPr>
          <w:p>
            <w:pPr>
              <w:spacing w:after="0"/>
            </w:pPr>
            <w:r>
              <w:rPr>
                <w:rFonts w:ascii="Calibri" w:hAnsi="Calibri"/>
                <w:b/>
                <w:i w:val="0"/>
                <w:color w:val="1F4D78"/>
                <w:sz w:val="22"/>
              </w:rPr>
              <w:t xml:space="preserve">Purpose  </w:t>
            </w:r>
            <w:r>
              <w:rPr>
                <w:rFonts w:ascii="Calibri" w:hAnsi="Calibri"/>
                <w:b w:val="0"/>
                <w:i w:val="0"/>
                <w:color w:val="111827"/>
                <w:sz w:val="22"/>
              </w:rPr>
              <w:t>This is the single shareable reference for understanding, integrating, deploying, operating and extending the AI Cricket Commentary Module.</w:t>
            </w:r>
          </w:p>
        </w:tc>
      </w:tr>
    </w:tbl>
    <w:p>
      <w:pPr>
        <w:spacing w:after="20"/>
      </w:pPr>
    </w:p>
    <w:p>
      <w:r>
        <w:br w:type="page"/>
      </w:r>
    </w:p>
    <w:p>
      <w:pPr>
        <w:pStyle w:val="Heading1"/>
      </w:pPr>
      <w:r>
        <w:t>Contents and Reader Guide</w:t>
      </w:r>
    </w:p>
    <w:p>
      <w:r>
        <w:rPr>
          <w:rFonts w:ascii="Calibri" w:hAnsi="Calibri"/>
          <w:b w:val="0"/>
          <w:i w:val="0"/>
          <w:color w:val="111827"/>
          <w:sz w:val="22"/>
        </w:rPr>
        <w:t>Use this manual as the single overview of the module. Follow the detailed Markdown references listed in Section 21 when implementing a specific integration or operational procedure.</w:t>
      </w:r>
    </w:p>
    <w:tbl>
      <w:tblPr>
        <w:tblStyle w:val="TableGrid"/>
        <w:tblW w:type="dxa" w:w="9360"/>
        <w:tblLayout w:type="fixed"/>
        <w:tblLook w:firstColumn="1" w:firstRow="1" w:lastColumn="0" w:lastRow="0" w:noHBand="0" w:noVBand="1" w:val="04A0"/>
        <w:jc w:val="center"/>
        <w:tblInd w:w="120" w:type="dxa"/>
      </w:tblPr>
      <w:tblGrid>
        <w:gridCol w:w="4700"/>
        <w:gridCol w:w="4660"/>
      </w:tblGrid>
      <w:tr>
        <w:trPr>
          <w:tblHeader w:val="true"/>
        </w:trPr>
        <w:tc>
          <w:tcPr>
            <w:tcW w:type="dxa" w:w="4700"/>
            <w:tcMar>
              <w:top w:w="80" w:type="dxa"/>
              <w:start w:w="120" w:type="dxa"/>
              <w:bottom w:w="80" w:type="dxa"/>
              <w:end w:w="120" w:type="dxa"/>
            </w:tcMar>
            <w:vAlign w:val="center"/>
            <w:shd w:fill="E8EEF5"/>
          </w:tcPr>
          <w:p>
            <w:pPr>
              <w:jc w:val="left"/>
            </w:pPr>
            <w:r>
              <w:rPr>
                <w:rFonts w:ascii="Calibri" w:hAnsi="Calibri"/>
                <w:b/>
                <w:i w:val="0"/>
                <w:color w:val="17365D"/>
                <w:sz w:val="19"/>
              </w:rPr>
              <w:t>Sections</w:t>
            </w:r>
          </w:p>
        </w:tc>
        <w:tc>
          <w:tcPr>
            <w:tcW w:type="dxa" w:w="4660"/>
            <w:tcMar>
              <w:top w:w="80" w:type="dxa"/>
              <w:start w:w="120" w:type="dxa"/>
              <w:bottom w:w="80" w:type="dxa"/>
              <w:end w:w="120" w:type="dxa"/>
            </w:tcMar>
            <w:vAlign w:val="center"/>
            <w:shd w:fill="E8EEF5"/>
          </w:tcPr>
          <w:p>
            <w:pPr>
              <w:jc w:val="left"/>
            </w:pPr>
            <w:r>
              <w:rPr>
                <w:rFonts w:ascii="Calibri" w:hAnsi="Calibri"/>
                <w:b/>
                <w:i w:val="0"/>
                <w:color w:val="17365D"/>
                <w:sz w:val="19"/>
              </w:rPr>
              <w:t>Primary reader</w:t>
            </w:r>
          </w:p>
        </w:tc>
      </w:tr>
      <w:tr>
        <w:tc>
          <w:tcPr>
            <w:tcW w:type="dxa" w:w="4700"/>
            <w:tcMar>
              <w:top w:w="80" w:type="dxa"/>
              <w:start w:w="120" w:type="dxa"/>
              <w:bottom w:w="80" w:type="dxa"/>
              <w:end w:w="120" w:type="dxa"/>
            </w:tcMar>
            <w:vAlign w:val="center"/>
          </w:tcPr>
          <w:p>
            <w:pPr>
              <w:spacing w:after="0"/>
            </w:pPr>
            <w:r>
              <w:rPr>
                <w:rFonts w:ascii="Calibri" w:hAnsi="Calibri"/>
                <w:b w:val="0"/>
                <w:i w:val="0"/>
                <w:color w:val="111827"/>
                <w:sz w:val="19"/>
              </w:rPr>
              <w:t>1-4: Overview, scope, architecture and live flow</w:t>
            </w:r>
          </w:p>
        </w:tc>
        <w:tc>
          <w:tcPr>
            <w:tcW w:type="dxa" w:w="4660"/>
            <w:tcMar>
              <w:top w:w="80" w:type="dxa"/>
              <w:start w:w="120" w:type="dxa"/>
              <w:bottom w:w="80" w:type="dxa"/>
              <w:end w:w="120" w:type="dxa"/>
            </w:tcMar>
            <w:vAlign w:val="center"/>
          </w:tcPr>
          <w:p>
            <w:pPr>
              <w:spacing w:after="0"/>
            </w:pPr>
            <w:r>
              <w:rPr>
                <w:rFonts w:ascii="Calibri" w:hAnsi="Calibri"/>
                <w:b w:val="0"/>
                <w:i w:val="0"/>
                <w:color w:val="111827"/>
                <w:sz w:val="19"/>
              </w:rPr>
              <w:t>Architecture and product teams</w:t>
            </w:r>
          </w:p>
        </w:tc>
      </w:tr>
      <w:tr>
        <w:tc>
          <w:tcPr>
            <w:tcW w:type="dxa" w:w="4700"/>
            <w:tcMar>
              <w:top w:w="80" w:type="dxa"/>
              <w:start w:w="120" w:type="dxa"/>
              <w:bottom w:w="80" w:type="dxa"/>
              <w:end w:w="120" w:type="dxa"/>
            </w:tcMar>
            <w:vAlign w:val="center"/>
          </w:tcPr>
          <w:p>
            <w:pPr>
              <w:spacing w:after="0"/>
            </w:pPr>
            <w:r>
              <w:rPr>
                <w:rFonts w:ascii="Calibri" w:hAnsi="Calibri"/>
                <w:b w:val="0"/>
                <w:i w:val="0"/>
                <w:color w:val="111827"/>
                <w:sz w:val="19"/>
              </w:rPr>
              <w:t>5-9: Components, data, tasks, settings and generation</w:t>
            </w:r>
          </w:p>
        </w:tc>
        <w:tc>
          <w:tcPr>
            <w:tcW w:type="dxa" w:w="4660"/>
            <w:tcMar>
              <w:top w:w="80" w:type="dxa"/>
              <w:start w:w="120" w:type="dxa"/>
              <w:bottom w:w="80" w:type="dxa"/>
              <w:end w:w="120" w:type="dxa"/>
            </w:tcMar>
            <w:vAlign w:val="center"/>
          </w:tcPr>
          <w:p>
            <w:pPr>
              <w:spacing w:after="0"/>
            </w:pPr>
            <w:r>
              <w:rPr>
                <w:rFonts w:ascii="Calibri" w:hAnsi="Calibri"/>
                <w:b w:val="0"/>
                <w:i w:val="0"/>
                <w:color w:val="111827"/>
                <w:sz w:val="19"/>
              </w:rPr>
              <w:t>Backend, AI and QA teams</w:t>
            </w:r>
          </w:p>
        </w:tc>
      </w:tr>
      <w:tr>
        <w:tc>
          <w:tcPr>
            <w:tcW w:type="dxa" w:w="4700"/>
            <w:tcMar>
              <w:top w:w="80" w:type="dxa"/>
              <w:start w:w="120" w:type="dxa"/>
              <w:bottom w:w="80" w:type="dxa"/>
              <w:end w:w="120" w:type="dxa"/>
            </w:tcMar>
            <w:vAlign w:val="center"/>
          </w:tcPr>
          <w:p>
            <w:pPr>
              <w:spacing w:after="0"/>
            </w:pPr>
            <w:r>
              <w:rPr>
                <w:rFonts w:ascii="Calibri" w:hAnsi="Calibri"/>
                <w:b w:val="0"/>
                <w:i w:val="0"/>
                <w:color w:val="111827"/>
                <w:sz w:val="19"/>
              </w:rPr>
              <w:t>10-13: Database, APIs, realtime and integration</w:t>
            </w:r>
          </w:p>
        </w:tc>
        <w:tc>
          <w:tcPr>
            <w:tcW w:type="dxa" w:w="4660"/>
            <w:tcMar>
              <w:top w:w="80" w:type="dxa"/>
              <w:start w:w="120" w:type="dxa"/>
              <w:bottom w:w="80" w:type="dxa"/>
              <w:end w:w="120" w:type="dxa"/>
            </w:tcMar>
            <w:vAlign w:val="center"/>
          </w:tcPr>
          <w:p>
            <w:pPr>
              <w:spacing w:after="0"/>
            </w:pPr>
            <w:r>
              <w:rPr>
                <w:rFonts w:ascii="Calibri" w:hAnsi="Calibri"/>
                <w:b w:val="0"/>
                <w:i w:val="0"/>
                <w:color w:val="111827"/>
                <w:sz w:val="19"/>
              </w:rPr>
              <w:t>Database, scorer backend and frontend teams</w:t>
            </w:r>
          </w:p>
        </w:tc>
      </w:tr>
      <w:tr>
        <w:tc>
          <w:tcPr>
            <w:tcW w:type="dxa" w:w="4700"/>
            <w:tcMar>
              <w:top w:w="80" w:type="dxa"/>
              <w:start w:w="120" w:type="dxa"/>
              <w:bottom w:w="80" w:type="dxa"/>
              <w:end w:w="120" w:type="dxa"/>
            </w:tcMar>
            <w:vAlign w:val="center"/>
          </w:tcPr>
          <w:p>
            <w:pPr>
              <w:spacing w:after="0"/>
            </w:pPr>
            <w:r>
              <w:rPr>
                <w:rFonts w:ascii="Calibri" w:hAnsi="Calibri"/>
                <w:b w:val="0"/>
                <w:i w:val="0"/>
                <w:color w:val="111827"/>
                <w:sz w:val="19"/>
              </w:rPr>
              <w:t>14-17: Security, deployment, testing and operations</w:t>
            </w:r>
          </w:p>
        </w:tc>
        <w:tc>
          <w:tcPr>
            <w:tcW w:type="dxa" w:w="4660"/>
            <w:tcMar>
              <w:top w:w="80" w:type="dxa"/>
              <w:start w:w="120" w:type="dxa"/>
              <w:bottom w:w="80" w:type="dxa"/>
              <w:end w:w="120" w:type="dxa"/>
            </w:tcMar>
            <w:vAlign w:val="center"/>
          </w:tcPr>
          <w:p>
            <w:pPr>
              <w:spacing w:after="0"/>
            </w:pPr>
            <w:r>
              <w:rPr>
                <w:rFonts w:ascii="Calibri" w:hAnsi="Calibri"/>
                <w:b w:val="0"/>
                <w:i w:val="0"/>
                <w:color w:val="111827"/>
                <w:sz w:val="19"/>
              </w:rPr>
              <w:t>Cloud deployment and operations teams</w:t>
            </w:r>
          </w:p>
        </w:tc>
      </w:tr>
      <w:tr>
        <w:tc>
          <w:tcPr>
            <w:tcW w:type="dxa" w:w="4700"/>
            <w:tcMar>
              <w:top w:w="80" w:type="dxa"/>
              <w:start w:w="120" w:type="dxa"/>
              <w:bottom w:w="80" w:type="dxa"/>
              <w:end w:w="120" w:type="dxa"/>
            </w:tcMar>
            <w:vAlign w:val="center"/>
          </w:tcPr>
          <w:p>
            <w:pPr>
              <w:spacing w:after="0"/>
            </w:pPr>
            <w:r>
              <w:rPr>
                <w:rFonts w:ascii="Calibri" w:hAnsi="Calibri"/>
                <w:b w:val="0"/>
                <w:i w:val="0"/>
                <w:color w:val="111827"/>
                <w:sz w:val="19"/>
              </w:rPr>
              <w:t>18-22: Readiness, constraints, quick start and references</w:t>
            </w:r>
          </w:p>
        </w:tc>
        <w:tc>
          <w:tcPr>
            <w:tcW w:type="dxa" w:w="4660"/>
            <w:tcMar>
              <w:top w:w="80" w:type="dxa"/>
              <w:start w:w="120" w:type="dxa"/>
              <w:bottom w:w="80" w:type="dxa"/>
              <w:end w:w="120" w:type="dxa"/>
            </w:tcMar>
            <w:vAlign w:val="center"/>
          </w:tcPr>
          <w:p>
            <w:pPr>
              <w:spacing w:after="0"/>
            </w:pPr>
            <w:r>
              <w:rPr>
                <w:rFonts w:ascii="Calibri" w:hAnsi="Calibri"/>
                <w:b w:val="0"/>
                <w:i w:val="0"/>
                <w:color w:val="111827"/>
                <w:sz w:val="19"/>
              </w:rPr>
              <w:t>Release owners and all developers</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0"/>
            </w:pPr>
            <w:r>
              <w:rPr>
                <w:rFonts w:ascii="Calibri" w:hAnsi="Calibri"/>
                <w:b/>
                <w:i w:val="0"/>
                <w:color w:val="7A5A00"/>
                <w:sz w:val="22"/>
              </w:rPr>
              <w:t xml:space="preserve">Document rule  </w:t>
            </w:r>
            <w:r>
              <w:rPr>
                <w:rFonts w:ascii="Calibri" w:hAnsi="Calibri"/>
                <w:b w:val="0"/>
                <w:i w:val="0"/>
                <w:color w:val="111827"/>
                <w:sz w:val="22"/>
              </w:rPr>
              <w:t>Examples intentionally use placeholders for tokens, credentials and IDs. Retrieve real secrets through approved deployment tooling; never place them in shared documentation.</w:t>
            </w:r>
          </w:p>
        </w:tc>
      </w:tr>
    </w:tbl>
    <w:p>
      <w:pPr>
        <w:spacing w:after="20"/>
      </w:pPr>
    </w:p>
    <w:p>
      <w:r>
        <w:br w:type="page"/>
      </w:r>
    </w:p>
    <w:p>
      <w:pPr>
        <w:pStyle w:val="Heading1"/>
      </w:pPr>
      <w:r>
        <w:t>1. Executive Overview</w:t>
      </w:r>
    </w:p>
    <w:p>
      <w:r>
        <w:rPr>
          <w:rFonts w:ascii="Calibri" w:hAnsi="Calibri"/>
          <w:b w:val="0"/>
          <w:i w:val="0"/>
          <w:color w:val="111827"/>
          <w:sz w:val="22"/>
        </w:rPr>
        <w:t>The AI Cricket Commentary Module is a standalone backend module that converts cricket scoring data into engaging commentary, analytical summaries, social captions, match reports and realtime dashboard events. It is designed to connect with the main scoring platform without placing AI-generation logic inside the scorer or viewer applications.</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0"/>
            </w:pPr>
            <w:r>
              <w:rPr>
                <w:rFonts w:ascii="Calibri" w:hAnsi="Calibri"/>
                <w:b/>
                <w:i w:val="0"/>
                <w:color w:val="7A5A00"/>
                <w:sz w:val="22"/>
              </w:rPr>
              <w:t xml:space="preserve">Current status  </w:t>
            </w:r>
            <w:r>
              <w:rPr>
                <w:rFonts w:ascii="Calibri" w:hAnsi="Calibri"/>
                <w:b w:val="0"/>
                <w:i w:val="0"/>
                <w:color w:val="111827"/>
                <w:sz w:val="22"/>
              </w:rPr>
              <w:t>The module is deployed and end-to-end verified in staging. It is ready for scorer and viewer integration, but still requires production hardening, load testing and operational setup before full production launch.</w:t>
            </w:r>
          </w:p>
        </w:tc>
      </w:tr>
    </w:tbl>
    <w:p>
      <w:pPr>
        <w:spacing w:after="20"/>
      </w:pPr>
    </w:p>
    <w:tbl>
      <w:tblPr>
        <w:tblStyle w:val="TableGrid"/>
        <w:tblW w:type="dxa" w:w="9360"/>
        <w:tblLayout w:type="fixed"/>
        <w:tblLook w:firstColumn="1" w:firstRow="1" w:lastColumn="0" w:lastRow="0" w:noHBand="0" w:noVBand="1" w:val="04A0"/>
        <w:jc w:val="center"/>
        <w:tblInd w:w="120" w:type="dxa"/>
      </w:tblPr>
      <w:tblGrid>
        <w:gridCol w:w="2200"/>
        <w:gridCol w:w="1600"/>
        <w:gridCol w:w="5560"/>
      </w:tblGrid>
      <w:tr>
        <w:trPr>
          <w:tblHeader w:val="true"/>
        </w:trPr>
        <w:tc>
          <w:tcPr>
            <w:tcW w:type="dxa" w:w="2200"/>
            <w:tcMar>
              <w:top w:w="80" w:type="dxa"/>
              <w:start w:w="120" w:type="dxa"/>
              <w:bottom w:w="80" w:type="dxa"/>
              <w:end w:w="120" w:type="dxa"/>
            </w:tcMar>
            <w:vAlign w:val="center"/>
            <w:shd w:fill="E8EEF5"/>
          </w:tcPr>
          <w:p>
            <w:pPr>
              <w:jc w:val="left"/>
            </w:pPr>
            <w:r>
              <w:rPr>
                <w:rFonts w:ascii="Calibri" w:hAnsi="Calibri"/>
                <w:b/>
                <w:i w:val="0"/>
                <w:color w:val="17365D"/>
                <w:sz w:val="19"/>
              </w:rPr>
              <w:t>Capability</w:t>
            </w:r>
          </w:p>
        </w:tc>
        <w:tc>
          <w:tcPr>
            <w:tcW w:type="dxa" w:w="1600"/>
            <w:tcMar>
              <w:top w:w="80" w:type="dxa"/>
              <w:start w:w="120" w:type="dxa"/>
              <w:bottom w:w="80" w:type="dxa"/>
              <w:end w:w="120" w:type="dxa"/>
            </w:tcMar>
            <w:vAlign w:val="center"/>
            <w:shd w:fill="E8EEF5"/>
          </w:tcPr>
          <w:p>
            <w:pPr>
              <w:jc w:val="left"/>
            </w:pPr>
            <w:r>
              <w:rPr>
                <w:rFonts w:ascii="Calibri" w:hAnsi="Calibri"/>
                <w:b/>
                <w:i w:val="0"/>
                <w:color w:val="17365D"/>
                <w:sz w:val="19"/>
              </w:rPr>
              <w:t>Current state</w:t>
            </w:r>
          </w:p>
        </w:tc>
        <w:tc>
          <w:tcPr>
            <w:tcW w:type="dxa" w:w="5560"/>
            <w:tcMar>
              <w:top w:w="80" w:type="dxa"/>
              <w:start w:w="120" w:type="dxa"/>
              <w:bottom w:w="80" w:type="dxa"/>
              <w:end w:w="120" w:type="dxa"/>
            </w:tcMar>
            <w:vAlign w:val="center"/>
            <w:shd w:fill="E8EEF5"/>
          </w:tcPr>
          <w:p>
            <w:pPr>
              <w:jc w:val="left"/>
            </w:pPr>
            <w:r>
              <w:rPr>
                <w:rFonts w:ascii="Calibri" w:hAnsi="Calibri"/>
                <w:b/>
                <w:i w:val="0"/>
                <w:color w:val="17365D"/>
                <w:sz w:val="19"/>
              </w:rPr>
              <w:t>Notes</w:t>
            </w:r>
          </w:p>
        </w:tc>
      </w:tr>
      <w:tr>
        <w:tc>
          <w:tcPr>
            <w:tcW w:type="dxa" w:w="2200"/>
            <w:tcMar>
              <w:top w:w="80" w:type="dxa"/>
              <w:start w:w="120" w:type="dxa"/>
              <w:bottom w:w="80" w:type="dxa"/>
              <w:end w:w="120" w:type="dxa"/>
            </w:tcMar>
            <w:vAlign w:val="center"/>
          </w:tcPr>
          <w:p>
            <w:pPr>
              <w:spacing w:after="0"/>
            </w:pPr>
            <w:r>
              <w:rPr>
                <w:rFonts w:ascii="Calibri" w:hAnsi="Calibri"/>
                <w:b w:val="0"/>
                <w:i w:val="0"/>
                <w:color w:val="111827"/>
                <w:sz w:val="19"/>
              </w:rPr>
              <w:t>Commentary generation</w:t>
            </w:r>
          </w:p>
        </w:tc>
        <w:tc>
          <w:tcPr>
            <w:tcW w:type="dxa" w:w="1600"/>
            <w:tcMar>
              <w:top w:w="80" w:type="dxa"/>
              <w:start w:w="120" w:type="dxa"/>
              <w:bottom w:w="80" w:type="dxa"/>
              <w:end w:w="120" w:type="dxa"/>
            </w:tcMar>
            <w:vAlign w:val="center"/>
          </w:tcPr>
          <w:p>
            <w:pPr>
              <w:spacing w:after="0"/>
            </w:pPr>
            <w:r>
              <w:rPr>
                <w:rFonts w:ascii="Calibri" w:hAnsi="Calibri"/>
                <w:b w:val="0"/>
                <w:i w:val="0"/>
                <w:color w:val="111827"/>
                <w:sz w:val="19"/>
              </w:rPr>
              <w:t>Implemented</w:t>
            </w:r>
          </w:p>
        </w:tc>
        <w:tc>
          <w:tcPr>
            <w:tcW w:type="dxa" w:w="5560"/>
            <w:tcMar>
              <w:top w:w="80" w:type="dxa"/>
              <w:start w:w="120" w:type="dxa"/>
              <w:bottom w:w="80" w:type="dxa"/>
              <w:end w:w="120" w:type="dxa"/>
            </w:tcMar>
            <w:vAlign w:val="center"/>
          </w:tcPr>
          <w:p>
            <w:pPr>
              <w:spacing w:after="0"/>
            </w:pPr>
            <w:r>
              <w:rPr>
                <w:rFonts w:ascii="Calibri" w:hAnsi="Calibri"/>
                <w:b w:val="0"/>
                <w:i w:val="0"/>
                <w:color w:val="111827"/>
                <w:sz w:val="19"/>
              </w:rPr>
              <w:t>Vertex AI primary generation with grounded fallback templates</w:t>
            </w:r>
          </w:p>
        </w:tc>
      </w:tr>
      <w:tr>
        <w:tc>
          <w:tcPr>
            <w:tcW w:type="dxa" w:w="2200"/>
            <w:tcMar>
              <w:top w:w="80" w:type="dxa"/>
              <w:start w:w="120" w:type="dxa"/>
              <w:bottom w:w="80" w:type="dxa"/>
              <w:end w:w="120" w:type="dxa"/>
            </w:tcMar>
            <w:vAlign w:val="center"/>
          </w:tcPr>
          <w:p>
            <w:pPr>
              <w:spacing w:after="0"/>
            </w:pPr>
            <w:r>
              <w:rPr>
                <w:rFonts w:ascii="Calibri" w:hAnsi="Calibri"/>
                <w:b w:val="0"/>
                <w:i w:val="0"/>
                <w:color w:val="111827"/>
                <w:sz w:val="19"/>
              </w:rPr>
              <w:t>Database integration</w:t>
            </w:r>
          </w:p>
        </w:tc>
        <w:tc>
          <w:tcPr>
            <w:tcW w:type="dxa" w:w="1600"/>
            <w:tcMar>
              <w:top w:w="80" w:type="dxa"/>
              <w:start w:w="120" w:type="dxa"/>
              <w:bottom w:w="80" w:type="dxa"/>
              <w:end w:w="120" w:type="dxa"/>
            </w:tcMar>
            <w:vAlign w:val="center"/>
          </w:tcPr>
          <w:p>
            <w:pPr>
              <w:spacing w:after="0"/>
            </w:pPr>
            <w:r>
              <w:rPr>
                <w:rFonts w:ascii="Calibri" w:hAnsi="Calibri"/>
                <w:b w:val="0"/>
                <w:i w:val="0"/>
                <w:color w:val="111827"/>
                <w:sz w:val="19"/>
              </w:rPr>
              <w:t>Implemented</w:t>
            </w:r>
          </w:p>
        </w:tc>
        <w:tc>
          <w:tcPr>
            <w:tcW w:type="dxa" w:w="5560"/>
            <w:tcMar>
              <w:top w:w="80" w:type="dxa"/>
              <w:start w:w="120" w:type="dxa"/>
              <w:bottom w:w="80" w:type="dxa"/>
              <w:end w:w="120" w:type="dxa"/>
            </w:tcMar>
            <w:vAlign w:val="center"/>
          </w:tcPr>
          <w:p>
            <w:pPr>
              <w:spacing w:after="0"/>
            </w:pPr>
            <w:r>
              <w:rPr>
                <w:rFonts w:ascii="Calibri" w:hAnsi="Calibri"/>
                <w:b w:val="0"/>
                <w:i w:val="0"/>
                <w:color w:val="111827"/>
                <w:sz w:val="19"/>
              </w:rPr>
              <w:t>Reads scoring context and stores commentary in PostgreSQL</w:t>
            </w:r>
          </w:p>
        </w:tc>
      </w:tr>
      <w:tr>
        <w:tc>
          <w:tcPr>
            <w:tcW w:type="dxa" w:w="2200"/>
            <w:tcMar>
              <w:top w:w="80" w:type="dxa"/>
              <w:start w:w="120" w:type="dxa"/>
              <w:bottom w:w="80" w:type="dxa"/>
              <w:end w:w="120" w:type="dxa"/>
            </w:tcMar>
            <w:vAlign w:val="center"/>
          </w:tcPr>
          <w:p>
            <w:pPr>
              <w:spacing w:after="0"/>
            </w:pPr>
            <w:r>
              <w:rPr>
                <w:rFonts w:ascii="Calibri" w:hAnsi="Calibri"/>
                <w:b w:val="0"/>
                <w:i w:val="0"/>
                <w:color w:val="111827"/>
                <w:sz w:val="19"/>
              </w:rPr>
              <w:t>Automatic trigger</w:t>
            </w:r>
          </w:p>
        </w:tc>
        <w:tc>
          <w:tcPr>
            <w:tcW w:type="dxa" w:w="1600"/>
            <w:tcMar>
              <w:top w:w="80" w:type="dxa"/>
              <w:start w:w="120" w:type="dxa"/>
              <w:bottom w:w="80" w:type="dxa"/>
              <w:end w:w="120" w:type="dxa"/>
            </w:tcMar>
            <w:vAlign w:val="center"/>
          </w:tcPr>
          <w:p>
            <w:pPr>
              <w:spacing w:after="0"/>
            </w:pPr>
            <w:r>
              <w:rPr>
                <w:rFonts w:ascii="Calibri" w:hAnsi="Calibri"/>
                <w:b w:val="0"/>
                <w:i w:val="0"/>
                <w:color w:val="111827"/>
                <w:sz w:val="19"/>
              </w:rPr>
              <w:t>Implemented</w:t>
            </w:r>
          </w:p>
        </w:tc>
        <w:tc>
          <w:tcPr>
            <w:tcW w:type="dxa" w:w="5560"/>
            <w:tcMar>
              <w:top w:w="80" w:type="dxa"/>
              <w:start w:w="120" w:type="dxa"/>
              <w:bottom w:w="80" w:type="dxa"/>
              <w:end w:w="120" w:type="dxa"/>
            </w:tcMar>
            <w:vAlign w:val="center"/>
          </w:tcPr>
          <w:p>
            <w:pPr>
              <w:spacing w:after="0"/>
            </w:pPr>
            <w:r>
              <w:rPr>
                <w:rFonts w:ascii="Calibri" w:hAnsi="Calibri"/>
                <w:b w:val="0"/>
                <w:i w:val="0"/>
                <w:color w:val="111827"/>
                <w:sz w:val="19"/>
              </w:rPr>
              <w:t>Cloud Tasks applies the undo delay before generation</w:t>
            </w:r>
          </w:p>
        </w:tc>
      </w:tr>
      <w:tr>
        <w:tc>
          <w:tcPr>
            <w:tcW w:type="dxa" w:w="2200"/>
            <w:tcMar>
              <w:top w:w="80" w:type="dxa"/>
              <w:start w:w="120" w:type="dxa"/>
              <w:bottom w:w="80" w:type="dxa"/>
              <w:end w:w="120" w:type="dxa"/>
            </w:tcMar>
            <w:vAlign w:val="center"/>
          </w:tcPr>
          <w:p>
            <w:pPr>
              <w:spacing w:after="0"/>
            </w:pPr>
            <w:r>
              <w:rPr>
                <w:rFonts w:ascii="Calibri" w:hAnsi="Calibri"/>
                <w:b w:val="0"/>
                <w:i w:val="0"/>
                <w:color w:val="111827"/>
                <w:sz w:val="19"/>
              </w:rPr>
              <w:t>Realtime delivery</w:t>
            </w:r>
          </w:p>
        </w:tc>
        <w:tc>
          <w:tcPr>
            <w:tcW w:type="dxa" w:w="1600"/>
            <w:tcMar>
              <w:top w:w="80" w:type="dxa"/>
              <w:start w:w="120" w:type="dxa"/>
              <w:bottom w:w="80" w:type="dxa"/>
              <w:end w:w="120" w:type="dxa"/>
            </w:tcMar>
            <w:vAlign w:val="center"/>
          </w:tcPr>
          <w:p>
            <w:pPr>
              <w:spacing w:after="0"/>
            </w:pPr>
            <w:r>
              <w:rPr>
                <w:rFonts w:ascii="Calibri" w:hAnsi="Calibri"/>
                <w:b w:val="0"/>
                <w:i w:val="0"/>
                <w:color w:val="111827"/>
                <w:sz w:val="19"/>
              </w:rPr>
              <w:t>Implemented</w:t>
            </w:r>
          </w:p>
        </w:tc>
        <w:tc>
          <w:tcPr>
            <w:tcW w:type="dxa" w:w="5560"/>
            <w:tcMar>
              <w:top w:w="80" w:type="dxa"/>
              <w:start w:w="120" w:type="dxa"/>
              <w:bottom w:w="80" w:type="dxa"/>
              <w:end w:w="120" w:type="dxa"/>
            </w:tcMar>
            <w:vAlign w:val="center"/>
          </w:tcPr>
          <w:p>
            <w:pPr>
              <w:spacing w:after="0"/>
            </w:pPr>
            <w:r>
              <w:rPr>
                <w:rFonts w:ascii="Calibri" w:hAnsi="Calibri"/>
                <w:b w:val="0"/>
                <w:i w:val="0"/>
                <w:color w:val="111827"/>
                <w:sz w:val="19"/>
              </w:rPr>
              <w:t>Pub/Sub to WebSocket gateway with match-specific channels</w:t>
            </w:r>
          </w:p>
        </w:tc>
      </w:tr>
      <w:tr>
        <w:tc>
          <w:tcPr>
            <w:tcW w:type="dxa" w:w="2200"/>
            <w:tcMar>
              <w:top w:w="80" w:type="dxa"/>
              <w:start w:w="120" w:type="dxa"/>
              <w:bottom w:w="80" w:type="dxa"/>
              <w:end w:w="120" w:type="dxa"/>
            </w:tcMar>
            <w:vAlign w:val="center"/>
          </w:tcPr>
          <w:p>
            <w:pPr>
              <w:spacing w:after="0"/>
            </w:pPr>
            <w:r>
              <w:rPr>
                <w:rFonts w:ascii="Calibri" w:hAnsi="Calibri"/>
                <w:b w:val="0"/>
                <w:i w:val="0"/>
                <w:color w:val="111827"/>
                <w:sz w:val="19"/>
              </w:rPr>
              <w:t>Manual correction</w:t>
            </w:r>
          </w:p>
        </w:tc>
        <w:tc>
          <w:tcPr>
            <w:tcW w:type="dxa" w:w="1600"/>
            <w:tcMar>
              <w:top w:w="80" w:type="dxa"/>
              <w:start w:w="120" w:type="dxa"/>
              <w:bottom w:w="80" w:type="dxa"/>
              <w:end w:w="120" w:type="dxa"/>
            </w:tcMar>
            <w:vAlign w:val="center"/>
          </w:tcPr>
          <w:p>
            <w:pPr>
              <w:spacing w:after="0"/>
            </w:pPr>
            <w:r>
              <w:rPr>
                <w:rFonts w:ascii="Calibri" w:hAnsi="Calibri"/>
                <w:b w:val="0"/>
                <w:i w:val="0"/>
                <w:color w:val="111827"/>
                <w:sz w:val="19"/>
              </w:rPr>
              <w:t>Implemented</w:t>
            </w:r>
          </w:p>
        </w:tc>
        <w:tc>
          <w:tcPr>
            <w:tcW w:type="dxa" w:w="5560"/>
            <w:tcMar>
              <w:top w:w="80" w:type="dxa"/>
              <w:start w:w="120" w:type="dxa"/>
              <w:bottom w:w="80" w:type="dxa"/>
              <w:end w:w="120" w:type="dxa"/>
            </w:tcMar>
            <w:vAlign w:val="center"/>
          </w:tcPr>
          <w:p>
            <w:pPr>
              <w:spacing w:after="0"/>
            </w:pPr>
            <w:r>
              <w:rPr>
                <w:rFonts w:ascii="Calibri" w:hAnsi="Calibri"/>
                <w:b w:val="0"/>
                <w:i w:val="0"/>
                <w:color w:val="111827"/>
                <w:sz w:val="19"/>
              </w:rPr>
              <w:t>Manual override replaces the visible commentary while retaining history</w:t>
            </w:r>
          </w:p>
        </w:tc>
      </w:tr>
      <w:tr>
        <w:tc>
          <w:tcPr>
            <w:tcW w:type="dxa" w:w="2200"/>
            <w:tcMar>
              <w:top w:w="80" w:type="dxa"/>
              <w:start w:w="120" w:type="dxa"/>
              <w:bottom w:w="80" w:type="dxa"/>
              <w:end w:w="120" w:type="dxa"/>
            </w:tcMar>
            <w:vAlign w:val="center"/>
          </w:tcPr>
          <w:p>
            <w:pPr>
              <w:spacing w:after="0"/>
            </w:pPr>
            <w:r>
              <w:rPr>
                <w:rFonts w:ascii="Calibri" w:hAnsi="Calibri"/>
                <w:b w:val="0"/>
                <w:i w:val="0"/>
                <w:color w:val="111827"/>
                <w:sz w:val="19"/>
              </w:rPr>
              <w:t>Production launch</w:t>
            </w:r>
          </w:p>
        </w:tc>
        <w:tc>
          <w:tcPr>
            <w:tcW w:type="dxa" w:w="1600"/>
            <w:tcMar>
              <w:top w:w="80" w:type="dxa"/>
              <w:start w:w="120" w:type="dxa"/>
              <w:bottom w:w="80" w:type="dxa"/>
              <w:end w:w="120" w:type="dxa"/>
            </w:tcMar>
            <w:vAlign w:val="center"/>
          </w:tcPr>
          <w:p>
            <w:pPr>
              <w:spacing w:after="0"/>
            </w:pPr>
            <w:r>
              <w:rPr>
                <w:rFonts w:ascii="Calibri" w:hAnsi="Calibri"/>
                <w:b w:val="0"/>
                <w:i w:val="0"/>
                <w:color w:val="111827"/>
                <w:sz w:val="19"/>
              </w:rPr>
              <w:t>Pending</w:t>
            </w:r>
          </w:p>
        </w:tc>
        <w:tc>
          <w:tcPr>
            <w:tcW w:type="dxa" w:w="5560"/>
            <w:tcMar>
              <w:top w:w="80" w:type="dxa"/>
              <w:start w:w="120" w:type="dxa"/>
              <w:bottom w:w="80" w:type="dxa"/>
              <w:end w:w="120" w:type="dxa"/>
            </w:tcMar>
            <w:vAlign w:val="center"/>
          </w:tcPr>
          <w:p>
            <w:pPr>
              <w:spacing w:after="0"/>
            </w:pPr>
            <w:r>
              <w:rPr>
                <w:rFonts w:ascii="Calibri" w:hAnsi="Calibri"/>
                <w:b w:val="0"/>
                <w:i w:val="0"/>
                <w:color w:val="111827"/>
                <w:sz w:val="19"/>
              </w:rPr>
              <w:t>Requires integration, load test, security hardening and operational controls</w:t>
            </w:r>
          </w:p>
        </w:tc>
      </w:tr>
    </w:tbl>
    <w:p>
      <w:pPr>
        <w:spacing w:after="20"/>
      </w:pPr>
    </w:p>
    <w:p>
      <w:pPr>
        <w:pStyle w:val="Heading1"/>
      </w:pPr>
      <w:r>
        <w:t>2. Purpose, Scope and Design Principles</w:t>
      </w:r>
    </w:p>
    <w:p>
      <w:pPr>
        <w:pStyle w:val="Heading2"/>
      </w:pPr>
      <w:r>
        <w:t>2.1 Purpose</w:t>
      </w:r>
    </w:p>
    <w:p>
      <w:pPr>
        <w:pStyle w:val="ListBullet"/>
      </w:pPr>
      <w:r>
        <w:rPr>
          <w:rFonts w:ascii="Calibri" w:hAnsi="Calibri"/>
          <w:b w:val="0"/>
          <w:i w:val="0"/>
          <w:color w:val="111827"/>
          <w:sz w:val="22"/>
        </w:rPr>
        <w:t>Generate cricket commentary automatically after a scorer records a delivery.</w:t>
      </w:r>
    </w:p>
    <w:p>
      <w:pPr>
        <w:pStyle w:val="ListBullet"/>
      </w:pPr>
      <w:r>
        <w:rPr>
          <w:rFonts w:ascii="Calibri" w:hAnsi="Calibri"/>
          <w:b w:val="0"/>
          <w:i w:val="0"/>
          <w:color w:val="111827"/>
          <w:sz w:val="22"/>
        </w:rPr>
        <w:t>Support manual commentary and correction when required.</w:t>
      </w:r>
    </w:p>
    <w:p>
      <w:pPr>
        <w:pStyle w:val="ListBullet"/>
      </w:pPr>
      <w:r>
        <w:rPr>
          <w:rFonts w:ascii="Calibri" w:hAnsi="Calibri"/>
          <w:b w:val="0"/>
          <w:i w:val="0"/>
          <w:color w:val="111827"/>
          <w:sz w:val="22"/>
        </w:rPr>
        <w:t>Provide stored commentary history for viewers after the match has finished.</w:t>
      </w:r>
    </w:p>
    <w:p>
      <w:pPr>
        <w:pStyle w:val="ListBullet"/>
      </w:pPr>
      <w:r>
        <w:rPr>
          <w:rFonts w:ascii="Calibri" w:hAnsi="Calibri"/>
          <w:b w:val="0"/>
          <w:i w:val="0"/>
          <w:color w:val="111827"/>
          <w:sz w:val="22"/>
        </w:rPr>
        <w:t>Deliver new commentary to multiple dashboards in realtime.</w:t>
      </w:r>
    </w:p>
    <w:p>
      <w:pPr>
        <w:pStyle w:val="ListBullet"/>
      </w:pPr>
      <w:r>
        <w:rPr>
          <w:rFonts w:ascii="Calibri" w:hAnsi="Calibri"/>
          <w:b w:val="0"/>
          <w:i w:val="0"/>
          <w:color w:val="111827"/>
          <w:sz w:val="22"/>
        </w:rPr>
        <w:t>Keep AI failures from interrupting scoring by using deterministic fallback commentary.</w:t>
      </w:r>
    </w:p>
    <w:p>
      <w:pPr>
        <w:pStyle w:val="ListBullet"/>
      </w:pPr>
      <w:r>
        <w:rPr>
          <w:rFonts w:ascii="Calibri" w:hAnsi="Calibri"/>
          <w:b w:val="0"/>
          <w:i w:val="0"/>
          <w:color w:val="111827"/>
          <w:sz w:val="22"/>
        </w:rPr>
        <w:t>Preserve generation source, timing, token usage and previous versions for quality review.</w:t>
      </w:r>
    </w:p>
    <w:p>
      <w:pPr>
        <w:pStyle w:val="Heading2"/>
      </w:pPr>
      <w:r>
        <w:t>2.2 Scope</w:t>
      </w:r>
    </w:p>
    <w:p>
      <w:r>
        <w:rPr>
          <w:rFonts w:ascii="Calibri" w:hAnsi="Calibri"/>
          <w:b w:val="0"/>
          <w:i w:val="0"/>
          <w:color w:val="111827"/>
          <w:sz w:val="22"/>
        </w:rPr>
        <w:t>The module owns commentary generation, commentary persistence, generation settings, manual overrides, event publication and realtime commentary delivery. The main scoring system continues to own match scoring, delivery entry, undo/correction and core match data.</w:t>
      </w:r>
    </w:p>
    <w:p>
      <w:pPr>
        <w:pStyle w:val="Heading2"/>
      </w:pPr>
      <w:r>
        <w:t>2.3 Non-goals</w:t>
      </w:r>
    </w:p>
    <w:p>
      <w:pPr>
        <w:pStyle w:val="ListBullet"/>
      </w:pPr>
      <w:r>
        <w:rPr>
          <w:rFonts w:ascii="Calibri" w:hAnsi="Calibri"/>
          <w:b w:val="0"/>
          <w:i w:val="0"/>
          <w:color w:val="111827"/>
          <w:sz w:val="22"/>
        </w:rPr>
        <w:t>The module is not the primary cricket scoring database.</w:t>
      </w:r>
    </w:p>
    <w:p>
      <w:pPr>
        <w:pStyle w:val="ListBullet"/>
      </w:pPr>
      <w:r>
        <w:rPr>
          <w:rFonts w:ascii="Calibri" w:hAnsi="Calibri"/>
          <w:b w:val="0"/>
          <w:i w:val="0"/>
          <w:color w:val="111827"/>
          <w:sz w:val="22"/>
        </w:rPr>
        <w:t>The module does not replace scorer, viewer or admin dashboards.</w:t>
      </w:r>
    </w:p>
    <w:p>
      <w:pPr>
        <w:pStyle w:val="ListBullet"/>
      </w:pPr>
      <w:r>
        <w:rPr>
          <w:rFonts w:ascii="Calibri" w:hAnsi="Calibri"/>
          <w:b w:val="0"/>
          <w:i w:val="0"/>
          <w:color w:val="111827"/>
          <w:sz w:val="22"/>
        </w:rPr>
        <w:t>The module does not currently generate audio; an audio service can consume commentary later.</w:t>
      </w:r>
    </w:p>
    <w:p>
      <w:pPr>
        <w:pStyle w:val="ListBullet"/>
      </w:pPr>
      <w:r>
        <w:rPr>
          <w:rFonts w:ascii="Calibri" w:hAnsi="Calibri"/>
          <w:b w:val="0"/>
          <w:i w:val="0"/>
          <w:color w:val="111827"/>
          <w:sz w:val="22"/>
        </w:rPr>
        <w:t>The module does not currently provide multilingual commentary beyond the initial English configuration.</w:t>
      </w:r>
    </w:p>
    <w:p>
      <w:pPr>
        <w:pStyle w:val="Heading1"/>
      </w:pPr>
      <w:r>
        <w:t>3. System Architecture</w:t>
      </w:r>
    </w:p>
    <w:p>
      <w:r>
        <w:rPr>
          <w:rFonts w:ascii="Calibri" w:hAnsi="Calibri"/>
          <w:b w:val="0"/>
          <w:i w:val="0"/>
          <w:color w:val="111827"/>
          <w:sz w:val="22"/>
        </w:rPr>
        <w:t>The production-style architecture uses two Cloud Run services so generation and realtime delivery can scale and be secured independently.</w:t>
      </w:r>
    </w:p>
    <w:tbl>
      <w:tblPr>
        <w:tblStyle w:val="TableGrid"/>
        <w:tblW w:type="dxa" w:w="9360"/>
        <w:tblLayout w:type="fixed"/>
        <w:tblLook w:firstColumn="1" w:firstRow="1" w:lastColumn="0" w:lastRow="0" w:noHBand="0" w:noVBand="1" w:val="04A0"/>
        <w:jc w:val="center"/>
        <w:tblInd w:w="120" w:type="dxa"/>
      </w:tblPr>
      <w:tblGrid>
        <w:gridCol w:w="2200"/>
        <w:gridCol w:w="2200"/>
        <w:gridCol w:w="4960"/>
      </w:tblGrid>
      <w:tr>
        <w:trPr>
          <w:tblHeader w:val="true"/>
        </w:trPr>
        <w:tc>
          <w:tcPr>
            <w:tcW w:type="dxa" w:w="2200"/>
            <w:tcMar>
              <w:top w:w="80" w:type="dxa"/>
              <w:start w:w="120" w:type="dxa"/>
              <w:bottom w:w="80" w:type="dxa"/>
              <w:end w:w="120" w:type="dxa"/>
            </w:tcMar>
            <w:vAlign w:val="center"/>
            <w:shd w:fill="E8EEF5"/>
          </w:tcPr>
          <w:p>
            <w:pPr>
              <w:jc w:val="left"/>
            </w:pPr>
            <w:r>
              <w:rPr>
                <w:rFonts w:ascii="Calibri" w:hAnsi="Calibri"/>
                <w:b/>
                <w:i w:val="0"/>
                <w:color w:val="17365D"/>
                <w:sz w:val="19"/>
              </w:rPr>
              <w:t>Service</w:t>
            </w:r>
          </w:p>
        </w:tc>
        <w:tc>
          <w:tcPr>
            <w:tcW w:type="dxa" w:w="2200"/>
            <w:tcMar>
              <w:top w:w="80" w:type="dxa"/>
              <w:start w:w="120" w:type="dxa"/>
              <w:bottom w:w="80" w:type="dxa"/>
              <w:end w:w="120" w:type="dxa"/>
            </w:tcMar>
            <w:vAlign w:val="center"/>
            <w:shd w:fill="E8EEF5"/>
          </w:tcPr>
          <w:p>
            <w:pPr>
              <w:jc w:val="left"/>
            </w:pPr>
            <w:r>
              <w:rPr>
                <w:rFonts w:ascii="Calibri" w:hAnsi="Calibri"/>
                <w:b/>
                <w:i w:val="0"/>
                <w:color w:val="17365D"/>
                <w:sz w:val="19"/>
              </w:rPr>
              <w:t>Exposure</w:t>
            </w:r>
          </w:p>
        </w:tc>
        <w:tc>
          <w:tcPr>
            <w:tcW w:type="dxa" w:w="4960"/>
            <w:tcMar>
              <w:top w:w="80" w:type="dxa"/>
              <w:start w:w="120" w:type="dxa"/>
              <w:bottom w:w="80" w:type="dxa"/>
              <w:end w:w="120" w:type="dxa"/>
            </w:tcMar>
            <w:vAlign w:val="center"/>
            <w:shd w:fill="E8EEF5"/>
          </w:tcPr>
          <w:p>
            <w:pPr>
              <w:jc w:val="left"/>
            </w:pPr>
            <w:r>
              <w:rPr>
                <w:rFonts w:ascii="Calibri" w:hAnsi="Calibri"/>
                <w:b/>
                <w:i w:val="0"/>
                <w:color w:val="17365D"/>
                <w:sz w:val="19"/>
              </w:rPr>
              <w:t>Primary responsibility</w:t>
            </w:r>
          </w:p>
        </w:tc>
      </w:tr>
      <w:tr>
        <w:tc>
          <w:tcPr>
            <w:tcW w:type="dxa" w:w="2200"/>
            <w:tcMar>
              <w:top w:w="80" w:type="dxa"/>
              <w:start w:w="120" w:type="dxa"/>
              <w:bottom w:w="80" w:type="dxa"/>
              <w:end w:w="120" w:type="dxa"/>
            </w:tcMar>
            <w:vAlign w:val="center"/>
          </w:tcPr>
          <w:p>
            <w:pPr>
              <w:spacing w:after="0"/>
            </w:pPr>
            <w:r>
              <w:rPr>
                <w:rFonts w:ascii="Calibri" w:hAnsi="Calibri"/>
                <w:b w:val="0"/>
                <w:i w:val="0"/>
                <w:color w:val="111827"/>
                <w:sz w:val="19"/>
              </w:rPr>
              <w:t>ai-commentary-service</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9"/>
              </w:rPr>
              <w:t>Private Cloud Run service</w:t>
            </w:r>
          </w:p>
        </w:tc>
        <w:tc>
          <w:tcPr>
            <w:tcW w:type="dxa" w:w="4960"/>
            <w:tcMar>
              <w:top w:w="80" w:type="dxa"/>
              <w:start w:w="120" w:type="dxa"/>
              <w:bottom w:w="80" w:type="dxa"/>
              <w:end w:w="120" w:type="dxa"/>
            </w:tcMar>
            <w:vAlign w:val="center"/>
          </w:tcPr>
          <w:p>
            <w:pPr>
              <w:spacing w:after="0"/>
            </w:pPr>
            <w:r>
              <w:rPr>
                <w:rFonts w:ascii="Calibri" w:hAnsi="Calibri"/>
                <w:b w:val="0"/>
                <w:i w:val="0"/>
                <w:color w:val="111827"/>
                <w:sz w:val="19"/>
              </w:rPr>
              <w:t>Generation APIs, DB reads/writes, Cloud Tasks worker, settings, retrieval and manual overrides</w:t>
            </w:r>
          </w:p>
        </w:tc>
      </w:tr>
      <w:tr>
        <w:tc>
          <w:tcPr>
            <w:tcW w:type="dxa" w:w="2200"/>
            <w:tcMar>
              <w:top w:w="80" w:type="dxa"/>
              <w:start w:w="120" w:type="dxa"/>
              <w:bottom w:w="80" w:type="dxa"/>
              <w:end w:w="120" w:type="dxa"/>
            </w:tcMar>
            <w:vAlign w:val="center"/>
          </w:tcPr>
          <w:p>
            <w:pPr>
              <w:spacing w:after="0"/>
            </w:pPr>
            <w:r>
              <w:rPr>
                <w:rFonts w:ascii="Calibri" w:hAnsi="Calibri"/>
                <w:b w:val="0"/>
                <w:i w:val="0"/>
                <w:color w:val="111827"/>
                <w:sz w:val="19"/>
              </w:rPr>
              <w:t>ai-commentary-realtime</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9"/>
              </w:rPr>
              <w:t>Public edge with application tokens</w:t>
            </w:r>
          </w:p>
        </w:tc>
        <w:tc>
          <w:tcPr>
            <w:tcW w:type="dxa" w:w="4960"/>
            <w:tcMar>
              <w:top w:w="80" w:type="dxa"/>
              <w:start w:w="120" w:type="dxa"/>
              <w:bottom w:w="80" w:type="dxa"/>
              <w:end w:w="120" w:type="dxa"/>
            </w:tcMar>
            <w:vAlign w:val="center"/>
          </w:tcPr>
          <w:p>
            <w:pPr>
              <w:spacing w:after="0"/>
            </w:pPr>
            <w:r>
              <w:rPr>
                <w:rFonts w:ascii="Calibri" w:hAnsi="Calibri"/>
                <w:b w:val="0"/>
                <w:i w:val="0"/>
                <w:color w:val="111827"/>
                <w:sz w:val="19"/>
              </w:rPr>
              <w:t>Receives Pub/Sub pushes and broadcasts match-specific WebSocket events</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after="0"/>
            </w:pPr>
            <w:r>
              <w:rPr>
                <w:rFonts w:ascii="Consolas" w:hAnsi="Consolas"/>
                <w:b w:val="0"/>
                <w:i w:val="0"/>
                <w:color w:val="273142"/>
                <w:sz w:val="17"/>
              </w:rPr>
              <w:t>Scorer Backend</w:t>
              <w:br/>
            </w:r>
            <w:r>
              <w:rPr>
                <w:rFonts w:ascii="Consolas" w:hAnsi="Consolas"/>
                <w:b w:val="0"/>
                <w:i w:val="0"/>
                <w:color w:val="273142"/>
                <w:sz w:val="17"/>
              </w:rPr>
              <w:t xml:space="preserve">  -&gt; Commentary API</w:t>
              <w:br/>
            </w:r>
            <w:r>
              <w:rPr>
                <w:rFonts w:ascii="Consolas" w:hAnsi="Consolas"/>
                <w:b w:val="0"/>
                <w:i w:val="0"/>
                <w:color w:val="273142"/>
                <w:sz w:val="17"/>
              </w:rPr>
              <w:t xml:space="preserve">  -&gt; Cloud Tasks undo-delay queue</w:t>
              <w:br/>
            </w:r>
            <w:r>
              <w:rPr>
                <w:rFonts w:ascii="Consolas" w:hAnsi="Consolas"/>
                <w:b w:val="0"/>
                <w:i w:val="0"/>
                <w:color w:val="273142"/>
                <w:sz w:val="17"/>
              </w:rPr>
              <w:t xml:space="preserve">  -&gt; Vertex AI or fallback templates</w:t>
              <w:br/>
            </w:r>
            <w:r>
              <w:rPr>
                <w:rFonts w:ascii="Consolas" w:hAnsi="Consolas"/>
                <w:b w:val="0"/>
                <w:i w:val="0"/>
                <w:color w:val="273142"/>
                <w:sz w:val="17"/>
              </w:rPr>
              <w:t xml:space="preserve">  -&gt; Cloud SQL: ai_commentary + event outbox</w:t>
              <w:br/>
            </w:r>
            <w:r>
              <w:rPr>
                <w:rFonts w:ascii="Consolas" w:hAnsi="Consolas"/>
                <w:b w:val="0"/>
                <w:i w:val="0"/>
                <w:color w:val="273142"/>
                <w:sz w:val="17"/>
              </w:rPr>
              <w:t xml:space="preserve">  -&gt; Pub/Sub</w:t>
              <w:br/>
            </w:r>
            <w:r>
              <w:rPr>
                <w:rFonts w:ascii="Consolas" w:hAnsi="Consolas"/>
                <w:b w:val="0"/>
                <w:i w:val="0"/>
                <w:color w:val="273142"/>
                <w:sz w:val="17"/>
              </w:rPr>
              <w:t xml:space="preserve">  -&gt; Realtime Gateway</w:t>
              <w:br/>
            </w:r>
            <w:r>
              <w:rPr>
                <w:rFonts w:ascii="Consolas" w:hAnsi="Consolas"/>
                <w:b w:val="0"/>
                <w:i w:val="0"/>
                <w:color w:val="273142"/>
                <w:sz w:val="17"/>
              </w:rPr>
              <w:t xml:space="preserve">  -&gt; Scorer / Viewer / Admin dashboards</w:t>
              <w:br/>
            </w:r>
          </w:p>
        </w:tc>
      </w:tr>
    </w:tbl>
    <w:p>
      <w:pPr>
        <w:spacing w:after="20"/>
      </w:pPr>
    </w:p>
    <w:p>
      <w:pPr>
        <w:pStyle w:val="Heading2"/>
      </w:pPr>
      <w:r>
        <w:t>3.1 Connected Google Cloud Services</w:t>
      </w:r>
    </w:p>
    <w:tbl>
      <w:tblPr>
        <w:tblStyle w:val="TableGrid"/>
        <w:tblW w:type="dxa" w:w="9360"/>
        <w:tblLayout w:type="fixed"/>
        <w:tblLook w:firstColumn="1" w:firstRow="1" w:lastColumn="0" w:lastRow="0" w:noHBand="0" w:noVBand="1" w:val="04A0"/>
        <w:jc w:val="center"/>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jc w:val="left"/>
            </w:pPr>
            <w:r>
              <w:rPr>
                <w:rFonts w:ascii="Calibri" w:hAnsi="Calibri"/>
                <w:b/>
                <w:i w:val="0"/>
                <w:color w:val="17365D"/>
                <w:sz w:val="19"/>
              </w:rPr>
              <w:t>Cloud service</w:t>
            </w:r>
          </w:p>
        </w:tc>
        <w:tc>
          <w:tcPr>
            <w:tcW w:type="dxa" w:w="6760"/>
            <w:tcMar>
              <w:top w:w="80" w:type="dxa"/>
              <w:start w:w="120" w:type="dxa"/>
              <w:bottom w:w="80" w:type="dxa"/>
              <w:end w:w="120" w:type="dxa"/>
            </w:tcMar>
            <w:vAlign w:val="center"/>
            <w:shd w:fill="E8EEF5"/>
          </w:tcPr>
          <w:p>
            <w:pPr>
              <w:jc w:val="left"/>
            </w:pPr>
            <w:r>
              <w:rPr>
                <w:rFonts w:ascii="Calibri" w:hAnsi="Calibri"/>
                <w:b/>
                <w:i w:val="0"/>
                <w:color w:val="17365D"/>
                <w:sz w:val="19"/>
              </w:rPr>
              <w:t>Usage</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Cloud Run</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Runs the private Commentary API and public Realtime Gateway</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Cloud SQL for PostgreSQL 18</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Stores scoring context, commentary, settings and event outbox rows</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Vertex AI Gemini</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Generates grounded commentary and analysis</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Cloud Tasks</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Schedules delivery processing after the undo window and controls retries</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Pub/Sub</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Distributes saved commentary events to realtime consumers</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Secret Manager</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Stores database and service tokens</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Artifact Registry</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Stores deployed container images</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Cloud Logging and Monitoring</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Required for logs, metrics, alerts and operational visibility</w:t>
            </w:r>
          </w:p>
        </w:tc>
      </w:tr>
    </w:tbl>
    <w:p>
      <w:pPr>
        <w:spacing w:after="20"/>
      </w:pPr>
    </w:p>
    <w:p>
      <w:pPr>
        <w:pStyle w:val="Heading1"/>
      </w:pPr>
      <w:r>
        <w:t>4. End-to-End Live Commentary Flow</w:t>
      </w:r>
    </w:p>
    <w:p>
      <w:pPr>
        <w:pStyle w:val="ListNumber"/>
      </w:pPr>
      <w:r>
        <w:rPr>
          <w:rFonts w:ascii="Calibri" w:hAnsi="Calibri"/>
          <w:b w:val="0"/>
          <w:i w:val="0"/>
          <w:color w:val="111827"/>
          <w:sz w:val="22"/>
        </w:rPr>
        <w:t>The scorer saves a delivery in the main scoring system.</w:t>
      </w:r>
    </w:p>
    <w:p>
      <w:pPr>
        <w:pStyle w:val="ListNumber"/>
      </w:pPr>
      <w:r>
        <w:rPr>
          <w:rFonts w:ascii="Calibri" w:hAnsi="Calibri"/>
          <w:b w:val="0"/>
          <w:i w:val="0"/>
          <w:color w:val="111827"/>
          <w:sz w:val="22"/>
        </w:rPr>
        <w:t>After the save succeeds, the scoring backend calls POST /commentary/trigger-delivery.</w:t>
      </w:r>
    </w:p>
    <w:p>
      <w:pPr>
        <w:pStyle w:val="ListNumber"/>
      </w:pPr>
      <w:r>
        <w:rPr>
          <w:rFonts w:ascii="Calibri" w:hAnsi="Calibri"/>
          <w:b w:val="0"/>
          <w:i w:val="0"/>
          <w:color w:val="111827"/>
          <w:sz w:val="22"/>
        </w:rPr>
        <w:t>The Commentary API loads match commentary settings and validates whether commentary is enabled.</w:t>
      </w:r>
    </w:p>
    <w:p>
      <w:pPr>
        <w:pStyle w:val="ListNumber"/>
      </w:pPr>
      <w:r>
        <w:rPr>
          <w:rFonts w:ascii="Calibri" w:hAnsi="Calibri"/>
          <w:b w:val="0"/>
          <w:i w:val="0"/>
          <w:color w:val="111827"/>
          <w:sz w:val="22"/>
        </w:rPr>
        <w:t>A Cloud Tasks job waits for the configured undo window, normally three seconds.</w:t>
      </w:r>
    </w:p>
    <w:p>
      <w:pPr>
        <w:pStyle w:val="ListNumber"/>
      </w:pPr>
      <w:r>
        <w:rPr>
          <w:rFonts w:ascii="Calibri" w:hAnsi="Calibri"/>
          <w:b w:val="0"/>
          <w:i w:val="0"/>
          <w:color w:val="111827"/>
          <w:sz w:val="22"/>
        </w:rPr>
        <w:t>The worker checks the latest delivery and surrounding match context from PostgreSQL.</w:t>
      </w:r>
    </w:p>
    <w:p>
      <w:pPr>
        <w:pStyle w:val="ListNumber"/>
      </w:pPr>
      <w:r>
        <w:rPr>
          <w:rFonts w:ascii="Calibri" w:hAnsi="Calibri"/>
          <w:b w:val="0"/>
          <w:i w:val="0"/>
          <w:color w:val="111827"/>
          <w:sz w:val="22"/>
        </w:rPr>
        <w:t>The task router selects the commentary tasks that apply to the event.</w:t>
      </w:r>
    </w:p>
    <w:p>
      <w:pPr>
        <w:pStyle w:val="ListNumber"/>
      </w:pPr>
      <w:r>
        <w:rPr>
          <w:rFonts w:ascii="Calibri" w:hAnsi="Calibri"/>
          <w:b w:val="0"/>
          <w:i w:val="0"/>
          <w:color w:val="111827"/>
          <w:sz w:val="22"/>
        </w:rPr>
        <w:t>Vertex AI generates the commentary. If Vertex fails, the fallback module creates grounded commentary.</w:t>
      </w:r>
    </w:p>
    <w:p>
      <w:pPr>
        <w:pStyle w:val="ListNumber"/>
      </w:pPr>
      <w:r>
        <w:rPr>
          <w:rFonts w:ascii="Calibri" w:hAnsi="Calibri"/>
          <w:b w:val="0"/>
          <w:i w:val="0"/>
          <w:color w:val="111827"/>
          <w:sz w:val="22"/>
        </w:rPr>
        <w:t>Commentary and its event-outbox record are stored in the same database transaction.</w:t>
      </w:r>
    </w:p>
    <w:p>
      <w:pPr>
        <w:pStyle w:val="ListNumber"/>
      </w:pPr>
      <w:r>
        <w:rPr>
          <w:rFonts w:ascii="Calibri" w:hAnsi="Calibri"/>
          <w:b w:val="0"/>
          <w:i w:val="0"/>
          <w:color w:val="111827"/>
          <w:sz w:val="22"/>
        </w:rPr>
        <w:t>The outbox publisher sends the commentary.created event to Pub/Sub.</w:t>
      </w:r>
    </w:p>
    <w:p>
      <w:pPr>
        <w:pStyle w:val="ListNumber"/>
      </w:pPr>
      <w:r>
        <w:rPr>
          <w:rFonts w:ascii="Calibri" w:hAnsi="Calibri"/>
          <w:b w:val="0"/>
          <w:i w:val="0"/>
          <w:color w:val="111827"/>
          <w:sz w:val="22"/>
        </w:rPr>
        <w:t>Pub/Sub pushes the event to the Realtime Gateway.</w:t>
      </w:r>
    </w:p>
    <w:p>
      <w:pPr>
        <w:pStyle w:val="ListNumber"/>
      </w:pPr>
      <w:r>
        <w:rPr>
          <w:rFonts w:ascii="Calibri" w:hAnsi="Calibri"/>
          <w:b w:val="0"/>
          <w:i w:val="0"/>
          <w:color w:val="111827"/>
          <w:sz w:val="22"/>
        </w:rPr>
        <w:t>The gateway broadcasts the event to WebSocket clients subscribed to that match.</w:t>
      </w:r>
    </w:p>
    <w:p>
      <w:pPr>
        <w:pStyle w:val="ListNumber"/>
      </w:pPr>
      <w:r>
        <w:rPr>
          <w:rFonts w:ascii="Calibri" w:hAnsi="Calibri"/>
          <w:b w:val="0"/>
          <w:i w:val="0"/>
          <w:color w:val="111827"/>
          <w:sz w:val="22"/>
        </w:rPr>
        <w:t>Dashboards display the new commentary and can retrieve the full history from the API.</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0"/>
            </w:pPr>
            <w:r>
              <w:rPr>
                <w:rFonts w:ascii="Calibri" w:hAnsi="Calibri"/>
                <w:b/>
                <w:i w:val="0"/>
                <w:color w:val="7A5A00"/>
                <w:sz w:val="22"/>
              </w:rPr>
              <w:t xml:space="preserve">Why the three-second delay exists  </w:t>
            </w:r>
            <w:r>
              <w:rPr>
                <w:rFonts w:ascii="Calibri" w:hAnsi="Calibri"/>
                <w:b w:val="0"/>
                <w:i w:val="0"/>
                <w:color w:val="111827"/>
                <w:sz w:val="22"/>
              </w:rPr>
              <w:t>The scorer application supports undo. Delaying generation prevents commentary from being published for a delivery that is immediately undone or corrected.</w:t>
            </w:r>
          </w:p>
        </w:tc>
      </w:tr>
    </w:tbl>
    <w:p>
      <w:pPr>
        <w:spacing w:after="20"/>
      </w:pPr>
    </w:p>
    <w:p>
      <w:pPr>
        <w:pStyle w:val="Heading1"/>
      </w:pPr>
      <w:r>
        <w:t>5. Module Components and Files</w:t>
      </w:r>
    </w:p>
    <w:tbl>
      <w:tblPr>
        <w:tblStyle w:val="TableGrid"/>
        <w:tblW w:type="dxa" w:w="9360"/>
        <w:tblLayout w:type="fixed"/>
        <w:tblLook w:firstColumn="1" w:firstRow="1" w:lastColumn="0" w:lastRow="0" w:noHBand="0" w:noVBand="1" w:val="04A0"/>
        <w:jc w:val="center"/>
        <w:tblInd w:w="120" w:type="dxa"/>
      </w:tblPr>
      <w:tblGrid>
        <w:gridCol w:w="3400"/>
        <w:gridCol w:w="5960"/>
      </w:tblGrid>
      <w:tr>
        <w:trPr>
          <w:tblHeader w:val="true"/>
        </w:trPr>
        <w:tc>
          <w:tcPr>
            <w:tcW w:type="dxa" w:w="3400"/>
            <w:tcMar>
              <w:top w:w="80" w:type="dxa"/>
              <w:start w:w="120" w:type="dxa"/>
              <w:bottom w:w="80" w:type="dxa"/>
              <w:end w:w="120" w:type="dxa"/>
            </w:tcMar>
            <w:vAlign w:val="center"/>
            <w:shd w:fill="E8EEF5"/>
          </w:tcPr>
          <w:p>
            <w:pPr>
              <w:jc w:val="left"/>
            </w:pPr>
            <w:r>
              <w:rPr>
                <w:rFonts w:ascii="Calibri" w:hAnsi="Calibri"/>
                <w:b/>
                <w:i w:val="0"/>
                <w:color w:val="17365D"/>
                <w:sz w:val="17"/>
              </w:rPr>
              <w:t>File or area</w:t>
            </w:r>
          </w:p>
        </w:tc>
        <w:tc>
          <w:tcPr>
            <w:tcW w:type="dxa" w:w="5960"/>
            <w:tcMar>
              <w:top w:w="80" w:type="dxa"/>
              <w:start w:w="120" w:type="dxa"/>
              <w:bottom w:w="80" w:type="dxa"/>
              <w:end w:w="120" w:type="dxa"/>
            </w:tcMar>
            <w:vAlign w:val="center"/>
            <w:shd w:fill="E8EEF5"/>
          </w:tcPr>
          <w:p>
            <w:pPr>
              <w:jc w:val="left"/>
            </w:pPr>
            <w:r>
              <w:rPr>
                <w:rFonts w:ascii="Calibri" w:hAnsi="Calibri"/>
                <w:b/>
                <w:i w:val="0"/>
                <w:color w:val="17365D"/>
                <w:sz w:val="17"/>
              </w:rPr>
              <w:t>Responsibility</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cricket_commentary/api_app.py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Production FastAPI endpoints and request orchestration</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cricket_commentary/realtime_gateway.py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WebSocket connections and Pub/Sub push handling</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cricket_commentary/gemini_cricket_models.py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Vertex/Gemini clients, prompts, generation settings, token and latency capture</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cricket_commentary/task_router_model.py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Selects automatic tasks from delivery and match context</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cricket_commentary/data_extraction_model.py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Normalizes CSV, Excel, JSON, Cricsheet JSON and API payloads</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cricket_commentary/cricket_data_repository.py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Reads deliveries, overs, innings and match context from PostgreSQL</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cricket_commentary/commentary_repository.py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Saves, retrieves, invalidates and manually overrides commentary</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cricket_commentary/commentary_settings_repository.py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Reads and writes match-level commentary settings</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cricket_commentary/commentary_events.py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Transactional event outbox and Pub/Sub publication</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cricket_commentary/delivery_tasks.py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Cloud Tasks job creation and worker helpers</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cricket_commentary/fallback_commentary.py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Grounded template commentary when AI is unavailable</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cricket_commentary/web_app.py</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Local testing UI only; not a production dashboard</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db/migrations/</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Database table, response-time, outbox and production-index migrations</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Dockerfile / Dockerfile.realtime</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Separate service container builds</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cloudbuild.yaml</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Google Cloud build and deployment configuration</w:t>
            </w:r>
          </w:p>
        </w:tc>
      </w:tr>
      <w:tr>
        <w:tc>
          <w:tcPr>
            <w:tcW w:type="dxa" w:w="3400"/>
            <w:tcMar>
              <w:top w:w="80" w:type="dxa"/>
              <w:start w:w="120" w:type="dxa"/>
              <w:bottom w:w="80" w:type="dxa"/>
              <w:end w:w="120" w:type="dxa"/>
            </w:tcMar>
            <w:vAlign w:val="center"/>
          </w:tcPr>
          <w:p>
            <w:pPr>
              <w:spacing w:after="0"/>
            </w:pPr>
            <w:r>
              <w:rPr>
                <w:rFonts w:ascii="Calibri" w:hAnsi="Calibri"/>
                <w:b w:val="0"/>
                <w:i w:val="0"/>
                <w:color w:val="111827"/>
                <w:sz w:val="17"/>
              </w:rPr>
              <w:t>react_test_client/</w:t>
            </w:r>
          </w:p>
        </w:tc>
        <w:tc>
          <w:tcPr>
            <w:tcW w:type="dxa" w:w="5960"/>
            <w:tcMar>
              <w:top w:w="80" w:type="dxa"/>
              <w:start w:w="120" w:type="dxa"/>
              <w:bottom w:w="80" w:type="dxa"/>
              <w:end w:w="120" w:type="dxa"/>
            </w:tcMar>
            <w:vAlign w:val="center"/>
          </w:tcPr>
          <w:p>
            <w:pPr>
              <w:spacing w:after="0"/>
            </w:pPr>
            <w:r>
              <w:rPr>
                <w:rFonts w:ascii="Calibri" w:hAnsi="Calibri"/>
                <w:b w:val="0"/>
                <w:i w:val="0"/>
                <w:color w:val="111827"/>
                <w:sz w:val="17"/>
              </w:rPr>
              <w:t>Local integration test client for the production-style API</w:t>
            </w:r>
          </w:p>
        </w:tc>
      </w:tr>
    </w:tbl>
    <w:p>
      <w:pPr>
        <w:spacing w:after="20"/>
      </w:pPr>
    </w:p>
    <w:p>
      <w:pPr>
        <w:pStyle w:val="Heading1"/>
      </w:pPr>
      <w:r>
        <w:t>6. Data Input and Normalization</w:t>
      </w:r>
    </w:p>
    <w:p>
      <w:r>
        <w:rPr>
          <w:rFonts w:ascii="Calibri" w:hAnsi="Calibri"/>
          <w:b w:val="0"/>
          <w:i w:val="0"/>
          <w:color w:val="111827"/>
          <w:sz w:val="22"/>
        </w:rPr>
        <w:t>The data extraction layer accepts different source formats and converts them into one normalized cricket-delivery structure before commentary logic runs.</w:t>
      </w:r>
    </w:p>
    <w:tbl>
      <w:tblPr>
        <w:tblStyle w:val="TableGrid"/>
        <w:tblW w:type="dxa" w:w="9360"/>
        <w:tblLayout w:type="fixed"/>
        <w:tblLook w:firstColumn="1" w:firstRow="1" w:lastColumn="0" w:lastRow="0" w:noHBand="0" w:noVBand="1" w:val="04A0"/>
        <w:jc w:val="center"/>
        <w:tblInd w:w="120" w:type="dxa"/>
      </w:tblPr>
      <w:tblGrid>
        <w:gridCol w:w="2400"/>
        <w:gridCol w:w="2000"/>
        <w:gridCol w:w="4960"/>
      </w:tblGrid>
      <w:tr>
        <w:trPr>
          <w:tblHeader w:val="true"/>
        </w:trPr>
        <w:tc>
          <w:tcPr>
            <w:tcW w:type="dxa" w:w="2400"/>
            <w:tcMar>
              <w:top w:w="80" w:type="dxa"/>
              <w:start w:w="120" w:type="dxa"/>
              <w:bottom w:w="80" w:type="dxa"/>
              <w:end w:w="120" w:type="dxa"/>
            </w:tcMar>
            <w:vAlign w:val="center"/>
            <w:shd w:fill="E8EEF5"/>
          </w:tcPr>
          <w:p>
            <w:pPr>
              <w:jc w:val="left"/>
            </w:pPr>
            <w:r>
              <w:rPr>
                <w:rFonts w:ascii="Calibri" w:hAnsi="Calibri"/>
                <w:b/>
                <w:i w:val="0"/>
                <w:color w:val="17365D"/>
                <w:sz w:val="19"/>
              </w:rPr>
              <w:t>Input source</w:t>
            </w:r>
          </w:p>
        </w:tc>
        <w:tc>
          <w:tcPr>
            <w:tcW w:type="dxa" w:w="2000"/>
            <w:tcMar>
              <w:top w:w="80" w:type="dxa"/>
              <w:start w:w="120" w:type="dxa"/>
              <w:bottom w:w="80" w:type="dxa"/>
              <w:end w:w="120" w:type="dxa"/>
            </w:tcMar>
            <w:vAlign w:val="center"/>
            <w:shd w:fill="E8EEF5"/>
          </w:tcPr>
          <w:p>
            <w:pPr>
              <w:jc w:val="left"/>
            </w:pPr>
            <w:r>
              <w:rPr>
                <w:rFonts w:ascii="Calibri" w:hAnsi="Calibri"/>
                <w:b/>
                <w:i w:val="0"/>
                <w:color w:val="17365D"/>
                <w:sz w:val="19"/>
              </w:rPr>
              <w:t>Support</w:t>
            </w:r>
          </w:p>
        </w:tc>
        <w:tc>
          <w:tcPr>
            <w:tcW w:type="dxa" w:w="4960"/>
            <w:tcMar>
              <w:top w:w="80" w:type="dxa"/>
              <w:start w:w="120" w:type="dxa"/>
              <w:bottom w:w="80" w:type="dxa"/>
              <w:end w:w="120" w:type="dxa"/>
            </w:tcMar>
            <w:vAlign w:val="center"/>
            <w:shd w:fill="E8EEF5"/>
          </w:tcPr>
          <w:p>
            <w:pPr>
              <w:jc w:val="left"/>
            </w:pPr>
            <w:r>
              <w:rPr>
                <w:rFonts w:ascii="Calibri" w:hAnsi="Calibri"/>
                <w:b/>
                <w:i w:val="0"/>
                <w:color w:val="17365D"/>
                <w:sz w:val="19"/>
              </w:rPr>
              <w:t>Typical usage</w:t>
            </w:r>
          </w:p>
        </w:tc>
      </w:tr>
      <w:tr>
        <w:tc>
          <w:tcPr>
            <w:tcW w:type="dxa" w:w="2400"/>
            <w:tcMar>
              <w:top w:w="80" w:type="dxa"/>
              <w:start w:w="120" w:type="dxa"/>
              <w:bottom w:w="80" w:type="dxa"/>
              <w:end w:w="120" w:type="dxa"/>
            </w:tcMar>
            <w:vAlign w:val="center"/>
          </w:tcPr>
          <w:p>
            <w:pPr>
              <w:spacing w:after="0"/>
            </w:pPr>
            <w:r>
              <w:rPr>
                <w:rFonts w:ascii="Calibri" w:hAnsi="Calibri"/>
                <w:b w:val="0"/>
                <w:i w:val="0"/>
                <w:color w:val="111827"/>
                <w:sz w:val="19"/>
              </w:rPr>
              <w:t>PostgreSQL</w:t>
            </w:r>
          </w:p>
        </w:tc>
        <w:tc>
          <w:tcPr>
            <w:tcW w:type="dxa" w:w="2000"/>
            <w:tcMar>
              <w:top w:w="80" w:type="dxa"/>
              <w:start w:w="120" w:type="dxa"/>
              <w:bottom w:w="80" w:type="dxa"/>
              <w:end w:w="120" w:type="dxa"/>
            </w:tcMar>
            <w:vAlign w:val="center"/>
          </w:tcPr>
          <w:p>
            <w:pPr>
              <w:spacing w:after="0"/>
            </w:pPr>
            <w:r>
              <w:rPr>
                <w:rFonts w:ascii="Calibri" w:hAnsi="Calibri"/>
                <w:b w:val="0"/>
                <w:i w:val="0"/>
                <w:color w:val="111827"/>
                <w:sz w:val="19"/>
              </w:rPr>
              <w:t>Primary production path</w:t>
            </w:r>
          </w:p>
        </w:tc>
        <w:tc>
          <w:tcPr>
            <w:tcW w:type="dxa" w:w="4960"/>
            <w:tcMar>
              <w:top w:w="80" w:type="dxa"/>
              <w:start w:w="120" w:type="dxa"/>
              <w:bottom w:w="80" w:type="dxa"/>
              <w:end w:w="120" w:type="dxa"/>
            </w:tcMar>
            <w:vAlign w:val="center"/>
          </w:tcPr>
          <w:p>
            <w:pPr>
              <w:spacing w:after="0"/>
            </w:pPr>
            <w:r>
              <w:rPr>
                <w:rFonts w:ascii="Calibri" w:hAnsi="Calibri"/>
                <w:b w:val="0"/>
                <w:i w:val="0"/>
                <w:color w:val="111827"/>
                <w:sz w:val="19"/>
              </w:rPr>
              <w:t>Read scorer-saved delivery and match context</w:t>
            </w:r>
          </w:p>
        </w:tc>
      </w:tr>
      <w:tr>
        <w:tc>
          <w:tcPr>
            <w:tcW w:type="dxa" w:w="2400"/>
            <w:tcMar>
              <w:top w:w="80" w:type="dxa"/>
              <w:start w:w="120" w:type="dxa"/>
              <w:bottom w:w="80" w:type="dxa"/>
              <w:end w:w="120" w:type="dxa"/>
            </w:tcMar>
            <w:vAlign w:val="center"/>
          </w:tcPr>
          <w:p>
            <w:pPr>
              <w:spacing w:after="0"/>
            </w:pPr>
            <w:r>
              <w:rPr>
                <w:rFonts w:ascii="Calibri" w:hAnsi="Calibri"/>
                <w:b w:val="0"/>
                <w:i w:val="0"/>
                <w:color w:val="111827"/>
                <w:sz w:val="19"/>
              </w:rPr>
              <w:t>JSON / Cricsheet JSON</w:t>
            </w:r>
          </w:p>
        </w:tc>
        <w:tc>
          <w:tcPr>
            <w:tcW w:type="dxa" w:w="2000"/>
            <w:tcMar>
              <w:top w:w="80" w:type="dxa"/>
              <w:start w:w="120" w:type="dxa"/>
              <w:bottom w:w="80" w:type="dxa"/>
              <w:end w:w="120" w:type="dxa"/>
            </w:tcMar>
            <w:vAlign w:val="center"/>
          </w:tcPr>
          <w:p>
            <w:pPr>
              <w:spacing w:after="0"/>
            </w:pPr>
            <w:r>
              <w:rPr>
                <w:rFonts w:ascii="Calibri" w:hAnsi="Calibri"/>
                <w:b w:val="0"/>
                <w:i w:val="0"/>
                <w:color w:val="111827"/>
                <w:sz w:val="19"/>
              </w:rPr>
              <w:t>Supported</w:t>
            </w:r>
          </w:p>
        </w:tc>
        <w:tc>
          <w:tcPr>
            <w:tcW w:type="dxa" w:w="4960"/>
            <w:tcMar>
              <w:top w:w="80" w:type="dxa"/>
              <w:start w:w="120" w:type="dxa"/>
              <w:bottom w:w="80" w:type="dxa"/>
              <w:end w:w="120" w:type="dxa"/>
            </w:tcMar>
            <w:vAlign w:val="center"/>
          </w:tcPr>
          <w:p>
            <w:pPr>
              <w:spacing w:after="0"/>
            </w:pPr>
            <w:r>
              <w:rPr>
                <w:rFonts w:ascii="Calibri" w:hAnsi="Calibri"/>
                <w:b w:val="0"/>
                <w:i w:val="0"/>
                <w:color w:val="111827"/>
                <w:sz w:val="19"/>
              </w:rPr>
              <w:t>Full-match or test payload ingestion</w:t>
            </w:r>
          </w:p>
        </w:tc>
      </w:tr>
      <w:tr>
        <w:tc>
          <w:tcPr>
            <w:tcW w:type="dxa" w:w="2400"/>
            <w:tcMar>
              <w:top w:w="80" w:type="dxa"/>
              <w:start w:w="120" w:type="dxa"/>
              <w:bottom w:w="80" w:type="dxa"/>
              <w:end w:w="120" w:type="dxa"/>
            </w:tcMar>
            <w:vAlign w:val="center"/>
          </w:tcPr>
          <w:p>
            <w:pPr>
              <w:spacing w:after="0"/>
            </w:pPr>
            <w:r>
              <w:rPr>
                <w:rFonts w:ascii="Calibri" w:hAnsi="Calibri"/>
                <w:b w:val="0"/>
                <w:i w:val="0"/>
                <w:color w:val="111827"/>
                <w:sz w:val="19"/>
              </w:rPr>
              <w:t>CSV</w:t>
            </w:r>
          </w:p>
        </w:tc>
        <w:tc>
          <w:tcPr>
            <w:tcW w:type="dxa" w:w="2000"/>
            <w:tcMar>
              <w:top w:w="80" w:type="dxa"/>
              <w:start w:w="120" w:type="dxa"/>
              <w:bottom w:w="80" w:type="dxa"/>
              <w:end w:w="120" w:type="dxa"/>
            </w:tcMar>
            <w:vAlign w:val="center"/>
          </w:tcPr>
          <w:p>
            <w:pPr>
              <w:spacing w:after="0"/>
            </w:pPr>
            <w:r>
              <w:rPr>
                <w:rFonts w:ascii="Calibri" w:hAnsi="Calibri"/>
                <w:b w:val="0"/>
                <w:i w:val="0"/>
                <w:color w:val="111827"/>
                <w:sz w:val="19"/>
              </w:rPr>
              <w:t>Supported</w:t>
            </w:r>
          </w:p>
        </w:tc>
        <w:tc>
          <w:tcPr>
            <w:tcW w:type="dxa" w:w="4960"/>
            <w:tcMar>
              <w:top w:w="80" w:type="dxa"/>
              <w:start w:w="120" w:type="dxa"/>
              <w:bottom w:w="80" w:type="dxa"/>
              <w:end w:w="120" w:type="dxa"/>
            </w:tcMar>
            <w:vAlign w:val="center"/>
          </w:tcPr>
          <w:p>
            <w:pPr>
              <w:spacing w:after="0"/>
            </w:pPr>
            <w:r>
              <w:rPr>
                <w:rFonts w:ascii="Calibri" w:hAnsi="Calibri"/>
                <w:b w:val="0"/>
                <w:i w:val="0"/>
                <w:color w:val="111827"/>
                <w:sz w:val="19"/>
              </w:rPr>
              <w:t>Ball-by-ball testing and imports</w:t>
            </w:r>
          </w:p>
        </w:tc>
      </w:tr>
      <w:tr>
        <w:tc>
          <w:tcPr>
            <w:tcW w:type="dxa" w:w="2400"/>
            <w:tcMar>
              <w:top w:w="80" w:type="dxa"/>
              <w:start w:w="120" w:type="dxa"/>
              <w:bottom w:w="80" w:type="dxa"/>
              <w:end w:w="120" w:type="dxa"/>
            </w:tcMar>
            <w:vAlign w:val="center"/>
          </w:tcPr>
          <w:p>
            <w:pPr>
              <w:spacing w:after="0"/>
            </w:pPr>
            <w:r>
              <w:rPr>
                <w:rFonts w:ascii="Calibri" w:hAnsi="Calibri"/>
                <w:b w:val="0"/>
                <w:i w:val="0"/>
                <w:color w:val="111827"/>
                <w:sz w:val="19"/>
              </w:rPr>
              <w:t>Excel</w:t>
            </w:r>
          </w:p>
        </w:tc>
        <w:tc>
          <w:tcPr>
            <w:tcW w:type="dxa" w:w="2000"/>
            <w:tcMar>
              <w:top w:w="80" w:type="dxa"/>
              <w:start w:w="120" w:type="dxa"/>
              <w:bottom w:w="80" w:type="dxa"/>
              <w:end w:w="120" w:type="dxa"/>
            </w:tcMar>
            <w:vAlign w:val="center"/>
          </w:tcPr>
          <w:p>
            <w:pPr>
              <w:spacing w:after="0"/>
            </w:pPr>
            <w:r>
              <w:rPr>
                <w:rFonts w:ascii="Calibri" w:hAnsi="Calibri"/>
                <w:b w:val="0"/>
                <w:i w:val="0"/>
                <w:color w:val="111827"/>
                <w:sz w:val="19"/>
              </w:rPr>
              <w:t>Supported</w:t>
            </w:r>
          </w:p>
        </w:tc>
        <w:tc>
          <w:tcPr>
            <w:tcW w:type="dxa" w:w="4960"/>
            <w:tcMar>
              <w:top w:w="80" w:type="dxa"/>
              <w:start w:w="120" w:type="dxa"/>
              <w:bottom w:w="80" w:type="dxa"/>
              <w:end w:w="120" w:type="dxa"/>
            </w:tcMar>
            <w:vAlign w:val="center"/>
          </w:tcPr>
          <w:p>
            <w:pPr>
              <w:spacing w:after="0"/>
            </w:pPr>
            <w:r>
              <w:rPr>
                <w:rFonts w:ascii="Calibri" w:hAnsi="Calibri"/>
                <w:b w:val="0"/>
                <w:i w:val="0"/>
                <w:color w:val="111827"/>
                <w:sz w:val="19"/>
              </w:rPr>
              <w:t>Testing and manual batch imports</w:t>
            </w:r>
          </w:p>
        </w:tc>
      </w:tr>
      <w:tr>
        <w:tc>
          <w:tcPr>
            <w:tcW w:type="dxa" w:w="2400"/>
            <w:tcMar>
              <w:top w:w="80" w:type="dxa"/>
              <w:start w:w="120" w:type="dxa"/>
              <w:bottom w:w="80" w:type="dxa"/>
              <w:end w:w="120" w:type="dxa"/>
            </w:tcMar>
            <w:vAlign w:val="center"/>
          </w:tcPr>
          <w:p>
            <w:pPr>
              <w:spacing w:after="0"/>
            </w:pPr>
            <w:r>
              <w:rPr>
                <w:rFonts w:ascii="Calibri" w:hAnsi="Calibri"/>
                <w:b w:val="0"/>
                <w:i w:val="0"/>
                <w:color w:val="111827"/>
                <w:sz w:val="19"/>
              </w:rPr>
              <w:t>HTTP API JSON</w:t>
            </w:r>
          </w:p>
        </w:tc>
        <w:tc>
          <w:tcPr>
            <w:tcW w:type="dxa" w:w="2000"/>
            <w:tcMar>
              <w:top w:w="80" w:type="dxa"/>
              <w:start w:w="120" w:type="dxa"/>
              <w:bottom w:w="80" w:type="dxa"/>
              <w:end w:w="120" w:type="dxa"/>
            </w:tcMar>
            <w:vAlign w:val="center"/>
          </w:tcPr>
          <w:p>
            <w:pPr>
              <w:spacing w:after="0"/>
            </w:pPr>
            <w:r>
              <w:rPr>
                <w:rFonts w:ascii="Calibri" w:hAnsi="Calibri"/>
                <w:b w:val="0"/>
                <w:i w:val="0"/>
                <w:color w:val="111827"/>
                <w:sz w:val="19"/>
              </w:rPr>
              <w:t>Supported</w:t>
            </w:r>
          </w:p>
        </w:tc>
        <w:tc>
          <w:tcPr>
            <w:tcW w:type="dxa" w:w="4960"/>
            <w:tcMar>
              <w:top w:w="80" w:type="dxa"/>
              <w:start w:w="120" w:type="dxa"/>
              <w:bottom w:w="80" w:type="dxa"/>
              <w:end w:w="120" w:type="dxa"/>
            </w:tcMar>
            <w:vAlign w:val="center"/>
          </w:tcPr>
          <w:p>
            <w:pPr>
              <w:spacing w:after="0"/>
            </w:pPr>
            <w:r>
              <w:rPr>
                <w:rFonts w:ascii="Calibri" w:hAnsi="Calibri"/>
                <w:b w:val="0"/>
                <w:i w:val="0"/>
                <w:color w:val="111827"/>
                <w:sz w:val="19"/>
              </w:rPr>
              <w:t>External provider or system integration</w:t>
            </w:r>
          </w:p>
        </w:tc>
      </w:tr>
      <w:tr>
        <w:tc>
          <w:tcPr>
            <w:tcW w:type="dxa" w:w="2400"/>
            <w:tcMar>
              <w:top w:w="80" w:type="dxa"/>
              <w:start w:w="120" w:type="dxa"/>
              <w:bottom w:w="80" w:type="dxa"/>
              <w:end w:w="120" w:type="dxa"/>
            </w:tcMar>
            <w:vAlign w:val="center"/>
          </w:tcPr>
          <w:p>
            <w:pPr>
              <w:spacing w:after="0"/>
            </w:pPr>
            <w:r>
              <w:rPr>
                <w:rFonts w:ascii="Calibri" w:hAnsi="Calibri"/>
                <w:b w:val="0"/>
                <w:i w:val="0"/>
                <w:color w:val="111827"/>
                <w:sz w:val="19"/>
              </w:rPr>
              <w:t>Pasted JSON</w:t>
            </w:r>
          </w:p>
        </w:tc>
        <w:tc>
          <w:tcPr>
            <w:tcW w:type="dxa" w:w="2000"/>
            <w:tcMar>
              <w:top w:w="80" w:type="dxa"/>
              <w:start w:w="120" w:type="dxa"/>
              <w:bottom w:w="80" w:type="dxa"/>
              <w:end w:w="120" w:type="dxa"/>
            </w:tcMar>
            <w:vAlign w:val="center"/>
          </w:tcPr>
          <w:p>
            <w:pPr>
              <w:spacing w:after="0"/>
            </w:pPr>
            <w:r>
              <w:rPr>
                <w:rFonts w:ascii="Calibri" w:hAnsi="Calibri"/>
                <w:b w:val="0"/>
                <w:i w:val="0"/>
                <w:color w:val="111827"/>
                <w:sz w:val="19"/>
              </w:rPr>
              <w:t>Supported in local test UI</w:t>
            </w:r>
          </w:p>
        </w:tc>
        <w:tc>
          <w:tcPr>
            <w:tcW w:type="dxa" w:w="4960"/>
            <w:tcMar>
              <w:top w:w="80" w:type="dxa"/>
              <w:start w:w="120" w:type="dxa"/>
              <w:bottom w:w="80" w:type="dxa"/>
              <w:end w:w="120" w:type="dxa"/>
            </w:tcMar>
            <w:vAlign w:val="center"/>
          </w:tcPr>
          <w:p>
            <w:pPr>
              <w:spacing w:after="0"/>
            </w:pPr>
            <w:r>
              <w:rPr>
                <w:rFonts w:ascii="Calibri" w:hAnsi="Calibri"/>
                <w:b w:val="0"/>
                <w:i w:val="0"/>
                <w:color w:val="111827"/>
                <w:sz w:val="19"/>
              </w:rPr>
              <w:t>Fast developer testing</w:t>
            </w:r>
          </w:p>
        </w:tc>
      </w:tr>
    </w:tbl>
    <w:p>
      <w:pPr>
        <w:spacing w:after="20"/>
      </w:pPr>
    </w:p>
    <w:p>
      <w:pPr>
        <w:pStyle w:val="Heading2"/>
      </w:pPr>
      <w:r>
        <w:t>6.1 Normalized Delivery Fields</w:t>
      </w:r>
    </w:p>
    <w:p>
      <w:pPr>
        <w:pStyle w:val="ListBullet"/>
      </w:pPr>
      <w:r>
        <w:rPr>
          <w:rFonts w:ascii="Calibri" w:hAnsi="Calibri"/>
          <w:b w:val="0"/>
          <w:i w:val="0"/>
          <w:color w:val="111827"/>
          <w:sz w:val="22"/>
        </w:rPr>
        <w:t>Core: match, innings, over, ball, batter/batsman, bowler, non-striker.</w:t>
      </w:r>
    </w:p>
    <w:p>
      <w:pPr>
        <w:pStyle w:val="ListBullet"/>
      </w:pPr>
      <w:r>
        <w:rPr>
          <w:rFonts w:ascii="Calibri" w:hAnsi="Calibri"/>
          <w:b w:val="0"/>
          <w:i w:val="0"/>
          <w:color w:val="111827"/>
          <w:sz w:val="22"/>
        </w:rPr>
        <w:t>Outcome: batter runs, extras, total runs, wicket, dismissal details and score.</w:t>
      </w:r>
    </w:p>
    <w:p>
      <w:pPr>
        <w:pStyle w:val="ListBullet"/>
      </w:pPr>
      <w:r>
        <w:rPr>
          <w:rFonts w:ascii="Calibri" w:hAnsi="Calibri"/>
          <w:b w:val="0"/>
          <w:i w:val="0"/>
          <w:color w:val="111827"/>
          <w:sz w:val="22"/>
        </w:rPr>
        <w:t>Context: team, opponent, run rate, match format, phase, target and required rate where available.</w:t>
      </w:r>
    </w:p>
    <w:p>
      <w:pPr>
        <w:pStyle w:val="ListBullet"/>
      </w:pPr>
      <w:r>
        <w:rPr>
          <w:rFonts w:ascii="Calibri" w:hAnsi="Calibri"/>
          <w:b w:val="0"/>
          <w:i w:val="0"/>
          <w:color w:val="111827"/>
          <w:sz w:val="22"/>
        </w:rPr>
        <w:t>Wagon wheel: field_x, field_y, field_area and shot-direction context where available.</w:t>
      </w:r>
    </w:p>
    <w:p>
      <w:pPr>
        <w:pStyle w:val="ListBullet"/>
      </w:pPr>
      <w:r>
        <w:rPr>
          <w:rFonts w:ascii="Calibri" w:hAnsi="Calibri"/>
          <w:b w:val="0"/>
          <w:i w:val="0"/>
          <w:color w:val="111827"/>
          <w:sz w:val="22"/>
        </w:rPr>
        <w:t>Future fields: ball length and delivery type can be added without changing the overall flow.</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7F3EC"/>
          </w:tcPr>
          <w:p>
            <w:pPr>
              <w:spacing w:after="0"/>
            </w:pPr>
            <w:r>
              <w:rPr>
                <w:rFonts w:ascii="Calibri" w:hAnsi="Calibri"/>
                <w:b/>
                <w:i w:val="0"/>
                <w:color w:val="1F4D78"/>
                <w:sz w:val="22"/>
              </w:rPr>
              <w:t xml:space="preserve">Grounding rule  </w:t>
            </w:r>
            <w:r>
              <w:rPr>
                <w:rFonts w:ascii="Calibri" w:hAnsi="Calibri"/>
                <w:b w:val="0"/>
                <w:i w:val="0"/>
                <w:color w:val="111827"/>
                <w:sz w:val="22"/>
              </w:rPr>
              <w:t>The generator must use only the normalized source data supplied to it. Missing information must not be invented.</w:t>
            </w:r>
          </w:p>
        </w:tc>
      </w:tr>
    </w:tbl>
    <w:p>
      <w:pPr>
        <w:spacing w:after="20"/>
      </w:pPr>
    </w:p>
    <w:p>
      <w:pPr>
        <w:pStyle w:val="Heading1"/>
      </w:pPr>
      <w:r>
        <w:t>7. Commentary Tasks and Match Formats</w:t>
      </w:r>
    </w:p>
    <w:p>
      <w:pPr>
        <w:pStyle w:val="Heading2"/>
      </w:pPr>
      <w:r>
        <w:t>7.1 Core Commentary Tasks</w:t>
      </w:r>
    </w:p>
    <w:tbl>
      <w:tblPr>
        <w:tblStyle w:val="TableGrid"/>
        <w:tblW w:type="dxa" w:w="9360"/>
        <w:tblLayout w:type="fixed"/>
        <w:tblLook w:firstColumn="1" w:firstRow="1" w:lastColumn="0" w:lastRow="0" w:noHBand="0" w:noVBand="1" w:val="04A0"/>
        <w:jc w:val="center"/>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jc w:val="left"/>
            </w:pPr>
            <w:r>
              <w:rPr>
                <w:rFonts w:ascii="Calibri" w:hAnsi="Calibri"/>
                <w:b/>
                <w:i w:val="0"/>
                <w:color w:val="17365D"/>
                <w:sz w:val="19"/>
              </w:rPr>
              <w:t>Category</w:t>
            </w:r>
          </w:p>
        </w:tc>
        <w:tc>
          <w:tcPr>
            <w:tcW w:type="dxa" w:w="7060"/>
            <w:tcMar>
              <w:top w:w="80" w:type="dxa"/>
              <w:start w:w="120" w:type="dxa"/>
              <w:bottom w:w="80" w:type="dxa"/>
              <w:end w:w="120" w:type="dxa"/>
            </w:tcMar>
            <w:vAlign w:val="center"/>
            <w:shd w:fill="E8EEF5"/>
          </w:tcPr>
          <w:p>
            <w:pPr>
              <w:jc w:val="left"/>
            </w:pPr>
            <w:r>
              <w:rPr>
                <w:rFonts w:ascii="Calibri" w:hAnsi="Calibri"/>
                <w:b/>
                <w:i w:val="0"/>
                <w:color w:val="17365D"/>
                <w:sz w:val="19"/>
              </w:rPr>
              <w:t>Representative tasks</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9"/>
              </w:rPr>
              <w:t>Live broadcast</w:t>
            </w:r>
          </w:p>
        </w:tc>
        <w:tc>
          <w:tcPr>
            <w:tcW w:type="dxa" w:w="7060"/>
            <w:tcMar>
              <w:top w:w="80" w:type="dxa"/>
              <w:start w:w="120" w:type="dxa"/>
              <w:bottom w:w="80" w:type="dxa"/>
              <w:end w:w="120" w:type="dxa"/>
            </w:tcMar>
            <w:vAlign w:val="center"/>
          </w:tcPr>
          <w:p>
            <w:pPr>
              <w:spacing w:after="0"/>
            </w:pPr>
            <w:r>
              <w:rPr>
                <w:rFonts w:ascii="Calibri" w:hAnsi="Calibri"/>
                <w:b w:val="0"/>
                <w:i w:val="0"/>
                <w:color w:val="111827"/>
                <w:sz w:val="19"/>
              </w:rPr>
              <w:t>live_ball_short, live_ball_extended, wicket_alert, boundary_special</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9"/>
              </w:rPr>
              <w:t>Over and innings</w:t>
            </w:r>
          </w:p>
        </w:tc>
        <w:tc>
          <w:tcPr>
            <w:tcW w:type="dxa" w:w="7060"/>
            <w:tcMar>
              <w:top w:w="80" w:type="dxa"/>
              <w:start w:w="120" w:type="dxa"/>
              <w:bottom w:w="80" w:type="dxa"/>
              <w:end w:w="120" w:type="dxa"/>
            </w:tcMar>
            <w:vAlign w:val="center"/>
          </w:tcPr>
          <w:p>
            <w:pPr>
              <w:spacing w:after="0"/>
            </w:pPr>
            <w:r>
              <w:rPr>
                <w:rFonts w:ascii="Calibri" w:hAnsi="Calibri"/>
                <w:b w:val="0"/>
                <w:i w:val="0"/>
                <w:color w:val="111827"/>
                <w:sz w:val="19"/>
              </w:rPr>
              <w:t>end_of_over, end_of_over_short, end_of_over_extended, powerplay_summary, death_over_summary, innings_break_summary</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9"/>
              </w:rPr>
              <w:t>Match analysis</w:t>
            </w:r>
          </w:p>
        </w:tc>
        <w:tc>
          <w:tcPr>
            <w:tcW w:type="dxa" w:w="7060"/>
            <w:tcMar>
              <w:top w:w="80" w:type="dxa"/>
              <w:start w:w="120" w:type="dxa"/>
              <w:bottom w:w="80" w:type="dxa"/>
              <w:end w:w="120" w:type="dxa"/>
            </w:tcMar>
            <w:vAlign w:val="center"/>
          </w:tcPr>
          <w:p>
            <w:pPr>
              <w:spacing w:after="0"/>
            </w:pPr>
            <w:r>
              <w:rPr>
                <w:rFonts w:ascii="Calibri" w:hAnsi="Calibri"/>
                <w:b w:val="0"/>
                <w:i w:val="0"/>
                <w:color w:val="111827"/>
                <w:sz w:val="19"/>
              </w:rPr>
              <w:t>match_situation_snapshot, projected_score, win_probability, full_match_report</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9"/>
              </w:rPr>
              <w:t>Milestones and media</w:t>
            </w:r>
          </w:p>
        </w:tc>
        <w:tc>
          <w:tcPr>
            <w:tcW w:type="dxa" w:w="7060"/>
            <w:tcMar>
              <w:top w:w="80" w:type="dxa"/>
              <w:start w:w="120" w:type="dxa"/>
              <w:bottom w:w="80" w:type="dxa"/>
              <w:end w:w="120" w:type="dxa"/>
            </w:tcMar>
            <w:vAlign w:val="center"/>
          </w:tcPr>
          <w:p>
            <w:pPr>
              <w:spacing w:after="0"/>
            </w:pPr>
            <w:r>
              <w:rPr>
                <w:rFonts w:ascii="Calibri" w:hAnsi="Calibri"/>
                <w:b w:val="0"/>
                <w:i w:val="0"/>
                <w:color w:val="111827"/>
                <w:sz w:val="19"/>
              </w:rPr>
              <w:t>player_milestone, partnership_milestone, social_caption, highlight_moment_check</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9"/>
              </w:rPr>
              <w:t>Quality assurance</w:t>
            </w:r>
          </w:p>
        </w:tc>
        <w:tc>
          <w:tcPr>
            <w:tcW w:type="dxa" w:w="7060"/>
            <w:tcMar>
              <w:top w:w="80" w:type="dxa"/>
              <w:start w:w="120" w:type="dxa"/>
              <w:bottom w:w="80" w:type="dxa"/>
              <w:end w:w="120" w:type="dxa"/>
            </w:tcMar>
            <w:vAlign w:val="center"/>
          </w:tcPr>
          <w:p>
            <w:pPr>
              <w:spacing w:after="0"/>
            </w:pPr>
            <w:r>
              <w:rPr>
                <w:rFonts w:ascii="Calibri" w:hAnsi="Calibri"/>
                <w:b w:val="0"/>
                <w:i w:val="0"/>
                <w:color w:val="111827"/>
                <w:sz w:val="19"/>
              </w:rPr>
              <w:t>consistency_check, tone_audit, missing_data</w:t>
            </w:r>
          </w:p>
        </w:tc>
      </w:tr>
    </w:tbl>
    <w:p>
      <w:pPr>
        <w:spacing w:after="20"/>
      </w:pPr>
    </w:p>
    <w:p>
      <w:pPr>
        <w:pStyle w:val="Heading2"/>
      </w:pPr>
      <w:r>
        <w:t>7.2 Automatic Router Examples</w:t>
      </w:r>
    </w:p>
    <w:tbl>
      <w:tblPr>
        <w:tblStyle w:val="TableGrid"/>
        <w:tblW w:type="dxa" w:w="9360"/>
        <w:tblLayout w:type="fixed"/>
        <w:tblLook w:firstColumn="1" w:firstRow="1" w:lastColumn="0" w:lastRow="0" w:noHBand="0" w:noVBand="1" w:val="04A0"/>
        <w:jc w:val="center"/>
        <w:tblInd w:w="120" w:type="dxa"/>
      </w:tblPr>
      <w:tblGrid>
        <w:gridCol w:w="3000"/>
        <w:gridCol w:w="6360"/>
      </w:tblGrid>
      <w:tr>
        <w:trPr>
          <w:tblHeader w:val="true"/>
        </w:trPr>
        <w:tc>
          <w:tcPr>
            <w:tcW w:type="dxa" w:w="3000"/>
            <w:tcMar>
              <w:top w:w="80" w:type="dxa"/>
              <w:start w:w="120" w:type="dxa"/>
              <w:bottom w:w="80" w:type="dxa"/>
              <w:end w:w="120" w:type="dxa"/>
            </w:tcMar>
            <w:vAlign w:val="center"/>
            <w:shd w:fill="E8EEF5"/>
          </w:tcPr>
          <w:p>
            <w:pPr>
              <w:jc w:val="left"/>
            </w:pPr>
            <w:r>
              <w:rPr>
                <w:rFonts w:ascii="Calibri" w:hAnsi="Calibri"/>
                <w:b/>
                <w:i w:val="0"/>
                <w:color w:val="17365D"/>
                <w:sz w:val="19"/>
              </w:rPr>
              <w:t>Event condition</w:t>
            </w:r>
          </w:p>
        </w:tc>
        <w:tc>
          <w:tcPr>
            <w:tcW w:type="dxa" w:w="6360"/>
            <w:tcMar>
              <w:top w:w="80" w:type="dxa"/>
              <w:start w:w="120" w:type="dxa"/>
              <w:bottom w:w="80" w:type="dxa"/>
              <w:end w:w="120" w:type="dxa"/>
            </w:tcMar>
            <w:vAlign w:val="center"/>
            <w:shd w:fill="E8EEF5"/>
          </w:tcPr>
          <w:p>
            <w:pPr>
              <w:jc w:val="left"/>
            </w:pPr>
            <w:r>
              <w:rPr>
                <w:rFonts w:ascii="Calibri" w:hAnsi="Calibri"/>
                <w:b/>
                <w:i w:val="0"/>
                <w:color w:val="17365D"/>
                <w:sz w:val="19"/>
              </w:rPr>
              <w:t>Automatic task selection</w:t>
            </w:r>
          </w:p>
        </w:tc>
      </w:tr>
      <w:tr>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Every valid delivery</w:t>
            </w:r>
          </w:p>
        </w:tc>
        <w:tc>
          <w:tcPr>
            <w:tcW w:type="dxa" w:w="6360"/>
            <w:tcMar>
              <w:top w:w="80" w:type="dxa"/>
              <w:start w:w="120" w:type="dxa"/>
              <w:bottom w:w="80" w:type="dxa"/>
              <w:end w:w="120" w:type="dxa"/>
            </w:tcMar>
            <w:vAlign w:val="center"/>
          </w:tcPr>
          <w:p>
            <w:pPr>
              <w:spacing w:after="0"/>
            </w:pPr>
            <w:r>
              <w:rPr>
                <w:rFonts w:ascii="Calibri" w:hAnsi="Calibri"/>
                <w:b w:val="0"/>
                <w:i w:val="0"/>
                <w:color w:val="111827"/>
                <w:sz w:val="19"/>
              </w:rPr>
              <w:t>Live ball commentary</w:t>
            </w:r>
          </w:p>
        </w:tc>
      </w:tr>
      <w:tr>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Four or six</w:t>
            </w:r>
          </w:p>
        </w:tc>
        <w:tc>
          <w:tcPr>
            <w:tcW w:type="dxa" w:w="6360"/>
            <w:tcMar>
              <w:top w:w="80" w:type="dxa"/>
              <w:start w:w="120" w:type="dxa"/>
              <w:bottom w:w="80" w:type="dxa"/>
              <w:end w:w="120" w:type="dxa"/>
            </w:tcMar>
            <w:vAlign w:val="center"/>
          </w:tcPr>
          <w:p>
            <w:pPr>
              <w:spacing w:after="0"/>
            </w:pPr>
            <w:r>
              <w:rPr>
                <w:rFonts w:ascii="Calibri" w:hAnsi="Calibri"/>
                <w:b w:val="0"/>
                <w:i w:val="0"/>
                <w:color w:val="111827"/>
                <w:sz w:val="19"/>
              </w:rPr>
              <w:t>Live ball plus boundary-special commentary</w:t>
            </w:r>
          </w:p>
        </w:tc>
      </w:tr>
      <w:tr>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Wicket</w:t>
            </w:r>
          </w:p>
        </w:tc>
        <w:tc>
          <w:tcPr>
            <w:tcW w:type="dxa" w:w="6360"/>
            <w:tcMar>
              <w:top w:w="80" w:type="dxa"/>
              <w:start w:w="120" w:type="dxa"/>
              <w:bottom w:w="80" w:type="dxa"/>
              <w:end w:w="120" w:type="dxa"/>
            </w:tcMar>
            <w:vAlign w:val="center"/>
          </w:tcPr>
          <w:p>
            <w:pPr>
              <w:spacing w:after="0"/>
            </w:pPr>
            <w:r>
              <w:rPr>
                <w:rFonts w:ascii="Calibri" w:hAnsi="Calibri"/>
                <w:b w:val="0"/>
                <w:i w:val="0"/>
                <w:color w:val="111827"/>
                <w:sz w:val="19"/>
              </w:rPr>
              <w:t>Live ball plus wicket alert and highlight consideration</w:t>
            </w:r>
          </w:p>
        </w:tc>
      </w:tr>
      <w:tr>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Last legal ball of over</w:t>
            </w:r>
          </w:p>
        </w:tc>
        <w:tc>
          <w:tcPr>
            <w:tcW w:type="dxa" w:w="6360"/>
            <w:tcMar>
              <w:top w:w="80" w:type="dxa"/>
              <w:start w:w="120" w:type="dxa"/>
              <w:bottom w:w="80" w:type="dxa"/>
              <w:end w:w="120" w:type="dxa"/>
            </w:tcMar>
            <w:vAlign w:val="center"/>
          </w:tcPr>
          <w:p>
            <w:pPr>
              <w:spacing w:after="0"/>
            </w:pPr>
            <w:r>
              <w:rPr>
                <w:rFonts w:ascii="Calibri" w:hAnsi="Calibri"/>
                <w:b w:val="0"/>
                <w:i w:val="0"/>
                <w:color w:val="111827"/>
                <w:sz w:val="19"/>
              </w:rPr>
              <w:t>Default end-of-over summary</w:t>
            </w:r>
          </w:p>
        </w:tc>
      </w:tr>
      <w:tr>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End of innings</w:t>
            </w:r>
          </w:p>
        </w:tc>
        <w:tc>
          <w:tcPr>
            <w:tcW w:type="dxa" w:w="6360"/>
            <w:tcMar>
              <w:top w:w="80" w:type="dxa"/>
              <w:start w:w="120" w:type="dxa"/>
              <w:bottom w:w="80" w:type="dxa"/>
              <w:end w:w="120" w:type="dxa"/>
            </w:tcMar>
            <w:vAlign w:val="center"/>
          </w:tcPr>
          <w:p>
            <w:pPr>
              <w:spacing w:after="0"/>
            </w:pPr>
            <w:r>
              <w:rPr>
                <w:rFonts w:ascii="Calibri" w:hAnsi="Calibri"/>
                <w:b w:val="0"/>
                <w:i w:val="0"/>
                <w:color w:val="111827"/>
                <w:sz w:val="19"/>
              </w:rPr>
              <w:t>Innings-break summary</w:t>
            </w:r>
          </w:p>
        </w:tc>
      </w:tr>
      <w:tr>
        <w:tc>
          <w:tcPr>
            <w:tcW w:type="dxa" w:w="3000"/>
            <w:tcMar>
              <w:top w:w="80" w:type="dxa"/>
              <w:start w:w="120" w:type="dxa"/>
              <w:bottom w:w="80" w:type="dxa"/>
              <w:end w:w="120" w:type="dxa"/>
            </w:tcMar>
            <w:vAlign w:val="center"/>
          </w:tcPr>
          <w:p>
            <w:pPr>
              <w:spacing w:after="0"/>
            </w:pPr>
            <w:r>
              <w:rPr>
                <w:rFonts w:ascii="Calibri" w:hAnsi="Calibri"/>
                <w:b w:val="0"/>
                <w:i w:val="0"/>
                <w:color w:val="111827"/>
                <w:sz w:val="19"/>
              </w:rPr>
              <w:t>Match completion</w:t>
            </w:r>
          </w:p>
        </w:tc>
        <w:tc>
          <w:tcPr>
            <w:tcW w:type="dxa" w:w="6360"/>
            <w:tcMar>
              <w:top w:w="80" w:type="dxa"/>
              <w:start w:w="120" w:type="dxa"/>
              <w:bottom w:w="80" w:type="dxa"/>
              <w:end w:w="120" w:type="dxa"/>
            </w:tcMar>
            <w:vAlign w:val="center"/>
          </w:tcPr>
          <w:p>
            <w:pPr>
              <w:spacing w:after="0"/>
            </w:pPr>
            <w:r>
              <w:rPr>
                <w:rFonts w:ascii="Calibri" w:hAnsi="Calibri"/>
                <w:b w:val="0"/>
                <w:i w:val="0"/>
                <w:color w:val="111827"/>
                <w:sz w:val="19"/>
              </w:rPr>
              <w:t>Match-winning moment and match report tasks</w:t>
            </w:r>
          </w:p>
        </w:tc>
      </w:tr>
    </w:tbl>
    <w:p>
      <w:pPr>
        <w:spacing w:after="20"/>
      </w:pPr>
    </w:p>
    <w:p>
      <w:pPr>
        <w:pStyle w:val="Heading2"/>
      </w:pPr>
      <w:r>
        <w:t>7.3 Match Format Awareness</w:t>
      </w:r>
    </w:p>
    <w:p>
      <w:r>
        <w:rPr>
          <w:rFonts w:ascii="Calibri" w:hAnsi="Calibri"/>
          <w:b w:val="0"/>
          <w:i w:val="0"/>
          <w:color w:val="111827"/>
          <w:sz w:val="22"/>
        </w:rPr>
        <w:t>The module uses match format and overs-per-match data to adjust phase detection, innings completion logic and commentary tone.</w:t>
      </w:r>
    </w:p>
    <w:tbl>
      <w:tblPr>
        <w:tblStyle w:val="TableGrid"/>
        <w:tblW w:type="dxa" w:w="9360"/>
        <w:tblLayout w:type="fixed"/>
        <w:tblLook w:firstColumn="1" w:firstRow="1" w:lastColumn="0" w:lastRow="0" w:noHBand="0" w:noVBand="1" w:val="04A0"/>
        <w:jc w:val="center"/>
        <w:tblInd w:w="120" w:type="dxa"/>
      </w:tblPr>
      <w:tblGrid>
        <w:gridCol w:w="2600"/>
        <w:gridCol w:w="6760"/>
      </w:tblGrid>
      <w:tr>
        <w:trPr>
          <w:tblHeader w:val="true"/>
        </w:trPr>
        <w:tc>
          <w:tcPr>
            <w:tcW w:type="dxa" w:w="2600"/>
            <w:tcMar>
              <w:top w:w="80" w:type="dxa"/>
              <w:start w:w="120" w:type="dxa"/>
              <w:bottom w:w="80" w:type="dxa"/>
              <w:end w:w="120" w:type="dxa"/>
            </w:tcMar>
            <w:vAlign w:val="center"/>
            <w:shd w:fill="E8EEF5"/>
          </w:tcPr>
          <w:p>
            <w:pPr>
              <w:jc w:val="left"/>
            </w:pPr>
            <w:r>
              <w:rPr>
                <w:rFonts w:ascii="Calibri" w:hAnsi="Calibri"/>
                <w:b/>
                <w:i w:val="0"/>
                <w:color w:val="17365D"/>
                <w:sz w:val="19"/>
              </w:rPr>
              <w:t>Format</w:t>
            </w:r>
          </w:p>
        </w:tc>
        <w:tc>
          <w:tcPr>
            <w:tcW w:type="dxa" w:w="6760"/>
            <w:tcMar>
              <w:top w:w="80" w:type="dxa"/>
              <w:start w:w="120" w:type="dxa"/>
              <w:bottom w:w="80" w:type="dxa"/>
              <w:end w:w="120" w:type="dxa"/>
            </w:tcMar>
            <w:vAlign w:val="center"/>
            <w:shd w:fill="E8EEF5"/>
          </w:tcPr>
          <w:p>
            <w:pPr>
              <w:jc w:val="left"/>
            </w:pPr>
            <w:r>
              <w:rPr>
                <w:rFonts w:ascii="Calibri" w:hAnsi="Calibri"/>
                <w:b/>
                <w:i w:val="0"/>
                <w:color w:val="17365D"/>
                <w:sz w:val="19"/>
              </w:rPr>
              <w:t>Default behavior when overs-per-match is absent</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T20 / Twenty20</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20 overs; short phases and late-innings acceleration</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ODI / List A</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50 overs; longer accumulation and phase analysis</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T10</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10 overs; compressed powerplay and acceleration windows</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Test / first-class / timed</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No limited-overs automatic innings end; long-form match context</w:t>
            </w:r>
          </w:p>
        </w:tc>
      </w:tr>
      <w:tr>
        <w:tc>
          <w:tcPr>
            <w:tcW w:type="dxa" w:w="2600"/>
            <w:tcMar>
              <w:top w:w="80" w:type="dxa"/>
              <w:start w:w="120" w:type="dxa"/>
              <w:bottom w:w="80" w:type="dxa"/>
              <w:end w:w="120" w:type="dxa"/>
            </w:tcMar>
            <w:vAlign w:val="center"/>
          </w:tcPr>
          <w:p>
            <w:pPr>
              <w:spacing w:after="0"/>
            </w:pPr>
            <w:r>
              <w:rPr>
                <w:rFonts w:ascii="Calibri" w:hAnsi="Calibri"/>
                <w:b w:val="0"/>
                <w:i w:val="0"/>
                <w:color w:val="111827"/>
                <w:sz w:val="19"/>
              </w:rPr>
              <w:t>Custom</w:t>
            </w:r>
          </w:p>
        </w:tc>
        <w:tc>
          <w:tcPr>
            <w:tcW w:type="dxa" w:w="6760"/>
            <w:tcMar>
              <w:top w:w="80" w:type="dxa"/>
              <w:start w:w="120" w:type="dxa"/>
              <w:bottom w:w="80" w:type="dxa"/>
              <w:end w:w="120" w:type="dxa"/>
            </w:tcMar>
            <w:vAlign w:val="center"/>
          </w:tcPr>
          <w:p>
            <w:pPr>
              <w:spacing w:after="0"/>
            </w:pPr>
            <w:r>
              <w:rPr>
                <w:rFonts w:ascii="Calibri" w:hAnsi="Calibri"/>
                <w:b w:val="0"/>
                <w:i w:val="0"/>
                <w:color w:val="111827"/>
                <w:sz w:val="19"/>
              </w:rPr>
              <w:t>Uses the overs-per-match value supplied by the scoring system</w:t>
            </w:r>
          </w:p>
        </w:tc>
      </w:tr>
    </w:tbl>
    <w:p>
      <w:pPr>
        <w:spacing w:after="20"/>
      </w:pPr>
    </w:p>
    <w:p>
      <w:pPr>
        <w:pStyle w:val="Heading1"/>
      </w:pPr>
      <w:r>
        <w:t>8. Match Settings and Control Modes</w:t>
      </w:r>
    </w:p>
    <w:tbl>
      <w:tblPr>
        <w:tblStyle w:val="TableGrid"/>
        <w:tblW w:type="dxa" w:w="9360"/>
        <w:tblLayout w:type="fixed"/>
        <w:tblLook w:firstColumn="1" w:firstRow="1" w:lastColumn="0" w:lastRow="0" w:noHBand="0" w:noVBand="1" w:val="04A0"/>
        <w:jc w:val="center"/>
        <w:tblInd w:w="120" w:type="dxa"/>
      </w:tblPr>
      <w:tblGrid>
        <w:gridCol w:w="2800"/>
        <w:gridCol w:w="6560"/>
      </w:tblGrid>
      <w:tr>
        <w:trPr>
          <w:tblHeader w:val="true"/>
        </w:trPr>
        <w:tc>
          <w:tcPr>
            <w:tcW w:type="dxa" w:w="2800"/>
            <w:tcMar>
              <w:top w:w="80" w:type="dxa"/>
              <w:start w:w="120" w:type="dxa"/>
              <w:bottom w:w="80" w:type="dxa"/>
              <w:end w:w="120" w:type="dxa"/>
            </w:tcMar>
            <w:vAlign w:val="center"/>
            <w:shd w:fill="E8EEF5"/>
          </w:tcPr>
          <w:p>
            <w:pPr>
              <w:jc w:val="left"/>
            </w:pPr>
            <w:r>
              <w:rPr>
                <w:rFonts w:ascii="Calibri" w:hAnsi="Calibri"/>
                <w:b/>
                <w:i w:val="0"/>
                <w:color w:val="17365D"/>
                <w:sz w:val="19"/>
              </w:rPr>
              <w:t>Mode</w:t>
            </w:r>
          </w:p>
        </w:tc>
        <w:tc>
          <w:tcPr>
            <w:tcW w:type="dxa" w:w="6560"/>
            <w:tcMar>
              <w:top w:w="80" w:type="dxa"/>
              <w:start w:w="120" w:type="dxa"/>
              <w:bottom w:w="80" w:type="dxa"/>
              <w:end w:w="120" w:type="dxa"/>
            </w:tcMar>
            <w:vAlign w:val="center"/>
            <w:shd w:fill="E8EEF5"/>
          </w:tcPr>
          <w:p>
            <w:pPr>
              <w:jc w:val="left"/>
            </w:pPr>
            <w:r>
              <w:rPr>
                <w:rFonts w:ascii="Calibri" w:hAnsi="Calibri"/>
                <w:b/>
                <w:i w:val="0"/>
                <w:color w:val="17365D"/>
                <w:sz w:val="19"/>
              </w:rPr>
              <w:t>Behavior</w:t>
            </w:r>
          </w:p>
        </w:tc>
      </w:tr>
      <w:tr>
        <w:tc>
          <w:tcPr>
            <w:tcW w:type="dxa" w:w="2800"/>
            <w:tcMar>
              <w:top w:w="80" w:type="dxa"/>
              <w:start w:w="120" w:type="dxa"/>
              <w:bottom w:w="80" w:type="dxa"/>
              <w:end w:w="120" w:type="dxa"/>
            </w:tcMar>
            <w:vAlign w:val="center"/>
          </w:tcPr>
          <w:p>
            <w:pPr>
              <w:spacing w:after="0"/>
            </w:pPr>
            <w:r>
              <w:rPr>
                <w:rFonts w:ascii="Calibri" w:hAnsi="Calibri"/>
                <w:b w:val="0"/>
                <w:i w:val="0"/>
                <w:color w:val="111827"/>
                <w:sz w:val="19"/>
              </w:rPr>
              <w:t>auto_with_manual_override</w:t>
            </w:r>
          </w:p>
        </w:tc>
        <w:tc>
          <w:tcPr>
            <w:tcW w:type="dxa" w:w="6560"/>
            <w:tcMar>
              <w:top w:w="80" w:type="dxa"/>
              <w:start w:w="120" w:type="dxa"/>
              <w:bottom w:w="80" w:type="dxa"/>
              <w:end w:w="120" w:type="dxa"/>
            </w:tcMar>
            <w:vAlign w:val="center"/>
          </w:tcPr>
          <w:p>
            <w:pPr>
              <w:spacing w:after="0"/>
            </w:pPr>
            <w:r>
              <w:rPr>
                <w:rFonts w:ascii="Calibri" w:hAnsi="Calibri"/>
                <w:b w:val="0"/>
                <w:i w:val="0"/>
                <w:color w:val="111827"/>
                <w:sz w:val="19"/>
              </w:rPr>
              <w:t>Automatically generates and publishes commentary; an operator can replace incorrect output</w:t>
            </w:r>
          </w:p>
        </w:tc>
      </w:tr>
      <w:tr>
        <w:tc>
          <w:tcPr>
            <w:tcW w:type="dxa" w:w="2800"/>
            <w:tcMar>
              <w:top w:w="80" w:type="dxa"/>
              <w:start w:w="120" w:type="dxa"/>
              <w:bottom w:w="80" w:type="dxa"/>
              <w:end w:w="120" w:type="dxa"/>
            </w:tcMar>
            <w:vAlign w:val="center"/>
          </w:tcPr>
          <w:p>
            <w:pPr>
              <w:spacing w:after="0"/>
            </w:pPr>
            <w:r>
              <w:rPr>
                <w:rFonts w:ascii="Calibri" w:hAnsi="Calibri"/>
                <w:b w:val="0"/>
                <w:i w:val="0"/>
                <w:color w:val="111827"/>
                <w:sz w:val="19"/>
              </w:rPr>
              <w:t>manual_only</w:t>
            </w:r>
          </w:p>
        </w:tc>
        <w:tc>
          <w:tcPr>
            <w:tcW w:type="dxa" w:w="6560"/>
            <w:tcMar>
              <w:top w:w="80" w:type="dxa"/>
              <w:start w:w="120" w:type="dxa"/>
              <w:bottom w:w="80" w:type="dxa"/>
              <w:end w:w="120" w:type="dxa"/>
            </w:tcMar>
            <w:vAlign w:val="center"/>
          </w:tcPr>
          <w:p>
            <w:pPr>
              <w:spacing w:after="0"/>
            </w:pPr>
            <w:r>
              <w:rPr>
                <w:rFonts w:ascii="Calibri" w:hAnsi="Calibri"/>
                <w:b w:val="0"/>
                <w:i w:val="0"/>
                <w:color w:val="111827"/>
                <w:sz w:val="19"/>
              </w:rPr>
              <w:t>Does not automatically generate commentary; operators create selected tasks manually</w:t>
            </w:r>
          </w:p>
        </w:tc>
      </w:tr>
      <w:tr>
        <w:tc>
          <w:tcPr>
            <w:tcW w:type="dxa" w:w="2800"/>
            <w:tcMar>
              <w:top w:w="80" w:type="dxa"/>
              <w:start w:w="120" w:type="dxa"/>
              <w:bottom w:w="80" w:type="dxa"/>
              <w:end w:w="120" w:type="dxa"/>
            </w:tcMar>
            <w:vAlign w:val="center"/>
          </w:tcPr>
          <w:p>
            <w:pPr>
              <w:spacing w:after="0"/>
            </w:pPr>
            <w:r>
              <w:rPr>
                <w:rFonts w:ascii="Calibri" w:hAnsi="Calibri"/>
                <w:b w:val="0"/>
                <w:i w:val="0"/>
                <w:color w:val="111827"/>
                <w:sz w:val="19"/>
              </w:rPr>
              <w:t>off</w:t>
            </w:r>
          </w:p>
        </w:tc>
        <w:tc>
          <w:tcPr>
            <w:tcW w:type="dxa" w:w="6560"/>
            <w:tcMar>
              <w:top w:w="80" w:type="dxa"/>
              <w:start w:w="120" w:type="dxa"/>
              <w:bottom w:w="80" w:type="dxa"/>
              <w:end w:w="120" w:type="dxa"/>
            </w:tcMar>
            <w:vAlign w:val="center"/>
          </w:tcPr>
          <w:p>
            <w:pPr>
              <w:spacing w:after="0"/>
            </w:pPr>
            <w:r>
              <w:rPr>
                <w:rFonts w:ascii="Calibri" w:hAnsi="Calibri"/>
                <w:b w:val="0"/>
                <w:i w:val="0"/>
                <w:color w:val="111827"/>
                <w:sz w:val="19"/>
              </w:rPr>
              <w:t>No commentary requests are generated for the match</w:t>
            </w:r>
          </w:p>
        </w:tc>
      </w:tr>
    </w:tbl>
    <w:p>
      <w:pPr>
        <w:spacing w:after="20"/>
      </w:pPr>
    </w:p>
    <w:p>
      <w:r>
        <w:rPr>
          <w:rFonts w:ascii="Calibri" w:hAnsi="Calibri"/>
          <w:b w:val="0"/>
          <w:i w:val="0"/>
          <w:color w:val="111827"/>
          <w:sz w:val="22"/>
        </w:rPr>
        <w:t>Settings also control language, style profile, undo delay, retry count, fallback enablement and automatic publication.</w:t>
      </w:r>
    </w:p>
    <w:p>
      <w:pPr>
        <w:pStyle w:val="Heading1"/>
      </w:pPr>
      <w:r>
        <w:t>9. AI Generation, Fallback and Quality</w:t>
      </w:r>
    </w:p>
    <w:p>
      <w:pPr>
        <w:pStyle w:val="Heading2"/>
      </w:pPr>
      <w:r>
        <w:t>9.1 Vertex AI Generation</w:t>
      </w:r>
    </w:p>
    <w:p>
      <w:r>
        <w:rPr>
          <w:rFonts w:ascii="Calibri" w:hAnsi="Calibri"/>
          <w:b w:val="0"/>
          <w:i w:val="0"/>
          <w:color w:val="111827"/>
          <w:sz w:val="22"/>
        </w:rPr>
        <w:t>Production uses Vertex AI Gemini through the Cloud Run service account. It does not require a Gemini API key. System instructions define role, grounding and output constraints; changing delivery data is supplied per request.</w:t>
      </w:r>
    </w:p>
    <w:p>
      <w:pPr>
        <w:pStyle w:val="Heading2"/>
      </w:pPr>
      <w:r>
        <w:t>9.2 Fallback Commentary</w:t>
      </w:r>
    </w:p>
    <w:p>
      <w:r>
        <w:rPr>
          <w:rFonts w:ascii="Calibri" w:hAnsi="Calibri"/>
          <w:b w:val="0"/>
          <w:i w:val="0"/>
          <w:color w:val="111827"/>
          <w:sz w:val="22"/>
        </w:rPr>
        <w:t>If Vertex is unavailable, times out or reaches quota, the fallback module returns deterministic commentary using the normalized data. This keeps scoring and dashboard workflows operational without presenting the raw provider error as commentary.</w:t>
      </w:r>
    </w:p>
    <w:p>
      <w:pPr>
        <w:pStyle w:val="Heading2"/>
      </w:pPr>
      <w:r>
        <w:t>9.3 Reliability Rules</w:t>
      </w:r>
    </w:p>
    <w:p>
      <w:pPr>
        <w:pStyle w:val="ListBullet"/>
      </w:pPr>
      <w:r>
        <w:rPr>
          <w:rFonts w:ascii="Calibri" w:hAnsi="Calibri"/>
          <w:b w:val="0"/>
          <w:i w:val="0"/>
          <w:color w:val="111827"/>
          <w:sz w:val="22"/>
        </w:rPr>
        <w:t>Retry AI generation according to match settings before falling back.</w:t>
      </w:r>
    </w:p>
    <w:p>
      <w:pPr>
        <w:pStyle w:val="ListBullet"/>
      </w:pPr>
      <w:r>
        <w:rPr>
          <w:rFonts w:ascii="Calibri" w:hAnsi="Calibri"/>
          <w:b w:val="0"/>
          <w:i w:val="0"/>
          <w:color w:val="111827"/>
          <w:sz w:val="22"/>
        </w:rPr>
        <w:t>Never block scorer delivery saving while waiting for commentary.</w:t>
      </w:r>
    </w:p>
    <w:p>
      <w:pPr>
        <w:pStyle w:val="ListBullet"/>
      </w:pPr>
      <w:r>
        <w:rPr>
          <w:rFonts w:ascii="Calibri" w:hAnsi="Calibri"/>
          <w:b w:val="0"/>
          <w:i w:val="0"/>
          <w:color w:val="111827"/>
          <w:sz w:val="22"/>
        </w:rPr>
        <w:t>Store source as Vertex, fallback or manual for every output.</w:t>
      </w:r>
    </w:p>
    <w:p>
      <w:pPr>
        <w:pStyle w:val="ListBullet"/>
      </w:pPr>
      <w:r>
        <w:rPr>
          <w:rFonts w:ascii="Calibri" w:hAnsi="Calibri"/>
          <w:b w:val="0"/>
          <w:i w:val="0"/>
          <w:color w:val="111827"/>
          <w:sz w:val="22"/>
        </w:rPr>
        <w:t>Store response time, attempts, token usage and error metadata for QA and cost analysis.</w:t>
      </w:r>
    </w:p>
    <w:p>
      <w:pPr>
        <w:pStyle w:val="ListBullet"/>
      </w:pPr>
      <w:r>
        <w:rPr>
          <w:rFonts w:ascii="Calibri" w:hAnsi="Calibri"/>
          <w:b w:val="0"/>
          <w:i w:val="0"/>
          <w:color w:val="111827"/>
          <w:sz w:val="22"/>
        </w:rPr>
        <w:t>Invalidate stale commentary after undo or corrected-delivery events.</w:t>
      </w:r>
    </w:p>
    <w:p>
      <w:pPr>
        <w:pStyle w:val="ListBullet"/>
      </w:pPr>
      <w:r>
        <w:rPr>
          <w:rFonts w:ascii="Calibri" w:hAnsi="Calibri"/>
          <w:b w:val="0"/>
          <w:i w:val="0"/>
          <w:color w:val="111827"/>
          <w:sz w:val="22"/>
        </w:rPr>
        <w:t>Keep prior versions for audit while showing only the current visible version.</w:t>
      </w:r>
    </w:p>
    <w:p>
      <w:r>
        <w:br w:type="page"/>
      </w:r>
    </w:p>
    <w:p>
      <w:pPr>
        <w:pStyle w:val="Heading1"/>
      </w:pPr>
      <w:r>
        <w:t>10. Database Design</w:t>
      </w:r>
    </w:p>
    <w:p>
      <w:r>
        <w:rPr>
          <w:rFonts w:ascii="Calibri" w:hAnsi="Calibri"/>
          <w:b w:val="0"/>
          <w:i w:val="0"/>
          <w:color w:val="111827"/>
          <w:sz w:val="22"/>
        </w:rPr>
        <w:t>The module reads match and delivery data from the shared PostgreSQL scoring database and stores commentary-specific data in dedicated tables. Dedicated tables avoid mixing generated text, versions and operational metadata into core scoring rows.</w:t>
      </w:r>
    </w:p>
    <w:tbl>
      <w:tblPr>
        <w:tblStyle w:val="TableGrid"/>
        <w:tblW w:type="dxa" w:w="9360"/>
        <w:tblLayout w:type="fixed"/>
        <w:tblLook w:firstColumn="1" w:firstRow="1" w:lastColumn="0" w:lastRow="0" w:noHBand="0" w:noVBand="1" w:val="04A0"/>
        <w:jc w:val="center"/>
        <w:tblInd w:w="120" w:type="dxa"/>
      </w:tblPr>
      <w:tblGrid>
        <w:gridCol w:w="2500"/>
        <w:gridCol w:w="2700"/>
        <w:gridCol w:w="4160"/>
      </w:tblGrid>
      <w:tr>
        <w:trPr>
          <w:tblHeader w:val="true"/>
        </w:trPr>
        <w:tc>
          <w:tcPr>
            <w:tcW w:type="dxa" w:w="2500"/>
            <w:tcMar>
              <w:top w:w="80" w:type="dxa"/>
              <w:start w:w="120" w:type="dxa"/>
              <w:bottom w:w="80" w:type="dxa"/>
              <w:end w:w="120" w:type="dxa"/>
            </w:tcMar>
            <w:vAlign w:val="center"/>
            <w:shd w:fill="E8EEF5"/>
          </w:tcPr>
          <w:p>
            <w:pPr>
              <w:jc w:val="left"/>
            </w:pPr>
            <w:r>
              <w:rPr>
                <w:rFonts w:ascii="Calibri" w:hAnsi="Calibri"/>
                <w:b/>
                <w:i w:val="0"/>
                <w:color w:val="17365D"/>
                <w:sz w:val="18"/>
              </w:rPr>
              <w:t>Table</w:t>
            </w:r>
          </w:p>
        </w:tc>
        <w:tc>
          <w:tcPr>
            <w:tcW w:type="dxa" w:w="2700"/>
            <w:tcMar>
              <w:top w:w="80" w:type="dxa"/>
              <w:start w:w="120" w:type="dxa"/>
              <w:bottom w:w="80" w:type="dxa"/>
              <w:end w:w="120" w:type="dxa"/>
            </w:tcMar>
            <w:vAlign w:val="center"/>
            <w:shd w:fill="E8EEF5"/>
          </w:tcPr>
          <w:p>
            <w:pPr>
              <w:jc w:val="left"/>
            </w:pPr>
            <w:r>
              <w:rPr>
                <w:rFonts w:ascii="Calibri" w:hAnsi="Calibri"/>
                <w:b/>
                <w:i w:val="0"/>
                <w:color w:val="17365D"/>
                <w:sz w:val="18"/>
              </w:rPr>
              <w:t>Purpose</w:t>
            </w:r>
          </w:p>
        </w:tc>
        <w:tc>
          <w:tcPr>
            <w:tcW w:type="dxa" w:w="4160"/>
            <w:tcMar>
              <w:top w:w="80" w:type="dxa"/>
              <w:start w:w="120" w:type="dxa"/>
              <w:bottom w:w="80" w:type="dxa"/>
              <w:end w:w="120" w:type="dxa"/>
            </w:tcMar>
            <w:vAlign w:val="center"/>
            <w:shd w:fill="E8EEF5"/>
          </w:tcPr>
          <w:p>
            <w:pPr>
              <w:jc w:val="left"/>
            </w:pPr>
            <w:r>
              <w:rPr>
                <w:rFonts w:ascii="Calibri" w:hAnsi="Calibri"/>
                <w:b/>
                <w:i w:val="0"/>
                <w:color w:val="17365D"/>
                <w:sz w:val="18"/>
              </w:rPr>
              <w:t>Key information</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827"/>
                <w:sz w:val="18"/>
              </w:rPr>
              <w:t>ai_commentary</w:t>
            </w:r>
          </w:p>
        </w:tc>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Stores generated and manual commentary</w:t>
            </w:r>
          </w:p>
        </w:tc>
        <w:tc>
          <w:tcPr>
            <w:tcW w:type="dxa" w:w="4160"/>
            <w:tcMar>
              <w:top w:w="80" w:type="dxa"/>
              <w:start w:w="120" w:type="dxa"/>
              <w:bottom w:w="80" w:type="dxa"/>
              <w:end w:w="120" w:type="dxa"/>
            </w:tcMar>
            <w:vAlign w:val="center"/>
          </w:tcPr>
          <w:p>
            <w:pPr>
              <w:spacing w:after="0"/>
            </w:pPr>
            <w:r>
              <w:rPr>
                <w:rFonts w:ascii="Calibri" w:hAnsi="Calibri"/>
                <w:b w:val="0"/>
                <w:i w:val="0"/>
                <w:color w:val="111827"/>
                <w:sz w:val="18"/>
              </w:rPr>
              <w:t>Related IDs, task, output, source, status, visibility, version, timing, tokens and source payload</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827"/>
                <w:sz w:val="18"/>
              </w:rPr>
              <w:t>ai_commentary_settings</w:t>
            </w:r>
          </w:p>
        </w:tc>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Stores match-level behavior</w:t>
            </w:r>
          </w:p>
        </w:tc>
        <w:tc>
          <w:tcPr>
            <w:tcW w:type="dxa" w:w="4160"/>
            <w:tcMar>
              <w:top w:w="80" w:type="dxa"/>
              <w:start w:w="120" w:type="dxa"/>
              <w:bottom w:w="80" w:type="dxa"/>
              <w:end w:w="120" w:type="dxa"/>
            </w:tcMar>
            <w:vAlign w:val="center"/>
          </w:tcPr>
          <w:p>
            <w:pPr>
              <w:spacing w:after="0"/>
            </w:pPr>
            <w:r>
              <w:rPr>
                <w:rFonts w:ascii="Calibri" w:hAnsi="Calibri"/>
                <w:b w:val="0"/>
                <w:i w:val="0"/>
                <w:color w:val="111827"/>
                <w:sz w:val="18"/>
              </w:rPr>
              <w:t>Mode, language, style, delay, retries, fallback and auto-publish</w:t>
            </w:r>
          </w:p>
        </w:tc>
      </w:tr>
      <w:tr>
        <w:tc>
          <w:tcPr>
            <w:tcW w:type="dxa" w:w="2500"/>
            <w:tcMar>
              <w:top w:w="80" w:type="dxa"/>
              <w:start w:w="120" w:type="dxa"/>
              <w:bottom w:w="80" w:type="dxa"/>
              <w:end w:w="120" w:type="dxa"/>
            </w:tcMar>
            <w:vAlign w:val="center"/>
          </w:tcPr>
          <w:p>
            <w:pPr>
              <w:spacing w:after="0"/>
            </w:pPr>
            <w:r>
              <w:rPr>
                <w:rFonts w:ascii="Calibri" w:hAnsi="Calibri"/>
                <w:b w:val="0"/>
                <w:i w:val="0"/>
                <w:color w:val="111827"/>
                <w:sz w:val="18"/>
              </w:rPr>
              <w:t>ai_commentary_event_outbox</w:t>
            </w:r>
          </w:p>
        </w:tc>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Stores reliable events awaiting publication</w:t>
            </w:r>
          </w:p>
        </w:tc>
        <w:tc>
          <w:tcPr>
            <w:tcW w:type="dxa" w:w="4160"/>
            <w:tcMar>
              <w:top w:w="80" w:type="dxa"/>
              <w:start w:w="120" w:type="dxa"/>
              <w:bottom w:w="80" w:type="dxa"/>
              <w:end w:w="120" w:type="dxa"/>
            </w:tcMar>
            <w:vAlign w:val="center"/>
          </w:tcPr>
          <w:p>
            <w:pPr>
              <w:spacing w:after="0"/>
            </w:pPr>
            <w:r>
              <w:rPr>
                <w:rFonts w:ascii="Calibri" w:hAnsi="Calibri"/>
                <w:b w:val="0"/>
                <w:i w:val="0"/>
                <w:color w:val="111827"/>
                <w:sz w:val="18"/>
              </w:rPr>
              <w:t>Event payload, status, attempts, retry time, errors and publication time</w:t>
            </w:r>
          </w:p>
        </w:tc>
      </w:tr>
    </w:tbl>
    <w:p>
      <w:pPr>
        <w:spacing w:after="20"/>
      </w:pPr>
    </w:p>
    <w:p>
      <w:pPr>
        <w:pStyle w:val="Heading2"/>
      </w:pPr>
      <w:r>
        <w:t>10.1 Transactional Outbox</w:t>
      </w:r>
    </w:p>
    <w:p>
      <w:r>
        <w:rPr>
          <w:rFonts w:ascii="Calibri" w:hAnsi="Calibri"/>
          <w:b w:val="0"/>
          <w:i w:val="0"/>
          <w:color w:val="111827"/>
          <w:sz w:val="22"/>
        </w:rPr>
        <w:t>When commentary is saved, an event row is saved in the same transaction. If Pub/Sub is temporarily unavailable, the event remains pending and can be retried. This prevents saved commentary from silently failing to reach realtime dashboards.</w:t>
      </w:r>
    </w:p>
    <w:p>
      <w:pPr>
        <w:pStyle w:val="Heading2"/>
      </w:pPr>
      <w:r>
        <w:t>10.2 Database Migrations</w:t>
      </w:r>
    </w:p>
    <w:tbl>
      <w:tblPr>
        <w:tblStyle w:val="TableGrid"/>
        <w:tblW w:type="dxa" w:w="9360"/>
        <w:tblLayout w:type="fixed"/>
        <w:tblLook w:firstColumn="1" w:firstRow="1" w:lastColumn="0" w:lastRow="0" w:noHBand="0" w:noVBand="1" w:val="04A0"/>
        <w:jc w:val="center"/>
        <w:tblInd w:w="120" w:type="dxa"/>
      </w:tblPr>
      <w:tblGrid>
        <w:gridCol w:w="3700"/>
        <w:gridCol w:w="5660"/>
      </w:tblGrid>
      <w:tr>
        <w:trPr>
          <w:tblHeader w:val="true"/>
        </w:trPr>
        <w:tc>
          <w:tcPr>
            <w:tcW w:type="dxa" w:w="3700"/>
            <w:tcMar>
              <w:top w:w="80" w:type="dxa"/>
              <w:start w:w="120" w:type="dxa"/>
              <w:bottom w:w="80" w:type="dxa"/>
              <w:end w:w="120" w:type="dxa"/>
            </w:tcMar>
            <w:vAlign w:val="center"/>
            <w:shd w:fill="E8EEF5"/>
          </w:tcPr>
          <w:p>
            <w:pPr>
              <w:jc w:val="left"/>
            </w:pPr>
            <w:r>
              <w:rPr>
                <w:rFonts w:ascii="Calibri" w:hAnsi="Calibri"/>
                <w:b/>
                <w:i w:val="0"/>
                <w:color w:val="17365D"/>
                <w:sz w:val="19"/>
              </w:rPr>
              <w:t>Migration</w:t>
            </w:r>
          </w:p>
        </w:tc>
        <w:tc>
          <w:tcPr>
            <w:tcW w:type="dxa" w:w="5660"/>
            <w:tcMar>
              <w:top w:w="80" w:type="dxa"/>
              <w:start w:w="120" w:type="dxa"/>
              <w:bottom w:w="80" w:type="dxa"/>
              <w:end w:w="120" w:type="dxa"/>
            </w:tcMar>
            <w:vAlign w:val="center"/>
            <w:shd w:fill="E8EEF5"/>
          </w:tcPr>
          <w:p>
            <w:pPr>
              <w:jc w:val="left"/>
            </w:pPr>
            <w:r>
              <w:rPr>
                <w:rFonts w:ascii="Calibri" w:hAnsi="Calibri"/>
                <w:b/>
                <w:i w:val="0"/>
                <w:color w:val="17365D"/>
                <w:sz w:val="19"/>
              </w:rPr>
              <w:t>Purpose</w:t>
            </w:r>
          </w:p>
        </w:tc>
      </w:tr>
      <w:tr>
        <w:tc>
          <w:tcPr>
            <w:tcW w:type="dxa" w:w="3700"/>
            <w:tcMar>
              <w:top w:w="80" w:type="dxa"/>
              <w:start w:w="120" w:type="dxa"/>
              <w:bottom w:w="80" w:type="dxa"/>
              <w:end w:w="120" w:type="dxa"/>
            </w:tcMar>
            <w:vAlign w:val="center"/>
          </w:tcPr>
          <w:p>
            <w:pPr>
              <w:spacing w:after="0"/>
            </w:pPr>
            <w:r>
              <w:rPr>
                <w:rFonts w:ascii="Calibri" w:hAnsi="Calibri"/>
                <w:b w:val="0"/>
                <w:i w:val="0"/>
                <w:color w:val="111827"/>
                <w:sz w:val="19"/>
              </w:rPr>
              <w:t>001_create_ai_commentary_tables.sql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Creates commentary and match-settings tables</w:t>
            </w:r>
          </w:p>
        </w:tc>
      </w:tr>
      <w:tr>
        <w:tc>
          <w:tcPr>
            <w:tcW w:type="dxa" w:w="3700"/>
            <w:tcMar>
              <w:top w:w="80" w:type="dxa"/>
              <w:start w:w="120" w:type="dxa"/>
              <w:bottom w:w="80" w:type="dxa"/>
              <w:end w:w="120" w:type="dxa"/>
            </w:tcMar>
            <w:vAlign w:val="center"/>
          </w:tcPr>
          <w:p>
            <w:pPr>
              <w:spacing w:after="0"/>
            </w:pPr>
            <w:r>
              <w:rPr>
                <w:rFonts w:ascii="Calibri" w:hAnsi="Calibri"/>
                <w:b w:val="0"/>
                <w:i w:val="0"/>
                <w:color w:val="111827"/>
                <w:sz w:val="19"/>
              </w:rPr>
              <w:t>002_add_ai_commentary_response_time.sql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Adds response-time tracking</w:t>
            </w:r>
          </w:p>
        </w:tc>
      </w:tr>
      <w:tr>
        <w:tc>
          <w:tcPr>
            <w:tcW w:type="dxa" w:w="3700"/>
            <w:tcMar>
              <w:top w:w="80" w:type="dxa"/>
              <w:start w:w="120" w:type="dxa"/>
              <w:bottom w:w="80" w:type="dxa"/>
              <w:end w:w="120" w:type="dxa"/>
            </w:tcMar>
            <w:vAlign w:val="center"/>
          </w:tcPr>
          <w:p>
            <w:pPr>
              <w:spacing w:after="0"/>
            </w:pPr>
            <w:r>
              <w:rPr>
                <w:rFonts w:ascii="Calibri" w:hAnsi="Calibri"/>
                <w:b w:val="0"/>
                <w:i w:val="0"/>
                <w:color w:val="111827"/>
                <w:sz w:val="19"/>
              </w:rPr>
              <w:t>003_create_commentary_event_outbox.sql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Creates the reliable event outbox</w:t>
            </w:r>
          </w:p>
        </w:tc>
      </w:tr>
      <w:tr>
        <w:tc>
          <w:tcPr>
            <w:tcW w:type="dxa" w:w="3700"/>
            <w:tcMar>
              <w:top w:w="80" w:type="dxa"/>
              <w:start w:w="120" w:type="dxa"/>
              <w:bottom w:w="80" w:type="dxa"/>
              <w:end w:w="120" w:type="dxa"/>
            </w:tcMar>
            <w:vAlign w:val="center"/>
          </w:tcPr>
          <w:p>
            <w:pPr>
              <w:spacing w:after="0"/>
            </w:pPr>
            <w:r>
              <w:rPr>
                <w:rFonts w:ascii="Calibri" w:hAnsi="Calibri"/>
                <w:b w:val="0"/>
                <w:i w:val="0"/>
                <w:color w:val="111827"/>
                <w:sz w:val="19"/>
              </w:rPr>
              <w:t>004_add_production_indexes.sql</w:t>
            </w:r>
          </w:p>
        </w:tc>
        <w:tc>
          <w:tcPr>
            <w:tcW w:type="dxa" w:w="5660"/>
            <w:tcMar>
              <w:top w:w="80" w:type="dxa"/>
              <w:start w:w="120" w:type="dxa"/>
              <w:bottom w:w="80" w:type="dxa"/>
              <w:end w:w="120" w:type="dxa"/>
            </w:tcMar>
            <w:vAlign w:val="center"/>
          </w:tcPr>
          <w:p>
            <w:pPr>
              <w:spacing w:after="0"/>
            </w:pPr>
            <w:r>
              <w:rPr>
                <w:rFonts w:ascii="Calibri" w:hAnsi="Calibri"/>
                <w:b w:val="0"/>
                <w:i w:val="0"/>
                <w:color w:val="111827"/>
                <w:sz w:val="19"/>
              </w:rPr>
              <w:t>Adds retrieval and operational indexes</w:t>
            </w:r>
          </w:p>
        </w:tc>
      </w:tr>
    </w:tbl>
    <w:p>
      <w:pPr>
        <w:spacing w:after="20"/>
      </w:pPr>
    </w:p>
    <w:p>
      <w:pPr>
        <w:pStyle w:val="Heading1"/>
      </w:pPr>
      <w:r>
        <w:t>11. FastAPI Reference</w:t>
      </w:r>
    </w:p>
    <w:p>
      <w:r>
        <w:rPr>
          <w:rFonts w:ascii="Calibri" w:hAnsi="Calibri"/>
          <w:b w:val="0"/>
          <w:i w:val="0"/>
          <w:color w:val="111827"/>
          <w:sz w:val="22"/>
        </w:rPr>
        <w:t>The Commentary API is a private backend service. The scoring backend and approved internal services call it; production browser clients should not call private generation endpoints directly.</w:t>
      </w:r>
    </w:p>
    <w:tbl>
      <w:tblPr>
        <w:tblStyle w:val="TableGrid"/>
        <w:tblW w:type="dxa" w:w="9360"/>
        <w:tblLayout w:type="fixed"/>
        <w:tblLook w:firstColumn="1" w:firstRow="1" w:lastColumn="0" w:lastRow="0" w:noHBand="0" w:noVBand="1" w:val="04A0"/>
        <w:jc w:val="center"/>
        <w:tblInd w:w="120" w:type="dxa"/>
      </w:tblPr>
      <w:tblGrid>
        <w:gridCol w:w="3900"/>
        <w:gridCol w:w="5460"/>
      </w:tblGrid>
      <w:tr>
        <w:trPr>
          <w:tblHeader w:val="true"/>
        </w:trPr>
        <w:tc>
          <w:tcPr>
            <w:tcW w:type="dxa" w:w="3900"/>
            <w:tcMar>
              <w:top w:w="80" w:type="dxa"/>
              <w:start w:w="120" w:type="dxa"/>
              <w:bottom w:w="80" w:type="dxa"/>
              <w:end w:w="120" w:type="dxa"/>
            </w:tcMar>
            <w:vAlign w:val="center"/>
            <w:shd w:fill="E8EEF5"/>
          </w:tcPr>
          <w:p>
            <w:pPr>
              <w:jc w:val="left"/>
            </w:pPr>
            <w:r>
              <w:rPr>
                <w:rFonts w:ascii="Calibri" w:hAnsi="Calibri"/>
                <w:b/>
                <w:i w:val="0"/>
                <w:color w:val="17365D"/>
                <w:sz w:val="17"/>
              </w:rPr>
              <w:t>Method and route</w:t>
            </w:r>
          </w:p>
        </w:tc>
        <w:tc>
          <w:tcPr>
            <w:tcW w:type="dxa" w:w="5460"/>
            <w:tcMar>
              <w:top w:w="80" w:type="dxa"/>
              <w:start w:w="120" w:type="dxa"/>
              <w:bottom w:w="80" w:type="dxa"/>
              <w:end w:w="120" w:type="dxa"/>
            </w:tcMar>
            <w:vAlign w:val="center"/>
            <w:shd w:fill="E8EEF5"/>
          </w:tcPr>
          <w:p>
            <w:pPr>
              <w:jc w:val="left"/>
            </w:pPr>
            <w:r>
              <w:rPr>
                <w:rFonts w:ascii="Calibri" w:hAnsi="Calibri"/>
                <w:b/>
                <w:i w:val="0"/>
                <w:color w:val="17365D"/>
                <w:sz w:val="17"/>
              </w:rPr>
              <w:t>Purpose</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GET /health</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Service health check</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GET /health/db</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Database connectivity check</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GET /events/outbox/status</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Outbox pending/failed status</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/events/outbox/publish</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Publish pending outbox events</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GET /settings/{match_id}</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Read match commentary settings</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PUT /settings/{match_id}</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Create or update match settings</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/commentary/trigger-delivery</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Recommended automatic scorer trigger</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/internal/tasks/process-delivery</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Cloud Tasks worker endpoint; internal only</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/commentary/from-delivery</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Generate directly from a saved delivery</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/commentary/from-payload</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Generate from normalized/request payload</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/commentary/from-over</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Generate an over summary</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/commentary/from-match</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Generate match-level tasks</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/commentary/trigger-match-complete</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Trigger match-completion commentary</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/commentary/invalidate-delivery</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Invalidate commentary after undo/correction</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/commentary/manual-override</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Replace visible commentary manually</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GET /commentary/match/{match_id}</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Retrieve visible commentary history</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GET /commentary/delivery/{delivery_id}</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Retrieve delivery commentary</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GET /commentary/over/{over_id}</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Retrieve over commentary</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/qa/consistency-check</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Check generated text against source data</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/qa/tone-audit</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Check output tone</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7"/>
              </w:rPr>
              <w:t>POST /qa/missing-data</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7"/>
              </w:rPr>
              <w:t>Report required missing fields</w:t>
            </w:r>
          </w:p>
        </w:tc>
      </w:tr>
    </w:tbl>
    <w:p>
      <w:pPr>
        <w:spacing w:after="20"/>
      </w:pPr>
    </w:p>
    <w:p>
      <w:pPr>
        <w:pStyle w:val="Heading2"/>
      </w:pPr>
      <w:r>
        <w:t>11.1 Recommended Automatic Trigger</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after="0"/>
            </w:pPr>
            <w:r>
              <w:rPr>
                <w:rFonts w:ascii="Consolas" w:hAnsi="Consolas"/>
                <w:b w:val="0"/>
                <w:i w:val="0"/>
                <w:color w:val="273142"/>
                <w:sz w:val="17"/>
              </w:rPr>
              <w:t>POST /commentary/trigger-delivery</w:t>
              <w:br/>
            </w:r>
            <w:r>
              <w:rPr>
                <w:rFonts w:ascii="Consolas" w:hAnsi="Consolas"/>
                <w:b w:val="0"/>
                <w:i w:val="0"/>
                <w:color w:val="273142"/>
                <w:sz w:val="17"/>
              </w:rPr>
              <w:t>Authorization: Bearer &lt;internal-service-token&gt;</w:t>
              <w:br/>
            </w:r>
            <w:r>
              <w:rPr>
                <w:rFonts w:ascii="Consolas" w:hAnsi="Consolas"/>
                <w:b w:val="0"/>
                <w:i w:val="0"/>
                <w:color w:val="273142"/>
                <w:sz w:val="17"/>
              </w:rPr>
              <w:t>Content-Type: application/json</w:t>
              <w:br/>
            </w:r>
            <w:r>
              <w:rPr>
                <w:rFonts w:ascii="Consolas" w:hAnsi="Consolas"/>
                <w:b w:val="0"/>
                <w:i w:val="0"/>
                <w:color w:val="273142"/>
                <w:sz w:val="17"/>
              </w:rPr>
              <w:br/>
            </w:r>
            <w:r>
              <w:rPr>
                <w:rFonts w:ascii="Consolas" w:hAnsi="Consolas"/>
                <w:b w:val="0"/>
                <w:i w:val="0"/>
                <w:color w:val="273142"/>
                <w:sz w:val="17"/>
              </w:rPr>
              <w:t>{</w:t>
              <w:br/>
            </w:r>
            <w:r>
              <w:rPr>
                <w:rFonts w:ascii="Consolas" w:hAnsi="Consolas"/>
                <w:b w:val="0"/>
                <w:i w:val="0"/>
                <w:color w:val="273142"/>
                <w:sz w:val="17"/>
              </w:rPr>
              <w:t xml:space="preserve">  "match_id": "&lt;match-uuid&gt;",</w:t>
              <w:br/>
            </w:r>
            <w:r>
              <w:rPr>
                <w:rFonts w:ascii="Consolas" w:hAnsi="Consolas"/>
                <w:b w:val="0"/>
                <w:i w:val="0"/>
                <w:color w:val="273142"/>
                <w:sz w:val="17"/>
              </w:rPr>
              <w:t xml:space="preserve">  "delivery_id": "&lt;delivery-uuid&gt;"</w:t>
              <w:br/>
            </w:r>
            <w:r>
              <w:rPr>
                <w:rFonts w:ascii="Consolas" w:hAnsi="Consolas"/>
                <w:b w:val="0"/>
                <w:i w:val="0"/>
                <w:color w:val="273142"/>
                <w:sz w:val="17"/>
              </w:rPr>
              <w:t>}</w:t>
              <w:br/>
            </w:r>
          </w:p>
        </w:tc>
      </w:tr>
    </w:tbl>
    <w:p>
      <w:pPr>
        <w:spacing w:after="20"/>
      </w:pPr>
    </w:p>
    <w:p>
      <w:pPr>
        <w:pStyle w:val="Heading2"/>
      </w:pPr>
      <w:r>
        <w:t>11.2 Retrieve Match Commentary</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after="0"/>
            </w:pPr>
            <w:r>
              <w:rPr>
                <w:rFonts w:ascii="Consolas" w:hAnsi="Consolas"/>
                <w:b w:val="0"/>
                <w:i w:val="0"/>
                <w:color w:val="273142"/>
                <w:sz w:val="17"/>
              </w:rPr>
              <w:t>GET /commentary/match/&lt;match-id&gt;</w:t>
              <w:br/>
            </w:r>
            <w:r>
              <w:rPr>
                <w:rFonts w:ascii="Consolas" w:hAnsi="Consolas"/>
                <w:b w:val="0"/>
                <w:i w:val="0"/>
                <w:color w:val="273142"/>
                <w:sz w:val="17"/>
              </w:rPr>
              <w:t>Authorization: Bearer &lt;approved-service-token&gt;</w:t>
              <w:br/>
            </w:r>
          </w:p>
        </w:tc>
      </w:tr>
    </w:tbl>
    <w:p>
      <w:pPr>
        <w:spacing w:after="20"/>
      </w:pPr>
    </w:p>
    <w:p>
      <w:pPr>
        <w:pStyle w:val="Heading1"/>
      </w:pPr>
      <w:r>
        <w:t>12. Realtime Event Delivery</w:t>
      </w:r>
    </w:p>
    <w:tbl>
      <w:tblPr>
        <w:tblStyle w:val="TableGrid"/>
        <w:tblW w:type="dxa" w:w="9360"/>
        <w:tblLayout w:type="fixed"/>
        <w:tblLook w:firstColumn="1" w:firstRow="1" w:lastColumn="0" w:lastRow="0" w:noHBand="0" w:noVBand="1" w:val="04A0"/>
        <w:jc w:val="center"/>
        <w:tblInd w:w="120" w:type="dxa"/>
      </w:tblPr>
      <w:tblGrid>
        <w:gridCol w:w="3900"/>
        <w:gridCol w:w="5460"/>
      </w:tblGrid>
      <w:tr>
        <w:trPr>
          <w:tblHeader w:val="true"/>
        </w:trPr>
        <w:tc>
          <w:tcPr>
            <w:tcW w:type="dxa" w:w="3900"/>
            <w:tcMar>
              <w:top w:w="80" w:type="dxa"/>
              <w:start w:w="120" w:type="dxa"/>
              <w:bottom w:w="80" w:type="dxa"/>
              <w:end w:w="120" w:type="dxa"/>
            </w:tcMar>
            <w:vAlign w:val="center"/>
            <w:shd w:fill="E8EEF5"/>
          </w:tcPr>
          <w:p>
            <w:pPr>
              <w:jc w:val="left"/>
            </w:pPr>
            <w:r>
              <w:rPr>
                <w:rFonts w:ascii="Calibri" w:hAnsi="Calibri"/>
                <w:b/>
                <w:i w:val="0"/>
                <w:color w:val="17365D"/>
                <w:sz w:val="19"/>
              </w:rPr>
              <w:t>Realtime route</w:t>
            </w:r>
          </w:p>
        </w:tc>
        <w:tc>
          <w:tcPr>
            <w:tcW w:type="dxa" w:w="5460"/>
            <w:tcMar>
              <w:top w:w="80" w:type="dxa"/>
              <w:start w:w="120" w:type="dxa"/>
              <w:bottom w:w="80" w:type="dxa"/>
              <w:end w:w="120" w:type="dxa"/>
            </w:tcMar>
            <w:vAlign w:val="center"/>
            <w:shd w:fill="E8EEF5"/>
          </w:tcPr>
          <w:p>
            <w:pPr>
              <w:jc w:val="left"/>
            </w:pPr>
            <w:r>
              <w:rPr>
                <w:rFonts w:ascii="Calibri" w:hAnsi="Calibri"/>
                <w:b/>
                <w:i w:val="0"/>
                <w:color w:val="17365D"/>
                <w:sz w:val="19"/>
              </w:rPr>
              <w:t>Purpose</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9"/>
              </w:rPr>
              <w:t>GET /health</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9"/>
              </w:rPr>
              <w:t>Realtime Gateway health check</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9"/>
              </w:rPr>
              <w:t>POST /pubsub/commentary-events?token=...</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9"/>
              </w:rPr>
              <w:t>Receives verified Pub/Sub push events</w:t>
            </w:r>
          </w:p>
        </w:tc>
      </w:tr>
      <w:tr>
        <w:tc>
          <w:tcPr>
            <w:tcW w:type="dxa" w:w="3900"/>
            <w:tcMar>
              <w:top w:w="80" w:type="dxa"/>
              <w:start w:w="120" w:type="dxa"/>
              <w:bottom w:w="80" w:type="dxa"/>
              <w:end w:w="120" w:type="dxa"/>
            </w:tcMar>
            <w:vAlign w:val="center"/>
          </w:tcPr>
          <w:p>
            <w:pPr>
              <w:spacing w:after="0"/>
            </w:pPr>
            <w:r>
              <w:rPr>
                <w:rFonts w:ascii="Calibri" w:hAnsi="Calibri"/>
                <w:b w:val="0"/>
                <w:i w:val="0"/>
                <w:color w:val="111827"/>
                <w:sz w:val="19"/>
              </w:rPr>
              <w:t>WS /ws/matches/{match_id}?token=...</w:t>
            </w:r>
          </w:p>
        </w:tc>
        <w:tc>
          <w:tcPr>
            <w:tcW w:type="dxa" w:w="5460"/>
            <w:tcMar>
              <w:top w:w="80" w:type="dxa"/>
              <w:start w:w="120" w:type="dxa"/>
              <w:bottom w:w="80" w:type="dxa"/>
              <w:end w:w="120" w:type="dxa"/>
            </w:tcMar>
            <w:vAlign w:val="center"/>
          </w:tcPr>
          <w:p>
            <w:pPr>
              <w:spacing w:after="0"/>
            </w:pPr>
            <w:r>
              <w:rPr>
                <w:rFonts w:ascii="Calibri" w:hAnsi="Calibri"/>
                <w:b w:val="0"/>
                <w:i w:val="0"/>
                <w:color w:val="111827"/>
                <w:sz w:val="19"/>
              </w:rPr>
              <w:t>Match-specific live commentary stream</w:t>
            </w:r>
          </w:p>
        </w:tc>
      </w:tr>
    </w:tbl>
    <w:p>
      <w:pPr>
        <w:spacing w:after="20"/>
      </w:pPr>
    </w:p>
    <w:p>
      <w:r>
        <w:rPr>
          <w:rFonts w:ascii="Calibri" w:hAnsi="Calibri"/>
          <w:b w:val="0"/>
          <w:i w:val="0"/>
          <w:color w:val="111827"/>
          <w:sz w:val="22"/>
        </w:rPr>
        <w:t>Dashboards should first request saved commentary history and then open the match WebSocket. This supports both users who open the dashboard during a live match and users who open it after match completion.</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0"/>
            </w:pPr>
            <w:r>
              <w:rPr>
                <w:rFonts w:ascii="Calibri" w:hAnsi="Calibri"/>
                <w:b/>
                <w:i w:val="0"/>
                <w:color w:val="7A5A00"/>
                <w:sz w:val="22"/>
              </w:rPr>
              <w:t xml:space="preserve">Scaling constraint  </w:t>
            </w:r>
            <w:r>
              <w:rPr>
                <w:rFonts w:ascii="Calibri" w:hAnsi="Calibri"/>
                <w:b w:val="0"/>
                <w:i w:val="0"/>
                <w:color w:val="111827"/>
                <w:sz w:val="22"/>
              </w:rPr>
              <w:t>The staging Realtime Gateway is limited to one instance because WebSocket fanout currently uses process memory. Add Redis or Memorystore before scaling the gateway horizontally.</w:t>
            </w:r>
          </w:p>
        </w:tc>
      </w:tr>
    </w:tbl>
    <w:p>
      <w:pPr>
        <w:spacing w:after="20"/>
      </w:pPr>
    </w:p>
    <w:p>
      <w:pPr>
        <w:pStyle w:val="Heading1"/>
      </w:pPr>
      <w:r>
        <w:t>13. Scorer and Dashboard Integration</w:t>
      </w:r>
    </w:p>
    <w:p>
      <w:pPr>
        <w:pStyle w:val="Heading2"/>
      </w:pPr>
      <w:r>
        <w:t>13.1 Scorer Backend Requirements</w:t>
      </w:r>
    </w:p>
    <w:p>
      <w:pPr>
        <w:pStyle w:val="ListNumber"/>
      </w:pPr>
      <w:r>
        <w:rPr>
          <w:rFonts w:ascii="Calibri" w:hAnsi="Calibri"/>
          <w:b w:val="0"/>
          <w:i w:val="0"/>
          <w:color w:val="111827"/>
          <w:sz w:val="22"/>
        </w:rPr>
        <w:t>Save the delivery successfully in the scoring database.</w:t>
      </w:r>
    </w:p>
    <w:p>
      <w:pPr>
        <w:pStyle w:val="ListNumber"/>
      </w:pPr>
      <w:r>
        <w:rPr>
          <w:rFonts w:ascii="Calibri" w:hAnsi="Calibri"/>
          <w:b w:val="0"/>
          <w:i w:val="0"/>
          <w:color w:val="111827"/>
          <w:sz w:val="22"/>
        </w:rPr>
        <w:t>Call POST /commentary/trigger-delivery with the match and delivery IDs.</w:t>
      </w:r>
    </w:p>
    <w:p>
      <w:pPr>
        <w:pStyle w:val="ListNumber"/>
      </w:pPr>
      <w:r>
        <w:rPr>
          <w:rFonts w:ascii="Calibri" w:hAnsi="Calibri"/>
          <w:b w:val="0"/>
          <w:i w:val="0"/>
          <w:color w:val="111827"/>
          <w:sz w:val="22"/>
        </w:rPr>
        <w:t>On undo or correction, call POST /commentary/invalidate-delivery.</w:t>
      </w:r>
    </w:p>
    <w:p>
      <w:pPr>
        <w:pStyle w:val="ListNumber"/>
      </w:pPr>
      <w:r>
        <w:rPr>
          <w:rFonts w:ascii="Calibri" w:hAnsi="Calibri"/>
          <w:b w:val="0"/>
          <w:i w:val="0"/>
          <w:color w:val="111827"/>
          <w:sz w:val="22"/>
        </w:rPr>
        <w:t>At match setup, configure commentary mode as auto, manual or off.</w:t>
      </w:r>
    </w:p>
    <w:p>
      <w:pPr>
        <w:pStyle w:val="ListNumber"/>
      </w:pPr>
      <w:r>
        <w:rPr>
          <w:rFonts w:ascii="Calibri" w:hAnsi="Calibri"/>
          <w:b w:val="0"/>
          <w:i w:val="0"/>
          <w:color w:val="111827"/>
          <w:sz w:val="22"/>
        </w:rPr>
        <w:t>At match completion, call the match-complete trigger when required.</w:t>
      </w:r>
    </w:p>
    <w:p>
      <w:pPr>
        <w:pStyle w:val="Heading2"/>
      </w:pPr>
      <w:r>
        <w:t>13.2 Viewer, Scorer and Admin Dashboard Requirements</w:t>
      </w:r>
    </w:p>
    <w:p>
      <w:pPr>
        <w:pStyle w:val="ListNumber"/>
      </w:pPr>
      <w:r>
        <w:rPr>
          <w:rFonts w:ascii="Calibri" w:hAnsi="Calibri"/>
          <w:b w:val="0"/>
          <w:i w:val="0"/>
          <w:color w:val="111827"/>
          <w:sz w:val="22"/>
        </w:rPr>
        <w:t>Load existing commentary using GET /commentary/match/{match_id}.</w:t>
      </w:r>
    </w:p>
    <w:p>
      <w:pPr>
        <w:pStyle w:val="ListNumber"/>
      </w:pPr>
      <w:r>
        <w:rPr>
          <w:rFonts w:ascii="Calibri" w:hAnsi="Calibri"/>
          <w:b w:val="0"/>
          <w:i w:val="0"/>
          <w:color w:val="111827"/>
          <w:sz w:val="22"/>
        </w:rPr>
        <w:t>Connect to the match-specific WebSocket for realtime commentary.created events.</w:t>
      </w:r>
    </w:p>
    <w:p>
      <w:pPr>
        <w:pStyle w:val="ListNumber"/>
      </w:pPr>
      <w:r>
        <w:rPr>
          <w:rFonts w:ascii="Calibri" w:hAnsi="Calibri"/>
          <w:b w:val="0"/>
          <w:i w:val="0"/>
          <w:color w:val="111827"/>
          <w:sz w:val="22"/>
        </w:rPr>
        <w:t>Append new events without duplicating commentary already loaded from history.</w:t>
      </w:r>
    </w:p>
    <w:p>
      <w:pPr>
        <w:pStyle w:val="ListNumber"/>
      </w:pPr>
      <w:r>
        <w:rPr>
          <w:rFonts w:ascii="Calibri" w:hAnsi="Calibri"/>
          <w:b w:val="0"/>
          <w:i w:val="0"/>
          <w:color w:val="111827"/>
          <w:sz w:val="22"/>
        </w:rPr>
        <w:t>Display only visible/current commentary versions.</w:t>
      </w:r>
    </w:p>
    <w:p>
      <w:pPr>
        <w:pStyle w:val="ListNumber"/>
      </w:pPr>
      <w:r>
        <w:rPr>
          <w:rFonts w:ascii="Calibri" w:hAnsi="Calibri"/>
          <w:b w:val="0"/>
          <w:i w:val="0"/>
          <w:color w:val="111827"/>
          <w:sz w:val="22"/>
        </w:rPr>
        <w:t>Allow authorized operators to submit manual overrides from the scorer/admin UI.</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7F3EC"/>
          </w:tcPr>
          <w:p>
            <w:pPr>
              <w:spacing w:after="0"/>
            </w:pPr>
            <w:r>
              <w:rPr>
                <w:rFonts w:ascii="Calibri" w:hAnsi="Calibri"/>
                <w:b/>
                <w:i w:val="0"/>
                <w:color w:val="1F4D78"/>
                <w:sz w:val="22"/>
              </w:rPr>
              <w:t xml:space="preserve">Integration ownership  </w:t>
            </w:r>
            <w:r>
              <w:rPr>
                <w:rFonts w:ascii="Calibri" w:hAnsi="Calibri"/>
                <w:b w:val="0"/>
                <w:i w:val="0"/>
                <w:color w:val="111827"/>
                <w:sz w:val="22"/>
              </w:rPr>
              <w:t>The commentary module provides generation, retrieval and realtime endpoints. Each dashboard team is responsible for calling those endpoints and rendering commentary in its own interface.</w:t>
            </w:r>
          </w:p>
        </w:tc>
      </w:tr>
    </w:tbl>
    <w:p>
      <w:pPr>
        <w:spacing w:after="20"/>
      </w:pPr>
    </w:p>
    <w:p>
      <w:pPr>
        <w:pStyle w:val="Heading1"/>
      </w:pPr>
      <w:r>
        <w:t>14. Security and Secrets</w:t>
      </w:r>
    </w:p>
    <w:p>
      <w:pPr>
        <w:pStyle w:val="ListBullet"/>
      </w:pPr>
      <w:r>
        <w:rPr>
          <w:rFonts w:ascii="Calibri" w:hAnsi="Calibri"/>
          <w:b w:val="0"/>
          <w:i w:val="0"/>
          <w:color w:val="111827"/>
          <w:sz w:val="22"/>
        </w:rPr>
        <w:t>The Commentary API is private and requires Cloud Run IAM authentication.</w:t>
      </w:r>
    </w:p>
    <w:p>
      <w:pPr>
        <w:pStyle w:val="ListBullet"/>
      </w:pPr>
      <w:r>
        <w:rPr>
          <w:rFonts w:ascii="Calibri" w:hAnsi="Calibri"/>
          <w:b w:val="0"/>
          <w:i w:val="0"/>
          <w:color w:val="111827"/>
          <w:sz w:val="22"/>
        </w:rPr>
        <w:t>Vertex AI calls use a service account with the Vertex AI User role.</w:t>
      </w:r>
    </w:p>
    <w:p>
      <w:pPr>
        <w:pStyle w:val="ListBullet"/>
      </w:pPr>
      <w:r>
        <w:rPr>
          <w:rFonts w:ascii="Calibri" w:hAnsi="Calibri"/>
          <w:b w:val="0"/>
          <w:i w:val="0"/>
          <w:color w:val="111827"/>
          <w:sz w:val="22"/>
        </w:rPr>
        <w:t>Cloud Tasks uses a dedicated invoker service account for the private worker route.</w:t>
      </w:r>
    </w:p>
    <w:p>
      <w:pPr>
        <w:pStyle w:val="ListBullet"/>
      </w:pPr>
      <w:r>
        <w:rPr>
          <w:rFonts w:ascii="Calibri" w:hAnsi="Calibri"/>
          <w:b w:val="0"/>
          <w:i w:val="0"/>
          <w:color w:val="111827"/>
          <w:sz w:val="22"/>
        </w:rPr>
        <w:t>The Realtime Gateway is public at the network edge but protected by application tokens.</w:t>
      </w:r>
    </w:p>
    <w:p>
      <w:pPr>
        <w:pStyle w:val="ListBullet"/>
      </w:pPr>
      <w:r>
        <w:rPr>
          <w:rFonts w:ascii="Calibri" w:hAnsi="Calibri"/>
          <w:b w:val="0"/>
          <w:i w:val="0"/>
          <w:color w:val="111827"/>
          <w:sz w:val="22"/>
        </w:rPr>
        <w:t>Secrets belong in Secret Manager or local .env files; they must never be committed to Git.</w:t>
      </w:r>
    </w:p>
    <w:p>
      <w:pPr>
        <w:pStyle w:val="ListBullet"/>
      </w:pPr>
      <w:r>
        <w:rPr>
          <w:rFonts w:ascii="Calibri" w:hAnsi="Calibri"/>
          <w:b w:val="0"/>
          <w:i w:val="0"/>
          <w:color w:val="111827"/>
          <w:sz w:val="22"/>
        </w:rPr>
        <w:t>Frontend applications must never receive database passwords, provider credentials or internal service tokens.</w:t>
      </w:r>
    </w:p>
    <w:tbl>
      <w:tblPr>
        <w:tblStyle w:val="TableGrid"/>
        <w:tblW w:type="dxa" w:w="9360"/>
        <w:tblLayout w:type="fixed"/>
        <w:tblLook w:firstColumn="1" w:firstRow="1" w:lastColumn="0" w:lastRow="0" w:noHBand="0" w:noVBand="1" w:val="04A0"/>
        <w:jc w:val="center"/>
        <w:tblInd w:w="120" w:type="dxa"/>
      </w:tblPr>
      <w:tblGrid>
        <w:gridCol w:w="3300"/>
        <w:gridCol w:w="6060"/>
      </w:tblGrid>
      <w:tr>
        <w:trPr>
          <w:tblHeader w:val="true"/>
        </w:trPr>
        <w:tc>
          <w:tcPr>
            <w:tcW w:type="dxa" w:w="3300"/>
            <w:tcMar>
              <w:top w:w="80" w:type="dxa"/>
              <w:start w:w="120" w:type="dxa"/>
              <w:bottom w:w="80" w:type="dxa"/>
              <w:end w:w="120" w:type="dxa"/>
            </w:tcMar>
            <w:vAlign w:val="center"/>
            <w:shd w:fill="E8EEF5"/>
          </w:tcPr>
          <w:p>
            <w:pPr>
              <w:jc w:val="left"/>
            </w:pPr>
            <w:r>
              <w:rPr>
                <w:rFonts w:ascii="Calibri" w:hAnsi="Calibri"/>
                <w:b/>
                <w:i w:val="0"/>
                <w:color w:val="17365D"/>
                <w:sz w:val="19"/>
              </w:rPr>
              <w:t>Secret name</w:t>
            </w:r>
          </w:p>
        </w:tc>
        <w:tc>
          <w:tcPr>
            <w:tcW w:type="dxa" w:w="6060"/>
            <w:tcMar>
              <w:top w:w="80" w:type="dxa"/>
              <w:start w:w="120" w:type="dxa"/>
              <w:bottom w:w="80" w:type="dxa"/>
              <w:end w:w="120" w:type="dxa"/>
            </w:tcMar>
            <w:vAlign w:val="center"/>
            <w:shd w:fill="E8EEF5"/>
          </w:tcPr>
          <w:p>
            <w:pPr>
              <w:jc w:val="left"/>
            </w:pPr>
            <w:r>
              <w:rPr>
                <w:rFonts w:ascii="Calibri" w:hAnsi="Calibri"/>
                <w:b/>
                <w:i w:val="0"/>
                <w:color w:val="17365D"/>
                <w:sz w:val="19"/>
              </w:rPr>
              <w:t>Purpose</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9"/>
              </w:rPr>
              <w:t>DB_PASSWORD</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9"/>
              </w:rPr>
              <w:t>Cloud SQL database authentication</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9"/>
              </w:rPr>
              <w:t>COMMENTARY_INTERNAL_TOKEN</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9"/>
              </w:rPr>
              <w:t>Internal application-level API token where configured</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9"/>
              </w:rPr>
              <w:t>PUBSUB_PUSH_TOKEN</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9"/>
              </w:rPr>
              <w:t>Validates Pub/Sub push requests</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9"/>
              </w:rPr>
              <w:t>REALTIME_CLIENT_TOKEN</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9"/>
              </w:rPr>
              <w:t>Authorizes staging WebSocket clients</w:t>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DECEC"/>
          </w:tcPr>
          <w:p>
            <w:pPr>
              <w:spacing w:after="0"/>
            </w:pPr>
            <w:r>
              <w:rPr>
                <w:rFonts w:ascii="Calibri" w:hAnsi="Calibri"/>
                <w:b/>
                <w:i w:val="0"/>
                <w:color w:val="9B1C1C"/>
                <w:sz w:val="22"/>
              </w:rPr>
              <w:t xml:space="preserve">Production security action  </w:t>
            </w:r>
            <w:r>
              <w:rPr>
                <w:rFonts w:ascii="Calibri" w:hAnsi="Calibri"/>
                <w:b w:val="0"/>
                <w:i w:val="0"/>
                <w:color w:val="111827"/>
                <w:sz w:val="22"/>
              </w:rPr>
              <w:t>Remove the Cloud SQL authorized network 0.0.0.0/0 before production. Use private connectivity or tightly restricted access.</w:t>
            </w:r>
          </w:p>
        </w:tc>
      </w:tr>
    </w:tbl>
    <w:p>
      <w:pPr>
        <w:spacing w:after="20"/>
      </w:pPr>
    </w:p>
    <w:p>
      <w:r>
        <w:br w:type="page"/>
      </w:r>
    </w:p>
    <w:p>
      <w:pPr>
        <w:pStyle w:val="Heading1"/>
      </w:pPr>
      <w:r>
        <w:t>15. Deployment</w:t>
      </w:r>
    </w:p>
    <w:p>
      <w:pPr>
        <w:pStyle w:val="Heading2"/>
      </w:pPr>
      <w:r>
        <w:t>15.1 Current Staging Deployment</w:t>
      </w:r>
    </w:p>
    <w:tbl>
      <w:tblPr>
        <w:tblStyle w:val="TableGrid"/>
        <w:tblW w:type="dxa" w:w="9360"/>
        <w:tblLayout w:type="fixed"/>
        <w:tblLook w:firstColumn="1" w:firstRow="1" w:lastColumn="0" w:lastRow="0" w:noHBand="0" w:noVBand="1" w:val="04A0"/>
        <w:jc w:val="center"/>
        <w:tblInd w:w="120" w:type="dxa"/>
      </w:tblPr>
      <w:tblGrid>
        <w:gridCol w:w="3300"/>
        <w:gridCol w:w="6060"/>
      </w:tblGrid>
      <w:tr>
        <w:trPr>
          <w:tblHeader w:val="true"/>
        </w:trPr>
        <w:tc>
          <w:tcPr>
            <w:tcW w:type="dxa" w:w="3300"/>
            <w:tcMar>
              <w:top w:w="80" w:type="dxa"/>
              <w:start w:w="120" w:type="dxa"/>
              <w:bottom w:w="80" w:type="dxa"/>
              <w:end w:w="120" w:type="dxa"/>
            </w:tcMar>
            <w:vAlign w:val="center"/>
            <w:shd w:fill="E8EEF5"/>
          </w:tcPr>
          <w:p>
            <w:pPr>
              <w:jc w:val="left"/>
            </w:pPr>
            <w:r>
              <w:rPr>
                <w:rFonts w:ascii="Calibri" w:hAnsi="Calibri"/>
                <w:b/>
                <w:i w:val="0"/>
                <w:color w:val="17365D"/>
                <w:sz w:val="18"/>
              </w:rPr>
              <w:t>Item</w:t>
            </w:r>
          </w:p>
        </w:tc>
        <w:tc>
          <w:tcPr>
            <w:tcW w:type="dxa" w:w="6060"/>
            <w:tcMar>
              <w:top w:w="80" w:type="dxa"/>
              <w:start w:w="120" w:type="dxa"/>
              <w:bottom w:w="80" w:type="dxa"/>
              <w:end w:w="120" w:type="dxa"/>
            </w:tcMar>
            <w:vAlign w:val="center"/>
            <w:shd w:fill="E8EEF5"/>
          </w:tcPr>
          <w:p>
            <w:pPr>
              <w:jc w:val="left"/>
            </w:pPr>
            <w:r>
              <w:rPr>
                <w:rFonts w:ascii="Calibri" w:hAnsi="Calibri"/>
                <w:b/>
                <w:i w:val="0"/>
                <w:color w:val="17365D"/>
                <w:sz w:val="18"/>
              </w:rPr>
              <w:t>Value</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8"/>
              </w:rPr>
              <w:t>Google Cloud project</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8"/>
              </w:rPr>
              <w:t>sportsanalytics-495612</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8"/>
              </w:rPr>
              <w:t>Region</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8"/>
              </w:rPr>
              <w:t>europe-west2</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8"/>
              </w:rPr>
              <w:t>Cloud SQL instance</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8"/>
              </w:rPr>
              <w:t>sportsanalytics-495612:europe-west2:sportsdb</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8"/>
              </w:rPr>
              <w:t>Commentary API</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8"/>
              </w:rPr>
              <w:t>https://ai-commentary-service-zztcl7ejrq-nw.a.run.app</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8"/>
              </w:rPr>
              <w:t>Realtime Gateway</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8"/>
              </w:rPr>
              <w:t>https://ai-commentary-realtime-zztcl7ejrq-nw.a.run.app</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8"/>
              </w:rPr>
              <w:t>Cloud Tasks queue</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8"/>
              </w:rPr>
              <w:t>commentary-delivery</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8"/>
              </w:rPr>
              <w:t>Pub/Sub topic</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8"/>
              </w:rPr>
              <w:t>commentary-events</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8"/>
              </w:rPr>
              <w:t>Pub/Sub subscription</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8"/>
              </w:rPr>
              <w:t>commentary-realtime-push</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8"/>
              </w:rPr>
              <w:t>Artifact Registry repository</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8"/>
              </w:rPr>
              <w:t>cloud-run-source-deploy</w:t>
            </w:r>
          </w:p>
        </w:tc>
      </w:tr>
      <w:tr>
        <w:tc>
          <w:tcPr>
            <w:tcW w:type="dxa" w:w="3300"/>
            <w:tcMar>
              <w:top w:w="80" w:type="dxa"/>
              <w:start w:w="120" w:type="dxa"/>
              <w:bottom w:w="80" w:type="dxa"/>
              <w:end w:w="120" w:type="dxa"/>
            </w:tcMar>
            <w:vAlign w:val="center"/>
          </w:tcPr>
          <w:p>
            <w:pPr>
              <w:spacing w:after="0"/>
            </w:pPr>
            <w:r>
              <w:rPr>
                <w:rFonts w:ascii="Calibri" w:hAnsi="Calibri"/>
                <w:b w:val="0"/>
                <w:i w:val="0"/>
                <w:color w:val="111827"/>
                <w:sz w:val="18"/>
              </w:rPr>
              <w:t>Git repository</w:t>
            </w:r>
          </w:p>
        </w:tc>
        <w:tc>
          <w:tcPr>
            <w:tcW w:type="dxa" w:w="6060"/>
            <w:tcMar>
              <w:top w:w="80" w:type="dxa"/>
              <w:start w:w="120" w:type="dxa"/>
              <w:bottom w:w="80" w:type="dxa"/>
              <w:end w:w="120" w:type="dxa"/>
            </w:tcMar>
            <w:vAlign w:val="center"/>
          </w:tcPr>
          <w:p>
            <w:pPr>
              <w:spacing w:after="0"/>
            </w:pPr>
            <w:r>
              <w:rPr>
                <w:rFonts w:ascii="Calibri" w:hAnsi="Calibri"/>
                <w:b w:val="0"/>
                <w:i w:val="0"/>
                <w:color w:val="111827"/>
                <w:sz w:val="18"/>
              </w:rPr>
              <w:t>https://github.com/Hardik3948x/ai-cricket-commentary-module</w:t>
            </w:r>
          </w:p>
        </w:tc>
      </w:tr>
    </w:tbl>
    <w:p>
      <w:pPr>
        <w:spacing w:after="20"/>
      </w:pPr>
    </w:p>
    <w:p>
      <w:pPr>
        <w:pStyle w:val="Heading2"/>
      </w:pPr>
      <w:r>
        <w:t>15.2 Deployment Units</w:t>
      </w:r>
    </w:p>
    <w:p>
      <w:pPr>
        <w:pStyle w:val="ListBullet"/>
      </w:pPr>
      <w:r>
        <w:rPr>
          <w:rFonts w:ascii="Calibri" w:hAnsi="Calibri"/>
          <w:b w:val="0"/>
          <w:i w:val="0"/>
          <w:color w:val="111827"/>
          <w:sz w:val="22"/>
        </w:rPr>
        <w:t>Build and deploy Dockerfile as ai-commentary-service.</w:t>
      </w:r>
    </w:p>
    <w:p>
      <w:pPr>
        <w:pStyle w:val="ListBullet"/>
      </w:pPr>
      <w:r>
        <w:rPr>
          <w:rFonts w:ascii="Calibri" w:hAnsi="Calibri"/>
          <w:b w:val="0"/>
          <w:i w:val="0"/>
          <w:color w:val="111827"/>
          <w:sz w:val="22"/>
        </w:rPr>
        <w:t>Build and deploy Dockerfile.realtime as ai-commentary-realtime.</w:t>
      </w:r>
    </w:p>
    <w:p>
      <w:pPr>
        <w:pStyle w:val="ListBullet"/>
      </w:pPr>
      <w:r>
        <w:rPr>
          <w:rFonts w:ascii="Calibri" w:hAnsi="Calibri"/>
          <w:b w:val="0"/>
          <w:i w:val="0"/>
          <w:color w:val="111827"/>
          <w:sz w:val="22"/>
        </w:rPr>
        <w:t>Attach Cloud SQL and required Secret Manager secrets.</w:t>
      </w:r>
    </w:p>
    <w:p>
      <w:pPr>
        <w:pStyle w:val="ListBullet"/>
      </w:pPr>
      <w:r>
        <w:rPr>
          <w:rFonts w:ascii="Calibri" w:hAnsi="Calibri"/>
          <w:b w:val="0"/>
          <w:i w:val="0"/>
          <w:color w:val="111827"/>
          <w:sz w:val="22"/>
        </w:rPr>
        <w:t>Grant the runtime service accounts only the permissions they require.</w:t>
      </w:r>
    </w:p>
    <w:p>
      <w:pPr>
        <w:pStyle w:val="ListBullet"/>
      </w:pPr>
      <w:r>
        <w:rPr>
          <w:rFonts w:ascii="Calibri" w:hAnsi="Calibri"/>
          <w:b w:val="0"/>
          <w:i w:val="0"/>
          <w:color w:val="111827"/>
          <w:sz w:val="22"/>
        </w:rPr>
        <w:t>Configure Cloud Tasks, Pub/Sub push subscription and environment variables.</w:t>
      </w:r>
    </w:p>
    <w:p>
      <w:pPr>
        <w:pStyle w:val="ListBullet"/>
      </w:pPr>
      <w:r>
        <w:rPr>
          <w:rFonts w:ascii="Calibri" w:hAnsi="Calibri"/>
          <w:b w:val="0"/>
          <w:i w:val="0"/>
          <w:color w:val="111827"/>
          <w:sz w:val="22"/>
        </w:rPr>
        <w:t>Run health, database and end-to-end verification after each release.</w:t>
      </w:r>
    </w:p>
    <w:p>
      <w:pPr>
        <w:pStyle w:val="Heading2"/>
      </w:pPr>
      <w:r>
        <w:t>15.3 Release and Update Process</w:t>
      </w:r>
    </w:p>
    <w:p>
      <w:pPr>
        <w:pStyle w:val="ListNumber"/>
      </w:pPr>
      <w:r>
        <w:rPr>
          <w:rFonts w:ascii="Calibri" w:hAnsi="Calibri"/>
          <w:b w:val="0"/>
          <w:i w:val="0"/>
          <w:color w:val="111827"/>
          <w:sz w:val="22"/>
        </w:rPr>
        <w:t>Make and test a focused change locally.</w:t>
      </w:r>
    </w:p>
    <w:p>
      <w:pPr>
        <w:pStyle w:val="ListNumber"/>
      </w:pPr>
      <w:r>
        <w:rPr>
          <w:rFonts w:ascii="Calibri" w:hAnsi="Calibri"/>
          <w:b w:val="0"/>
          <w:i w:val="0"/>
          <w:color w:val="111827"/>
          <w:sz w:val="22"/>
        </w:rPr>
        <w:t>Run the automated test suite.</w:t>
      </w:r>
    </w:p>
    <w:p>
      <w:pPr>
        <w:pStyle w:val="ListNumber"/>
      </w:pPr>
      <w:r>
        <w:rPr>
          <w:rFonts w:ascii="Calibri" w:hAnsi="Calibri"/>
          <w:b w:val="0"/>
          <w:i w:val="0"/>
          <w:color w:val="111827"/>
          <w:sz w:val="22"/>
        </w:rPr>
        <w:t>Commit and push the change to the private Git repository.</w:t>
      </w:r>
    </w:p>
    <w:p>
      <w:pPr>
        <w:pStyle w:val="ListNumber"/>
      </w:pPr>
      <w:r>
        <w:rPr>
          <w:rFonts w:ascii="Calibri" w:hAnsi="Calibri"/>
          <w:b w:val="0"/>
          <w:i w:val="0"/>
          <w:color w:val="111827"/>
          <w:sz w:val="22"/>
        </w:rPr>
        <w:t>Build immutable container images and deploy a new Cloud Run revision.</w:t>
      </w:r>
    </w:p>
    <w:p>
      <w:pPr>
        <w:pStyle w:val="ListNumber"/>
      </w:pPr>
      <w:r>
        <w:rPr>
          <w:rFonts w:ascii="Calibri" w:hAnsi="Calibri"/>
          <w:b w:val="0"/>
          <w:i w:val="0"/>
          <w:color w:val="111827"/>
          <w:sz w:val="22"/>
        </w:rPr>
        <w:t>Test the new revision in staging.</w:t>
      </w:r>
    </w:p>
    <w:p>
      <w:pPr>
        <w:pStyle w:val="ListNumber"/>
      </w:pPr>
      <w:r>
        <w:rPr>
          <w:rFonts w:ascii="Calibri" w:hAnsi="Calibri"/>
          <w:b w:val="0"/>
          <w:i w:val="0"/>
          <w:color w:val="111827"/>
          <w:sz w:val="22"/>
        </w:rPr>
        <w:t>Shift traffic only after verification; roll back to the previous revision if needed.</w:t>
      </w:r>
    </w:p>
    <w:p>
      <w:pPr>
        <w:pStyle w:val="Heading1"/>
      </w:pPr>
      <w:r>
        <w:t>16. Testing and Verification</w:t>
      </w:r>
    </w:p>
    <w:tbl>
      <w:tblPr>
        <w:tblStyle w:val="TableGrid"/>
        <w:tblW w:type="dxa" w:w="9360"/>
        <w:tblLayout w:type="fixed"/>
        <w:tblLook w:firstColumn="1" w:firstRow="1" w:lastColumn="0" w:lastRow="0" w:noHBand="0" w:noVBand="1" w:val="04A0"/>
        <w:jc w:val="center"/>
        <w:tblInd w:w="120" w:type="dxa"/>
      </w:tblPr>
      <w:tblGrid>
        <w:gridCol w:w="4200"/>
        <w:gridCol w:w="5160"/>
      </w:tblGrid>
      <w:tr>
        <w:trPr>
          <w:tblHeader w:val="true"/>
        </w:trPr>
        <w:tc>
          <w:tcPr>
            <w:tcW w:type="dxa" w:w="4200"/>
            <w:tcMar>
              <w:top w:w="80" w:type="dxa"/>
              <w:start w:w="120" w:type="dxa"/>
              <w:bottom w:w="80" w:type="dxa"/>
              <w:end w:w="120" w:type="dxa"/>
            </w:tcMar>
            <w:vAlign w:val="center"/>
            <w:shd w:fill="E8EEF5"/>
          </w:tcPr>
          <w:p>
            <w:pPr>
              <w:jc w:val="left"/>
            </w:pPr>
            <w:r>
              <w:rPr>
                <w:rFonts w:ascii="Calibri" w:hAnsi="Calibri"/>
                <w:b/>
                <w:i w:val="0"/>
                <w:color w:val="17365D"/>
                <w:sz w:val="19"/>
              </w:rPr>
              <w:t>Test area</w:t>
            </w:r>
          </w:p>
        </w:tc>
        <w:tc>
          <w:tcPr>
            <w:tcW w:type="dxa" w:w="5160"/>
            <w:tcMar>
              <w:top w:w="80" w:type="dxa"/>
              <w:start w:w="120" w:type="dxa"/>
              <w:bottom w:w="80" w:type="dxa"/>
              <w:end w:w="120" w:type="dxa"/>
            </w:tcMar>
            <w:vAlign w:val="center"/>
            <w:shd w:fill="E8EEF5"/>
          </w:tcPr>
          <w:p>
            <w:pPr>
              <w:jc w:val="left"/>
            </w:pPr>
            <w:r>
              <w:rPr>
                <w:rFonts w:ascii="Calibri" w:hAnsi="Calibri"/>
                <w:b/>
                <w:i w:val="0"/>
                <w:color w:val="17365D"/>
                <w:sz w:val="19"/>
              </w:rPr>
              <w:t>Current result</w:t>
            </w:r>
          </w:p>
        </w:tc>
      </w:tr>
      <w:tr>
        <w:tc>
          <w:tcPr>
            <w:tcW w:type="dxa" w:w="4200"/>
            <w:tcMar>
              <w:top w:w="80" w:type="dxa"/>
              <w:start w:w="120" w:type="dxa"/>
              <w:bottom w:w="80" w:type="dxa"/>
              <w:end w:w="120" w:type="dxa"/>
            </w:tcMar>
            <w:vAlign w:val="center"/>
          </w:tcPr>
          <w:p>
            <w:pPr>
              <w:spacing w:after="0"/>
            </w:pPr>
            <w:r>
              <w:rPr>
                <w:rFonts w:ascii="Calibri" w:hAnsi="Calibri"/>
                <w:b w:val="0"/>
                <w:i w:val="0"/>
                <w:color w:val="111827"/>
                <w:sz w:val="19"/>
              </w:rPr>
              <w:t>Automated tests</w:t>
            </w:r>
          </w:p>
        </w:tc>
        <w:tc>
          <w:tcPr>
            <w:tcW w:type="dxa" w:w="5160"/>
            <w:tcMar>
              <w:top w:w="80" w:type="dxa"/>
              <w:start w:w="120" w:type="dxa"/>
              <w:bottom w:w="80" w:type="dxa"/>
              <w:end w:w="120" w:type="dxa"/>
            </w:tcMar>
            <w:vAlign w:val="center"/>
          </w:tcPr>
          <w:p>
            <w:pPr>
              <w:spacing w:after="0"/>
            </w:pPr>
            <w:r>
              <w:rPr>
                <w:rFonts w:ascii="Calibri" w:hAnsi="Calibri"/>
                <w:b w:val="0"/>
                <w:i w:val="0"/>
                <w:color w:val="111827"/>
                <w:sz w:val="19"/>
              </w:rPr>
              <w:t>45 passed at staging deployment</w:t>
            </w:r>
          </w:p>
        </w:tc>
      </w:tr>
      <w:tr>
        <w:tc>
          <w:tcPr>
            <w:tcW w:type="dxa" w:w="4200"/>
            <w:tcMar>
              <w:top w:w="80" w:type="dxa"/>
              <w:start w:w="120" w:type="dxa"/>
              <w:bottom w:w="80" w:type="dxa"/>
              <w:end w:w="120" w:type="dxa"/>
            </w:tcMar>
            <w:vAlign w:val="center"/>
          </w:tcPr>
          <w:p>
            <w:pPr>
              <w:spacing w:after="0"/>
            </w:pPr>
            <w:r>
              <w:rPr>
                <w:rFonts w:ascii="Calibri" w:hAnsi="Calibri"/>
                <w:b w:val="0"/>
                <w:i w:val="0"/>
                <w:color w:val="111827"/>
                <w:sz w:val="19"/>
              </w:rPr>
              <w:t>Commentary API health</w:t>
            </w:r>
          </w:p>
        </w:tc>
        <w:tc>
          <w:tcPr>
            <w:tcW w:type="dxa" w:w="5160"/>
            <w:tcMar>
              <w:top w:w="80" w:type="dxa"/>
              <w:start w:w="120" w:type="dxa"/>
              <w:bottom w:w="80" w:type="dxa"/>
              <w:end w:w="120" w:type="dxa"/>
            </w:tcMar>
            <w:vAlign w:val="center"/>
          </w:tcPr>
          <w:p>
            <w:pPr>
              <w:spacing w:after="0"/>
            </w:pPr>
            <w:r>
              <w:rPr>
                <w:rFonts w:ascii="Calibri" w:hAnsi="Calibri"/>
                <w:b w:val="0"/>
                <w:i w:val="0"/>
                <w:color w:val="111827"/>
                <w:sz w:val="19"/>
              </w:rPr>
              <w:t>Passed</w:t>
            </w:r>
          </w:p>
        </w:tc>
      </w:tr>
      <w:tr>
        <w:tc>
          <w:tcPr>
            <w:tcW w:type="dxa" w:w="4200"/>
            <w:tcMar>
              <w:top w:w="80" w:type="dxa"/>
              <w:start w:w="120" w:type="dxa"/>
              <w:bottom w:w="80" w:type="dxa"/>
              <w:end w:w="120" w:type="dxa"/>
            </w:tcMar>
            <w:vAlign w:val="center"/>
          </w:tcPr>
          <w:p>
            <w:pPr>
              <w:spacing w:after="0"/>
            </w:pPr>
            <w:r>
              <w:rPr>
                <w:rFonts w:ascii="Calibri" w:hAnsi="Calibri"/>
                <w:b w:val="0"/>
                <w:i w:val="0"/>
                <w:color w:val="111827"/>
                <w:sz w:val="19"/>
              </w:rPr>
              <w:t>Cloud SQL health</w:t>
            </w:r>
          </w:p>
        </w:tc>
        <w:tc>
          <w:tcPr>
            <w:tcW w:type="dxa" w:w="5160"/>
            <w:tcMar>
              <w:top w:w="80" w:type="dxa"/>
              <w:start w:w="120" w:type="dxa"/>
              <w:bottom w:w="80" w:type="dxa"/>
              <w:end w:w="120" w:type="dxa"/>
            </w:tcMar>
            <w:vAlign w:val="center"/>
          </w:tcPr>
          <w:p>
            <w:pPr>
              <w:spacing w:after="0"/>
            </w:pPr>
            <w:r>
              <w:rPr>
                <w:rFonts w:ascii="Calibri" w:hAnsi="Calibri"/>
                <w:b w:val="0"/>
                <w:i w:val="0"/>
                <w:color w:val="111827"/>
                <w:sz w:val="19"/>
              </w:rPr>
              <w:t>Passed</w:t>
            </w:r>
          </w:p>
        </w:tc>
      </w:tr>
      <w:tr>
        <w:tc>
          <w:tcPr>
            <w:tcW w:type="dxa" w:w="4200"/>
            <w:tcMar>
              <w:top w:w="80" w:type="dxa"/>
              <w:start w:w="120" w:type="dxa"/>
              <w:bottom w:w="80" w:type="dxa"/>
              <w:end w:w="120" w:type="dxa"/>
            </w:tcMar>
            <w:vAlign w:val="center"/>
          </w:tcPr>
          <w:p>
            <w:pPr>
              <w:spacing w:after="0"/>
            </w:pPr>
            <w:r>
              <w:rPr>
                <w:rFonts w:ascii="Calibri" w:hAnsi="Calibri"/>
                <w:b w:val="0"/>
                <w:i w:val="0"/>
                <w:color w:val="111827"/>
                <w:sz w:val="19"/>
              </w:rPr>
              <w:t>Realtime Gateway health</w:t>
            </w:r>
          </w:p>
        </w:tc>
        <w:tc>
          <w:tcPr>
            <w:tcW w:type="dxa" w:w="5160"/>
            <w:tcMar>
              <w:top w:w="80" w:type="dxa"/>
              <w:start w:w="120" w:type="dxa"/>
              <w:bottom w:w="80" w:type="dxa"/>
              <w:end w:w="120" w:type="dxa"/>
            </w:tcMar>
            <w:vAlign w:val="center"/>
          </w:tcPr>
          <w:p>
            <w:pPr>
              <w:spacing w:after="0"/>
            </w:pPr>
            <w:r>
              <w:rPr>
                <w:rFonts w:ascii="Calibri" w:hAnsi="Calibri"/>
                <w:b w:val="0"/>
                <w:i w:val="0"/>
                <w:color w:val="111827"/>
                <w:sz w:val="19"/>
              </w:rPr>
              <w:t>Passed</w:t>
            </w:r>
          </w:p>
        </w:tc>
      </w:tr>
      <w:tr>
        <w:tc>
          <w:tcPr>
            <w:tcW w:type="dxa" w:w="4200"/>
            <w:tcMar>
              <w:top w:w="80" w:type="dxa"/>
              <w:start w:w="120" w:type="dxa"/>
              <w:bottom w:w="80" w:type="dxa"/>
              <w:end w:w="120" w:type="dxa"/>
            </w:tcMar>
            <w:vAlign w:val="center"/>
          </w:tcPr>
          <w:p>
            <w:pPr>
              <w:spacing w:after="0"/>
            </w:pPr>
            <w:r>
              <w:rPr>
                <w:rFonts w:ascii="Calibri" w:hAnsi="Calibri"/>
                <w:b w:val="0"/>
                <w:i w:val="0"/>
                <w:color w:val="111827"/>
                <w:sz w:val="19"/>
              </w:rPr>
              <w:t>Cloud Tasks schedule and worker</w:t>
            </w:r>
          </w:p>
        </w:tc>
        <w:tc>
          <w:tcPr>
            <w:tcW w:type="dxa" w:w="5160"/>
            <w:tcMar>
              <w:top w:w="80" w:type="dxa"/>
              <w:start w:w="120" w:type="dxa"/>
              <w:bottom w:w="80" w:type="dxa"/>
              <w:end w:w="120" w:type="dxa"/>
            </w:tcMar>
            <w:vAlign w:val="center"/>
          </w:tcPr>
          <w:p>
            <w:pPr>
              <w:spacing w:after="0"/>
            </w:pPr>
            <w:r>
              <w:rPr>
                <w:rFonts w:ascii="Calibri" w:hAnsi="Calibri"/>
                <w:b w:val="0"/>
                <w:i w:val="0"/>
                <w:color w:val="111827"/>
                <w:sz w:val="19"/>
              </w:rPr>
              <w:t>Passed</w:t>
            </w:r>
          </w:p>
        </w:tc>
      </w:tr>
      <w:tr>
        <w:tc>
          <w:tcPr>
            <w:tcW w:type="dxa" w:w="4200"/>
            <w:tcMar>
              <w:top w:w="80" w:type="dxa"/>
              <w:start w:w="120" w:type="dxa"/>
              <w:bottom w:w="80" w:type="dxa"/>
              <w:end w:w="120" w:type="dxa"/>
            </w:tcMar>
            <w:vAlign w:val="center"/>
          </w:tcPr>
          <w:p>
            <w:pPr>
              <w:spacing w:after="0"/>
            </w:pPr>
            <w:r>
              <w:rPr>
                <w:rFonts w:ascii="Calibri" w:hAnsi="Calibri"/>
                <w:b w:val="0"/>
                <w:i w:val="0"/>
                <w:color w:val="111827"/>
                <w:sz w:val="19"/>
              </w:rPr>
              <w:t>Vertex AI generation</w:t>
            </w:r>
          </w:p>
        </w:tc>
        <w:tc>
          <w:tcPr>
            <w:tcW w:type="dxa" w:w="5160"/>
            <w:tcMar>
              <w:top w:w="80" w:type="dxa"/>
              <w:start w:w="120" w:type="dxa"/>
              <w:bottom w:w="80" w:type="dxa"/>
              <w:end w:w="120" w:type="dxa"/>
            </w:tcMar>
            <w:vAlign w:val="center"/>
          </w:tcPr>
          <w:p>
            <w:pPr>
              <w:spacing w:after="0"/>
            </w:pPr>
            <w:r>
              <w:rPr>
                <w:rFonts w:ascii="Calibri" w:hAnsi="Calibri"/>
                <w:b w:val="0"/>
                <w:i w:val="0"/>
                <w:color w:val="111827"/>
                <w:sz w:val="19"/>
              </w:rPr>
              <w:t>Passed</w:t>
            </w:r>
          </w:p>
        </w:tc>
      </w:tr>
      <w:tr>
        <w:tc>
          <w:tcPr>
            <w:tcW w:type="dxa" w:w="4200"/>
            <w:tcMar>
              <w:top w:w="80" w:type="dxa"/>
              <w:start w:w="120" w:type="dxa"/>
              <w:bottom w:w="80" w:type="dxa"/>
              <w:end w:w="120" w:type="dxa"/>
            </w:tcMar>
            <w:vAlign w:val="center"/>
          </w:tcPr>
          <w:p>
            <w:pPr>
              <w:spacing w:after="0"/>
            </w:pPr>
            <w:r>
              <w:rPr>
                <w:rFonts w:ascii="Calibri" w:hAnsi="Calibri"/>
                <w:b w:val="0"/>
                <w:i w:val="0"/>
                <w:color w:val="111827"/>
                <w:sz w:val="19"/>
              </w:rPr>
              <w:t>Fallback generation</w:t>
            </w:r>
          </w:p>
        </w:tc>
        <w:tc>
          <w:tcPr>
            <w:tcW w:type="dxa" w:w="5160"/>
            <w:tcMar>
              <w:top w:w="80" w:type="dxa"/>
              <w:start w:w="120" w:type="dxa"/>
              <w:bottom w:w="80" w:type="dxa"/>
              <w:end w:w="120" w:type="dxa"/>
            </w:tcMar>
            <w:vAlign w:val="center"/>
          </w:tcPr>
          <w:p>
            <w:pPr>
              <w:spacing w:after="0"/>
            </w:pPr>
            <w:r>
              <w:rPr>
                <w:rFonts w:ascii="Calibri" w:hAnsi="Calibri"/>
                <w:b w:val="0"/>
                <w:i w:val="0"/>
                <w:color w:val="111827"/>
                <w:sz w:val="19"/>
              </w:rPr>
              <w:t>Implemented and tested</w:t>
            </w:r>
          </w:p>
        </w:tc>
      </w:tr>
      <w:tr>
        <w:tc>
          <w:tcPr>
            <w:tcW w:type="dxa" w:w="4200"/>
            <w:tcMar>
              <w:top w:w="80" w:type="dxa"/>
              <w:start w:w="120" w:type="dxa"/>
              <w:bottom w:w="80" w:type="dxa"/>
              <w:end w:w="120" w:type="dxa"/>
            </w:tcMar>
            <w:vAlign w:val="center"/>
          </w:tcPr>
          <w:p>
            <w:pPr>
              <w:spacing w:after="0"/>
            </w:pPr>
            <w:r>
              <w:rPr>
                <w:rFonts w:ascii="Calibri" w:hAnsi="Calibri"/>
                <w:b w:val="0"/>
                <w:i w:val="0"/>
                <w:color w:val="111827"/>
                <w:sz w:val="19"/>
              </w:rPr>
              <w:t>Database save and retrieval</w:t>
            </w:r>
          </w:p>
        </w:tc>
        <w:tc>
          <w:tcPr>
            <w:tcW w:type="dxa" w:w="5160"/>
            <w:tcMar>
              <w:top w:w="80" w:type="dxa"/>
              <w:start w:w="120" w:type="dxa"/>
              <w:bottom w:w="80" w:type="dxa"/>
              <w:end w:w="120" w:type="dxa"/>
            </w:tcMar>
            <w:vAlign w:val="center"/>
          </w:tcPr>
          <w:p>
            <w:pPr>
              <w:spacing w:after="0"/>
            </w:pPr>
            <w:r>
              <w:rPr>
                <w:rFonts w:ascii="Calibri" w:hAnsi="Calibri"/>
                <w:b w:val="0"/>
                <w:i w:val="0"/>
                <w:color w:val="111827"/>
                <w:sz w:val="19"/>
              </w:rPr>
              <w:t>Passed</w:t>
            </w:r>
          </w:p>
        </w:tc>
      </w:tr>
      <w:tr>
        <w:tc>
          <w:tcPr>
            <w:tcW w:type="dxa" w:w="4200"/>
            <w:tcMar>
              <w:top w:w="80" w:type="dxa"/>
              <w:start w:w="120" w:type="dxa"/>
              <w:bottom w:w="80" w:type="dxa"/>
              <w:end w:w="120" w:type="dxa"/>
            </w:tcMar>
            <w:vAlign w:val="center"/>
          </w:tcPr>
          <w:p>
            <w:pPr>
              <w:spacing w:after="0"/>
            </w:pPr>
            <w:r>
              <w:rPr>
                <w:rFonts w:ascii="Calibri" w:hAnsi="Calibri"/>
                <w:b w:val="0"/>
                <w:i w:val="0"/>
                <w:color w:val="111827"/>
                <w:sz w:val="19"/>
              </w:rPr>
              <w:t>Pub/Sub to WebSocket event delivery</w:t>
            </w:r>
          </w:p>
        </w:tc>
        <w:tc>
          <w:tcPr>
            <w:tcW w:type="dxa" w:w="5160"/>
            <w:tcMar>
              <w:top w:w="80" w:type="dxa"/>
              <w:start w:w="120" w:type="dxa"/>
              <w:bottom w:w="80" w:type="dxa"/>
              <w:end w:w="120" w:type="dxa"/>
            </w:tcMar>
            <w:vAlign w:val="center"/>
          </w:tcPr>
          <w:p>
            <w:pPr>
              <w:spacing w:after="0"/>
            </w:pPr>
            <w:r>
              <w:rPr>
                <w:rFonts w:ascii="Calibri" w:hAnsi="Calibri"/>
                <w:b w:val="0"/>
                <w:i w:val="0"/>
                <w:color w:val="111827"/>
                <w:sz w:val="19"/>
              </w:rPr>
              <w:t>Passed</w:t>
            </w:r>
          </w:p>
        </w:tc>
      </w:tr>
      <w:tr>
        <w:tc>
          <w:tcPr>
            <w:tcW w:type="dxa" w:w="4200"/>
            <w:tcMar>
              <w:top w:w="80" w:type="dxa"/>
              <w:start w:w="120" w:type="dxa"/>
              <w:bottom w:w="80" w:type="dxa"/>
              <w:end w:w="120" w:type="dxa"/>
            </w:tcMar>
            <w:vAlign w:val="center"/>
          </w:tcPr>
          <w:p>
            <w:pPr>
              <w:spacing w:after="0"/>
            </w:pPr>
            <w:r>
              <w:rPr>
                <w:rFonts w:ascii="Calibri" w:hAnsi="Calibri"/>
                <w:b w:val="0"/>
                <w:i w:val="0"/>
                <w:color w:val="111827"/>
                <w:sz w:val="19"/>
              </w:rPr>
              <w:t>Outbox pending/failed after verification</w:t>
            </w:r>
          </w:p>
        </w:tc>
        <w:tc>
          <w:tcPr>
            <w:tcW w:type="dxa" w:w="5160"/>
            <w:tcMar>
              <w:top w:w="80" w:type="dxa"/>
              <w:start w:w="120" w:type="dxa"/>
              <w:bottom w:w="80" w:type="dxa"/>
              <w:end w:w="120" w:type="dxa"/>
            </w:tcMar>
            <w:vAlign w:val="center"/>
          </w:tcPr>
          <w:p>
            <w:pPr>
              <w:spacing w:after="0"/>
            </w:pPr>
            <w:r>
              <w:rPr>
                <w:rFonts w:ascii="Calibri" w:hAnsi="Calibri"/>
                <w:b w:val="0"/>
                <w:i w:val="0"/>
                <w:color w:val="111827"/>
                <w:sz w:val="19"/>
              </w:rPr>
              <w:t>0 pending / 0 failed</w:t>
            </w:r>
          </w:p>
        </w:tc>
      </w:tr>
    </w:tbl>
    <w:p>
      <w:pPr>
        <w:spacing w:after="20"/>
      </w:pPr>
    </w:p>
    <w:p>
      <w:pPr>
        <w:pStyle w:val="Heading2"/>
      </w:pPr>
      <w:r>
        <w:t>16.1 Required Acceptance Cases</w:t>
      </w:r>
    </w:p>
    <w:p>
      <w:pPr>
        <w:pStyle w:val="ListBullet"/>
      </w:pPr>
      <w:r>
        <w:rPr>
          <w:rFonts w:ascii="Calibri" w:hAnsi="Calibri"/>
          <w:b w:val="0"/>
          <w:i w:val="0"/>
          <w:color w:val="111827"/>
          <w:sz w:val="22"/>
        </w:rPr>
        <w:t>Normal runs, dot balls, extras, boundaries, wickets and dismissal details.</w:t>
      </w:r>
    </w:p>
    <w:p>
      <w:pPr>
        <w:pStyle w:val="ListBullet"/>
      </w:pPr>
      <w:r>
        <w:rPr>
          <w:rFonts w:ascii="Calibri" w:hAnsi="Calibri"/>
          <w:b w:val="0"/>
          <w:i w:val="0"/>
          <w:color w:val="111827"/>
          <w:sz w:val="22"/>
        </w:rPr>
        <w:t>End-of-over, innings-break and match-completion generation.</w:t>
      </w:r>
    </w:p>
    <w:p>
      <w:pPr>
        <w:pStyle w:val="ListBullet"/>
      </w:pPr>
      <w:r>
        <w:rPr>
          <w:rFonts w:ascii="Calibri" w:hAnsi="Calibri"/>
          <w:b w:val="0"/>
          <w:i w:val="0"/>
          <w:color w:val="111827"/>
          <w:sz w:val="22"/>
        </w:rPr>
        <w:t>Undo, delete and corrected-delivery invalidation.</w:t>
      </w:r>
    </w:p>
    <w:p>
      <w:pPr>
        <w:pStyle w:val="ListBullet"/>
      </w:pPr>
      <w:r>
        <w:rPr>
          <w:rFonts w:ascii="Calibri" w:hAnsi="Calibri"/>
          <w:b w:val="0"/>
          <w:i w:val="0"/>
          <w:color w:val="111827"/>
          <w:sz w:val="22"/>
        </w:rPr>
        <w:t>Commentary off, manual-only and auto-with-manual-override modes.</w:t>
      </w:r>
    </w:p>
    <w:p>
      <w:pPr>
        <w:pStyle w:val="ListBullet"/>
      </w:pPr>
      <w:r>
        <w:rPr>
          <w:rFonts w:ascii="Calibri" w:hAnsi="Calibri"/>
          <w:b w:val="0"/>
          <w:i w:val="0"/>
          <w:color w:val="111827"/>
          <w:sz w:val="22"/>
        </w:rPr>
        <w:t>Vertex timeout/quota failure and fallback recovery.</w:t>
      </w:r>
    </w:p>
    <w:p>
      <w:pPr>
        <w:pStyle w:val="ListBullet"/>
      </w:pPr>
      <w:r>
        <w:rPr>
          <w:rFonts w:ascii="Calibri" w:hAnsi="Calibri"/>
          <w:b w:val="0"/>
          <w:i w:val="0"/>
          <w:color w:val="111827"/>
          <w:sz w:val="22"/>
        </w:rPr>
        <w:t>Multiple innings and multiple match formats.</w:t>
      </w:r>
    </w:p>
    <w:p>
      <w:pPr>
        <w:pStyle w:val="ListBullet"/>
      </w:pPr>
      <w:r>
        <w:rPr>
          <w:rFonts w:ascii="Calibri" w:hAnsi="Calibri"/>
          <w:b w:val="0"/>
          <w:i w:val="0"/>
          <w:color w:val="111827"/>
          <w:sz w:val="22"/>
        </w:rPr>
        <w:t>Realtime delivery, reconnect, duplicate prevention and history retrieval.</w:t>
      </w:r>
    </w:p>
    <w:p>
      <w:pPr>
        <w:pStyle w:val="ListBullet"/>
      </w:pPr>
      <w:r>
        <w:rPr>
          <w:rFonts w:ascii="Calibri" w:hAnsi="Calibri"/>
          <w:b w:val="0"/>
          <w:i w:val="0"/>
          <w:color w:val="111827"/>
          <w:sz w:val="22"/>
        </w:rPr>
        <w:t>Approximately 50 simultaneous live matches.</w:t>
      </w:r>
    </w:p>
    <w:p>
      <w:pPr>
        <w:pStyle w:val="Heading1"/>
      </w:pPr>
      <w:r>
        <w:t>17. Monitoring, Cost and Operations</w:t>
      </w:r>
    </w:p>
    <w:p>
      <w:r>
        <w:rPr>
          <w:rFonts w:ascii="Calibri" w:hAnsi="Calibri"/>
          <w:b w:val="0"/>
          <w:i w:val="0"/>
          <w:color w:val="111827"/>
          <w:sz w:val="22"/>
        </w:rPr>
        <w:t>Operational dashboards should separate application health, AI quality, realtime delivery and cloud cost. The module already stores response time, attempts, token usage, generation source and errors for each commentary record.</w:t>
      </w:r>
    </w:p>
    <w:tbl>
      <w:tblPr>
        <w:tblStyle w:val="TableGrid"/>
        <w:tblW w:type="dxa" w:w="9360"/>
        <w:tblLayout w:type="fixed"/>
        <w:tblLook w:firstColumn="1" w:firstRow="1" w:lastColumn="0" w:lastRow="0" w:noHBand="0" w:noVBand="1" w:val="04A0"/>
        <w:jc w:val="center"/>
        <w:tblInd w:w="120" w:type="dxa"/>
      </w:tblPr>
      <w:tblGrid>
        <w:gridCol w:w="2700"/>
        <w:gridCol w:w="6660"/>
      </w:tblGrid>
      <w:tr>
        <w:trPr>
          <w:tblHeader w:val="true"/>
        </w:trPr>
        <w:tc>
          <w:tcPr>
            <w:tcW w:type="dxa" w:w="2700"/>
            <w:tcMar>
              <w:top w:w="80" w:type="dxa"/>
              <w:start w:w="120" w:type="dxa"/>
              <w:bottom w:w="80" w:type="dxa"/>
              <w:end w:w="120" w:type="dxa"/>
            </w:tcMar>
            <w:vAlign w:val="center"/>
            <w:shd w:fill="E8EEF5"/>
          </w:tcPr>
          <w:p>
            <w:pPr>
              <w:jc w:val="left"/>
            </w:pPr>
            <w:r>
              <w:rPr>
                <w:rFonts w:ascii="Calibri" w:hAnsi="Calibri"/>
                <w:b/>
                <w:i w:val="0"/>
                <w:color w:val="17365D"/>
                <w:sz w:val="18"/>
              </w:rPr>
              <w:t>Monitor</w:t>
            </w:r>
          </w:p>
        </w:tc>
        <w:tc>
          <w:tcPr>
            <w:tcW w:type="dxa" w:w="6660"/>
            <w:tcMar>
              <w:top w:w="80" w:type="dxa"/>
              <w:start w:w="120" w:type="dxa"/>
              <w:bottom w:w="80" w:type="dxa"/>
              <w:end w:w="120" w:type="dxa"/>
            </w:tcMar>
            <w:vAlign w:val="center"/>
            <w:shd w:fill="E8EEF5"/>
          </w:tcPr>
          <w:p>
            <w:pPr>
              <w:jc w:val="left"/>
            </w:pPr>
            <w:r>
              <w:rPr>
                <w:rFonts w:ascii="Calibri" w:hAnsi="Calibri"/>
                <w:b/>
                <w:i w:val="0"/>
                <w:color w:val="17365D"/>
                <w:sz w:val="18"/>
              </w:rPr>
              <w:t>Recommended signal</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API health</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18"/>
              </w:rPr>
              <w:t>Request count, error rate, p95 latency and instance saturation</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AI generation</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18"/>
              </w:rPr>
              <w:t>Vertex success rate, fallback rate, response time and token usage</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Cloud Tasks</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18"/>
              </w:rPr>
              <w:t>Queue depth, oldest task age and retry count</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Event delivery</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18"/>
              </w:rPr>
              <w:t>Outbox pending/failed count and Pub/Sub delivery failures</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Realtime Gateway</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18"/>
              </w:rPr>
              <w:t>Connected clients, event delivery errors and reconnect rate</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Database</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18"/>
              </w:rPr>
              <w:t>Connections, pool saturation, query latency, storage and backups</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Quality</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18"/>
              </w:rPr>
              <w:t>Manual overrides, consistency failures and frequently corrected task types</w:t>
            </w:r>
          </w:p>
        </w:tc>
      </w:tr>
      <w:tr>
        <w:tc>
          <w:tcPr>
            <w:tcW w:type="dxa" w:w="2700"/>
            <w:tcMar>
              <w:top w:w="80" w:type="dxa"/>
              <w:start w:w="120" w:type="dxa"/>
              <w:bottom w:w="80" w:type="dxa"/>
              <w:end w:w="120" w:type="dxa"/>
            </w:tcMar>
            <w:vAlign w:val="center"/>
          </w:tcPr>
          <w:p>
            <w:pPr>
              <w:spacing w:after="0"/>
            </w:pPr>
            <w:r>
              <w:rPr>
                <w:rFonts w:ascii="Calibri" w:hAnsi="Calibri"/>
                <w:b w:val="0"/>
                <w:i w:val="0"/>
                <w:color w:val="111827"/>
                <w:sz w:val="18"/>
              </w:rPr>
              <w:t>Cost</w:t>
            </w:r>
          </w:p>
        </w:tc>
        <w:tc>
          <w:tcPr>
            <w:tcW w:type="dxa" w:w="6660"/>
            <w:tcMar>
              <w:top w:w="80" w:type="dxa"/>
              <w:start w:w="120" w:type="dxa"/>
              <w:bottom w:w="80" w:type="dxa"/>
              <w:end w:w="120" w:type="dxa"/>
            </w:tcMar>
            <w:vAlign w:val="center"/>
          </w:tcPr>
          <w:p>
            <w:pPr>
              <w:spacing w:after="0"/>
            </w:pPr>
            <w:r>
              <w:rPr>
                <w:rFonts w:ascii="Calibri" w:hAnsi="Calibri"/>
                <w:b w:val="0"/>
                <w:i w:val="0"/>
                <w:color w:val="111827"/>
                <w:sz w:val="18"/>
              </w:rPr>
              <w:t>Cloud Run, Vertex AI, Cloud SQL, Pub/Sub and Cloud Tasks budgets/alerts</w:t>
            </w:r>
          </w:p>
        </w:tc>
      </w:tr>
    </w:tbl>
    <w:p>
      <w:pPr>
        <w:spacing w:after="20"/>
      </w:pPr>
    </w:p>
    <w:p>
      <w:pPr>
        <w:pStyle w:val="Heading2"/>
      </w:pPr>
      <w:r>
        <w:t>17.1 Database Pool</w:t>
      </w:r>
    </w:p>
    <w:p>
      <w:r>
        <w:rPr>
          <w:rFonts w:ascii="Calibri" w:hAnsi="Calibri"/>
          <w:b w:val="0"/>
          <w:i w:val="0"/>
          <w:color w:val="111827"/>
          <w:sz w:val="22"/>
        </w:rPr>
        <w:t>The database pool keeps a limited set of reusable PostgreSQL connections instead of opening a new connection for every request. Pool size must be coordinated with Cloud Run maximum instances so the combined connection count does not overload Cloud SQL.</w:t>
      </w:r>
    </w:p>
    <w:p>
      <w:pPr>
        <w:pStyle w:val="Heading1"/>
      </w:pPr>
      <w:r>
        <w:t>18. Production Readiness Checklist</w:t>
      </w:r>
    </w:p>
    <w:tbl>
      <w:tblPr>
        <w:tblStyle w:val="TableGrid"/>
        <w:tblW w:type="dxa" w:w="9360"/>
        <w:tblLayout w:type="fixed"/>
        <w:tblLook w:firstColumn="1" w:firstRow="1" w:lastColumn="0" w:lastRow="0" w:noHBand="0" w:noVBand="1" w:val="04A0"/>
        <w:jc w:val="center"/>
        <w:tblInd w:w="120" w:type="dxa"/>
      </w:tblPr>
      <w:tblGrid>
        <w:gridCol w:w="2300"/>
        <w:gridCol w:w="4860"/>
        <w:gridCol w:w="2200"/>
      </w:tblGrid>
      <w:tr>
        <w:trPr>
          <w:tblHeader w:val="true"/>
        </w:trPr>
        <w:tc>
          <w:tcPr>
            <w:tcW w:type="dxa" w:w="2300"/>
            <w:tcMar>
              <w:top w:w="80" w:type="dxa"/>
              <w:start w:w="120" w:type="dxa"/>
              <w:bottom w:w="80" w:type="dxa"/>
              <w:end w:w="120" w:type="dxa"/>
            </w:tcMar>
            <w:vAlign w:val="center"/>
            <w:shd w:fill="E8EEF5"/>
          </w:tcPr>
          <w:p>
            <w:pPr>
              <w:jc w:val="left"/>
            </w:pPr>
            <w:r>
              <w:rPr>
                <w:rFonts w:ascii="Calibri" w:hAnsi="Calibri"/>
                <w:b/>
                <w:i w:val="0"/>
                <w:color w:val="17365D"/>
                <w:sz w:val="17"/>
              </w:rPr>
              <w:t>Area</w:t>
            </w:r>
          </w:p>
        </w:tc>
        <w:tc>
          <w:tcPr>
            <w:tcW w:type="dxa" w:w="4860"/>
            <w:tcMar>
              <w:top w:w="80" w:type="dxa"/>
              <w:start w:w="120" w:type="dxa"/>
              <w:bottom w:w="80" w:type="dxa"/>
              <w:end w:w="120" w:type="dxa"/>
            </w:tcMar>
            <w:vAlign w:val="center"/>
            <w:shd w:fill="E8EEF5"/>
          </w:tcPr>
          <w:p>
            <w:pPr>
              <w:jc w:val="left"/>
            </w:pPr>
            <w:r>
              <w:rPr>
                <w:rFonts w:ascii="Calibri" w:hAnsi="Calibri"/>
                <w:b/>
                <w:i w:val="0"/>
                <w:color w:val="17365D"/>
                <w:sz w:val="17"/>
              </w:rPr>
              <w:t>Required before production</w:t>
            </w:r>
          </w:p>
        </w:tc>
        <w:tc>
          <w:tcPr>
            <w:tcW w:type="dxa" w:w="2200"/>
            <w:tcMar>
              <w:top w:w="80" w:type="dxa"/>
              <w:start w:w="120" w:type="dxa"/>
              <w:bottom w:w="80" w:type="dxa"/>
              <w:end w:w="120" w:type="dxa"/>
            </w:tcMar>
            <w:vAlign w:val="center"/>
            <w:shd w:fill="E8EEF5"/>
          </w:tcPr>
          <w:p>
            <w:pPr>
              <w:jc w:val="left"/>
            </w:pPr>
            <w:r>
              <w:rPr>
                <w:rFonts w:ascii="Calibri" w:hAnsi="Calibri"/>
                <w:b/>
                <w:i w:val="0"/>
                <w:color w:val="17365D"/>
                <w:sz w:val="17"/>
              </w:rPr>
              <w:t>Status</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7"/>
              </w:rPr>
              <w:t>Scorer integration</w:t>
            </w:r>
          </w:p>
        </w:tc>
        <w:tc>
          <w:tcPr>
            <w:tcW w:type="dxa" w:w="4860"/>
            <w:tcMar>
              <w:top w:w="80" w:type="dxa"/>
              <w:start w:w="120" w:type="dxa"/>
              <w:bottom w:w="80" w:type="dxa"/>
              <w:end w:w="120" w:type="dxa"/>
            </w:tcMar>
            <w:vAlign w:val="center"/>
          </w:tcPr>
          <w:p>
            <w:pPr>
              <w:spacing w:after="0"/>
            </w:pPr>
            <w:r>
              <w:rPr>
                <w:rFonts w:ascii="Calibri" w:hAnsi="Calibri"/>
                <w:b w:val="0"/>
                <w:i w:val="0"/>
                <w:color w:val="111827"/>
                <w:sz w:val="17"/>
              </w:rPr>
              <w:t>Trigger, invalidate and match-completion calls</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7"/>
              </w:rPr>
              <w:t>Pending</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7"/>
              </w:rPr>
              <w:t>Dashboard integration</w:t>
            </w:r>
          </w:p>
        </w:tc>
        <w:tc>
          <w:tcPr>
            <w:tcW w:type="dxa" w:w="4860"/>
            <w:tcMar>
              <w:top w:w="80" w:type="dxa"/>
              <w:start w:w="120" w:type="dxa"/>
              <w:bottom w:w="80" w:type="dxa"/>
              <w:end w:w="120" w:type="dxa"/>
            </w:tcMar>
            <w:vAlign w:val="center"/>
          </w:tcPr>
          <w:p>
            <w:pPr>
              <w:spacing w:after="0"/>
            </w:pPr>
            <w:r>
              <w:rPr>
                <w:rFonts w:ascii="Calibri" w:hAnsi="Calibri"/>
                <w:b w:val="0"/>
                <w:i w:val="0"/>
                <w:color w:val="111827"/>
                <w:sz w:val="17"/>
              </w:rPr>
              <w:t>History retrieval, WebSocket and manual override UI</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7"/>
              </w:rPr>
              <w:t>Pending</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7"/>
              </w:rPr>
              <w:t>Load testing</w:t>
            </w:r>
          </w:p>
        </w:tc>
        <w:tc>
          <w:tcPr>
            <w:tcW w:type="dxa" w:w="4860"/>
            <w:tcMar>
              <w:top w:w="80" w:type="dxa"/>
              <w:start w:w="120" w:type="dxa"/>
              <w:bottom w:w="80" w:type="dxa"/>
              <w:end w:w="120" w:type="dxa"/>
            </w:tcMar>
            <w:vAlign w:val="center"/>
          </w:tcPr>
          <w:p>
            <w:pPr>
              <w:spacing w:after="0"/>
            </w:pPr>
            <w:r>
              <w:rPr>
                <w:rFonts w:ascii="Calibri" w:hAnsi="Calibri"/>
                <w:b w:val="0"/>
                <w:i w:val="0"/>
                <w:color w:val="111827"/>
                <w:sz w:val="17"/>
              </w:rPr>
              <w:t>Approximately 50 simultaneous matches</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7"/>
              </w:rPr>
              <w:t>Pending</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7"/>
              </w:rPr>
              <w:t>Realtime scaling</w:t>
            </w:r>
          </w:p>
        </w:tc>
        <w:tc>
          <w:tcPr>
            <w:tcW w:type="dxa" w:w="4860"/>
            <w:tcMar>
              <w:top w:w="80" w:type="dxa"/>
              <w:start w:w="120" w:type="dxa"/>
              <w:bottom w:w="80" w:type="dxa"/>
              <w:end w:w="120" w:type="dxa"/>
            </w:tcMar>
            <w:vAlign w:val="center"/>
          </w:tcPr>
          <w:p>
            <w:pPr>
              <w:spacing w:after="0"/>
            </w:pPr>
            <w:r>
              <w:rPr>
                <w:rFonts w:ascii="Calibri" w:hAnsi="Calibri"/>
                <w:b w:val="0"/>
                <w:i w:val="0"/>
                <w:color w:val="111827"/>
                <w:sz w:val="17"/>
              </w:rPr>
              <w:t>Redis/Memorystore fanout and multi-instance validation</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7"/>
              </w:rPr>
              <w:t>Pending</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7"/>
              </w:rPr>
              <w:t>Security</w:t>
            </w:r>
          </w:p>
        </w:tc>
        <w:tc>
          <w:tcPr>
            <w:tcW w:type="dxa" w:w="4860"/>
            <w:tcMar>
              <w:top w:w="80" w:type="dxa"/>
              <w:start w:w="120" w:type="dxa"/>
              <w:bottom w:w="80" w:type="dxa"/>
              <w:end w:w="120" w:type="dxa"/>
            </w:tcMar>
            <w:vAlign w:val="center"/>
          </w:tcPr>
          <w:p>
            <w:pPr>
              <w:spacing w:after="0"/>
            </w:pPr>
            <w:r>
              <w:rPr>
                <w:rFonts w:ascii="Calibri" w:hAnsi="Calibri"/>
                <w:b w:val="0"/>
                <w:i w:val="0"/>
                <w:color w:val="111827"/>
                <w:sz w:val="17"/>
              </w:rPr>
              <w:t>Restrict Cloud SQL network and finalize service authentication</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7"/>
              </w:rPr>
              <w:t>Pending</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7"/>
              </w:rPr>
              <w:t>Operations</w:t>
            </w:r>
          </w:p>
        </w:tc>
        <w:tc>
          <w:tcPr>
            <w:tcW w:type="dxa" w:w="4860"/>
            <w:tcMar>
              <w:top w:w="80" w:type="dxa"/>
              <w:start w:w="120" w:type="dxa"/>
              <w:bottom w:w="80" w:type="dxa"/>
              <w:end w:w="120" w:type="dxa"/>
            </w:tcMar>
            <w:vAlign w:val="center"/>
          </w:tcPr>
          <w:p>
            <w:pPr>
              <w:spacing w:after="0"/>
            </w:pPr>
            <w:r>
              <w:rPr>
                <w:rFonts w:ascii="Calibri" w:hAnsi="Calibri"/>
                <w:b w:val="0"/>
                <w:i w:val="0"/>
                <w:color w:val="111827"/>
                <w:sz w:val="17"/>
              </w:rPr>
              <w:t>Alerts, budget, backup checks and rollback procedure</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7"/>
              </w:rPr>
              <w:t>Pending</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7"/>
              </w:rPr>
              <w:t>Acceptance testing</w:t>
            </w:r>
          </w:p>
        </w:tc>
        <w:tc>
          <w:tcPr>
            <w:tcW w:type="dxa" w:w="4860"/>
            <w:tcMar>
              <w:top w:w="80" w:type="dxa"/>
              <w:start w:w="120" w:type="dxa"/>
              <w:bottom w:w="80" w:type="dxa"/>
              <w:end w:w="120" w:type="dxa"/>
            </w:tcMar>
            <w:vAlign w:val="center"/>
          </w:tcPr>
          <w:p>
            <w:pPr>
              <w:spacing w:after="0"/>
            </w:pPr>
            <w:r>
              <w:rPr>
                <w:rFonts w:ascii="Calibri" w:hAnsi="Calibri"/>
                <w:b w:val="0"/>
                <w:i w:val="0"/>
                <w:color w:val="111827"/>
                <w:sz w:val="17"/>
              </w:rPr>
              <w:t>Wickets, extras, innings break, undo and invalid input</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7"/>
              </w:rPr>
              <w:t>Pending</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7"/>
              </w:rPr>
              <w:t>Staging architecture</w:t>
            </w:r>
          </w:p>
        </w:tc>
        <w:tc>
          <w:tcPr>
            <w:tcW w:type="dxa" w:w="4860"/>
            <w:tcMar>
              <w:top w:w="80" w:type="dxa"/>
              <w:start w:w="120" w:type="dxa"/>
              <w:bottom w:w="80" w:type="dxa"/>
              <w:end w:w="120" w:type="dxa"/>
            </w:tcMar>
            <w:vAlign w:val="center"/>
          </w:tcPr>
          <w:p>
            <w:pPr>
              <w:spacing w:after="0"/>
            </w:pPr>
            <w:r>
              <w:rPr>
                <w:rFonts w:ascii="Calibri" w:hAnsi="Calibri"/>
                <w:b w:val="0"/>
                <w:i w:val="0"/>
                <w:color w:val="111827"/>
                <w:sz w:val="17"/>
              </w:rPr>
              <w:t>Two-service deployment and end-to-end flow</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7"/>
              </w:rPr>
              <w:t>Complete</w:t>
            </w:r>
          </w:p>
        </w:tc>
      </w:tr>
      <w:tr>
        <w:tc>
          <w:tcPr>
            <w:tcW w:type="dxa" w:w="2300"/>
            <w:tcMar>
              <w:top w:w="80" w:type="dxa"/>
              <w:start w:w="120" w:type="dxa"/>
              <w:bottom w:w="80" w:type="dxa"/>
              <w:end w:w="120" w:type="dxa"/>
            </w:tcMar>
            <w:vAlign w:val="center"/>
          </w:tcPr>
          <w:p>
            <w:pPr>
              <w:spacing w:after="0"/>
            </w:pPr>
            <w:r>
              <w:rPr>
                <w:rFonts w:ascii="Calibri" w:hAnsi="Calibri"/>
                <w:b w:val="0"/>
                <w:i w:val="0"/>
                <w:color w:val="111827"/>
                <w:sz w:val="17"/>
              </w:rPr>
              <w:t>Automated tests</w:t>
            </w:r>
          </w:p>
        </w:tc>
        <w:tc>
          <w:tcPr>
            <w:tcW w:type="dxa" w:w="4860"/>
            <w:tcMar>
              <w:top w:w="80" w:type="dxa"/>
              <w:start w:w="120" w:type="dxa"/>
              <w:bottom w:w="80" w:type="dxa"/>
              <w:end w:w="120" w:type="dxa"/>
            </w:tcMar>
            <w:vAlign w:val="center"/>
          </w:tcPr>
          <w:p>
            <w:pPr>
              <w:spacing w:after="0"/>
            </w:pPr>
            <w:r>
              <w:rPr>
                <w:rFonts w:ascii="Calibri" w:hAnsi="Calibri"/>
                <w:b w:val="0"/>
                <w:i w:val="0"/>
                <w:color w:val="111827"/>
                <w:sz w:val="17"/>
              </w:rPr>
              <w:t>Core suite</w:t>
            </w:r>
          </w:p>
        </w:tc>
        <w:tc>
          <w:tcPr>
            <w:tcW w:type="dxa" w:w="2200"/>
            <w:tcMar>
              <w:top w:w="80" w:type="dxa"/>
              <w:start w:w="120" w:type="dxa"/>
              <w:bottom w:w="80" w:type="dxa"/>
              <w:end w:w="120" w:type="dxa"/>
            </w:tcMar>
            <w:vAlign w:val="center"/>
          </w:tcPr>
          <w:p>
            <w:pPr>
              <w:spacing w:after="0"/>
            </w:pPr>
            <w:r>
              <w:rPr>
                <w:rFonts w:ascii="Calibri" w:hAnsi="Calibri"/>
                <w:b w:val="0"/>
                <w:i w:val="0"/>
                <w:color w:val="111827"/>
                <w:sz w:val="17"/>
              </w:rPr>
              <w:t>Complete</w:t>
            </w:r>
          </w:p>
        </w:tc>
      </w:tr>
    </w:tbl>
    <w:p>
      <w:pPr>
        <w:spacing w:after="20"/>
      </w:pPr>
    </w:p>
    <w:p>
      <w:pPr>
        <w:pStyle w:val="Heading1"/>
      </w:pPr>
      <w:r>
        <w:t>19. Known Constraints and Planned Extensions</w:t>
      </w:r>
    </w:p>
    <w:p>
      <w:pPr>
        <w:pStyle w:val="ListBullet"/>
      </w:pPr>
      <w:r>
        <w:rPr>
          <w:rFonts w:ascii="Calibri" w:hAnsi="Calibri"/>
          <w:b w:val="0"/>
          <w:i w:val="0"/>
          <w:color w:val="111827"/>
          <w:sz w:val="22"/>
        </w:rPr>
        <w:t>Realtime Gateway cannot safely scale beyond one instance until shared Redis/Memorystore fanout is configured.</w:t>
      </w:r>
    </w:p>
    <w:p>
      <w:pPr>
        <w:pStyle w:val="ListBullet"/>
      </w:pPr>
      <w:r>
        <w:rPr>
          <w:rFonts w:ascii="Calibri" w:hAnsi="Calibri"/>
          <w:b w:val="0"/>
          <w:i w:val="0"/>
          <w:color w:val="111827"/>
          <w:sz w:val="22"/>
        </w:rPr>
        <w:t>Production dashboard authentication and short-lived realtime tokens need final alignment with the main platform.</w:t>
      </w:r>
    </w:p>
    <w:p>
      <w:pPr>
        <w:pStyle w:val="ListBullet"/>
      </w:pPr>
      <w:r>
        <w:rPr>
          <w:rFonts w:ascii="Calibri" w:hAnsi="Calibri"/>
          <w:b w:val="0"/>
          <w:i w:val="0"/>
          <w:color w:val="111827"/>
          <w:sz w:val="22"/>
        </w:rPr>
        <w:t>Ball length and delivery type commentary will be added when the scoring fields become available.</w:t>
      </w:r>
    </w:p>
    <w:p>
      <w:pPr>
        <w:pStyle w:val="ListBullet"/>
      </w:pPr>
      <w:r>
        <w:rPr>
          <w:rFonts w:ascii="Calibri" w:hAnsi="Calibri"/>
          <w:b w:val="0"/>
          <w:i w:val="0"/>
          <w:color w:val="111827"/>
          <w:sz w:val="22"/>
        </w:rPr>
        <w:t>Additional languages can be introduced through style/language profiles later.</w:t>
      </w:r>
    </w:p>
    <w:p>
      <w:pPr>
        <w:pStyle w:val="ListBullet"/>
      </w:pPr>
      <w:r>
        <w:rPr>
          <w:rFonts w:ascii="Calibri" w:hAnsi="Calibri"/>
          <w:b w:val="0"/>
          <w:i w:val="0"/>
          <w:color w:val="111827"/>
          <w:sz w:val="22"/>
        </w:rPr>
        <w:t>Audio commentary can consume the final commentary stream in a separate future project.</w:t>
      </w:r>
    </w:p>
    <w:p>
      <w:pPr>
        <w:pStyle w:val="ListBullet"/>
      </w:pPr>
      <w:r>
        <w:rPr>
          <w:rFonts w:ascii="Calibri" w:hAnsi="Calibri"/>
          <w:b w:val="0"/>
          <w:i w:val="0"/>
          <w:color w:val="111827"/>
          <w:sz w:val="22"/>
        </w:rPr>
        <w:t>Quality will continue to improve using production feedback and manual-correction analysis.</w:t>
      </w:r>
    </w:p>
    <w:p>
      <w:pPr>
        <w:pStyle w:val="Heading1"/>
      </w:pPr>
      <w:r>
        <w:t>20. Developer Quick Start</w:t>
      </w:r>
    </w:p>
    <w:p>
      <w:pPr>
        <w:pStyle w:val="Heading2"/>
      </w:pPr>
      <w:r>
        <w:t>20.1 Local API</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after="0"/>
            </w:pPr>
            <w:r>
              <w:rPr>
                <w:rFonts w:ascii="Consolas" w:hAnsi="Consolas"/>
                <w:b w:val="0"/>
                <w:i w:val="0"/>
                <w:color w:val="273142"/>
                <w:sz w:val="17"/>
              </w:rPr>
              <w:t>.\.venv\Scripts\python.exe -m uvicorn cricket_commentary.api_app:app --host 127.0.0.1 --port 8080</w:t>
              <w:br/>
            </w:r>
          </w:p>
        </w:tc>
      </w:tr>
    </w:tbl>
    <w:p>
      <w:pPr>
        <w:spacing w:after="20"/>
      </w:pPr>
    </w:p>
    <w:p>
      <w:pPr>
        <w:pStyle w:val="Heading2"/>
      </w:pPr>
      <w:r>
        <w:t>20.2 Local Test UI</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after="0"/>
            </w:pPr>
            <w:r>
              <w:rPr>
                <w:rFonts w:ascii="Consolas" w:hAnsi="Consolas"/>
                <w:b w:val="0"/>
                <w:i w:val="0"/>
                <w:color w:val="273142"/>
                <w:sz w:val="17"/>
              </w:rPr>
              <w:t>.\.venv\Scripts\python.exe -m cricket_commentary.web_app</w:t>
              <w:br/>
            </w:r>
            <w:r>
              <w:rPr>
                <w:rFonts w:ascii="Consolas" w:hAnsi="Consolas"/>
                <w:b w:val="0"/>
                <w:i w:val="0"/>
                <w:color w:val="273142"/>
                <w:sz w:val="17"/>
              </w:rPr>
              <w:t># Open http://127.0.0.1:8000</w:t>
              <w:br/>
            </w:r>
          </w:p>
        </w:tc>
      </w:tr>
    </w:tbl>
    <w:p>
      <w:pPr>
        <w:spacing w:after="20"/>
      </w:pPr>
    </w:p>
    <w:p>
      <w:pPr>
        <w:pStyle w:val="Heading2"/>
      </w:pPr>
      <w:r>
        <w:t>20.3 React Test Client</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after="0"/>
            </w:pPr>
            <w:r>
              <w:rPr>
                <w:rFonts w:ascii="Consolas" w:hAnsi="Consolas"/>
                <w:b w:val="0"/>
                <w:i w:val="0"/>
                <w:color w:val="273142"/>
                <w:sz w:val="17"/>
              </w:rPr>
              <w:t>cd react_test_client</w:t>
              <w:br/>
            </w:r>
            <w:r>
              <w:rPr>
                <w:rFonts w:ascii="Consolas" w:hAnsi="Consolas"/>
                <w:b w:val="0"/>
                <w:i w:val="0"/>
                <w:color w:val="273142"/>
                <w:sz w:val="17"/>
              </w:rPr>
              <w:t>python -m http.server 5173</w:t>
              <w:br/>
            </w:r>
            <w:r>
              <w:rPr>
                <w:rFonts w:ascii="Consolas" w:hAnsi="Consolas"/>
                <w:b w:val="0"/>
                <w:i w:val="0"/>
                <w:color w:val="273142"/>
                <w:sz w:val="17"/>
              </w:rPr>
              <w:t># Open http://127.0.0.1:5173</w:t>
              <w:br/>
            </w:r>
          </w:p>
        </w:tc>
      </w:tr>
    </w:tbl>
    <w:p>
      <w:pPr>
        <w:spacing w:after="20"/>
      </w:pPr>
    </w:p>
    <w:p>
      <w:pPr>
        <w:pStyle w:val="Heading2"/>
      </w:pPr>
      <w:r>
        <w:t>20.4 Tests</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7F8FA"/>
          </w:tcPr>
          <w:p>
            <w:pPr>
              <w:spacing w:after="0"/>
            </w:pPr>
            <w:r>
              <w:rPr>
                <w:rFonts w:ascii="Consolas" w:hAnsi="Consolas"/>
                <w:b w:val="0"/>
                <w:i w:val="0"/>
                <w:color w:val="273142"/>
                <w:sz w:val="17"/>
              </w:rPr>
              <w:t>.\.venv\Scripts\python.exe -m pytest</w:t>
              <w:br/>
            </w:r>
          </w:p>
        </w:tc>
      </w:tr>
    </w:tbl>
    <w:p>
      <w:pPr>
        <w:spacing w:after="20"/>
      </w:pP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DECEC"/>
          </w:tcPr>
          <w:p>
            <w:pPr>
              <w:spacing w:after="0"/>
            </w:pPr>
            <w:r>
              <w:rPr>
                <w:rFonts w:ascii="Calibri" w:hAnsi="Calibri"/>
                <w:b/>
                <w:i w:val="0"/>
                <w:color w:val="9B1C1C"/>
                <w:sz w:val="22"/>
              </w:rPr>
              <w:t xml:space="preserve">Secret handling  </w:t>
            </w:r>
            <w:r>
              <w:rPr>
                <w:rFonts w:ascii="Calibri" w:hAnsi="Calibri"/>
                <w:b w:val="0"/>
                <w:i w:val="0"/>
                <w:color w:val="111827"/>
                <w:sz w:val="22"/>
              </w:rPr>
              <w:t>Set local credentials in a local .env file or terminal environment. Never place passwords, API keys or tokens in source code or documentation.</w:t>
            </w:r>
          </w:p>
        </w:tc>
      </w:tr>
    </w:tbl>
    <w:p>
      <w:pPr>
        <w:spacing w:after="20"/>
      </w:pPr>
    </w:p>
    <w:p>
      <w:pPr>
        <w:pStyle w:val="Heading1"/>
      </w:pPr>
      <w:r>
        <w:t>21. Documentation Map</w:t>
      </w:r>
    </w:p>
    <w:tbl>
      <w:tblPr>
        <w:tblStyle w:val="TableGrid"/>
        <w:tblW w:type="dxa" w:w="9360"/>
        <w:tblLayout w:type="fixed"/>
        <w:tblLook w:firstColumn="1" w:firstRow="1" w:lastColumn="0" w:lastRow="0" w:noHBand="0" w:noVBand="1" w:val="04A0"/>
        <w:jc w:val="center"/>
        <w:tblInd w:w="120" w:type="dxa"/>
      </w:tblPr>
      <w:tblGrid>
        <w:gridCol w:w="4100"/>
        <w:gridCol w:w="5260"/>
      </w:tblGrid>
      <w:tr>
        <w:trPr>
          <w:tblHeader w:val="true"/>
        </w:trPr>
        <w:tc>
          <w:tcPr>
            <w:tcW w:type="dxa" w:w="4100"/>
            <w:tcMar>
              <w:top w:w="80" w:type="dxa"/>
              <w:start w:w="120" w:type="dxa"/>
              <w:bottom w:w="80" w:type="dxa"/>
              <w:end w:w="120" w:type="dxa"/>
            </w:tcMar>
            <w:vAlign w:val="center"/>
            <w:shd w:fill="E8EEF5"/>
          </w:tcPr>
          <w:p>
            <w:pPr>
              <w:jc w:val="left"/>
            </w:pPr>
            <w:r>
              <w:rPr>
                <w:rFonts w:ascii="Calibri" w:hAnsi="Calibri"/>
                <w:b/>
                <w:i w:val="0"/>
                <w:color w:val="17365D"/>
                <w:sz w:val="17"/>
              </w:rPr>
              <w:t>Detailed document</w:t>
            </w:r>
          </w:p>
        </w:tc>
        <w:tc>
          <w:tcPr>
            <w:tcW w:type="dxa" w:w="5260"/>
            <w:tcMar>
              <w:top w:w="80" w:type="dxa"/>
              <w:start w:w="120" w:type="dxa"/>
              <w:bottom w:w="80" w:type="dxa"/>
              <w:end w:w="120" w:type="dxa"/>
            </w:tcMar>
            <w:vAlign w:val="center"/>
            <w:shd w:fill="E8EEF5"/>
          </w:tcPr>
          <w:p>
            <w:pPr>
              <w:jc w:val="left"/>
            </w:pPr>
            <w:r>
              <w:rPr>
                <w:rFonts w:ascii="Calibri" w:hAnsi="Calibri"/>
                <w:b/>
                <w:i w:val="0"/>
                <w:color w:val="17365D"/>
                <w:sz w:val="17"/>
              </w:rPr>
              <w:t>Use it for</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docs/FASTAPI_BACKEND.md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Endpoint and backend integration details</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docs/SCORER_BACKEND_INTEGRATION_HANDOFF.md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Scorer backend implementation</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docs/DASHBOARD_COMMENTARY_INTEGRATION.md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Viewer/scorer/admin dashboard integration</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docs/AI_COMMENTARY_DB_SPEC.md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Database tables, fields and indexes</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docs/DATABASE_MIGRATIONS.md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Database migration sequence</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docs/COMMENTARY_EVENT_DELIVERY.md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Outbox and Pub/Sub event delivery</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docs/REALTIME_GATEWAY_DEPLOYMENT.md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Realtime Gateway deployment</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docs/GOOGLE_CLOUD_DEPLOYMENT.md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Google Cloud deployment procedure</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docs/PROMPT_TEMPLATES.md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Prompt/task templates</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docs/FALLBACK_COMMENTARY.md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Fallback behavior</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docs/DATA_EXTRACTION_MODEL.md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Input parsing and normalization</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docs/TOKEN_USAGE_AND_COST.md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Token usage and cost tracking</w:t>
            </w:r>
          </w:p>
        </w:tc>
      </w:tr>
      <w:tr>
        <w:tc>
          <w:tcPr>
            <w:tcW w:type="dxa" w:w="4100"/>
            <w:tcMar>
              <w:top w:w="80" w:type="dxa"/>
              <w:start w:w="120" w:type="dxa"/>
              <w:bottom w:w="80" w:type="dxa"/>
              <w:end w:w="120" w:type="dxa"/>
            </w:tcMar>
            <w:vAlign w:val="center"/>
          </w:tcPr>
          <w:p>
            <w:pPr>
              <w:spacing w:after="0"/>
            </w:pPr>
            <w:r>
              <w:rPr>
                <w:rFonts w:ascii="Calibri" w:hAnsi="Calibri"/>
                <w:b w:val="0"/>
                <w:i w:val="0"/>
                <w:color w:val="111827"/>
                <w:sz w:val="17"/>
              </w:rPr>
              <w:t>docs/STAGING_DEPLOYMENT_2026-06-15.md</w:t>
            </w:r>
          </w:p>
        </w:tc>
        <w:tc>
          <w:tcPr>
            <w:tcW w:type="dxa" w:w="5260"/>
            <w:tcMar>
              <w:top w:w="80" w:type="dxa"/>
              <w:start w:w="120" w:type="dxa"/>
              <w:bottom w:w="80" w:type="dxa"/>
              <w:end w:w="120" w:type="dxa"/>
            </w:tcMar>
            <w:vAlign w:val="center"/>
          </w:tcPr>
          <w:p>
            <w:pPr>
              <w:spacing w:after="0"/>
            </w:pPr>
            <w:r>
              <w:rPr>
                <w:rFonts w:ascii="Calibri" w:hAnsi="Calibri"/>
                <w:b w:val="0"/>
                <w:i w:val="0"/>
                <w:color w:val="111827"/>
                <w:sz w:val="17"/>
              </w:rPr>
              <w:t>Verified staging deployment record</w:t>
            </w:r>
          </w:p>
        </w:tc>
      </w:tr>
    </w:tbl>
    <w:p>
      <w:pPr>
        <w:spacing w:after="20"/>
      </w:pPr>
    </w:p>
    <w:p>
      <w:pPr>
        <w:pStyle w:val="Heading1"/>
      </w:pPr>
      <w:r>
        <w:t>22. Final Operational Summary</w:t>
      </w:r>
    </w:p>
    <w:p>
      <w:r>
        <w:rPr>
          <w:rFonts w:ascii="Calibri" w:hAnsi="Calibri"/>
          <w:b w:val="0"/>
          <w:i w:val="0"/>
          <w:color w:val="111827"/>
          <w:sz w:val="22"/>
        </w:rPr>
        <w:t>The module is a production-style, independently deployable commentary backend with database persistence, asynchronous generation, fallback resilience and realtime delivery. Its staging implementation has been verified end to end. The remaining work is primarily platform integration and production operations rather than fundamental module construction.</w:t>
      </w:r>
    </w:p>
    <w:tbl>
      <w:tblPr>
        <w:tblW w:type="dxa" w:w="9360"/>
        <w:jc w:val="center"/>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7F3EC"/>
          </w:tcPr>
          <w:p>
            <w:pPr>
              <w:spacing w:after="0"/>
            </w:pPr>
            <w:r>
              <w:rPr>
                <w:rFonts w:ascii="Calibri" w:hAnsi="Calibri"/>
                <w:b/>
                <w:i w:val="0"/>
                <w:color w:val="1F4D78"/>
                <w:sz w:val="22"/>
              </w:rPr>
              <w:t xml:space="preserve">Recommended next action  </w:t>
            </w:r>
            <w:r>
              <w:rPr>
                <w:rFonts w:ascii="Calibri" w:hAnsi="Calibri"/>
                <w:b w:val="0"/>
                <w:i w:val="0"/>
                <w:color w:val="111827"/>
                <w:sz w:val="22"/>
              </w:rPr>
              <w:t>Integrate the scorer backend trigger and dashboard history/WebSocket flow, then execute the 50-match load test before approving production traffic.</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AI Cricket Commentary Module  |  Technical &amp;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Cricket Commentary Module - Full Documentation</dc:title>
  <dc:subject>Technical, integration, deployment and operations manual</dc:subject>
  <dc:creator>AI Cricket Commentary Project Team</dc:creator>
  <cp:keywords>cricket, commentary, FastAPI, Vertex AI, Cloud Run, PostgreSQL, realtime</cp:keywords>
  <dc:description>generated by python-docx</dc:description>
  <cp:lastModifiedBy/>
  <cp:revision>1</cp:revision>
  <dcterms:created xsi:type="dcterms:W3CDTF">2013-12-23T23:15:00Z</dcterms:created>
  <dcterms:modified xsi:type="dcterms:W3CDTF">2013-12-23T23:15:00Z</dcterms:modified>
  <cp:category/>
</cp:coreProperties>
</file>