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 Id="rIdCustom"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Heading1"/>
        <ck:id v="literature-review-autonomous-ai-drone-mission-planner-ramr-cv-inspection-quality-feedback"/>
      </w:pPr>
      <w:bookmarkStart w:id="0" w:name="literature_review_autonomous_ai_drone_mi"/>
      <w:r>
        <w:t>Literature Review — Autonomous AI Drone Mission Planner (RAMR + CV Inspection-Quality Feedback)</w:t>
      </w:r>
      <w:bookmarkEnd w:id="0"/>
    </w:p>
    <w:p>
      <w:r>
        <w:t>20 papers surveyed across the project's core components: LLM-based natural-language mission generation, Retrieval-Augmented Generation (RAG) for grounding/planning, adaptive real-time mission replanning, computer-vision image-quality assessment (blur/exposure), UAV infrastructure inspection, and flight safety/geofencing.</w:t>
      </w:r>
    </w:p>
    <w:tbl>
      <w:tblPr>
        <w:tblStyle w:val="CkTable"/>
        <w:tblW w:w="0" w:type="auto"/>
        <w:tblLayout w:type="autofit"/>
        <w:tblLook w:firstRow="1" w:lastRow="0" w:firstColumn="0" w:lastColumn="0" w:noHBand="0" w:noVBand="1"/>
      </w:tblPr>
      <w:tblGrid>
        <w:gridCol/>
        <w:gridCol/>
        <w:gridCol/>
        <w:gridCol/>
      </w:tblGrid>
      <w:tr>
        <w:trPr>
          <w:tblHeader/>
        </w:trPr>
        <w:tc>
          <w:tcPr/>
          <w:p>
            <w:r>
              <w:rPr>
                <w:b/>
              </w:rPr>
              <w:t>#</w:t>
            </w:r>
          </w:p>
        </w:tc>
        <w:tc>
          <w:tcPr/>
          <w:p>
            <w:r>
              <w:rPr>
                <w:b/>
              </w:rPr>
              <w:t>Paper (Authors, Year)</w:t>
            </w:r>
          </w:p>
        </w:tc>
        <w:tc>
          <w:tcPr/>
          <w:p>
            <w:r>
              <w:rPr>
                <w:b/>
              </w:rPr>
              <w:t>Source</w:t>
            </w:r>
          </w:p>
        </w:tc>
        <w:tc>
          <w:tcPr/>
          <w:p>
            <w:r>
              <w:rPr>
                <w:b/>
              </w:rPr>
              <w:t>Summary &amp; Relevance to This Project</w:t>
            </w:r>
          </w:p>
        </w:tc>
      </w:tr>
      <w:tr>
        <w:tc>
          <w:tcPr/>
          <w:p>
            <w:r>
              <w:t>1</w:t>
            </w:r>
          </w:p>
        </w:tc>
        <w:tc>
          <w:tcPr/>
          <w:p>
            <w:r>
              <w:rPr>
                <w:b/>
              </w:rPr>
              <w:t>Next-Generation LLM for UAV: From Natural Language to Autonomous Flight</w:t>
            </w:r>
          </w:p>
        </w:tc>
        <w:tc>
          <w:tcPr/>
          <w:p>
            <w:r>
              <w:t>arXiv 2510.21739, 2026</w:t>
            </w:r>
          </w:p>
        </w:tc>
        <w:tc>
          <w:tcPr/>
          <w:p>
            <w:r>
              <w:t xml:space="preserve">Proposes an LLM-driven pipeline that converts free-form natural-language commands into executable UAV flight instructions, addressing parsing ambiguity and safety-constrained execution. Directly parallels this project's </w:t>
            </w:r>
            <w:r>
              <w:rPr>
                <w:rStyle w:val="CkCode"/>
              </w:rPr>
              <w:t>app.llm</w:t>
            </w:r>
            <w:r>
              <w:t xml:space="preserve"> + </w:t>
            </w:r>
            <w:r>
              <w:rPr>
                <w:rStyle w:val="CkCode"/>
              </w:rPr>
              <w:t>app.mission.generator</w:t>
            </w:r>
            <w:r>
              <w:t xml:space="preserve"> stage, where a natural-language inspection request ("Inspect AB1 of VIT Chennai") is turned into a structured mission — useful as a comparison point for how this project's schema-constrained generation + rule-validation approach differs from a more end-to-end LLM control loop.</w:t>
            </w:r>
          </w:p>
        </w:tc>
      </w:tr>
      <w:tr>
        <w:tc>
          <w:tcPr/>
          <w:p>
            <w:r>
              <w:t>2</w:t>
            </w:r>
          </w:p>
        </w:tc>
        <w:tc>
          <w:tcPr/>
          <w:p>
            <w:r>
              <w:rPr>
                <w:b/>
              </w:rPr>
              <w:t>LEVIOSA: Natural Language-Based Uncrewed Aerial Vehicle Trajectory Generation</w:t>
            </w:r>
            <w:r>
              <w:t xml:space="preserve"> (2024)</w:t>
            </w:r>
          </w:p>
        </w:tc>
        <w:tc>
          <w:tcPr/>
          <w:p>
            <w:r>
              <w:rPr>
                <w:i/>
              </w:rPr>
              <w:t>Electronics</w:t>
            </w:r>
            <w:r>
              <w:t xml:space="preserve"> (MDPI)</w:t>
            </w:r>
          </w:p>
        </w:tc>
        <w:tc>
          <w:tcPr/>
          <w:p>
            <w:r>
              <w:t>Introduces a system that converts natural-language descriptions directly into UAV trajectories/waypoints, evaluating generation accuracy against hand-authored missions. Supports this project's core design choice of using an LLM (Groq/Ollama) as the waypoint-generation engine rather than a rule-based parser, and is a useful benchmark for waypoint-sequencing correctness.</w:t>
            </w:r>
          </w:p>
        </w:tc>
      </w:tr>
      <w:tr>
        <w:tc>
          <w:tcPr/>
          <w:p>
            <w:r>
              <w:t>3</w:t>
            </w:r>
          </w:p>
        </w:tc>
        <w:tc>
          <w:tcPr/>
          <w:p>
            <w:r>
              <w:rPr>
                <w:b/>
              </w:rPr>
              <w:t>UAV-VLA: Vision-Language-Action System for Large Scale Aerial Mission Generation</w:t>
            </w:r>
            <w:r>
              <w:t xml:space="preserve"> (2025)</w:t>
            </w:r>
          </w:p>
        </w:tc>
        <w:tc>
          <w:tcPr/>
          <w:p>
            <w:r>
              <w:t>ACM/IEEE HRI Proceedings</w:t>
            </w:r>
          </w:p>
        </w:tc>
        <w:tc>
          <w:tcPr/>
          <w:p>
            <w:r>
              <w:t>Combines a vision-language model with an action-generation module to plan large-scale aerial survey missions from high-level instructions and scene context. Relevant to a possible future extension of this project's CV pipeline (currently blur/exposure-only) toward scene-aware mission generation, and to the location-resolution improvement that already grounds missions in real building geometry.</w:t>
            </w:r>
          </w:p>
        </w:tc>
      </w:tr>
      <w:tr>
        <w:tc>
          <w:tcPr/>
          <w:p>
            <w:r>
              <w:t>4</w:t>
            </w:r>
          </w:p>
        </w:tc>
        <w:tc>
          <w:tcPr/>
          <w:p>
            <w:r>
              <w:rPr>
                <w:b/>
              </w:rPr>
              <w:t>Taking Flight with Dialogue: Enabling Natural Language Control for PX4-based Drone Agent</w:t>
            </w:r>
            <w:r>
              <w:t xml:space="preserve"> (2025)</w:t>
            </w:r>
          </w:p>
        </w:tc>
        <w:tc>
          <w:tcPr/>
          <w:p>
            <w:r>
              <w:t>arXiv 2506.07509</w:t>
            </w:r>
          </w:p>
        </w:tc>
        <w:tc>
          <w:tcPr/>
          <w:p>
            <w:r>
              <w:t xml:space="preserve">Builds a conversational control agent on top of PX4/MAVSDK, the same simulation/autopilot stack this project uses for Phase 6–8 (mission conversion, SITL connection, execution). Its treatment of natural-language-to-MAVSDK command translation is directly comparable to this project's </w:t>
            </w:r>
            <w:r>
              <w:rPr>
                <w:rStyle w:val="CkCode"/>
              </w:rPr>
              <w:t>app.mission.converter</w:t>
            </w:r>
            <w:r>
              <w:t xml:space="preserve"> + </w:t>
            </w:r>
            <w:r>
              <w:rPr>
                <w:rStyle w:val="CkCode"/>
              </w:rPr>
              <w:t>app.mavlink.px4_client</w:t>
            </w:r>
            <w:r>
              <w:t>, and reinforces the standing project rule that the LLM must never touch PX4 directly.</w:t>
            </w:r>
          </w:p>
        </w:tc>
      </w:tr>
      <w:tr>
        <w:tc>
          <w:tcPr/>
          <w:p>
            <w:r>
              <w:t>5</w:t>
            </w:r>
          </w:p>
        </w:tc>
        <w:tc>
          <w:tcPr/>
          <w:p>
            <w:r>
              <w:rPr>
                <w:b/>
              </w:rPr>
              <w:t>UAV-Agents: Evaluating Vision–Language Model Readiness for Autonomous UAV Mission Planning and Deployment</w:t>
            </w:r>
            <w:r>
              <w:t xml:space="preserve"> (2025)</w:t>
            </w:r>
          </w:p>
        </w:tc>
        <w:tc>
          <w:tcPr/>
          <w:p>
            <w:r>
              <w:t>SSRN preprint</w:t>
            </w:r>
          </w:p>
        </w:tc>
        <w:tc>
          <w:tcPr/>
          <w:p>
            <w:r>
              <w:t>Benchmarks several VLMs on their reliability for autonomous UAV mission planning, reporting failure modes such as hallucinated coordinates and unsafe waypoint sequencing. Empirically motivates this project's own defense-in-depth design — schema validation (Phase 4), deterministic rule validation (Phase 5), and the location resolver's explicit refusal to fabricate coordinates — as necessary guardrails around exactly the failure modes this paper documents.</w:t>
            </w:r>
          </w:p>
        </w:tc>
      </w:tr>
      <w:tr>
        <w:tc>
          <w:tcPr/>
          <w:p>
            <w:r>
              <w:t>6</w:t>
            </w:r>
          </w:p>
        </w:tc>
        <w:tc>
          <w:tcPr/>
          <w:p>
            <w:r>
              <w:rPr>
                <w:b/>
              </w:rPr>
              <w:t>A Framework Leveraging Large Language Models for Autonomous UAV Control in Flying Networks</w:t>
            </w:r>
            <w:r>
              <w:t xml:space="preserve"> (2025)</w:t>
            </w:r>
          </w:p>
        </w:tc>
        <w:tc>
          <w:tcPr/>
          <w:p>
            <w:r>
              <w:t>arXiv 2506.04404</w:t>
            </w:r>
          </w:p>
        </w:tc>
        <w:tc>
          <w:tcPr/>
          <w:p>
            <w:r>
              <w:t xml:space="preserve">Presents an LLM-in-the-loop control framework for UAV fleets operating as flying communication networks, focusing on how LLM decisions are constrained and verified before execution. Its verification-before-execution pattern mirrors this project's </w:t>
            </w:r>
            <w:r>
              <w:rPr>
                <w:rStyle w:val="CkCode"/>
              </w:rPr>
              <w:t>SafetyValidator</w:t>
            </w:r>
            <w:r>
              <w:t>/</w:t>
            </w:r>
            <w:r>
              <w:rPr>
                <w:rStyle w:val="CkCode"/>
              </w:rPr>
              <w:t>ReplanningSafetyValidator</w:t>
            </w:r>
            <w:r>
              <w:t>, which sit between every LLM-proposed mission or replan and the drone.</w:t>
            </w:r>
          </w:p>
        </w:tc>
      </w:tr>
      <w:tr>
        <w:tc>
          <w:tcPr/>
          <w:p>
            <w:r>
              <w:t>7</w:t>
            </w:r>
          </w:p>
        </w:tc>
        <w:tc>
          <w:tcPr/>
          <w:p>
            <w:r>
              <w:rPr>
                <w:b/>
              </w:rPr>
              <w:t>Retrieval-Augmented Generation for Knowledge-Intensive NLP Tasks</w:t>
            </w:r>
            <w:r>
              <w:t xml:space="preserve"> (Lewis, Perez, Piktus et al., NeurIPS 2020)</w:t>
            </w:r>
          </w:p>
        </w:tc>
        <w:tc>
          <w:tcPr/>
          <w:p>
            <w:r>
              <w:t>arXiv 2005.11401</w:t>
            </w:r>
          </w:p>
        </w:tc>
        <w:tc>
          <w:tcPr/>
          <w:p>
            <w:r>
              <w:t>The foundational RAG paper: combines a dense retriever over a document index with a generative model, showing retrieval-grounded generation reduces factual error versus a parametric-only LLM. This is the architectural basis for this project's entire Phase 2 RAG Builder (</w:t>
            </w:r>
            <w:r>
              <w:rPr>
                <w:rStyle w:val="CkCode"/>
              </w:rPr>
              <w:t>document_loader.py</w:t>
            </w:r>
            <w:r>
              <w:t xml:space="preserve"> → </w:t>
            </w:r>
            <w:r>
              <w:rPr>
                <w:rStyle w:val="CkCode"/>
              </w:rPr>
              <w:t>embeddings.py</w:t>
            </w:r>
            <w:r>
              <w:t xml:space="preserve"> → </w:t>
            </w:r>
            <w:r>
              <w:rPr>
                <w:rStyle w:val="CkCode"/>
              </w:rPr>
              <w:t>retriever.py</w:t>
            </w:r>
            <w:r>
              <w:t>) and the reasoning behind grounding mission generation and replanning decisions in a retrieved knowledge base rather than the LLM's unaided output.</w:t>
            </w:r>
          </w:p>
        </w:tc>
      </w:tr>
      <w:tr>
        <w:tc>
          <w:tcPr/>
          <w:p>
            <w:r>
              <w:t>8</w:t>
            </w:r>
          </w:p>
        </w:tc>
        <w:tc>
          <w:tcPr/>
          <w:p>
            <w:r>
              <w:rPr>
                <w:b/>
              </w:rPr>
              <w:t>A Retrieval Augmented Generation Approach for Planning on General Purpose Service Robots</w:t>
            </w:r>
            <w:r>
              <w:t xml:space="preserve"> (2025)</w:t>
            </w:r>
          </w:p>
        </w:tc>
        <w:tc>
          <w:tcPr/>
          <w:p>
            <w:r>
              <w:t xml:space="preserve">Springer, </w:t>
            </w:r>
            <w:r>
              <w:rPr>
                <w:i/>
              </w:rPr>
              <w:t>LNCS/LNAI</w:t>
            </w:r>
          </w:p>
        </w:tc>
        <w:tc>
          <w:tcPr/>
          <w:p>
            <w:r>
              <w:t xml:space="preserve">Applies RAG specifically to robot task planning, retrieving relevant prior plans/facts to condition an LLM planner, and reports improved plan validity over a non-retrieval baseline. Directly analogous to how this project's </w:t>
            </w:r>
            <w:r>
              <w:rPr>
                <w:rStyle w:val="CkCode"/>
              </w:rPr>
              <w:t>generate_validated_mission()</w:t>
            </w:r>
            <w:r>
              <w:t xml:space="preserve"> retrieves MAVLink/PX4/safety documents before generation, and to the location-resolution improvement's RAG fallback for building coordinates when OpenStreetMap has no data.</w:t>
            </w:r>
          </w:p>
        </w:tc>
      </w:tr>
      <w:tr>
        <w:tc>
          <w:tcPr/>
          <w:p>
            <w:r>
              <w:t>9</w:t>
            </w:r>
          </w:p>
        </w:tc>
        <w:tc>
          <w:tcPr/>
          <w:p>
            <w:r>
              <w:rPr>
                <w:b/>
              </w:rPr>
              <w:t>ARRC: Advanced Reasoning Robot Control — Knowledge-Driven Autonomous Manipulation Using Retrieval-Augmented Generation</w:t>
            </w:r>
            <w:r>
              <w:t xml:space="preserve"> (2025)</w:t>
            </w:r>
          </w:p>
        </w:tc>
        <w:tc>
          <w:tcPr/>
          <w:p>
            <w:r>
              <w:t>arXiv 2510.05547</w:t>
            </w:r>
          </w:p>
        </w:tc>
        <w:tc>
          <w:tcPr/>
          <w:p>
            <w:r>
              <w:t>Uses RAG to ground a robot's action selection in a structured knowledge base rather than relying on the LLM's internal knowledge, with an explicit "never fabricate an action the knowledge base doesn't support" design constraint. Echoes this project's own explicit rule (used throughout the PDF-ingestion and location-resolution work) to never invent facts when retrieval/extraction fails, instead surfacing a clear error.</w:t>
            </w:r>
          </w:p>
        </w:tc>
      </w:tr>
      <w:tr>
        <w:tc>
          <w:tcPr/>
          <w:p>
            <w:r>
              <w:t>10</w:t>
            </w:r>
          </w:p>
        </w:tc>
        <w:tc>
          <w:tcPr/>
          <w:p>
            <w:r>
              <w:rPr>
                <w:b/>
              </w:rPr>
              <w:t>Sentence-BERT: Sentence Embeddings using Siamese BERT-Networks</w:t>
            </w:r>
            <w:r>
              <w:t xml:space="preserve"> (Reimers &amp; Gurevych, EMNLP 2019)</w:t>
            </w:r>
          </w:p>
        </w:tc>
        <w:tc>
          <w:tcPr/>
          <w:p>
            <w:r>
              <w:t>arXiv 1908.10084</w:t>
            </w:r>
          </w:p>
        </w:tc>
        <w:tc>
          <w:tcPr/>
          <w:p>
            <w:r>
              <w:t xml:space="preserve">Introduces a Siamese BERT architecture that produces semantically meaningful sentence embeddings efficiently enough for large-scale semantic search — the technique underlying the </w:t>
            </w:r>
            <w:r>
              <w:rPr>
                <w:rStyle w:val="CkCode"/>
              </w:rPr>
              <w:t>sentence-transformers</w:t>
            </w:r>
            <w:r>
              <w:t xml:space="preserve"> library. This project's </w:t>
            </w:r>
            <w:r>
              <w:rPr>
                <w:rStyle w:val="CkCode"/>
              </w:rPr>
              <w:t>app/rag/embeddings.py</w:t>
            </w:r>
            <w:r>
              <w:t xml:space="preserve"> uses a </w:t>
            </w:r>
            <w:r>
              <w:rPr>
                <w:rStyle w:val="CkCode"/>
              </w:rPr>
              <w:t>sentence-transformers</w:t>
            </w:r>
            <w:r>
              <w:t xml:space="preserve"> model exactly as this paper describes, making it the direct theoretical basis for the embedding step of the RAG pipeline (including the PDF-ingestion extension's chunk embeddings).</w:t>
            </w:r>
          </w:p>
        </w:tc>
      </w:tr>
      <w:tr>
        <w:tc>
          <w:tcPr/>
          <w:p>
            <w:r>
              <w:t>11</w:t>
            </w:r>
          </w:p>
        </w:tc>
        <w:tc>
          <w:tcPr/>
          <w:p>
            <w:r>
              <w:rPr>
                <w:b/>
              </w:rPr>
              <w:t>Dynamic Real-Time Multi-UAV Cooperative Mission Planning Method Under Multiple Constraints</w:t>
            </w:r>
            <w:r>
              <w:t xml:space="preserve"> (2026)</w:t>
            </w:r>
          </w:p>
        </w:tc>
        <w:tc>
          <w:tcPr/>
          <w:p>
            <w:r>
              <w:rPr>
                <w:i/>
              </w:rPr>
              <w:t>Drones</w:t>
            </w:r>
            <w:r>
              <w:t xml:space="preserve"> (MDPI)</w:t>
            </w:r>
          </w:p>
        </w:tc>
        <w:tc>
          <w:tcPr/>
          <w:p>
            <w:r>
              <w:t>Proposes a real-time replanning algorithm that adjusts multi-UAV mission plans as battery, obstacle, and coverage constraints change mid-flight. Conceptually close to this project's RAMR (Real-Time Adaptive Mission Replanner) — particularly the battery-feasibility check (Phase 8) and telemetry-triggered replanning (Phase 4) — though scoped here to a single UAV rather than a cooperative fleet.</w:t>
            </w:r>
          </w:p>
        </w:tc>
      </w:tr>
      <w:tr>
        <w:tc>
          <w:tcPr/>
          <w:p>
            <w:r>
              <w:t>12</w:t>
            </w:r>
          </w:p>
        </w:tc>
        <w:tc>
          <w:tcPr/>
          <w:p>
            <w:r>
              <w:rPr>
                <w:b/>
              </w:rPr>
              <w:t>EA-AHS: A Perception-Driven Adaptive Heuristic Framework for Real-Time UAV Path Planning in Complex Urban Environments</w:t>
            </w:r>
            <w:r>
              <w:t xml:space="preserve"> (2025)</w:t>
            </w:r>
          </w:p>
        </w:tc>
        <w:tc>
          <w:tcPr/>
          <w:p>
            <w:r>
              <w:t>PMC / open-access journal</w:t>
            </w:r>
          </w:p>
        </w:tc>
        <w:tc>
          <w:tcPr/>
          <w:p>
            <w:r>
              <w:t xml:space="preserve">Proposes a heuristic replanning framework that reacts to perception input (e.g., newly detected obstacles) by adaptively modifying the remaining flight path in real time. Structurally parallel to this project's CV-triggered replanning (Phase 14), where a perception signal (CV quality failure) triggers </w:t>
            </w:r>
            <w:r>
              <w:rPr>
                <w:rStyle w:val="CkCode"/>
              </w:rPr>
              <w:t>AdaptiveMissionReplanner</w:t>
            </w:r>
            <w:r>
              <w:t xml:space="preserve"> to insert corrective waypoints into the remaining mission.</w:t>
            </w:r>
          </w:p>
        </w:tc>
      </w:tr>
      <w:tr>
        <w:tc>
          <w:tcPr/>
          <w:p>
            <w:r>
              <w:t>13</w:t>
            </w:r>
          </w:p>
        </w:tc>
        <w:tc>
          <w:tcPr/>
          <w:p>
            <w:r>
              <w:rPr>
                <w:b/>
              </w:rPr>
              <w:t>An Adaptive Path Replanning Method for Coordinated Operations of Drones</w:t>
            </w:r>
          </w:p>
        </w:tc>
        <w:tc>
          <w:tcPr/>
          <w:p>
            <w:r>
              <w:t>Nanyang Technological University (NTU) repository</w:t>
            </w:r>
          </w:p>
        </w:tc>
        <w:tc>
          <w:tcPr/>
          <w:p>
            <w:r>
              <w:t>Describes a replanning method that inserts corrective segments into an in-progress drone path when new constraints are detected, while preserving as much of the original planned route as possible. Closely mirrors this project's replanner design principle of modifying only the affected portion of the remaining mission (</w:t>
            </w:r>
            <w:r>
              <w:rPr>
                <w:rStyle w:val="CkCode"/>
              </w:rPr>
              <w:t>MissionState.remaining_route</w:t>
            </w:r>
            <w:r>
              <w:t>) rather than regenerating the whole plan from scratch.</w:t>
            </w:r>
          </w:p>
        </w:tc>
      </w:tr>
      <w:tr>
        <w:tc>
          <w:tcPr/>
          <w:p>
            <w:r>
              <w:t>14</w:t>
            </w:r>
          </w:p>
        </w:tc>
        <w:tc>
          <w:tcPr/>
          <w:p>
            <w:r>
              <w:rPr>
                <w:b/>
              </w:rPr>
              <w:t>UAVs Meet Agentic AI: A Multidomain Survey of Autonomous Aerial Intelligence and Agentic UAVs</w:t>
            </w:r>
            <w:r>
              <w:t xml:space="preserve"> (2025)</w:t>
            </w:r>
          </w:p>
        </w:tc>
        <w:tc>
          <w:tcPr/>
          <w:p>
            <w:r>
              <w:t>arXiv 2506.08045</w:t>
            </w:r>
          </w:p>
        </w:tc>
        <w:tc>
          <w:tcPr/>
          <w:p>
            <w:r>
              <w:t>A broad survey positioning LLM-driven "agentic" decision-making within UAV autonomy stacks, covering perception-to-action loops, safety layers, and open research gaps. Useful as a related-work anchor for situating this project's overall architecture (LLM reasoning + deterministic safety validation + RAG grounding) within the wider agentic-UAV research landscape, and for identifying gaps (e.g., this project's own documented lack of OCR/scanned-PDF support and unverified live-Nominatim connectivity) that match open challenges the survey names.</w:t>
            </w:r>
          </w:p>
        </w:tc>
      </w:tr>
      <w:tr>
        <w:tc>
          <w:tcPr/>
          <w:p>
            <w:r>
              <w:t>15</w:t>
            </w:r>
          </w:p>
        </w:tc>
        <w:tc>
          <w:tcPr/>
          <w:p>
            <w:r>
              <w:rPr>
                <w:b/>
              </w:rPr>
              <w:t>Blur Image Detection Using Laplacian Operator and Open-CV</w:t>
            </w:r>
            <w:r>
              <w:t xml:space="preserve"> (Bansal &amp; Raj, 2016)</w:t>
            </w:r>
          </w:p>
        </w:tc>
        <w:tc>
          <w:tcPr/>
          <w:p>
            <w:r>
              <w:t>IEEE Xplore</w:t>
            </w:r>
          </w:p>
        </w:tc>
        <w:tc>
          <w:tcPr/>
          <w:p>
            <w:r>
              <w:t xml:space="preserve">Presents and evaluates the variance-of-Laplacian method for detecting blur in digital images using OpenCV, the exact technique this paper's title names. This is the direct technical basis for this project's </w:t>
            </w:r>
            <w:r>
              <w:rPr>
                <w:rStyle w:val="CkCode"/>
              </w:rPr>
              <w:t>detect_blur()</w:t>
            </w:r>
            <w:r>
              <w:t xml:space="preserve"> (Phase 12, </w:t>
            </w:r>
            <w:r>
              <w:rPr>
                <w:rStyle w:val="CkCode"/>
              </w:rPr>
              <w:t>app/vision/camera_stream.py</w:t>
            </w:r>
            <w:r>
              <w:t xml:space="preserve">), which computes </w:t>
            </w:r>
            <w:r>
              <w:rPr>
                <w:rStyle w:val="CkCode"/>
              </w:rPr>
              <w:t>cv2.Laplacian(gray, cv2.CV_64F).var()</w:t>
            </w:r>
            <w:r>
              <w:t xml:space="preserve"> and classifies an image as blurry below a tuned variance threshold.</w:t>
            </w:r>
          </w:p>
        </w:tc>
      </w:tr>
      <w:tr>
        <w:tc>
          <w:tcPr/>
          <w:p>
            <w:r>
              <w:t>16</w:t>
            </w:r>
          </w:p>
        </w:tc>
        <w:tc>
          <w:tcPr/>
          <w:p>
            <w:r>
              <w:rPr>
                <w:b/>
              </w:rPr>
              <w:t>Towards Automatic Image Exposure Level Assessment</w:t>
            </w:r>
            <w:r>
              <w:t xml:space="preserve"> (Zhang et al., 2020)</w:t>
            </w:r>
          </w:p>
        </w:tc>
        <w:tc>
          <w:tcPr/>
          <w:p>
            <w:r>
              <w:rPr>
                <w:i/>
              </w:rPr>
              <w:t>Mathematical Problems in Engineering</w:t>
            </w:r>
            <w:r>
              <w:t xml:space="preserve"> (Wiley)</w:t>
            </w:r>
          </w:p>
        </w:tc>
        <w:tc>
          <w:tcPr/>
          <w:p>
            <w:r>
              <w:t xml:space="preserve">Develops quantitative methods for classifying an image's exposure level (under/normal/over) from pixel intensity statistics, comparable to this project's mean-grayscale-intensity heuristic. Provides a more rigorous reference point against which </w:t>
            </w:r>
            <w:r>
              <w:rPr>
                <w:rStyle w:val="CkCode"/>
              </w:rPr>
              <w:t>detect_exposure()</w:t>
            </w:r>
            <w:r>
              <w:t>'s simple mean-intensity thresholding (documented in this project as a stated, non-histogram-based simplification) could be evaluated or extended.</w:t>
            </w:r>
          </w:p>
        </w:tc>
      </w:tr>
      <w:tr>
        <w:tc>
          <w:tcPr/>
          <w:p>
            <w:r>
              <w:t>17</w:t>
            </w:r>
          </w:p>
        </w:tc>
        <w:tc>
          <w:tcPr/>
          <w:p>
            <w:r>
              <w:rPr>
                <w:b/>
              </w:rPr>
              <w:t>A New Human Perception-Based Over-Exposure Detection Method for Color Images</w:t>
            </w:r>
            <w:r>
              <w:t xml:space="preserve"> (2014)</w:t>
            </w:r>
          </w:p>
        </w:tc>
        <w:tc>
          <w:tcPr/>
          <w:p>
            <w:r>
              <w:t>PMC (open-access)</w:t>
            </w:r>
          </w:p>
        </w:tc>
        <w:tc>
          <w:tcPr/>
          <w:p>
            <w:r>
              <w:t xml:space="preserve">Proposes an over-exposure detection method calibrated against human perceptual judgments of "too bright," rather than a purely statistical threshold. Relevant as a documented limitation reference for this project's </w:t>
            </w:r>
            <w:r>
              <w:rPr>
                <w:rStyle w:val="CkCode"/>
              </w:rPr>
              <w:t>overexposed_mean_threshold</w:t>
            </w:r>
            <w:r>
              <w:t>, which is explicitly noted in the codebase as a heuristic default not validated against real camera data or human perceptual judgments.</w:t>
            </w:r>
          </w:p>
        </w:tc>
      </w:tr>
      <w:tr>
        <w:tc>
          <w:tcPr/>
          <w:p>
            <w:r>
              <w:t>18</w:t>
            </w:r>
          </w:p>
        </w:tc>
        <w:tc>
          <w:tcPr/>
          <w:p>
            <w:r>
              <w:rPr>
                <w:b/>
              </w:rPr>
              <w:t>UAV-Based Deep Learning Applications for Automated Inspection of Civil Infrastructure</w:t>
            </w:r>
            <w:r>
              <w:t xml:space="preserve"> (2025)</w:t>
            </w:r>
          </w:p>
        </w:tc>
        <w:tc>
          <w:tcPr/>
          <w:p>
            <w:r>
              <w:t>ScienceDirect (</w:t>
            </w:r>
            <w:r>
              <w:rPr>
                <w:i/>
              </w:rPr>
              <w:t>Automation in Construction</w:t>
            </w:r>
            <w:r>
              <w:t xml:space="preserve"> or equivalent)</w:t>
            </w:r>
          </w:p>
        </w:tc>
        <w:tc>
          <w:tcPr/>
          <w:p>
            <w:r>
              <w:t>Surveys deep-learning pipelines for UAV-based structural/building inspection, covering defect detection, image-quality gating before analysis, and mission design for full-coverage inspection flights. Directly relevant to this project's overall use case (VIT Chennai building inspection) and specifically to its practice of gating downstream analysis on image quality (</w:t>
            </w:r>
            <w:r>
              <w:rPr>
                <w:rStyle w:val="CkCode"/>
              </w:rPr>
              <w:t>QualityStatus.GOOD</w:t>
            </w:r>
            <w:r>
              <w:t xml:space="preserve"> vs. </w:t>
            </w:r>
            <w:r>
              <w:rPr>
                <w:rStyle w:val="CkCode"/>
              </w:rPr>
              <w:t>BLURRY</w:t>
            </w:r>
            <w:r>
              <w:t>/</w:t>
            </w:r>
            <w:r>
              <w:rPr>
                <w:rStyle w:val="CkCode"/>
              </w:rPr>
              <w:t>TOO_DARK</w:t>
            </w:r>
            <w:r>
              <w:t>/</w:t>
            </w:r>
            <w:r>
              <w:rPr>
                <w:rStyle w:val="CkCode"/>
              </w:rPr>
              <w:t>TOO_BRIGHT</w:t>
            </w:r>
            <w:r>
              <w:t>) before a frame is treated as usable inspection data.</w:t>
            </w:r>
          </w:p>
        </w:tc>
      </w:tr>
      <w:tr>
        <w:tc>
          <w:tcPr/>
          <w:p>
            <w:r>
              <w:t>19</w:t>
            </w:r>
          </w:p>
        </w:tc>
        <w:tc>
          <w:tcPr/>
          <w:p>
            <w:r>
              <w:rPr>
                <w:b/>
              </w:rPr>
              <w:t>Airspace Geofencing and Flight Planning for Low-Altitude, Urban, Small Unmanned Aircraft Systems</w:t>
            </w:r>
            <w:r>
              <w:t xml:space="preserve"> (2022)</w:t>
            </w:r>
          </w:p>
        </w:tc>
        <w:tc>
          <w:tcPr/>
          <w:p>
            <w:r>
              <w:rPr>
                <w:i/>
              </w:rPr>
              <w:t>Applied Sciences</w:t>
            </w:r>
            <w:r>
              <w:t xml:space="preserve"> (MDPI)</w:t>
            </w:r>
          </w:p>
        </w:tc>
        <w:tc>
          <w:tcPr/>
          <w:p>
            <w:r>
              <w:t xml:space="preserve">Formalizes geofence representation and enforcement for small UAS operating in complex urban airspace, including how a planned path should be checked against no-fly/geofence polygons before execution. Directly parallels this project's </w:t>
            </w:r>
            <w:r>
              <w:rPr>
                <w:rStyle w:val="CkCode"/>
              </w:rPr>
              <w:t>app/location/geofence.py</w:t>
            </w:r>
            <w:r>
              <w:t xml:space="preserve"> (point-in-bounding-box / point-in-polygon checks, </w:t>
            </w:r>
            <w:r>
              <w:rPr>
                <w:rStyle w:val="CkCode"/>
              </w:rPr>
              <w:t>validate_mission_against_location()</w:t>
            </w:r>
            <w:r>
              <w:t xml:space="preserve">) and </w:t>
            </w:r>
            <w:r>
              <w:rPr>
                <w:rStyle w:val="CkCode"/>
              </w:rPr>
              <w:t>ReplanningSafetyValidator</w:t>
            </w:r>
            <w:r>
              <w:t>'s geofence enforcement, which similarly reject any waypoint or corrective action outside an approved boundary.</w:t>
            </w:r>
          </w:p>
        </w:tc>
      </w:tr>
      <w:tr>
        <w:tc>
          <w:tcPr/>
          <w:p>
            <w:r>
              <w:t>20</w:t>
            </w:r>
          </w:p>
        </w:tc>
        <w:tc>
          <w:tcPr/>
          <w:p>
            <w:r>
              <w:rPr>
                <w:b/>
              </w:rPr>
              <w:t>A Comprehensive Survey of Hallucination Mitigation Techniques in Large Language Models</w:t>
            </w:r>
            <w:r>
              <w:t xml:space="preserve"> (2024)</w:t>
            </w:r>
          </w:p>
        </w:tc>
        <w:tc>
          <w:tcPr/>
          <w:p>
            <w:r>
              <w:t>arXiv 2401.01313</w:t>
            </w:r>
          </w:p>
        </w:tc>
        <w:tc>
          <w:tcPr/>
          <w:p>
            <w:r>
              <w:t>Surveys techniques — retrieval grounding, structured decoding, post-hoc verification — for reducing LLM hallucination, i.e., confidently generated but false output. Directly underpins this project's recurring, explicitly-stated design rule across every LLM-touching component (mission generation, replanning proposals, location resolution, PDF-table extraction) to never let the LLM fabricate a fact (a coordinate, a table value, a waypoint) and to fail with a clear error instead — a project-specific instance of exactly the mitigation strategies this survey catalogs.</w:t>
            </w:r>
          </w:p>
        </w:tc>
      </w:tr>
    </w:tbl>
    <w:sectPr>
      <ck:section v="1:||margins=1.5cm,orientation=landscape,size=a4"/>
      <w:pgSz w:w="16838" w:h="11906" w:orient="landscape"/>
      <w:pgMar w:top="850" w:right="850" w:bottom="850" w:left="85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larkdownFrontMatter">
    <vt:lpwstr>{"kv":{"theme":"default"},"v":1}</vt:lpwstr>
  </property>
</Properties>
</file>