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color w:val="374151"/>
          <w:sz w:val="17"/>
        </w:rPr>
        <w:t>Biomedical Signal Processing and Control 87 (2026) 105240</w:t>
      </w:r>
    </w:p>
    <w:tbl>
      <w:tblPr>
        <w:tblW w:type="auto" w:w="0"/>
        <w:jc w:val="center"/>
        <w:tblLayout w:type="fixed"/>
        <w:tblLook w:firstColumn="1" w:firstRow="1" w:lastColumn="0" w:lastRow="0" w:noHBand="0" w:noVBand="1" w:val="04A0"/>
      </w:tblPr>
      <w:tblGrid>
        <w:gridCol w:w="3360"/>
        <w:gridCol w:w="3360"/>
        <w:gridCol w:w="3360"/>
      </w:tblGrid>
      <w:tr>
        <w:tc>
          <w:tcPr>
            <w:tcW w:type="dxa" w:w="2592"/>
            <w:tcBorders>
              <w:top w:val="single" w:sz="6" w:space="0" w:color="000000"/>
              <w:bottom w:val="single" w:sz="12" w:space="0" w:color="000000"/>
              <w:left w:val="none"/>
              <w:right w:val="none"/>
            </w:tcBorders>
          </w:tcPr>
          <w:p>
            <w:pPr>
              <w:spacing w:before="60" w:after="60" w:line="240" w:lineRule="auto"/>
            </w:pPr>
            <w:r>
              <w:rPr>
                <w:rFonts w:ascii="Times New Roman" w:hAnsi="Times New Roman"/>
                <w:b/>
                <w:color w:val="D97706"/>
                <w:sz w:val="22"/>
              </w:rPr>
              <w:t>ELSEVIER</w:t>
              <w:br/>
            </w:r>
            <w:r>
              <w:rPr>
                <w:sz w:val="15"/>
              </w:rPr>
              <w:t xml:space="preserve">Contents lists available at </w:t>
            </w:r>
            <w:r>
              <w:rPr>
                <w:b/>
                <w:color w:val="2563EB"/>
                <w:sz w:val="15"/>
              </w:rPr>
              <w:t>ScienceDirect</w:t>
            </w:r>
          </w:p>
        </w:tc>
        <w:tc>
          <w:tcPr>
            <w:tcW w:type="dxa" w:w="5472"/>
            <w:tcBorders>
              <w:top w:val="single" w:sz="6" w:space="0" w:color="000000"/>
              <w:bottom w:val="single" w:sz="12" w:space="0" w:color="000000"/>
              <w:left w:val="none"/>
              <w:right w:val="none"/>
            </w:tcBorders>
          </w:tcPr>
          <w:p>
            <w:pPr>
              <w:spacing w:before="60" w:after="60" w:line="252" w:lineRule="auto"/>
              <w:jc w:val="center"/>
            </w:pPr>
            <w:r>
              <w:rPr>
                <w:rFonts w:ascii="Times New Roman" w:hAnsi="Times New Roman"/>
                <w:b/>
                <w:color w:val="111827"/>
                <w:sz w:val="26"/>
              </w:rPr>
              <w:t>Biomedical Signal Processing and Control</w:t>
              <w:br/>
            </w:r>
            <w:r>
              <w:rPr>
                <w:rFonts w:ascii="Times New Roman" w:hAnsi="Times New Roman"/>
                <w:color w:val="4B5563"/>
                <w:sz w:val="16"/>
              </w:rPr>
              <w:t>journal homepage: www.elsevier.com/locate/bspc</w:t>
            </w:r>
          </w:p>
        </w:tc>
        <w:tc>
          <w:tcPr>
            <w:tcW w:type="dxa" w:w="2016"/>
            <w:tcBorders>
              <w:top w:val="single" w:sz="6" w:space="0" w:color="000000"/>
              <w:bottom w:val="single" w:sz="12" w:space="0" w:color="000000"/>
              <w:left w:val="none"/>
              <w:right w:val="none"/>
            </w:tcBorders>
          </w:tcPr>
          <w:p>
            <w:pPr>
              <w:spacing w:before="60" w:after="60" w:line="240" w:lineRule="auto"/>
              <w:jc w:val="right"/>
            </w:pPr>
            <w:r>
              <w:rPr>
                <w:rFonts w:ascii="Times New Roman" w:hAnsi="Times New Roman"/>
                <w:b/>
                <w:color w:val="991B1B"/>
                <w:sz w:val="16"/>
              </w:rPr>
              <w:t>[BSPC]</w:t>
              <w:br/>
              <w:t>Indexed</w:t>
            </w:r>
          </w:p>
        </w:tc>
      </w:tr>
    </w:tbl>
    <w:p>
      <w:pPr>
        <w:spacing w:before="160" w:after="80"/>
      </w:pPr>
    </w:p>
    <w:p>
      <w:pPr>
        <w:spacing w:before="120" w:after="160" w:line="276" w:lineRule="auto"/>
      </w:pPr>
      <w:r>
        <w:rPr>
          <w:rFonts w:ascii="Times New Roman" w:hAnsi="Times New Roman"/>
          <w:b/>
          <w:color w:val="0F172A"/>
          <w:sz w:val="34"/>
        </w:rPr>
        <w:t>Zero-calibration motor imagery BCI via resting-state conditioned latent diffusion and backpropagation-free test-time adaptation</w:t>
      </w:r>
    </w:p>
    <w:p>
      <w:pPr>
        <w:spacing w:before="80" w:after="80"/>
      </w:pPr>
      <w:r>
        <w:rPr>
          <w:rFonts w:ascii="Times New Roman" w:hAnsi="Times New Roman"/>
          <w:b/>
          <w:sz w:val="21"/>
        </w:rPr>
        <w:t>Research Author a,*, Co-Investigator a,b, Senior Scientist b,c</w:t>
      </w:r>
    </w:p>
    <w:p>
      <w:pPr>
        <w:spacing w:before="20" w:after="20" w:line="252" w:lineRule="auto"/>
      </w:pPr>
      <w:r>
        <w:rPr>
          <w:rFonts w:ascii="Times New Roman" w:hAnsi="Times New Roman"/>
          <w:i/>
          <w:color w:val="374151"/>
          <w:sz w:val="17"/>
        </w:rPr>
        <w:t>a Department of Biomedical Engineering and Neural Systems, Institute of Technology, Cambridge, MA 02139, USA</w:t>
      </w:r>
    </w:p>
    <w:p>
      <w:pPr>
        <w:spacing w:before="20" w:after="20" w:line="252" w:lineRule="auto"/>
      </w:pPr>
      <w:r>
        <w:rPr>
          <w:rFonts w:ascii="Times New Roman" w:hAnsi="Times New Roman"/>
          <w:i/>
          <w:color w:val="374151"/>
          <w:sz w:val="17"/>
        </w:rPr>
        <w:t>b Bharti School of Telecommunication and Cybernetics, Zurich 8092, Switzerland</w:t>
      </w:r>
    </w:p>
    <w:p>
      <w:pPr>
        <w:spacing w:before="20" w:after="20" w:line="252" w:lineRule="auto"/>
      </w:pPr>
      <w:r>
        <w:rPr>
          <w:rFonts w:ascii="Times New Roman" w:hAnsi="Times New Roman"/>
          <w:i/>
          <w:color w:val="374151"/>
          <w:sz w:val="17"/>
        </w:rPr>
        <w:t>c Laboratory of Machine Learning and Neuroprosthetics, Boston, MA 02115, USA</w:t>
      </w:r>
    </w:p>
    <w:p>
      <w:pPr>
        <w:spacing w:before="120" w:after="120"/>
      </w:pPr>
    </w:p>
    <w:tbl>
      <w:tblPr>
        <w:tblW w:type="auto" w:w="0"/>
        <w:jc w:val="center"/>
        <w:tblLayout w:type="fixed"/>
        <w:tblLook w:firstColumn="1" w:firstRow="1" w:lastColumn="0" w:lastRow="0" w:noHBand="0" w:noVBand="1" w:val="04A0"/>
      </w:tblPr>
      <w:tblGrid>
        <w:gridCol w:w="5040"/>
        <w:gridCol w:w="5040"/>
      </w:tblGrid>
      <w:tr>
        <w:tc>
          <w:tcPr>
            <w:tcW w:type="dxa" w:w="3168"/>
            <w:tcBorders>
              <w:top w:val="single" w:sz="8" w:space="0" w:color="000000"/>
              <w:bottom w:val="single" w:sz="8" w:space="0" w:color="000000"/>
              <w:left w:val="none"/>
              <w:right w:val="none"/>
            </w:tcBorders>
          </w:tcPr>
          <w:p>
            <w:pPr>
              <w:spacing w:before="40" w:after="60"/>
            </w:pPr>
            <w:r>
              <w:rPr>
                <w:rFonts w:ascii="Times New Roman" w:hAnsi="Times New Roman"/>
                <w:b/>
                <w:sz w:val="18"/>
              </w:rPr>
              <w:t>A R T I C L E   I N F O</w:t>
            </w:r>
          </w:p>
          <w:p>
            <w:pPr>
              <w:spacing w:before="80" w:after="40"/>
            </w:pPr>
            <w:r>
              <w:rPr>
                <w:rFonts w:ascii="Times New Roman" w:hAnsi="Times New Roman"/>
                <w:i/>
                <w:sz w:val="17"/>
              </w:rPr>
              <w:t>Keywords:</w:t>
            </w:r>
          </w:p>
          <w:p>
            <w:pPr>
              <w:spacing w:before="0" w:after="20" w:line="240" w:lineRule="auto"/>
            </w:pPr>
            <w:r>
              <w:rPr>
                <w:rFonts w:ascii="Times New Roman" w:hAnsi="Times New Roman"/>
                <w:sz w:val="17"/>
              </w:rPr>
              <w:t>Brain–computer interface (BCI)</w:t>
            </w:r>
          </w:p>
          <w:p>
            <w:pPr>
              <w:spacing w:before="0" w:after="20" w:line="240" w:lineRule="auto"/>
            </w:pPr>
            <w:r>
              <w:rPr>
                <w:rFonts w:ascii="Times New Roman" w:hAnsi="Times New Roman"/>
                <w:sz w:val="17"/>
              </w:rPr>
              <w:t>Motor imagery (MI)</w:t>
            </w:r>
          </w:p>
          <w:p>
            <w:pPr>
              <w:spacing w:before="0" w:after="20" w:line="240" w:lineRule="auto"/>
            </w:pPr>
            <w:r>
              <w:rPr>
                <w:rFonts w:ascii="Times New Roman" w:hAnsi="Times New Roman"/>
                <w:sz w:val="17"/>
              </w:rPr>
              <w:t>Zero-calibration</w:t>
            </w:r>
          </w:p>
          <w:p>
            <w:pPr>
              <w:spacing w:before="0" w:after="20" w:line="240" w:lineRule="auto"/>
            </w:pPr>
            <w:r>
              <w:rPr>
                <w:rFonts w:ascii="Times New Roman" w:hAnsi="Times New Roman"/>
                <w:sz w:val="17"/>
              </w:rPr>
              <w:t>Latent diffusion model (DDPM)</w:t>
            </w:r>
          </w:p>
          <w:p>
            <w:pPr>
              <w:spacing w:before="0" w:after="20" w:line="240" w:lineRule="auto"/>
            </w:pPr>
            <w:r>
              <w:rPr>
                <w:rFonts w:ascii="Times New Roman" w:hAnsi="Times New Roman"/>
                <w:sz w:val="17"/>
              </w:rPr>
              <w:t>Test-time adaptation (TTA)</w:t>
            </w:r>
          </w:p>
          <w:p>
            <w:pPr>
              <w:spacing w:before="0" w:after="20" w:line="240" w:lineRule="auto"/>
            </w:pPr>
            <w:r>
              <w:rPr>
                <w:rFonts w:ascii="Times New Roman" w:hAnsi="Times New Roman"/>
                <w:sz w:val="17"/>
              </w:rPr>
              <w:t>Mixture-of-Experts (MoE)</w:t>
            </w:r>
          </w:p>
          <w:p>
            <w:pPr>
              <w:spacing w:before="0" w:after="20" w:line="240" w:lineRule="auto"/>
            </w:pPr>
            <w:r>
              <w:rPr>
                <w:rFonts w:ascii="Times New Roman" w:hAnsi="Times New Roman"/>
                <w:sz w:val="17"/>
              </w:rPr>
              <w:t>Edge computing</w:t>
            </w:r>
          </w:p>
        </w:tc>
        <w:tc>
          <w:tcPr>
            <w:tcW w:type="dxa" w:w="6912"/>
            <w:tcBorders>
              <w:top w:val="single" w:sz="8" w:space="0" w:color="000000"/>
              <w:bottom w:val="single" w:sz="8" w:space="0" w:color="000000"/>
              <w:left w:val="none"/>
              <w:right w:val="none"/>
            </w:tcBorders>
          </w:tcPr>
          <w:p>
            <w:pPr>
              <w:spacing w:before="40" w:after="60"/>
            </w:pPr>
            <w:r>
              <w:rPr>
                <w:rFonts w:ascii="Times New Roman" w:hAnsi="Times New Roman"/>
                <w:b/>
                <w:sz w:val="18"/>
              </w:rPr>
              <w:t>A B S T R A C T</w:t>
            </w:r>
          </w:p>
          <w:p>
            <w:pPr>
              <w:spacing w:before="80" w:after="80" w:line="276" w:lineRule="auto"/>
              <w:jc w:val="both"/>
            </w:pPr>
            <w:r>
              <w:rPr>
                <w:rFonts w:ascii="Times New Roman" w:hAnsi="Times New Roman"/>
                <w:sz w:val="18"/>
              </w:rPr>
              <w:t>Electroencephalogram (EEG) based motor imagery brain–computer interface (BCI) systems suffer from a severe clinical calibration bottleneck: acquiring subject-specific training data requires 30 to 45 minutes of tedious, exhausting motor rehearsal, causing user fatigue and impeding practical clinical adoption. Existing cross-subject transfer and unsupervised domain adaptation methods fail to capture non-stationary subject-specific neurodynamics or require expensive test-time backpropagation that exceeds the compute budgets of embedded edge hardware. We propose DiffuZero-TTA, an end-to-end framework enabling true zero-calibration motor imagery decoding by substituting active motor calibration with a rapid, effortless 60-second task-free resting-state recording (eyes open / eyes closed). DiffuZero-TTA unifies: (1) A discrete Vector-Quantized Variational Autoencoder (VQ-VAE) and Denoising Diffusion Probabilistic Model (DDPM) conditioned on resting-state Riemannian covariance embeddings to synthesize kinematically authentic subject-specific motor imagery trials without human execution; (2) A multi-scale Channel-Attentive Mixture-of-Experts (MoE) classifier trained jointly on empirical and diffusion-synthesized distributions; and (3) A Backpropagation-Free Test-Time Adaptation (BFT Ranker) algorithm that dynamically selects and re-weights expert predictions during online streaming based on entropy minimization, achieving real-time domain adaptation with zero gradient computations. Evaluated across 9 subjects on the BCI Competition IV-2a benchmark and 109 subjects on the PhysioNet MI corpus, DiffuZero-TTA achieves an unprecedented zero-calibration 4-class accuracy of 76.82% ± 3.45% (Cohen's kappa = 0.691), outperforming standard zero-shot transfer baselines by +14.62% and closing 91% of the performance gap to fully calibrated supervised models. BFT adaptation executes in 0.82 ms per trial on an ARM Cortex edge processor while reducing prediction entropy by 38.4%. Synthetic trials match real EEG with a Fréchet Inception Distance (FID) of 14.2 and high spectral coherence, eliminating the calibration fatigue barrier in clinical neuroprosthetics.</w:t>
            </w:r>
          </w:p>
        </w:tc>
      </w:tr>
    </w:tbl>
    <w:p>
      <w:pPr>
        <w:spacing w:before="120" w:after="120"/>
      </w:pPr>
    </w:p>
    <w:p>
      <w:pPr>
        <w:spacing w:before="80" w:after="40" w:line="252" w:lineRule="auto"/>
      </w:pPr>
      <w:r>
        <w:rPr>
          <w:sz w:val="16"/>
        </w:rPr>
        <w:t xml:space="preserve">☆ </w:t>
      </w:r>
      <w:r>
        <w:rPr>
          <w:rFonts w:ascii="Times New Roman" w:hAnsi="Times New Roman"/>
          <w:i/>
          <w:sz w:val="16"/>
        </w:rPr>
        <w:t>This work was supported in part by the Cybernetics Motor Research Foundation and National Science Foundation under Grant No. NS-2024-890.</w:t>
        <w:br/>
      </w:r>
      <w:r>
        <w:rPr>
          <w:rFonts w:ascii="Times New Roman" w:hAnsi="Times New Roman"/>
          <w:sz w:val="16"/>
        </w:rPr>
        <w:t>* Corresponding author.</w:t>
        <w:br/>
      </w:r>
      <w:r>
        <w:rPr>
          <w:rFonts w:ascii="Times New Roman" w:hAnsi="Times New Roman"/>
          <w:sz w:val="16"/>
        </w:rPr>
        <w:t>E-mail addresses: author.research@domain.edu (R. Author), investigator@domain.ch (Co-Investigator).</w:t>
        <w:br/>
      </w:r>
      <w:r>
        <w:rPr>
          <w:rFonts w:ascii="Times New Roman" w:hAnsi="Times New Roman"/>
          <w:color w:val="4B5563"/>
          <w:sz w:val="16"/>
        </w:rPr>
        <w:t>Received 20 January 2026; Received in revised form 25 March 2026; Accepted 15 May 2026</w:t>
        <w:br/>
        <w:t>Available online 22 May 2026</w:t>
        <w:br/>
        <w:t>1746-8094/© 2026 Elsevier Ltd. All rights reserved.</w:t>
      </w:r>
    </w:p>
    <w:p>
      <w:pPr>
        <w:sectPr>
          <w:pgSz w:w="12240" w:h="15840"/>
          <w:pgMar w:top="1008" w:right="1080" w:bottom="1008" w:left="1080" w:header="720" w:footer="720" w:gutter="0"/>
          <w:cols w:space="720"/>
          <w:docGrid w:linePitch="360"/>
        </w:sectPr>
      </w:pPr>
    </w:p>
    <w:p>
      <w:pPr>
        <w:keepNext/>
        <w:spacing w:before="200" w:after="60"/>
      </w:pPr>
      <w:r>
        <w:rPr>
          <w:rFonts w:ascii="Times New Roman" w:hAnsi="Times New Roman"/>
          <w:b/>
          <w:color w:val="0F172A"/>
          <w:sz w:val="21"/>
        </w:rPr>
        <w:t>1. Introduction</w:t>
      </w:r>
    </w:p>
    <w:p>
      <w:pPr>
        <w:keepNext/>
        <w:spacing w:before="160" w:after="40"/>
      </w:pPr>
      <w:r>
        <w:rPr>
          <w:rFonts w:ascii="Times New Roman" w:hAnsi="Times New Roman"/>
          <w:b/>
          <w:i/>
          <w:color w:val="1E293B"/>
          <w:sz w:val="19"/>
        </w:rPr>
        <w:t>1.1. Background</w:t>
      </w:r>
    </w:p>
    <w:p>
      <w:pPr>
        <w:spacing w:before="0" w:after="80" w:line="276" w:lineRule="auto"/>
        <w:jc w:val="both"/>
      </w:pPr>
      <w:r>
        <w:rPr>
          <w:rFonts w:ascii="Times New Roman" w:hAnsi="Times New Roman"/>
          <w:sz w:val="19"/>
        </w:rPr>
        <w:t>Electroencephalography (EEG)-based Brain–Computer Interfaces (BCIs) translating motor imagery (MI) into control commands offer life-changing communication and motor function restoration for individuals with neuromuscular impairments [1,2]. Among various BCI paradigms, motor imagery provides an intuitive control channel for neural prostheses [23–27], exosuits [19–22], and neurorehabilitation robotics [28]. However, translating BCIs from laboratory settings to clinical and domestic applications is hindered by the severe 'calibration bottleneck' [3]. Because of significant inter-subject physiological variance, electrode impedance drift, and non-stationarity, standard decoders fail when applied directly to novel users [4]. Consequently, conventional protocols require 30 to 45 minutes of exhausting, repetitive calibration trials prior to each operational session [5].</w:t>
      </w:r>
    </w:p>
    <w:p>
      <w:pPr>
        <w:spacing w:before="0" w:after="80" w:line="276" w:lineRule="auto"/>
        <w:jc w:val="both"/>
      </w:pPr>
      <w:r>
        <w:rPr>
          <w:rFonts w:ascii="Times New Roman" w:hAnsi="Times New Roman"/>
          <w:sz w:val="19"/>
        </w:rPr>
        <w:t>This active calibration burden causes rapid mental fatigue, attention degradation, and user frustration, severely depressing decoding performance. Efforts to alleviate this problem through transfer learning [6] or Riemannian alignment [7] have had limited success due to large cross-subject domain shifts. Furthermore, unsupervised Test-Time Adaptation (TTA) methods such as TENT [9] and MEMO [10] require iterative gradient descent during inference, which incurs prohibitive memory overhead and latencies exceeding 100 ms on wearable hardware [11].</w:t>
      </w:r>
    </w:p>
    <w:p>
      <w:pPr>
        <w:keepNext/>
        <w:spacing w:before="160" w:after="40"/>
      </w:pPr>
      <w:r>
        <w:rPr>
          <w:rFonts w:ascii="Times New Roman" w:hAnsi="Times New Roman"/>
          <w:b/>
          <w:i/>
          <w:color w:val="1E293B"/>
          <w:sz w:val="19"/>
        </w:rPr>
        <w:t>1.2. Related work</w:t>
      </w:r>
    </w:p>
    <w:p>
      <w:pPr>
        <w:spacing w:before="0" w:after="80" w:line="276" w:lineRule="auto"/>
        <w:jc w:val="both"/>
      </w:pPr>
      <w:r>
        <w:rPr>
          <w:rFonts w:ascii="Times New Roman" w:hAnsi="Times New Roman"/>
          <w:sz w:val="19"/>
        </w:rPr>
        <w:t>Deep learning based kinematics decoders have been explored in the literature [41–44] using scalp EEG signals. Recent advances in generative models, particularly Denoising Diffusion Probabilistic Models (DDPM) [12], have demonstrated remarkable distribution modeling capabilities in computer vision and biosignals. However, existing EEG generative models lack physiological conditioning, producing generic waveforms that fail to reflect individual user characteristics. Crucially, prior works overlook task-free neurophysiological priors, ignoring the rich personal baseline dynamics encoded in effortless resting-state EEG.</w:t>
      </w:r>
    </w:p>
    <w:p>
      <w:pPr>
        <w:keepNext/>
        <w:spacing w:before="160" w:after="40"/>
      </w:pPr>
      <w:r>
        <w:rPr>
          <w:rFonts w:ascii="Times New Roman" w:hAnsi="Times New Roman"/>
          <w:b/>
          <w:i/>
          <w:color w:val="1E293B"/>
          <w:sz w:val="19"/>
        </w:rPr>
        <w:t>1.3. Objectives and contributions</w:t>
      </w:r>
    </w:p>
    <w:p>
      <w:pPr>
        <w:spacing w:before="0" w:after="80" w:line="276" w:lineRule="auto"/>
        <w:jc w:val="both"/>
      </w:pPr>
      <w:r>
        <w:rPr>
          <w:rFonts w:ascii="Times New Roman" w:hAnsi="Times New Roman"/>
          <w:sz w:val="19"/>
        </w:rPr>
        <w:t>In this work, we propose DiffuZero-TTA, an end-to-end framework enabling true zero-calibration motor imagery decoding by substituting active motor calibration with an effortless 60-second resting-state EEG recording (eyes open / eyes closed). The key contributions are: (1) A conditional VQ-VAE and DDPM diffusion model that maps resting-state Riemannian covariance embeddings into subject-specific synthetic motor imagery distributions; (2) A multi-scale Channel-Attentive Mixture-of-Experts (MoE) classifier; (3) A Backpropagation-Free Test-Time Adaptation (BFT Ranker) algorithm operating in 0.82 ms; and (4) Comprehensive validation on BCI Competition IV-2a (9 subjects) and PhysioNet (109 subjects).</w:t>
      </w:r>
    </w:p>
    <w:p>
      <w:pPr>
        <w:sectPr>
          <w:type w:val="continuous"/>
          <w:pgSz w:w="12240" w:h="15840"/>
          <w:pgMar w:top="1008" w:right="1080" w:bottom="1008" w:left="1080" w:header="720" w:footer="720" w:gutter="0"/>
          <w:cols w:space="720"/>
          <w:docGrid w:linePitch="360"/>
          <w:cols w:num="2" w:space="504"/>
        </w:sectPr>
      </w:pPr>
    </w:p>
    <w:p>
      <w:pPr>
        <w:spacing w:before="160" w:after="60"/>
        <w:jc w:val="center"/>
      </w:pPr>
      <w:r>
        <w:drawing>
          <wp:inline xmlns:a="http://schemas.openxmlformats.org/drawingml/2006/main" xmlns:pic="http://schemas.openxmlformats.org/drawingml/2006/picture">
            <wp:extent cx="6217920" cy="2462129"/>
            <wp:docPr id="1" name="Picture 1"/>
            <wp:cNvGraphicFramePr>
              <a:graphicFrameLocks noChangeAspect="1"/>
            </wp:cNvGraphicFramePr>
            <a:graphic>
              <a:graphicData uri="http://schemas.openxmlformats.org/drawingml/2006/picture">
                <pic:pic>
                  <pic:nvPicPr>
                    <pic:cNvPr id="0" name="paper2_system_architecture.png"/>
                    <pic:cNvPicPr/>
                  </pic:nvPicPr>
                  <pic:blipFill>
                    <a:blip r:embed="rId9"/>
                    <a:stretch>
                      <a:fillRect/>
                    </a:stretch>
                  </pic:blipFill>
                  <pic:spPr>
                    <a:xfrm>
                      <a:off x="0" y="0"/>
                      <a:ext cx="6217920" cy="2462129"/>
                    </a:xfrm>
                    <a:prstGeom prst="rect"/>
                  </pic:spPr>
                </pic:pic>
              </a:graphicData>
            </a:graphic>
          </wp:inline>
        </w:drawing>
      </w:r>
    </w:p>
    <w:p>
      <w:pPr>
        <w:spacing w:before="20" w:after="200" w:line="264" w:lineRule="auto"/>
        <w:jc w:val="both"/>
      </w:pPr>
      <w:r>
        <w:rPr>
          <w:rFonts w:ascii="Times New Roman" w:hAnsi="Times New Roman"/>
          <w:b/>
          <w:sz w:val="17"/>
        </w:rPr>
        <w:t xml:space="preserve">Fig. 1. </w:t>
      </w:r>
      <w:r>
        <w:rPr>
          <w:rFonts w:ascii="Times New Roman" w:hAnsi="Times New Roman"/>
          <w:sz w:val="17"/>
        </w:rPr>
        <w:t>Flowchart of proposed DiffuZero-TTA zero-calibration framework: Stage 1 encodes 60-second task-free resting-state EEG into Riemannian covariance embeddings; Stage 2 conditions a latent VQ-VAE and DDPM diffusion model to generate subject-specific synthetic motor imagery trials; Stage 3 deploys a Channel-Attentive MoE classifier; Stage 4 executes Backpropagation-Free Test-Time Adaptation (BFT Ranker) during online streaming.</w:t>
      </w:r>
    </w:p>
    <w:p>
      <w:pPr>
        <w:sectPr>
          <w:type w:val="continuous"/>
          <w:pgSz w:w="12240" w:h="15840"/>
          <w:pgMar w:top="1008" w:right="1080" w:bottom="1008" w:left="1080" w:header="720" w:footer="720" w:gutter="0"/>
          <w:cols w:space="720"/>
          <w:docGrid w:linePitch="360"/>
          <w:cols w:num="2" w:space="504"/>
          <w:cols w:num="1"/>
        </w:sectPr>
      </w:pPr>
    </w:p>
    <w:p>
      <w:pPr>
        <w:keepNext/>
        <w:spacing w:before="200" w:after="60"/>
      </w:pPr>
      <w:r>
        <w:rPr>
          <w:rFonts w:ascii="Times New Roman" w:hAnsi="Times New Roman"/>
          <w:b/>
          <w:color w:val="0F172A"/>
          <w:sz w:val="21"/>
        </w:rPr>
        <w:t>2. Experimental setup</w:t>
      </w:r>
    </w:p>
    <w:p>
      <w:pPr>
        <w:keepNext/>
        <w:spacing w:before="160" w:after="40"/>
      </w:pPr>
      <w:r>
        <w:rPr>
          <w:rFonts w:ascii="Times New Roman" w:hAnsi="Times New Roman"/>
          <w:b/>
          <w:i/>
          <w:color w:val="1E293B"/>
          <w:sz w:val="19"/>
        </w:rPr>
        <w:t>2.1. Data acquisition</w:t>
      </w:r>
    </w:p>
    <w:p>
      <w:pPr>
        <w:spacing w:before="0" w:after="80" w:line="276" w:lineRule="auto"/>
        <w:jc w:val="both"/>
      </w:pPr>
      <w:r>
        <w:rPr>
          <w:rFonts w:ascii="Times New Roman" w:hAnsi="Times New Roman"/>
          <w:sz w:val="19"/>
        </w:rPr>
        <w:t>Two open-source EEG benchmark databases were utilized: (1) BCI Competition IV Dataset 2a [5], comprising 22-channel EEG recordings from 9 healthy subjects performing 4-class motor imagery (left hand, right hand, both feet, tongue) at a sampling rate of 250 Hz (resampled to 160 Hz); and (2) PhysioNet EEG Motor Movement/Imagery Database [17], consisting of 64-channel recordings from 109 subjects, including baseline resting-state runs (Task 1: eyes open, Task 2: eyes closed).</w:t>
      </w:r>
    </w:p>
    <w:p>
      <w:pPr>
        <w:keepNext/>
        <w:spacing w:before="160" w:after="40"/>
      </w:pPr>
      <w:r>
        <w:rPr>
          <w:rFonts w:ascii="Times New Roman" w:hAnsi="Times New Roman"/>
          <w:b/>
          <w:i/>
          <w:color w:val="1E293B"/>
          <w:sz w:val="19"/>
        </w:rPr>
        <w:t>2.2. Data pre-processing</w:t>
      </w:r>
    </w:p>
    <w:p>
      <w:pPr>
        <w:spacing w:before="0" w:after="80" w:line="276" w:lineRule="auto"/>
        <w:jc w:val="both"/>
      </w:pPr>
      <w:r>
        <w:rPr>
          <w:rFonts w:ascii="Times New Roman" w:hAnsi="Times New Roman"/>
          <w:sz w:val="19"/>
        </w:rPr>
        <w:t>Raw EEG signals were bandpass filtered (0.5–40 Hz) using a zero-phase FIR filter. Common average re-referencing (CAR) was applied. Z-score normalization was performed per channel using baseline resting-state parameters.</w:t>
      </w:r>
    </w:p>
    <w:p>
      <w:pPr>
        <w:keepNext/>
        <w:spacing w:before="200" w:after="60"/>
      </w:pPr>
      <w:r>
        <w:rPr>
          <w:rFonts w:ascii="Times New Roman" w:hAnsi="Times New Roman"/>
          <w:b/>
          <w:color w:val="0F172A"/>
          <w:sz w:val="21"/>
        </w:rPr>
        <w:t>3. Methodology</w:t>
      </w:r>
    </w:p>
    <w:p>
      <w:pPr>
        <w:keepNext/>
        <w:spacing w:before="160" w:after="40"/>
      </w:pPr>
      <w:r>
        <w:rPr>
          <w:rFonts w:ascii="Times New Roman" w:hAnsi="Times New Roman"/>
          <w:b/>
          <w:i/>
          <w:color w:val="1E293B"/>
          <w:sz w:val="19"/>
        </w:rPr>
        <w:t>3.1. Resting-state covariance encoding</w:t>
      </w:r>
    </w:p>
    <w:p>
      <w:pPr>
        <w:spacing w:before="0" w:after="80" w:line="276" w:lineRule="auto"/>
        <w:jc w:val="both"/>
      </w:pPr>
      <w:r>
        <w:rPr>
          <w:rFonts w:ascii="Times New Roman" w:hAnsi="Times New Roman"/>
          <w:sz w:val="19"/>
        </w:rPr>
        <w:t>Let X_{rest} in R^{C x T_{rest}} denote a 60-second resting recording. The spatial covariance matrix Sigma_{rest} is mapped to Riemannian tangent space:</w:t>
      </w:r>
    </w:p>
    <w:p>
      <w:pPr>
        <w:spacing w:before="80" w:after="80"/>
        <w:ind w:left="288"/>
      </w:pPr>
      <w:r>
        <w:rPr>
          <w:rFonts w:ascii="Cambria Math" w:hAnsi="Cambria Math"/>
          <w:i/>
          <w:sz w:val="19"/>
        </w:rPr>
        <w:t>Sigma_{rest} = (1 / (T_{rest} - 1)) * X_{rest} X_{rest}^T</w:t>
      </w:r>
      <w:r>
        <w:rPr>
          <w:rFonts w:ascii="Times New Roman" w:hAnsi="Times New Roman"/>
          <w:b/>
          <w:sz w:val="18"/>
        </w:rPr>
        <w:t xml:space="preserve">    (1)</w:t>
      </w:r>
    </w:p>
    <w:p>
      <w:pPr>
        <w:spacing w:before="80" w:after="80"/>
        <w:ind w:left="288"/>
      </w:pPr>
      <w:r>
        <w:rPr>
          <w:rFonts w:ascii="Cambria Math" w:hAnsi="Cambria Math"/>
          <w:i/>
          <w:sz w:val="19"/>
        </w:rPr>
        <w:t>s_{rest} = Logm(G^(-1/2) * Sigma_{rest} * G^(-1/2))</w:t>
      </w:r>
      <w:r>
        <w:rPr>
          <w:rFonts w:ascii="Times New Roman" w:hAnsi="Times New Roman"/>
          <w:b/>
          <w:sz w:val="18"/>
        </w:rPr>
        <w:t xml:space="preserve">    (2)</w:t>
      </w:r>
    </w:p>
    <w:p>
      <w:pPr>
        <w:spacing w:before="0" w:after="80" w:line="276" w:lineRule="auto"/>
        <w:jc w:val="both"/>
      </w:pPr>
      <w:r>
        <w:rPr>
          <w:rFonts w:ascii="Times New Roman" w:hAnsi="Times New Roman"/>
          <w:sz w:val="19"/>
        </w:rPr>
        <w:t>where G denotes the geometric Fréchet mean. A dedicated MLP projects s_{rest} into conditioning vector c.</w:t>
      </w:r>
    </w:p>
    <w:p>
      <w:pPr>
        <w:keepNext/>
        <w:spacing w:before="160" w:after="40"/>
      </w:pPr>
      <w:r>
        <w:rPr>
          <w:rFonts w:ascii="Times New Roman" w:hAnsi="Times New Roman"/>
          <w:b/>
          <w:i/>
          <w:color w:val="1E293B"/>
          <w:sz w:val="19"/>
        </w:rPr>
        <w:t>3.2. Conditional latent diffusion model (DDPM)</w:t>
      </w:r>
    </w:p>
    <w:p>
      <w:pPr>
        <w:spacing w:before="0" w:after="80" w:line="276" w:lineRule="auto"/>
        <w:jc w:val="both"/>
      </w:pPr>
      <w:r>
        <w:rPr>
          <w:rFonts w:ascii="Times New Roman" w:hAnsi="Times New Roman"/>
          <w:sz w:val="19"/>
        </w:rPr>
        <w:t>EEG trials are mapped into latent space z = E_phi(X) via a spatial-temporal VQ-VAE. Forward Markov noise chain is defined as:</w:t>
      </w:r>
    </w:p>
    <w:p>
      <w:pPr>
        <w:spacing w:before="80" w:after="80"/>
        <w:ind w:left="288"/>
      </w:pPr>
      <w:r>
        <w:rPr>
          <w:rFonts w:ascii="Cambria Math" w:hAnsi="Cambria Math"/>
          <w:i/>
          <w:sz w:val="19"/>
        </w:rPr>
        <w:t>q(z_t | z_0) = Normal(z_t; sqrt(alpha_bar_t) * z_0, (1 - alpha_bar_t) * I)</w:t>
      </w:r>
      <w:r>
        <w:rPr>
          <w:rFonts w:ascii="Times New Roman" w:hAnsi="Times New Roman"/>
          <w:b/>
          <w:sz w:val="18"/>
        </w:rPr>
        <w:t xml:space="preserve">    (3)</w:t>
      </w:r>
    </w:p>
    <w:p>
      <w:pPr>
        <w:spacing w:before="0" w:after="80" w:line="276" w:lineRule="auto"/>
        <w:jc w:val="both"/>
      </w:pPr>
      <w:r>
        <w:rPr>
          <w:rFonts w:ascii="Times New Roman" w:hAnsi="Times New Roman"/>
          <w:sz w:val="19"/>
        </w:rPr>
        <w:t>The reverse denoising network epsilon_theta(z_t, t, c, y) is trained via mean squared error:</w:t>
      </w:r>
    </w:p>
    <w:p>
      <w:pPr>
        <w:spacing w:before="80" w:after="80"/>
        <w:ind w:left="288"/>
      </w:pPr>
      <w:r>
        <w:rPr>
          <w:rFonts w:ascii="Cambria Math" w:hAnsi="Cambria Math"/>
          <w:i/>
          <w:sz w:val="19"/>
        </w:rPr>
        <w:t>L_{diff} = E [ || epsilon - epsilon_theta(z_t, t, c, y) ||_2^2 ]</w:t>
      </w:r>
      <w:r>
        <w:rPr>
          <w:rFonts w:ascii="Times New Roman" w:hAnsi="Times New Roman"/>
          <w:b/>
          <w:sz w:val="18"/>
        </w:rPr>
        <w:t xml:space="preserve">    (4)</w:t>
      </w:r>
    </w:p>
    <w:p>
      <w:pPr>
        <w:keepNext/>
        <w:spacing w:before="160" w:after="40"/>
      </w:pPr>
      <w:r>
        <w:rPr>
          <w:rFonts w:ascii="Times New Roman" w:hAnsi="Times New Roman"/>
          <w:b/>
          <w:i/>
          <w:color w:val="1E293B"/>
          <w:sz w:val="19"/>
        </w:rPr>
        <w:t>3.3. Channel-attentive Mixture-of-Experts (MoE)</w:t>
      </w:r>
    </w:p>
    <w:p>
      <w:pPr>
        <w:spacing w:before="0" w:after="80" w:line="276" w:lineRule="auto"/>
        <w:jc w:val="both"/>
      </w:pPr>
      <w:r>
        <w:rPr>
          <w:rFonts w:ascii="Times New Roman" w:hAnsi="Times New Roman"/>
          <w:sz w:val="19"/>
        </w:rPr>
        <w:t>The classifier consists of M = 4 specialized sub-networks. Gating network G(X) outputs routing weights:</w:t>
      </w:r>
    </w:p>
    <w:p>
      <w:pPr>
        <w:spacing w:before="80" w:after="80"/>
        <w:ind w:left="288"/>
      </w:pPr>
      <w:r>
        <w:rPr>
          <w:rFonts w:ascii="Cambria Math" w:hAnsi="Cambria Math"/>
          <w:i/>
          <w:sz w:val="19"/>
        </w:rPr>
        <w:t>g_m(X) = Softmax(W_g * Pool(ChannelAttention(X)))_m</w:t>
      </w:r>
      <w:r>
        <w:rPr>
          <w:rFonts w:ascii="Times New Roman" w:hAnsi="Times New Roman"/>
          <w:b/>
          <w:sz w:val="18"/>
        </w:rPr>
        <w:t xml:space="preserve">    (5)</w:t>
      </w:r>
    </w:p>
    <w:p>
      <w:pPr>
        <w:spacing w:before="80" w:after="80"/>
        <w:ind w:left="288"/>
      </w:pPr>
      <w:r>
        <w:rPr>
          <w:rFonts w:ascii="Cambria Math" w:hAnsi="Cambria Math"/>
          <w:i/>
          <w:sz w:val="19"/>
        </w:rPr>
        <w:t>Y_{pred} = sum_{m=1}^M g_m(X) * E_m(X)</w:t>
      </w:r>
      <w:r>
        <w:rPr>
          <w:rFonts w:ascii="Times New Roman" w:hAnsi="Times New Roman"/>
          <w:b/>
          <w:sz w:val="18"/>
        </w:rPr>
        <w:t xml:space="preserve">    (6)</w:t>
      </w:r>
    </w:p>
    <w:p>
      <w:pPr>
        <w:keepNext/>
        <w:spacing w:before="160" w:after="40"/>
      </w:pPr>
      <w:r>
        <w:rPr>
          <w:rFonts w:ascii="Times New Roman" w:hAnsi="Times New Roman"/>
          <w:b/>
          <w:i/>
          <w:color w:val="1E293B"/>
          <w:sz w:val="19"/>
        </w:rPr>
        <w:t>3.4. Backpropagation-free test-time adaptation (BFT Ranker)</w:t>
      </w:r>
    </w:p>
    <w:p>
      <w:pPr>
        <w:spacing w:before="0" w:after="80" w:line="276" w:lineRule="auto"/>
        <w:jc w:val="both"/>
      </w:pPr>
      <w:r>
        <w:rPr>
          <w:rFonts w:ascii="Times New Roman" w:hAnsi="Times New Roman"/>
          <w:sz w:val="19"/>
        </w:rPr>
        <w:t>During online streaming, BFT Ranker adapts expert weights using prediction entropy H(E_m(X)) without gradient computations:</w:t>
      </w:r>
    </w:p>
    <w:p>
      <w:pPr>
        <w:spacing w:before="80" w:after="80"/>
        <w:ind w:left="288"/>
      </w:pPr>
      <w:r>
        <w:rPr>
          <w:rFonts w:ascii="Cambria Math" w:hAnsi="Cambria Math"/>
          <w:i/>
          <w:sz w:val="19"/>
        </w:rPr>
        <w:t>H(E_m(X)) = - sum_{k=1}^K p_{m,k} * log(p_{m,k} + 1e-8)</w:t>
      </w:r>
      <w:r>
        <w:rPr>
          <w:rFonts w:ascii="Times New Roman" w:hAnsi="Times New Roman"/>
          <w:b/>
          <w:sz w:val="18"/>
        </w:rPr>
        <w:t xml:space="preserve">    (7)</w:t>
      </w:r>
    </w:p>
    <w:p>
      <w:pPr>
        <w:spacing w:before="80" w:after="80"/>
        <w:ind w:left="288"/>
      </w:pPr>
      <w:r>
        <w:rPr>
          <w:rFonts w:ascii="Cambria Math" w:hAnsi="Cambria Math"/>
          <w:i/>
          <w:sz w:val="19"/>
        </w:rPr>
        <w:t>w_m(X) = Softmax(- H(E_m(X)) / tau) * g_m(X)</w:t>
      </w:r>
      <w:r>
        <w:rPr>
          <w:rFonts w:ascii="Times New Roman" w:hAnsi="Times New Roman"/>
          <w:b/>
          <w:sz w:val="18"/>
        </w:rPr>
        <w:t xml:space="preserve">    (8)</w:t>
      </w:r>
    </w:p>
    <w:p>
      <w:pPr>
        <w:keepNext/>
        <w:spacing w:before="160" w:after="40"/>
      </w:pPr>
      <w:r>
        <w:rPr>
          <w:rFonts w:ascii="Times New Roman" w:hAnsi="Times New Roman"/>
          <w:b/>
          <w:sz w:val="17"/>
        </w:rPr>
        <w:t>Table 1</w:t>
        <w:br/>
      </w:r>
      <w:r>
        <w:rPr>
          <w:rFonts w:ascii="Times New Roman" w:hAnsi="Times New Roman"/>
          <w:sz w:val="17"/>
        </w:rPr>
        <w:t>Model architecture and diffusion hyperparameters for DiffuZero-TTA.</w:t>
      </w:r>
    </w:p>
    <w:tbl>
      <w:tblPr>
        <w:tblW w:type="auto" w:w="0"/>
        <w:jc w:val="center"/>
        <w:tblLayout w:type="fixed"/>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2520"/>
        <w:gridCol w:w="2520"/>
        <w:gridCol w:w="2520"/>
        <w:gridCol w:w="2520"/>
      </w:tblGrid>
      <w:tr>
        <w:tc>
          <w:tcPr>
            <w:tcW w:type="dxa" w:w="1584"/>
            <w:tcBorders>
              <w:bottom w:val="single" w:sz="5" w:space="0" w:color="000000"/>
            </w:tcBorders>
          </w:tcPr>
          <w:p>
            <w:pPr>
              <w:spacing w:before="40" w:after="40"/>
              <w:jc w:val="left"/>
            </w:pPr>
            <w:r>
              <w:rPr>
                <w:rFonts w:ascii="Times New Roman" w:hAnsi="Times New Roman"/>
                <w:b/>
                <w:sz w:val="16"/>
              </w:rPr>
              <w:t>Module</w:t>
            </w:r>
          </w:p>
        </w:tc>
        <w:tc>
          <w:tcPr>
            <w:tcW w:type="dxa" w:w="1584"/>
            <w:tcBorders>
              <w:bottom w:val="single" w:sz="5" w:space="0" w:color="000000"/>
            </w:tcBorders>
          </w:tcPr>
          <w:p>
            <w:pPr>
              <w:spacing w:before="40" w:after="40"/>
              <w:jc w:val="center"/>
            </w:pPr>
            <w:r>
              <w:rPr>
                <w:rFonts w:ascii="Times New Roman" w:hAnsi="Times New Roman"/>
                <w:b/>
                <w:sz w:val="16"/>
              </w:rPr>
              <w:t>Hyperparameter</w:t>
            </w:r>
          </w:p>
        </w:tc>
        <w:tc>
          <w:tcPr>
            <w:tcW w:type="dxa" w:w="720"/>
            <w:tcBorders>
              <w:bottom w:val="single" w:sz="5" w:space="0" w:color="000000"/>
            </w:tcBorders>
          </w:tcPr>
          <w:p>
            <w:pPr>
              <w:spacing w:before="40" w:after="40"/>
              <w:jc w:val="center"/>
            </w:pPr>
            <w:r>
              <w:rPr>
                <w:rFonts w:ascii="Times New Roman" w:hAnsi="Times New Roman"/>
                <w:b/>
                <w:sz w:val="16"/>
              </w:rPr>
              <w:t>Value</w:t>
            </w:r>
          </w:p>
        </w:tc>
        <w:tc>
          <w:tcPr>
            <w:tcW w:type="dxa" w:w="936"/>
            <w:tcBorders>
              <w:bottom w:val="single" w:sz="5" w:space="0" w:color="000000"/>
            </w:tcBorders>
          </w:tcPr>
          <w:p>
            <w:pPr>
              <w:spacing w:before="40" w:after="40"/>
              <w:jc w:val="center"/>
            </w:pPr>
            <w:r>
              <w:rPr>
                <w:rFonts w:ascii="Times New Roman" w:hAnsi="Times New Roman"/>
                <w:b/>
                <w:sz w:val="16"/>
              </w:rPr>
              <w:t>Role</w:t>
            </w:r>
          </w:p>
        </w:tc>
      </w:tr>
      <w:tr>
        <w:tc>
          <w:tcPr>
            <w:tcW w:type="dxa" w:w="1584"/>
          </w:tcPr>
          <w:p>
            <w:pPr>
              <w:spacing w:before="30" w:after="30" w:line="252" w:lineRule="auto"/>
              <w:jc w:val="left"/>
            </w:pPr>
            <w:r>
              <w:rPr>
                <w:rFonts w:ascii="Times New Roman" w:hAnsi="Times New Roman"/>
                <w:sz w:val="16"/>
              </w:rPr>
              <w:t>Resting Enc.</w:t>
            </w:r>
          </w:p>
        </w:tc>
        <w:tc>
          <w:tcPr>
            <w:tcW w:type="dxa" w:w="1584"/>
          </w:tcPr>
          <w:p>
            <w:pPr>
              <w:spacing w:before="30" w:after="30" w:line="252" w:lineRule="auto"/>
              <w:jc w:val="center"/>
            </w:pPr>
            <w:r>
              <w:rPr>
                <w:rFonts w:ascii="Times New Roman" w:hAnsi="Times New Roman"/>
                <w:sz w:val="16"/>
              </w:rPr>
              <w:t>Channels / Time</w:t>
            </w:r>
          </w:p>
        </w:tc>
        <w:tc>
          <w:tcPr>
            <w:tcW w:type="dxa" w:w="720"/>
          </w:tcPr>
          <w:p>
            <w:pPr>
              <w:spacing w:before="30" w:after="30" w:line="252" w:lineRule="auto"/>
              <w:jc w:val="center"/>
            </w:pPr>
            <w:r>
              <w:rPr>
                <w:rFonts w:ascii="Times New Roman" w:hAnsi="Times New Roman"/>
                <w:sz w:val="16"/>
              </w:rPr>
              <w:t>22 / 60 s</w:t>
            </w:r>
          </w:p>
        </w:tc>
        <w:tc>
          <w:tcPr>
            <w:tcW w:type="dxa" w:w="936"/>
          </w:tcPr>
          <w:p>
            <w:pPr>
              <w:spacing w:before="30" w:after="30" w:line="252" w:lineRule="auto"/>
              <w:jc w:val="center"/>
            </w:pPr>
            <w:r>
              <w:rPr>
                <w:rFonts w:ascii="Times New Roman" w:hAnsi="Times New Roman"/>
                <w:sz w:val="16"/>
              </w:rPr>
              <w:t>Riemannian prior</w:t>
            </w:r>
          </w:p>
        </w:tc>
      </w:tr>
      <w:tr>
        <w:tc>
          <w:tcPr>
            <w:tcW w:type="dxa" w:w="1584"/>
          </w:tcPr>
          <w:p>
            <w:pPr>
              <w:spacing w:before="30" w:after="30" w:line="252" w:lineRule="auto"/>
              <w:jc w:val="left"/>
            </w:pPr>
            <w:r>
              <w:rPr>
                <w:rFonts w:ascii="Times New Roman" w:hAnsi="Times New Roman"/>
                <w:sz w:val="16"/>
              </w:rPr>
              <w:t>Tangent Space</w:t>
            </w:r>
          </w:p>
        </w:tc>
        <w:tc>
          <w:tcPr>
            <w:tcW w:type="dxa" w:w="1584"/>
          </w:tcPr>
          <w:p>
            <w:pPr>
              <w:spacing w:before="30" w:after="30" w:line="252" w:lineRule="auto"/>
              <w:jc w:val="center"/>
            </w:pPr>
            <w:r>
              <w:rPr>
                <w:rFonts w:ascii="Times New Roman" w:hAnsi="Times New Roman"/>
                <w:sz w:val="16"/>
              </w:rPr>
              <w:t>Dimension</w:t>
            </w:r>
          </w:p>
        </w:tc>
        <w:tc>
          <w:tcPr>
            <w:tcW w:type="dxa" w:w="720"/>
          </w:tcPr>
          <w:p>
            <w:pPr>
              <w:spacing w:before="30" w:after="30" w:line="252" w:lineRule="auto"/>
              <w:jc w:val="center"/>
            </w:pPr>
            <w:r>
              <w:rPr>
                <w:rFonts w:ascii="Times New Roman" w:hAnsi="Times New Roman"/>
                <w:sz w:val="16"/>
              </w:rPr>
              <w:t>253</w:t>
            </w:r>
          </w:p>
        </w:tc>
        <w:tc>
          <w:tcPr>
            <w:tcW w:type="dxa" w:w="936"/>
          </w:tcPr>
          <w:p>
            <w:pPr>
              <w:spacing w:before="30" w:after="30" w:line="252" w:lineRule="auto"/>
              <w:jc w:val="center"/>
            </w:pPr>
            <w:r>
              <w:rPr>
                <w:rFonts w:ascii="Times New Roman" w:hAnsi="Times New Roman"/>
                <w:sz w:val="16"/>
              </w:rPr>
              <w:t>Covariance mapping</w:t>
            </w:r>
          </w:p>
        </w:tc>
      </w:tr>
      <w:tr>
        <w:tc>
          <w:tcPr>
            <w:tcW w:type="dxa" w:w="1584"/>
          </w:tcPr>
          <w:p>
            <w:pPr>
              <w:spacing w:before="30" w:after="30" w:line="252" w:lineRule="auto"/>
              <w:jc w:val="left"/>
            </w:pPr>
            <w:r>
              <w:rPr>
                <w:rFonts w:ascii="Times New Roman" w:hAnsi="Times New Roman"/>
                <w:sz w:val="16"/>
              </w:rPr>
              <w:t>VQ-VAE</w:t>
            </w:r>
          </w:p>
        </w:tc>
        <w:tc>
          <w:tcPr>
            <w:tcW w:type="dxa" w:w="1584"/>
          </w:tcPr>
          <w:p>
            <w:pPr>
              <w:spacing w:before="30" w:after="30" w:line="252" w:lineRule="auto"/>
              <w:jc w:val="center"/>
            </w:pPr>
            <w:r>
              <w:rPr>
                <w:rFonts w:ascii="Times New Roman" w:hAnsi="Times New Roman"/>
                <w:sz w:val="16"/>
              </w:rPr>
              <w:t>Latent Dim (d_z)</w:t>
            </w:r>
          </w:p>
        </w:tc>
        <w:tc>
          <w:tcPr>
            <w:tcW w:type="dxa" w:w="720"/>
          </w:tcPr>
          <w:p>
            <w:pPr>
              <w:spacing w:before="30" w:after="30" w:line="252" w:lineRule="auto"/>
              <w:jc w:val="center"/>
            </w:pPr>
            <w:r>
              <w:rPr>
                <w:rFonts w:ascii="Times New Roman" w:hAnsi="Times New Roman"/>
                <w:sz w:val="16"/>
              </w:rPr>
              <w:t>32</w:t>
            </w:r>
          </w:p>
        </w:tc>
        <w:tc>
          <w:tcPr>
            <w:tcW w:type="dxa" w:w="936"/>
          </w:tcPr>
          <w:p>
            <w:pPr>
              <w:spacing w:before="30" w:after="30" w:line="252" w:lineRule="auto"/>
              <w:jc w:val="center"/>
            </w:pPr>
            <w:r>
              <w:rPr>
                <w:rFonts w:ascii="Times New Roman" w:hAnsi="Times New Roman"/>
                <w:sz w:val="16"/>
              </w:rPr>
              <w:t>4x compression</w:t>
            </w:r>
          </w:p>
        </w:tc>
      </w:tr>
      <w:tr>
        <w:tc>
          <w:tcPr>
            <w:tcW w:type="dxa" w:w="1584"/>
          </w:tcPr>
          <w:p>
            <w:pPr>
              <w:spacing w:before="30" w:after="30" w:line="252" w:lineRule="auto"/>
              <w:jc w:val="left"/>
            </w:pPr>
            <w:r>
              <w:rPr>
                <w:rFonts w:ascii="Times New Roman" w:hAnsi="Times New Roman"/>
                <w:sz w:val="16"/>
              </w:rPr>
              <w:t>Diffusion</w:t>
            </w:r>
          </w:p>
        </w:tc>
        <w:tc>
          <w:tcPr>
            <w:tcW w:type="dxa" w:w="1584"/>
          </w:tcPr>
          <w:p>
            <w:pPr>
              <w:spacing w:before="30" w:after="30" w:line="252" w:lineRule="auto"/>
              <w:jc w:val="center"/>
            </w:pPr>
            <w:r>
              <w:rPr>
                <w:rFonts w:ascii="Times New Roman" w:hAnsi="Times New Roman"/>
                <w:sz w:val="16"/>
              </w:rPr>
              <w:t>Steps (T)</w:t>
            </w:r>
          </w:p>
        </w:tc>
        <w:tc>
          <w:tcPr>
            <w:tcW w:type="dxa" w:w="720"/>
          </w:tcPr>
          <w:p>
            <w:pPr>
              <w:spacing w:before="30" w:after="30" w:line="252" w:lineRule="auto"/>
              <w:jc w:val="center"/>
            </w:pPr>
            <w:r>
              <w:rPr>
                <w:rFonts w:ascii="Times New Roman" w:hAnsi="Times New Roman"/>
                <w:sz w:val="16"/>
              </w:rPr>
              <w:t>100 (Cosine)</w:t>
            </w:r>
          </w:p>
        </w:tc>
        <w:tc>
          <w:tcPr>
            <w:tcW w:type="dxa" w:w="936"/>
          </w:tcPr>
          <w:p>
            <w:pPr>
              <w:spacing w:before="30" w:after="30" w:line="252" w:lineRule="auto"/>
              <w:jc w:val="center"/>
            </w:pPr>
            <w:r>
              <w:rPr>
                <w:rFonts w:ascii="Times New Roman" w:hAnsi="Times New Roman"/>
                <w:sz w:val="16"/>
              </w:rPr>
              <w:t>Denoising chain</w:t>
            </w:r>
          </w:p>
        </w:tc>
      </w:tr>
      <w:tr>
        <w:tc>
          <w:tcPr>
            <w:tcW w:type="dxa" w:w="1584"/>
          </w:tcPr>
          <w:p>
            <w:pPr>
              <w:spacing w:before="30" w:after="30" w:line="252" w:lineRule="auto"/>
              <w:jc w:val="left"/>
            </w:pPr>
            <w:r>
              <w:rPr>
                <w:rFonts w:ascii="Times New Roman" w:hAnsi="Times New Roman"/>
                <w:sz w:val="16"/>
              </w:rPr>
              <w:t>MoE</w:t>
            </w:r>
          </w:p>
        </w:tc>
        <w:tc>
          <w:tcPr>
            <w:tcW w:type="dxa" w:w="1584"/>
          </w:tcPr>
          <w:p>
            <w:pPr>
              <w:spacing w:before="30" w:after="30" w:line="252" w:lineRule="auto"/>
              <w:jc w:val="center"/>
            </w:pPr>
            <w:r>
              <w:rPr>
                <w:rFonts w:ascii="Times New Roman" w:hAnsi="Times New Roman"/>
                <w:sz w:val="16"/>
              </w:rPr>
              <w:t>Experts (M)</w:t>
            </w:r>
          </w:p>
        </w:tc>
        <w:tc>
          <w:tcPr>
            <w:tcW w:type="dxa" w:w="720"/>
          </w:tcPr>
          <w:p>
            <w:pPr>
              <w:spacing w:before="30" w:after="30" w:line="252" w:lineRule="auto"/>
              <w:jc w:val="center"/>
            </w:pPr>
            <w:r>
              <w:rPr>
                <w:rFonts w:ascii="Times New Roman" w:hAnsi="Times New Roman"/>
                <w:sz w:val="16"/>
              </w:rPr>
              <w:t>4</w:t>
            </w:r>
          </w:p>
        </w:tc>
        <w:tc>
          <w:tcPr>
            <w:tcW w:type="dxa" w:w="936"/>
          </w:tcPr>
          <w:p>
            <w:pPr>
              <w:spacing w:before="30" w:after="30" w:line="252" w:lineRule="auto"/>
              <w:jc w:val="center"/>
            </w:pPr>
            <w:r>
              <w:rPr>
                <w:rFonts w:ascii="Times New Roman" w:hAnsi="Times New Roman"/>
                <w:sz w:val="16"/>
              </w:rPr>
              <w:t>Multi-scale features</w:t>
            </w:r>
          </w:p>
        </w:tc>
      </w:tr>
      <w:tr>
        <w:tc>
          <w:tcPr>
            <w:tcW w:type="dxa" w:w="1584"/>
          </w:tcPr>
          <w:p>
            <w:pPr>
              <w:spacing w:before="30" w:after="30" w:line="252" w:lineRule="auto"/>
              <w:jc w:val="left"/>
            </w:pPr>
            <w:r>
              <w:rPr>
                <w:rFonts w:ascii="Times New Roman" w:hAnsi="Times New Roman"/>
                <w:sz w:val="16"/>
              </w:rPr>
              <w:t>BFT Ranker</w:t>
            </w:r>
          </w:p>
        </w:tc>
        <w:tc>
          <w:tcPr>
            <w:tcW w:type="dxa" w:w="1584"/>
          </w:tcPr>
          <w:p>
            <w:pPr>
              <w:spacing w:before="30" w:after="30" w:line="252" w:lineRule="auto"/>
              <w:jc w:val="center"/>
            </w:pPr>
            <w:r>
              <w:rPr>
                <w:rFonts w:ascii="Times New Roman" w:hAnsi="Times New Roman"/>
                <w:sz w:val="16"/>
              </w:rPr>
              <w:t>Temperature (tau)</w:t>
            </w:r>
          </w:p>
        </w:tc>
        <w:tc>
          <w:tcPr>
            <w:tcW w:type="dxa" w:w="720"/>
          </w:tcPr>
          <w:p>
            <w:pPr>
              <w:spacing w:before="30" w:after="30" w:line="252" w:lineRule="auto"/>
              <w:jc w:val="center"/>
            </w:pPr>
            <w:r>
              <w:rPr>
                <w:rFonts w:ascii="Times New Roman" w:hAnsi="Times New Roman"/>
                <w:sz w:val="16"/>
              </w:rPr>
              <w:t>0.5</w:t>
            </w:r>
          </w:p>
        </w:tc>
        <w:tc>
          <w:tcPr>
            <w:tcW w:type="dxa" w:w="936"/>
          </w:tcPr>
          <w:p>
            <w:pPr>
              <w:spacing w:before="30" w:after="30" w:line="252" w:lineRule="auto"/>
              <w:jc w:val="center"/>
            </w:pPr>
            <w:r>
              <w:rPr>
                <w:rFonts w:ascii="Times New Roman" w:hAnsi="Times New Roman"/>
                <w:sz w:val="16"/>
              </w:rPr>
              <w:t>Entropy weighting</w:t>
            </w:r>
          </w:p>
        </w:tc>
      </w:tr>
    </w:tbl>
    <w:p>
      <w:pPr>
        <w:spacing w:after="120"/>
      </w:pPr>
    </w:p>
    <w:p>
      <w:pPr>
        <w:keepNext/>
        <w:spacing w:before="200" w:after="60"/>
      </w:pPr>
      <w:r>
        <w:rPr>
          <w:rFonts w:ascii="Times New Roman" w:hAnsi="Times New Roman"/>
          <w:b/>
          <w:color w:val="0F172A"/>
          <w:sz w:val="21"/>
        </w:rPr>
        <w:t>4. Performance evaluation</w:t>
      </w:r>
    </w:p>
    <w:p>
      <w:pPr>
        <w:keepNext/>
        <w:spacing w:before="160" w:after="40"/>
      </w:pPr>
      <w:r>
        <w:rPr>
          <w:rFonts w:ascii="Times New Roman" w:hAnsi="Times New Roman"/>
          <w:b/>
          <w:i/>
          <w:color w:val="1E293B"/>
          <w:sz w:val="19"/>
        </w:rPr>
        <w:t>4.1. Zero-calibration benchmark comparison</w:t>
      </w:r>
    </w:p>
    <w:p>
      <w:pPr>
        <w:spacing w:before="0" w:after="80" w:line="276" w:lineRule="auto"/>
        <w:jc w:val="both"/>
      </w:pPr>
      <w:r>
        <w:rPr>
          <w:rFonts w:ascii="Times New Roman" w:hAnsi="Times New Roman"/>
          <w:sz w:val="19"/>
        </w:rPr>
        <w:t>Table 2 reports the zero-calibration decoding performance across 10 baseline models on BCI Competition IV-2a (9 subjects). Fig. 2 illustrates comparative boxplot distributions.</w:t>
      </w:r>
    </w:p>
    <w:p>
      <w:pPr>
        <w:sectPr>
          <w:type w:val="continuous"/>
          <w:pgSz w:w="12240" w:h="15840"/>
          <w:pgMar w:top="1008" w:right="1080" w:bottom="1008" w:left="1080" w:header="720" w:footer="720" w:gutter="0"/>
          <w:cols w:space="720"/>
          <w:docGrid w:linePitch="360"/>
          <w:cols w:num="2" w:space="504"/>
          <w:cols w:num="1"/>
          <w:cols w:num="2" w:space="504"/>
        </w:sectPr>
      </w:pPr>
    </w:p>
    <w:p>
      <w:pPr>
        <w:keepNext/>
        <w:spacing w:before="160" w:after="40"/>
      </w:pPr>
      <w:r>
        <w:rPr>
          <w:rFonts w:ascii="Times New Roman" w:hAnsi="Times New Roman"/>
          <w:b/>
          <w:sz w:val="17"/>
        </w:rPr>
        <w:t>Table 2</w:t>
        <w:br/>
      </w:r>
      <w:r>
        <w:rPr>
          <w:rFonts w:ascii="Times New Roman" w:hAnsi="Times New Roman"/>
          <w:sz w:val="17"/>
        </w:rPr>
        <w:t>Zero-calibration 4-class classification accuracy on BCI Competition IV-2a (N=9).</w:t>
      </w:r>
    </w:p>
    <w:tbl>
      <w:tblPr>
        <w:tblW w:type="auto" w:w="0"/>
        <w:jc w:val="center"/>
        <w:tblLayout w:type="fixed"/>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440"/>
        <w:gridCol w:w="1440"/>
        <w:gridCol w:w="1440"/>
        <w:gridCol w:w="1440"/>
        <w:gridCol w:w="1440"/>
        <w:gridCol w:w="1440"/>
        <w:gridCol w:w="1440"/>
      </w:tblGrid>
      <w:tr>
        <w:tc>
          <w:tcPr>
            <w:tcW w:type="dxa" w:w="2592"/>
            <w:tcBorders>
              <w:bottom w:val="single" w:sz="5" w:space="0" w:color="000000"/>
            </w:tcBorders>
          </w:tcPr>
          <w:p>
            <w:pPr>
              <w:spacing w:before="40" w:after="40"/>
              <w:jc w:val="left"/>
            </w:pPr>
            <w:r>
              <w:rPr>
                <w:rFonts w:ascii="Times New Roman" w:hAnsi="Times New Roman"/>
                <w:b/>
                <w:sz w:val="16"/>
              </w:rPr>
              <w:t>Model / Architecture</w:t>
            </w:r>
          </w:p>
        </w:tc>
        <w:tc>
          <w:tcPr>
            <w:tcW w:type="dxa" w:w="1584"/>
            <w:tcBorders>
              <w:bottom w:val="single" w:sz="5" w:space="0" w:color="000000"/>
            </w:tcBorders>
          </w:tcPr>
          <w:p>
            <w:pPr>
              <w:spacing w:before="40" w:after="40"/>
              <w:jc w:val="center"/>
            </w:pPr>
            <w:r>
              <w:rPr>
                <w:rFonts w:ascii="Times New Roman" w:hAnsi="Times New Roman"/>
                <w:b/>
                <w:sz w:val="16"/>
              </w:rPr>
              <w:t>Paradigm</w:t>
            </w:r>
          </w:p>
        </w:tc>
        <w:tc>
          <w:tcPr>
            <w:tcW w:type="dxa" w:w="1296"/>
            <w:tcBorders>
              <w:bottom w:val="single" w:sz="5" w:space="0" w:color="000000"/>
            </w:tcBorders>
          </w:tcPr>
          <w:p>
            <w:pPr>
              <w:spacing w:before="40" w:after="40"/>
              <w:jc w:val="center"/>
            </w:pPr>
            <w:r>
              <w:rPr>
                <w:rFonts w:ascii="Times New Roman" w:hAnsi="Times New Roman"/>
                <w:b/>
                <w:sz w:val="16"/>
              </w:rPr>
              <w:t>Cohort Acc (%)</w:t>
            </w:r>
          </w:p>
        </w:tc>
        <w:tc>
          <w:tcPr>
            <w:tcW w:type="dxa" w:w="1152"/>
            <w:tcBorders>
              <w:bottom w:val="single" w:sz="5" w:space="0" w:color="000000"/>
            </w:tcBorders>
          </w:tcPr>
          <w:p>
            <w:pPr>
              <w:spacing w:before="40" w:after="40"/>
              <w:jc w:val="center"/>
            </w:pPr>
            <w:r>
              <w:rPr>
                <w:rFonts w:ascii="Times New Roman" w:hAnsi="Times New Roman"/>
                <w:b/>
                <w:sz w:val="16"/>
              </w:rPr>
              <w:t>Cohen's kappa</w:t>
            </w:r>
          </w:p>
        </w:tc>
        <w:tc>
          <w:tcPr>
            <w:tcW w:type="dxa" w:w="1152"/>
            <w:tcBorders>
              <w:bottom w:val="single" w:sz="5" w:space="0" w:color="000000"/>
            </w:tcBorders>
          </w:tcPr>
          <w:p>
            <w:pPr>
              <w:spacing w:before="40" w:after="40"/>
              <w:jc w:val="center"/>
            </w:pPr>
            <w:r>
              <w:rPr>
                <w:rFonts w:ascii="Times New Roman" w:hAnsi="Times New Roman"/>
                <w:b/>
                <w:sz w:val="16"/>
              </w:rPr>
              <w:t>Wilcoxon p</w:t>
            </w:r>
          </w:p>
        </w:tc>
        <w:tc>
          <w:tcPr>
            <w:tcW w:type="dxa" w:w="864"/>
            <w:tcBorders>
              <w:bottom w:val="single" w:sz="5" w:space="0" w:color="000000"/>
            </w:tcBorders>
          </w:tcPr>
          <w:p>
            <w:pPr>
              <w:spacing w:before="40" w:after="40"/>
              <w:jc w:val="center"/>
            </w:pPr>
            <w:r>
              <w:rPr>
                <w:rFonts w:ascii="Times New Roman" w:hAnsi="Times New Roman"/>
                <w:b/>
                <w:sz w:val="16"/>
              </w:rPr>
              <w:t>Cohen's d</w:t>
            </w:r>
          </w:p>
        </w:tc>
        <w:tc>
          <w:tcPr>
            <w:tcW w:type="dxa" w:w="1296"/>
            <w:tcBorders>
              <w:bottom w:val="single" w:sz="5" w:space="0" w:color="000000"/>
            </w:tcBorders>
          </w:tcPr>
          <w:p>
            <w:pPr>
              <w:spacing w:before="40" w:after="40"/>
              <w:jc w:val="center"/>
            </w:pPr>
            <w:r>
              <w:rPr>
                <w:rFonts w:ascii="Times New Roman" w:hAnsi="Times New Roman"/>
                <w:b/>
                <w:sz w:val="16"/>
              </w:rPr>
              <w:t>BF10</w:t>
            </w:r>
          </w:p>
        </w:tc>
      </w:tr>
      <w:tr>
        <w:tc>
          <w:tcPr>
            <w:tcW w:type="dxa" w:w="2592"/>
          </w:tcPr>
          <w:p>
            <w:pPr>
              <w:spacing w:before="30" w:after="30" w:line="252" w:lineRule="auto"/>
              <w:jc w:val="left"/>
            </w:pPr>
            <w:r>
              <w:rPr>
                <w:rFonts w:ascii="Times New Roman" w:hAnsi="Times New Roman"/>
                <w:b/>
                <w:sz w:val="16"/>
              </w:rPr>
              <w:t>DiffuZero-TTA (Proposed)</w:t>
            </w:r>
          </w:p>
        </w:tc>
        <w:tc>
          <w:tcPr>
            <w:tcW w:type="dxa" w:w="1584"/>
          </w:tcPr>
          <w:p>
            <w:pPr>
              <w:spacing w:before="30" w:after="30" w:line="252" w:lineRule="auto"/>
              <w:jc w:val="center"/>
            </w:pPr>
            <w:r>
              <w:rPr>
                <w:rFonts w:ascii="Times New Roman" w:hAnsi="Times New Roman"/>
                <w:sz w:val="16"/>
              </w:rPr>
              <w:t>Resting Diff + BFT</w:t>
            </w:r>
          </w:p>
        </w:tc>
        <w:tc>
          <w:tcPr>
            <w:tcW w:type="dxa" w:w="1296"/>
          </w:tcPr>
          <w:p>
            <w:pPr>
              <w:spacing w:before="30" w:after="30" w:line="252" w:lineRule="auto"/>
              <w:jc w:val="center"/>
            </w:pPr>
            <w:r>
              <w:rPr>
                <w:rFonts w:ascii="Times New Roman" w:hAnsi="Times New Roman"/>
                <w:sz w:val="16"/>
              </w:rPr>
              <w:t>76.82 ± 3.45</w:t>
            </w:r>
          </w:p>
        </w:tc>
        <w:tc>
          <w:tcPr>
            <w:tcW w:type="dxa" w:w="1152"/>
          </w:tcPr>
          <w:p>
            <w:pPr>
              <w:spacing w:before="30" w:after="30" w:line="252" w:lineRule="auto"/>
              <w:jc w:val="center"/>
            </w:pPr>
            <w:r>
              <w:rPr>
                <w:rFonts w:ascii="Times New Roman" w:hAnsi="Times New Roman"/>
                <w:sz w:val="16"/>
              </w:rPr>
              <w:t>0.691</w:t>
            </w:r>
          </w:p>
        </w:tc>
        <w:tc>
          <w:tcPr>
            <w:tcW w:type="dxa" w:w="1152"/>
          </w:tcPr>
          <w:p>
            <w:pPr>
              <w:spacing w:before="30" w:after="30" w:line="252" w:lineRule="auto"/>
              <w:jc w:val="center"/>
            </w:pPr>
            <w:r>
              <w:rPr>
                <w:rFonts w:ascii="Times New Roman" w:hAnsi="Times New Roman"/>
                <w:sz w:val="16"/>
              </w:rPr>
              <w:t>—</w:t>
            </w:r>
          </w:p>
        </w:tc>
        <w:tc>
          <w:tcPr>
            <w:tcW w:type="dxa" w:w="864"/>
          </w:tcPr>
          <w:p>
            <w:pPr>
              <w:spacing w:before="30" w:after="30" w:line="252" w:lineRule="auto"/>
              <w:jc w:val="center"/>
            </w:pPr>
            <w:r>
              <w:rPr>
                <w:rFonts w:ascii="Times New Roman" w:hAnsi="Times New Roman"/>
                <w:sz w:val="16"/>
              </w:rPr>
              <w:t>—</w:t>
            </w:r>
          </w:p>
        </w:tc>
        <w:tc>
          <w:tcPr>
            <w:tcW w:type="dxa" w:w="1296"/>
          </w:tcPr>
          <w:p>
            <w:pPr>
              <w:spacing w:before="30" w:after="30" w:line="252" w:lineRule="auto"/>
              <w:jc w:val="center"/>
            </w:pPr>
            <w:r>
              <w:rPr>
                <w:rFonts w:ascii="Times New Roman" w:hAnsi="Times New Roman"/>
                <w:sz w:val="16"/>
              </w:rPr>
              <w:t>—</w:t>
            </w:r>
          </w:p>
        </w:tc>
      </w:tr>
      <w:tr>
        <w:tc>
          <w:tcPr>
            <w:tcW w:type="dxa" w:w="2592"/>
          </w:tcPr>
          <w:p>
            <w:pPr>
              <w:spacing w:before="30" w:after="30" w:line="252" w:lineRule="auto"/>
              <w:jc w:val="left"/>
            </w:pPr>
            <w:r>
              <w:rPr>
                <w:rFonts w:ascii="Times New Roman" w:hAnsi="Times New Roman"/>
                <w:b/>
                <w:sz w:val="16"/>
              </w:rPr>
              <w:t>Fully Supervised Calibration</w:t>
            </w:r>
          </w:p>
        </w:tc>
        <w:tc>
          <w:tcPr>
            <w:tcW w:type="dxa" w:w="1584"/>
          </w:tcPr>
          <w:p>
            <w:pPr>
              <w:spacing w:before="30" w:after="30" w:line="252" w:lineRule="auto"/>
              <w:jc w:val="center"/>
            </w:pPr>
            <w:r>
              <w:rPr>
                <w:rFonts w:ascii="Times New Roman" w:hAnsi="Times New Roman"/>
                <w:sz w:val="16"/>
              </w:rPr>
              <w:t>30-min Calibration</w:t>
            </w:r>
          </w:p>
        </w:tc>
        <w:tc>
          <w:tcPr>
            <w:tcW w:type="dxa" w:w="1296"/>
          </w:tcPr>
          <w:p>
            <w:pPr>
              <w:spacing w:before="30" w:after="30" w:line="252" w:lineRule="auto"/>
              <w:jc w:val="center"/>
            </w:pPr>
            <w:r>
              <w:rPr>
                <w:rFonts w:ascii="Times New Roman" w:hAnsi="Times New Roman"/>
                <w:sz w:val="16"/>
              </w:rPr>
              <w:t>78.40 ± 3.10</w:t>
            </w:r>
          </w:p>
        </w:tc>
        <w:tc>
          <w:tcPr>
            <w:tcW w:type="dxa" w:w="1152"/>
          </w:tcPr>
          <w:p>
            <w:pPr>
              <w:spacing w:before="30" w:after="30" w:line="252" w:lineRule="auto"/>
              <w:jc w:val="center"/>
            </w:pPr>
            <w:r>
              <w:rPr>
                <w:rFonts w:ascii="Times New Roman" w:hAnsi="Times New Roman"/>
                <w:sz w:val="16"/>
              </w:rPr>
              <w:t>0.712</w:t>
            </w:r>
          </w:p>
        </w:tc>
        <w:tc>
          <w:tcPr>
            <w:tcW w:type="dxa" w:w="1152"/>
          </w:tcPr>
          <w:p>
            <w:pPr>
              <w:spacing w:before="30" w:after="30" w:line="252" w:lineRule="auto"/>
              <w:jc w:val="center"/>
            </w:pPr>
            <w:r>
              <w:rPr>
                <w:rFonts w:ascii="Times New Roman" w:hAnsi="Times New Roman"/>
                <w:sz w:val="16"/>
              </w:rPr>
              <w:t>0.1800 (n.s.)</w:t>
            </w:r>
          </w:p>
        </w:tc>
        <w:tc>
          <w:tcPr>
            <w:tcW w:type="dxa" w:w="864"/>
          </w:tcPr>
          <w:p>
            <w:pPr>
              <w:spacing w:before="30" w:after="30" w:line="252" w:lineRule="auto"/>
              <w:jc w:val="center"/>
            </w:pPr>
            <w:r>
              <w:rPr>
                <w:rFonts w:ascii="Times New Roman" w:hAnsi="Times New Roman"/>
                <w:sz w:val="16"/>
              </w:rPr>
              <w:t>-0.48</w:t>
            </w:r>
          </w:p>
        </w:tc>
        <w:tc>
          <w:tcPr>
            <w:tcW w:type="dxa" w:w="1296"/>
          </w:tcPr>
          <w:p>
            <w:pPr>
              <w:spacing w:before="30" w:after="30" w:line="252" w:lineRule="auto"/>
              <w:jc w:val="center"/>
            </w:pPr>
            <w:r>
              <w:rPr>
                <w:rFonts w:ascii="Times New Roman" w:hAnsi="Times New Roman"/>
                <w:sz w:val="16"/>
              </w:rPr>
              <w:t>0.6 (Null)</w:t>
            </w:r>
          </w:p>
        </w:tc>
      </w:tr>
      <w:tr>
        <w:tc>
          <w:tcPr>
            <w:tcW w:type="dxa" w:w="2592"/>
          </w:tcPr>
          <w:p>
            <w:pPr>
              <w:spacing w:before="30" w:after="30" w:line="252" w:lineRule="auto"/>
              <w:jc w:val="left"/>
            </w:pPr>
            <w:r>
              <w:rPr>
                <w:rFonts w:ascii="Times New Roman" w:hAnsi="Times New Roman"/>
                <w:sz w:val="16"/>
              </w:rPr>
              <w:t>TENT (Wang et al., 2021)</w:t>
            </w:r>
          </w:p>
        </w:tc>
        <w:tc>
          <w:tcPr>
            <w:tcW w:type="dxa" w:w="1584"/>
          </w:tcPr>
          <w:p>
            <w:pPr>
              <w:spacing w:before="30" w:after="30" w:line="252" w:lineRule="auto"/>
              <w:jc w:val="center"/>
            </w:pPr>
            <w:r>
              <w:rPr>
                <w:rFonts w:ascii="Times New Roman" w:hAnsi="Times New Roman"/>
                <w:sz w:val="16"/>
              </w:rPr>
              <w:t>Backprop TTA</w:t>
            </w:r>
          </w:p>
        </w:tc>
        <w:tc>
          <w:tcPr>
            <w:tcW w:type="dxa" w:w="1296"/>
          </w:tcPr>
          <w:p>
            <w:pPr>
              <w:spacing w:before="30" w:after="30" w:line="252" w:lineRule="auto"/>
              <w:jc w:val="center"/>
            </w:pPr>
            <w:r>
              <w:rPr>
                <w:rFonts w:ascii="Times New Roman" w:hAnsi="Times New Roman"/>
                <w:sz w:val="16"/>
              </w:rPr>
              <w:t>68.45 ± 4.10</w:t>
            </w:r>
          </w:p>
        </w:tc>
        <w:tc>
          <w:tcPr>
            <w:tcW w:type="dxa" w:w="1152"/>
          </w:tcPr>
          <w:p>
            <w:pPr>
              <w:spacing w:before="30" w:after="30" w:line="252" w:lineRule="auto"/>
              <w:jc w:val="center"/>
            </w:pPr>
            <w:r>
              <w:rPr>
                <w:rFonts w:ascii="Times New Roman" w:hAnsi="Times New Roman"/>
                <w:sz w:val="16"/>
              </w:rPr>
              <w:t>0.579</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2.21</w:t>
            </w:r>
          </w:p>
        </w:tc>
        <w:tc>
          <w:tcPr>
            <w:tcW w:type="dxa" w:w="1296"/>
          </w:tcPr>
          <w:p>
            <w:pPr>
              <w:spacing w:before="30" w:after="30" w:line="252" w:lineRule="auto"/>
              <w:jc w:val="center"/>
            </w:pPr>
            <w:r>
              <w:rPr>
                <w:rFonts w:ascii="Times New Roman" w:hAnsi="Times New Roman"/>
                <w:sz w:val="16"/>
              </w:rPr>
              <w:t>4.2 x 10^3</w:t>
            </w:r>
          </w:p>
        </w:tc>
      </w:tr>
      <w:tr>
        <w:tc>
          <w:tcPr>
            <w:tcW w:type="dxa" w:w="2592"/>
          </w:tcPr>
          <w:p>
            <w:pPr>
              <w:spacing w:before="30" w:after="30" w:line="252" w:lineRule="auto"/>
              <w:jc w:val="left"/>
            </w:pPr>
            <w:r>
              <w:rPr>
                <w:rFonts w:ascii="Times New Roman" w:hAnsi="Times New Roman"/>
                <w:sz w:val="16"/>
              </w:rPr>
              <w:t>MEMO (Zhang et al., 2022)</w:t>
            </w:r>
          </w:p>
        </w:tc>
        <w:tc>
          <w:tcPr>
            <w:tcW w:type="dxa" w:w="1584"/>
          </w:tcPr>
          <w:p>
            <w:pPr>
              <w:spacing w:before="30" w:after="30" w:line="252" w:lineRule="auto"/>
              <w:jc w:val="center"/>
            </w:pPr>
            <w:r>
              <w:rPr>
                <w:rFonts w:ascii="Times New Roman" w:hAnsi="Times New Roman"/>
                <w:sz w:val="16"/>
              </w:rPr>
              <w:t>Marginal TTA</w:t>
            </w:r>
          </w:p>
        </w:tc>
        <w:tc>
          <w:tcPr>
            <w:tcW w:type="dxa" w:w="1296"/>
          </w:tcPr>
          <w:p>
            <w:pPr>
              <w:spacing w:before="30" w:after="30" w:line="252" w:lineRule="auto"/>
              <w:jc w:val="center"/>
            </w:pPr>
            <w:r>
              <w:rPr>
                <w:rFonts w:ascii="Times New Roman" w:hAnsi="Times New Roman"/>
                <w:sz w:val="16"/>
              </w:rPr>
              <w:t>69.12 ± 3.85</w:t>
            </w:r>
          </w:p>
        </w:tc>
        <w:tc>
          <w:tcPr>
            <w:tcW w:type="dxa" w:w="1152"/>
          </w:tcPr>
          <w:p>
            <w:pPr>
              <w:spacing w:before="30" w:after="30" w:line="252" w:lineRule="auto"/>
              <w:jc w:val="center"/>
            </w:pPr>
            <w:r>
              <w:rPr>
                <w:rFonts w:ascii="Times New Roman" w:hAnsi="Times New Roman"/>
                <w:sz w:val="16"/>
              </w:rPr>
              <w:t>0.588</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2.10</w:t>
            </w:r>
          </w:p>
        </w:tc>
        <w:tc>
          <w:tcPr>
            <w:tcW w:type="dxa" w:w="1296"/>
          </w:tcPr>
          <w:p>
            <w:pPr>
              <w:spacing w:before="30" w:after="30" w:line="252" w:lineRule="auto"/>
              <w:jc w:val="center"/>
            </w:pPr>
            <w:r>
              <w:rPr>
                <w:rFonts w:ascii="Times New Roman" w:hAnsi="Times New Roman"/>
                <w:sz w:val="16"/>
              </w:rPr>
              <w:t>3.1 x 10^3</w:t>
            </w:r>
          </w:p>
        </w:tc>
      </w:tr>
      <w:tr>
        <w:tc>
          <w:tcPr>
            <w:tcW w:type="dxa" w:w="2592"/>
          </w:tcPr>
          <w:p>
            <w:pPr>
              <w:spacing w:before="30" w:after="30" w:line="252" w:lineRule="auto"/>
              <w:jc w:val="left"/>
            </w:pPr>
            <w:r>
              <w:rPr>
                <w:rFonts w:ascii="Times New Roman" w:hAnsi="Times New Roman"/>
                <w:sz w:val="16"/>
              </w:rPr>
              <w:t>ATCNet (Altaheri et al., 2022)</w:t>
            </w:r>
          </w:p>
        </w:tc>
        <w:tc>
          <w:tcPr>
            <w:tcW w:type="dxa" w:w="1584"/>
          </w:tcPr>
          <w:p>
            <w:pPr>
              <w:spacing w:before="30" w:after="30" w:line="252" w:lineRule="auto"/>
              <w:jc w:val="center"/>
            </w:pPr>
            <w:r>
              <w:rPr>
                <w:rFonts w:ascii="Times New Roman" w:hAnsi="Times New Roman"/>
                <w:sz w:val="16"/>
              </w:rPr>
              <w:t>Zero-Shot Transfer</w:t>
            </w:r>
          </w:p>
        </w:tc>
        <w:tc>
          <w:tcPr>
            <w:tcW w:type="dxa" w:w="1296"/>
          </w:tcPr>
          <w:p>
            <w:pPr>
              <w:spacing w:before="30" w:after="30" w:line="252" w:lineRule="auto"/>
              <w:jc w:val="center"/>
            </w:pPr>
            <w:r>
              <w:rPr>
                <w:rFonts w:ascii="Times New Roman" w:hAnsi="Times New Roman"/>
                <w:sz w:val="16"/>
              </w:rPr>
              <w:t>66.40 ± 4.25</w:t>
            </w:r>
          </w:p>
        </w:tc>
        <w:tc>
          <w:tcPr>
            <w:tcW w:type="dxa" w:w="1152"/>
          </w:tcPr>
          <w:p>
            <w:pPr>
              <w:spacing w:before="30" w:after="30" w:line="252" w:lineRule="auto"/>
              <w:jc w:val="center"/>
            </w:pPr>
            <w:r>
              <w:rPr>
                <w:rFonts w:ascii="Times New Roman" w:hAnsi="Times New Roman"/>
                <w:sz w:val="16"/>
              </w:rPr>
              <w:t>0.552</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2.68</w:t>
            </w:r>
          </w:p>
        </w:tc>
        <w:tc>
          <w:tcPr>
            <w:tcW w:type="dxa" w:w="1296"/>
          </w:tcPr>
          <w:p>
            <w:pPr>
              <w:spacing w:before="30" w:after="30" w:line="252" w:lineRule="auto"/>
              <w:jc w:val="center"/>
            </w:pPr>
            <w:r>
              <w:rPr>
                <w:rFonts w:ascii="Times New Roman" w:hAnsi="Times New Roman"/>
                <w:sz w:val="16"/>
              </w:rPr>
              <w:t>1.8 x 10^4</w:t>
            </w:r>
          </w:p>
        </w:tc>
      </w:tr>
      <w:tr>
        <w:tc>
          <w:tcPr>
            <w:tcW w:type="dxa" w:w="2592"/>
          </w:tcPr>
          <w:p>
            <w:pPr>
              <w:spacing w:before="30" w:after="30" w:line="252" w:lineRule="auto"/>
              <w:jc w:val="left"/>
            </w:pPr>
            <w:r>
              <w:rPr>
                <w:rFonts w:ascii="Times New Roman" w:hAnsi="Times New Roman"/>
                <w:sz w:val="16"/>
              </w:rPr>
              <w:t>EEG-Conformer (Song et al., 2023)</w:t>
            </w:r>
          </w:p>
        </w:tc>
        <w:tc>
          <w:tcPr>
            <w:tcW w:type="dxa" w:w="1584"/>
          </w:tcPr>
          <w:p>
            <w:pPr>
              <w:spacing w:before="30" w:after="30" w:line="252" w:lineRule="auto"/>
              <w:jc w:val="center"/>
            </w:pPr>
            <w:r>
              <w:rPr>
                <w:rFonts w:ascii="Times New Roman" w:hAnsi="Times New Roman"/>
                <w:sz w:val="16"/>
              </w:rPr>
              <w:t>Zero-Shot Transfer</w:t>
            </w:r>
          </w:p>
        </w:tc>
        <w:tc>
          <w:tcPr>
            <w:tcW w:type="dxa" w:w="1296"/>
          </w:tcPr>
          <w:p>
            <w:pPr>
              <w:spacing w:before="30" w:after="30" w:line="252" w:lineRule="auto"/>
              <w:jc w:val="center"/>
            </w:pPr>
            <w:r>
              <w:rPr>
                <w:rFonts w:ascii="Times New Roman" w:hAnsi="Times New Roman"/>
                <w:sz w:val="16"/>
              </w:rPr>
              <w:t>65.80 ± 4.50</w:t>
            </w:r>
          </w:p>
        </w:tc>
        <w:tc>
          <w:tcPr>
            <w:tcW w:type="dxa" w:w="1152"/>
          </w:tcPr>
          <w:p>
            <w:pPr>
              <w:spacing w:before="30" w:after="30" w:line="252" w:lineRule="auto"/>
              <w:jc w:val="center"/>
            </w:pPr>
            <w:r>
              <w:rPr>
                <w:rFonts w:ascii="Times New Roman" w:hAnsi="Times New Roman"/>
                <w:sz w:val="16"/>
              </w:rPr>
              <w:t>0.544</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2.75</w:t>
            </w:r>
          </w:p>
        </w:tc>
        <w:tc>
          <w:tcPr>
            <w:tcW w:type="dxa" w:w="1296"/>
          </w:tcPr>
          <w:p>
            <w:pPr>
              <w:spacing w:before="30" w:after="30" w:line="252" w:lineRule="auto"/>
              <w:jc w:val="center"/>
            </w:pPr>
            <w:r>
              <w:rPr>
                <w:rFonts w:ascii="Times New Roman" w:hAnsi="Times New Roman"/>
                <w:sz w:val="16"/>
              </w:rPr>
              <w:t>2.4 x 10^4</w:t>
            </w:r>
          </w:p>
        </w:tc>
      </w:tr>
      <w:tr>
        <w:tc>
          <w:tcPr>
            <w:tcW w:type="dxa" w:w="2592"/>
          </w:tcPr>
          <w:p>
            <w:pPr>
              <w:spacing w:before="30" w:after="30" w:line="252" w:lineRule="auto"/>
              <w:jc w:val="left"/>
            </w:pPr>
            <w:r>
              <w:rPr>
                <w:rFonts w:ascii="Times New Roman" w:hAnsi="Times New Roman"/>
                <w:sz w:val="16"/>
              </w:rPr>
              <w:t>EEGNet-8,2 (Lawhern et al., 2018)</w:t>
            </w:r>
          </w:p>
        </w:tc>
        <w:tc>
          <w:tcPr>
            <w:tcW w:type="dxa" w:w="1584"/>
          </w:tcPr>
          <w:p>
            <w:pPr>
              <w:spacing w:before="30" w:after="30" w:line="252" w:lineRule="auto"/>
              <w:jc w:val="center"/>
            </w:pPr>
            <w:r>
              <w:rPr>
                <w:rFonts w:ascii="Times New Roman" w:hAnsi="Times New Roman"/>
                <w:sz w:val="16"/>
              </w:rPr>
              <w:t>Zero-Shot Transfer</w:t>
            </w:r>
          </w:p>
        </w:tc>
        <w:tc>
          <w:tcPr>
            <w:tcW w:type="dxa" w:w="1296"/>
          </w:tcPr>
          <w:p>
            <w:pPr>
              <w:spacing w:before="30" w:after="30" w:line="252" w:lineRule="auto"/>
              <w:jc w:val="center"/>
            </w:pPr>
            <w:r>
              <w:rPr>
                <w:rFonts w:ascii="Times New Roman" w:hAnsi="Times New Roman"/>
                <w:sz w:val="16"/>
              </w:rPr>
              <w:t>62.20 ± 4.80</w:t>
            </w:r>
          </w:p>
        </w:tc>
        <w:tc>
          <w:tcPr>
            <w:tcW w:type="dxa" w:w="1152"/>
          </w:tcPr>
          <w:p>
            <w:pPr>
              <w:spacing w:before="30" w:after="30" w:line="252" w:lineRule="auto"/>
              <w:jc w:val="center"/>
            </w:pPr>
            <w:r>
              <w:rPr>
                <w:rFonts w:ascii="Times New Roman" w:hAnsi="Times New Roman"/>
                <w:sz w:val="16"/>
              </w:rPr>
              <w:t>0.496</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3.48</w:t>
            </w:r>
          </w:p>
        </w:tc>
        <w:tc>
          <w:tcPr>
            <w:tcW w:type="dxa" w:w="1296"/>
          </w:tcPr>
          <w:p>
            <w:pPr>
              <w:spacing w:before="30" w:after="30" w:line="252" w:lineRule="auto"/>
              <w:jc w:val="center"/>
            </w:pPr>
            <w:r>
              <w:rPr>
                <w:rFonts w:ascii="Times New Roman" w:hAnsi="Times New Roman"/>
                <w:sz w:val="16"/>
              </w:rPr>
              <w:t>1.2 x 10^5</w:t>
            </w:r>
          </w:p>
        </w:tc>
      </w:tr>
      <w:tr>
        <w:tc>
          <w:tcPr>
            <w:tcW w:type="dxa" w:w="2592"/>
          </w:tcPr>
          <w:p>
            <w:pPr>
              <w:spacing w:before="30" w:after="30" w:line="252" w:lineRule="auto"/>
              <w:jc w:val="left"/>
            </w:pPr>
            <w:r>
              <w:rPr>
                <w:rFonts w:ascii="Times New Roman" w:hAnsi="Times New Roman"/>
                <w:sz w:val="16"/>
              </w:rPr>
              <w:t>Riemannian Alignment (RA)</w:t>
            </w:r>
          </w:p>
        </w:tc>
        <w:tc>
          <w:tcPr>
            <w:tcW w:type="dxa" w:w="1584"/>
          </w:tcPr>
          <w:p>
            <w:pPr>
              <w:spacing w:before="30" w:after="30" w:line="252" w:lineRule="auto"/>
              <w:jc w:val="center"/>
            </w:pPr>
            <w:r>
              <w:rPr>
                <w:rFonts w:ascii="Times New Roman" w:hAnsi="Times New Roman"/>
                <w:sz w:val="16"/>
              </w:rPr>
              <w:t>Manifold Transfer</w:t>
            </w:r>
          </w:p>
        </w:tc>
        <w:tc>
          <w:tcPr>
            <w:tcW w:type="dxa" w:w="1296"/>
          </w:tcPr>
          <w:p>
            <w:pPr>
              <w:spacing w:before="30" w:after="30" w:line="252" w:lineRule="auto"/>
              <w:jc w:val="center"/>
            </w:pPr>
            <w:r>
              <w:rPr>
                <w:rFonts w:ascii="Times New Roman" w:hAnsi="Times New Roman"/>
                <w:sz w:val="16"/>
              </w:rPr>
              <w:t>63.50 ± 4.60</w:t>
            </w:r>
          </w:p>
        </w:tc>
        <w:tc>
          <w:tcPr>
            <w:tcW w:type="dxa" w:w="1152"/>
          </w:tcPr>
          <w:p>
            <w:pPr>
              <w:spacing w:before="30" w:after="30" w:line="252" w:lineRule="auto"/>
              <w:jc w:val="center"/>
            </w:pPr>
            <w:r>
              <w:rPr>
                <w:rFonts w:ascii="Times New Roman" w:hAnsi="Times New Roman"/>
                <w:sz w:val="16"/>
              </w:rPr>
              <w:t>0.513</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3.24</w:t>
            </w:r>
          </w:p>
        </w:tc>
        <w:tc>
          <w:tcPr>
            <w:tcW w:type="dxa" w:w="1296"/>
          </w:tcPr>
          <w:p>
            <w:pPr>
              <w:spacing w:before="30" w:after="30" w:line="252" w:lineRule="auto"/>
              <w:jc w:val="center"/>
            </w:pPr>
            <w:r>
              <w:rPr>
                <w:rFonts w:ascii="Times New Roman" w:hAnsi="Times New Roman"/>
                <w:sz w:val="16"/>
              </w:rPr>
              <w:t>8.5 x 10^4</w:t>
            </w:r>
          </w:p>
        </w:tc>
      </w:tr>
      <w:tr>
        <w:tc>
          <w:tcPr>
            <w:tcW w:type="dxa" w:w="2592"/>
          </w:tcPr>
          <w:p>
            <w:pPr>
              <w:spacing w:before="30" w:after="30" w:line="252" w:lineRule="auto"/>
              <w:jc w:val="left"/>
            </w:pPr>
            <w:r>
              <w:rPr>
                <w:rFonts w:ascii="Times New Roman" w:hAnsi="Times New Roman"/>
                <w:sz w:val="16"/>
              </w:rPr>
              <w:t>Theoretical Chance</w:t>
            </w:r>
          </w:p>
        </w:tc>
        <w:tc>
          <w:tcPr>
            <w:tcW w:type="dxa" w:w="1584"/>
          </w:tcPr>
          <w:p>
            <w:pPr>
              <w:spacing w:before="30" w:after="30" w:line="252" w:lineRule="auto"/>
              <w:jc w:val="center"/>
            </w:pPr>
            <w:r>
              <w:rPr>
                <w:rFonts w:ascii="Times New Roman" w:hAnsi="Times New Roman"/>
                <w:sz w:val="16"/>
              </w:rPr>
              <w:t>Random Guessing</w:t>
            </w:r>
          </w:p>
        </w:tc>
        <w:tc>
          <w:tcPr>
            <w:tcW w:type="dxa" w:w="1296"/>
          </w:tcPr>
          <w:p>
            <w:pPr>
              <w:spacing w:before="30" w:after="30" w:line="252" w:lineRule="auto"/>
              <w:jc w:val="center"/>
            </w:pPr>
            <w:r>
              <w:rPr>
                <w:rFonts w:ascii="Times New Roman" w:hAnsi="Times New Roman"/>
                <w:sz w:val="16"/>
              </w:rPr>
              <w:t>25.00 ± 0.00</w:t>
            </w:r>
          </w:p>
        </w:tc>
        <w:tc>
          <w:tcPr>
            <w:tcW w:type="dxa" w:w="1152"/>
          </w:tcPr>
          <w:p>
            <w:pPr>
              <w:spacing w:before="30" w:after="30" w:line="252" w:lineRule="auto"/>
              <w:jc w:val="center"/>
            </w:pPr>
            <w:r>
              <w:rPr>
                <w:rFonts w:ascii="Times New Roman" w:hAnsi="Times New Roman"/>
                <w:sz w:val="16"/>
              </w:rPr>
              <w:t>0.000</w:t>
            </w:r>
          </w:p>
        </w:tc>
        <w:tc>
          <w:tcPr>
            <w:tcW w:type="dxa" w:w="1152"/>
          </w:tcPr>
          <w:p>
            <w:pPr>
              <w:spacing w:before="30" w:after="30" w:line="252" w:lineRule="auto"/>
              <w:jc w:val="center"/>
            </w:pPr>
            <w:r>
              <w:rPr>
                <w:rFonts w:ascii="Times New Roman" w:hAnsi="Times New Roman"/>
                <w:sz w:val="16"/>
              </w:rPr>
              <w:t>0.0039**</w:t>
            </w:r>
          </w:p>
        </w:tc>
        <w:tc>
          <w:tcPr>
            <w:tcW w:type="dxa" w:w="864"/>
          </w:tcPr>
          <w:p>
            <w:pPr>
              <w:spacing w:before="30" w:after="30" w:line="252" w:lineRule="auto"/>
              <w:jc w:val="center"/>
            </w:pPr>
            <w:r>
              <w:rPr>
                <w:rFonts w:ascii="Times New Roman" w:hAnsi="Times New Roman"/>
                <w:sz w:val="16"/>
              </w:rPr>
              <w:t>15.01</w:t>
            </w:r>
          </w:p>
        </w:tc>
        <w:tc>
          <w:tcPr>
            <w:tcW w:type="dxa" w:w="1296"/>
          </w:tcPr>
          <w:p>
            <w:pPr>
              <w:spacing w:before="30" w:after="30" w:line="252" w:lineRule="auto"/>
              <w:jc w:val="center"/>
            </w:pPr>
            <w:r>
              <w:rPr>
                <w:rFonts w:ascii="Times New Roman" w:hAnsi="Times New Roman"/>
                <w:sz w:val="16"/>
              </w:rPr>
              <w:t>&gt; 10^8</w:t>
            </w:r>
          </w:p>
        </w:tc>
      </w:tr>
    </w:tbl>
    <w:p>
      <w:pPr>
        <w:spacing w:before="40" w:after="160" w:line="252" w:lineRule="auto"/>
      </w:pPr>
      <w:r>
        <w:rPr>
          <w:rFonts w:ascii="Times New Roman" w:hAnsi="Times New Roman"/>
          <w:i/>
          <w:sz w:val="15"/>
        </w:rPr>
        <w:t>Note: the bold entries represent proposed model; ** indicates p &lt; 0.01.</w:t>
      </w:r>
    </w:p>
    <w:p>
      <w:pPr>
        <w:sectPr>
          <w:type w:val="continuous"/>
          <w:pgSz w:w="12240" w:h="15840"/>
          <w:pgMar w:top="1008" w:right="1080" w:bottom="1008" w:left="1080" w:header="720" w:footer="720" w:gutter="0"/>
          <w:cols w:space="720"/>
          <w:docGrid w:linePitch="360"/>
          <w:cols w:num="2" w:space="504"/>
          <w:cols w:num="1"/>
          <w:cols w:num="2" w:space="504"/>
          <w:cols w:num="1"/>
        </w:sectPr>
      </w:pPr>
    </w:p>
    <w:p>
      <w:pPr>
        <w:spacing w:before="160" w:after="60"/>
        <w:jc w:val="center"/>
      </w:pPr>
      <w:r>
        <w:drawing>
          <wp:inline xmlns:a="http://schemas.openxmlformats.org/drawingml/2006/main" xmlns:pic="http://schemas.openxmlformats.org/drawingml/2006/picture">
            <wp:extent cx="3063240" cy="1531620"/>
            <wp:docPr id="2" name="Picture 2"/>
            <wp:cNvGraphicFramePr>
              <a:graphicFrameLocks noChangeAspect="1"/>
            </wp:cNvGraphicFramePr>
            <a:graphic>
              <a:graphicData uri="http://schemas.openxmlformats.org/drawingml/2006/picture">
                <pic:pic>
                  <pic:nvPicPr>
                    <pic:cNvPr id="0" name="paper2_baseline_comparison_plot.png"/>
                    <pic:cNvPicPr/>
                  </pic:nvPicPr>
                  <pic:blipFill>
                    <a:blip r:embed="rId10"/>
                    <a:stretch>
                      <a:fillRect/>
                    </a:stretch>
                  </pic:blipFill>
                  <pic:spPr>
                    <a:xfrm>
                      <a:off x="0" y="0"/>
                      <a:ext cx="3063240" cy="1531620"/>
                    </a:xfrm>
                    <a:prstGeom prst="rect"/>
                  </pic:spPr>
                </pic:pic>
              </a:graphicData>
            </a:graphic>
          </wp:inline>
        </w:drawing>
      </w:r>
    </w:p>
    <w:p>
      <w:pPr>
        <w:spacing w:before="20" w:after="200" w:line="264" w:lineRule="auto"/>
        <w:jc w:val="both"/>
      </w:pPr>
      <w:r>
        <w:rPr>
          <w:rFonts w:ascii="Times New Roman" w:hAnsi="Times New Roman"/>
          <w:b/>
          <w:sz w:val="17"/>
        </w:rPr>
        <w:t xml:space="preserve">Fig. 2. </w:t>
      </w:r>
      <w:r>
        <w:rPr>
          <w:rFonts w:ascii="Times New Roman" w:hAnsi="Times New Roman"/>
          <w:sz w:val="17"/>
        </w:rPr>
        <w:t>Performance comparison of DiffuZero-TTA against zero-shot transfer and backprop-based TTA baselines on BCI Competition IV-2a.</w:t>
      </w:r>
    </w:p>
    <w:p>
      <w:pPr>
        <w:spacing w:before="160" w:after="60"/>
        <w:jc w:val="center"/>
      </w:pPr>
      <w:r>
        <w:drawing>
          <wp:inline xmlns:a="http://schemas.openxmlformats.org/drawingml/2006/main" xmlns:pic="http://schemas.openxmlformats.org/drawingml/2006/picture">
            <wp:extent cx="3063240" cy="2630235"/>
            <wp:docPr id="3" name="Picture 3"/>
            <wp:cNvGraphicFramePr>
              <a:graphicFrameLocks noChangeAspect="1"/>
            </wp:cNvGraphicFramePr>
            <a:graphic>
              <a:graphicData uri="http://schemas.openxmlformats.org/drawingml/2006/picture">
                <pic:pic>
                  <pic:nvPicPr>
                    <pic:cNvPr id="0" name="paper2_confusion_matrix.png"/>
                    <pic:cNvPicPr/>
                  </pic:nvPicPr>
                  <pic:blipFill>
                    <a:blip r:embed="rId11"/>
                    <a:stretch>
                      <a:fillRect/>
                    </a:stretch>
                  </pic:blipFill>
                  <pic:spPr>
                    <a:xfrm>
                      <a:off x="0" y="0"/>
                      <a:ext cx="3063240" cy="2630235"/>
                    </a:xfrm>
                    <a:prstGeom prst="rect"/>
                  </pic:spPr>
                </pic:pic>
              </a:graphicData>
            </a:graphic>
          </wp:inline>
        </w:drawing>
      </w:r>
    </w:p>
    <w:p>
      <w:pPr>
        <w:spacing w:before="20" w:after="200" w:line="264" w:lineRule="auto"/>
        <w:jc w:val="both"/>
      </w:pPr>
      <w:r>
        <w:rPr>
          <w:rFonts w:ascii="Times New Roman" w:hAnsi="Times New Roman"/>
          <w:b/>
          <w:sz w:val="17"/>
        </w:rPr>
        <w:t xml:space="preserve">Fig. 3. </w:t>
      </w:r>
      <w:r>
        <w:rPr>
          <w:rFonts w:ascii="Times New Roman" w:hAnsi="Times New Roman"/>
          <w:sz w:val="17"/>
        </w:rPr>
        <w:t>Confusion matrix of DiffuZero-TTA under zero-calibration deployment: Left Hand (78.2%), Right Hand (79.5%), Both Feet (75.1%), Tongue (74.5%).</w:t>
      </w:r>
    </w:p>
    <w:p>
      <w:pPr>
        <w:keepNext/>
        <w:spacing w:before="160" w:after="40"/>
      </w:pPr>
      <w:r>
        <w:rPr>
          <w:rFonts w:ascii="Times New Roman" w:hAnsi="Times New Roman"/>
          <w:b/>
          <w:i/>
          <w:color w:val="1E293B"/>
          <w:sz w:val="19"/>
        </w:rPr>
        <w:t>4.2. Per-subject decoding analysis</w:t>
      </w:r>
    </w:p>
    <w:p>
      <w:pPr>
        <w:spacing w:before="0" w:after="80" w:line="276" w:lineRule="auto"/>
        <w:jc w:val="both"/>
      </w:pPr>
      <w:r>
        <w:rPr>
          <w:rFonts w:ascii="Times New Roman" w:hAnsi="Times New Roman"/>
          <w:sz w:val="19"/>
        </w:rPr>
        <w:t>Fig. 4 and Table 3 detail per-subject decoding accuracy for all 9 BCI IV-2a participants. DiffuZero-TTA provides major gains for 'BCI-illiterate' subjects, such as A02 (+17.3%) and A05 (+18.2%), demonstrating robustness against physiological variance.</w:t>
      </w:r>
    </w:p>
    <w:p>
      <w:pPr>
        <w:sectPr>
          <w:type w:val="continuous"/>
          <w:pgSz w:w="12240" w:h="15840"/>
          <w:pgMar w:top="1008" w:right="1080" w:bottom="1008" w:left="1080" w:header="720" w:footer="720" w:gutter="0"/>
          <w:cols w:space="720"/>
          <w:docGrid w:linePitch="360"/>
          <w:cols w:num="2" w:space="504"/>
          <w:cols w:num="1"/>
          <w:cols w:num="2" w:space="504"/>
          <w:cols w:num="1"/>
          <w:cols w:num="2" w:space="504"/>
        </w:sectPr>
      </w:pPr>
    </w:p>
    <w:p>
      <w:pPr>
        <w:spacing w:before="160" w:after="60"/>
        <w:jc w:val="center"/>
      </w:pPr>
      <w:r>
        <w:drawing>
          <wp:inline xmlns:a="http://schemas.openxmlformats.org/drawingml/2006/main" xmlns:pic="http://schemas.openxmlformats.org/drawingml/2006/picture">
            <wp:extent cx="6217920" cy="3419856"/>
            <wp:docPr id="4" name="Picture 4"/>
            <wp:cNvGraphicFramePr>
              <a:graphicFrameLocks noChangeAspect="1"/>
            </wp:cNvGraphicFramePr>
            <a:graphic>
              <a:graphicData uri="http://schemas.openxmlformats.org/drawingml/2006/picture">
                <pic:pic>
                  <pic:nvPicPr>
                    <pic:cNvPr id="0" name="paper2_bci2a_benchmark_plot.png"/>
                    <pic:cNvPicPr/>
                  </pic:nvPicPr>
                  <pic:blipFill>
                    <a:blip r:embed="rId12"/>
                    <a:stretch>
                      <a:fillRect/>
                    </a:stretch>
                  </pic:blipFill>
                  <pic:spPr>
                    <a:xfrm>
                      <a:off x="0" y="0"/>
                      <a:ext cx="6217920" cy="3419856"/>
                    </a:xfrm>
                    <a:prstGeom prst="rect"/>
                  </pic:spPr>
                </pic:pic>
              </a:graphicData>
            </a:graphic>
          </wp:inline>
        </w:drawing>
      </w:r>
    </w:p>
    <w:p>
      <w:pPr>
        <w:spacing w:before="20" w:after="200" w:line="264" w:lineRule="auto"/>
        <w:jc w:val="both"/>
      </w:pPr>
      <w:r>
        <w:rPr>
          <w:rFonts w:ascii="Times New Roman" w:hAnsi="Times New Roman"/>
          <w:b/>
          <w:sz w:val="17"/>
        </w:rPr>
        <w:t xml:space="preserve">Fig. 4. </w:t>
      </w:r>
      <w:r>
        <w:rPr>
          <w:rFonts w:ascii="Times New Roman" w:hAnsi="Times New Roman"/>
          <w:sz w:val="17"/>
        </w:rPr>
        <w:t>Granular per-subject zero-calibration decoding accuracy across 9 BCI Competition IV-2a subjects comparing DiffuZero-TTA against zero-shot transfer.</w:t>
      </w: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sectPr>
      </w:pPr>
    </w:p>
    <w:p>
      <w:pPr>
        <w:keepNext/>
        <w:spacing w:before="160" w:after="40"/>
      </w:pPr>
      <w:r>
        <w:rPr>
          <w:rFonts w:ascii="Times New Roman" w:hAnsi="Times New Roman"/>
          <w:b/>
          <w:sz w:val="17"/>
        </w:rPr>
        <w:t>Table 3</w:t>
        <w:br/>
      </w:r>
      <w:r>
        <w:rPr>
          <w:rFonts w:ascii="Times New Roman" w:hAnsi="Times New Roman"/>
          <w:sz w:val="17"/>
        </w:rPr>
        <w:t>Detailed per-subject decoding accuracy breakdown on BCI Competition IV-2a.</w:t>
      </w:r>
    </w:p>
    <w:tbl>
      <w:tblPr>
        <w:tblW w:type="auto" w:w="0"/>
        <w:jc w:val="center"/>
        <w:tblLayout w:type="fixed"/>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2016"/>
        <w:gridCol w:w="2016"/>
        <w:gridCol w:w="2016"/>
        <w:gridCol w:w="2016"/>
        <w:gridCol w:w="2016"/>
      </w:tblGrid>
      <w:tr>
        <w:tc>
          <w:tcPr>
            <w:tcW w:type="dxa" w:w="1440"/>
            <w:tcBorders>
              <w:bottom w:val="single" w:sz="5" w:space="0" w:color="000000"/>
            </w:tcBorders>
          </w:tcPr>
          <w:p>
            <w:pPr>
              <w:spacing w:before="40" w:after="40"/>
              <w:jc w:val="left"/>
            </w:pPr>
            <w:r>
              <w:rPr>
                <w:rFonts w:ascii="Times New Roman" w:hAnsi="Times New Roman"/>
                <w:b/>
                <w:sz w:val="16"/>
              </w:rPr>
              <w:t>Subject</w:t>
            </w:r>
          </w:p>
        </w:tc>
        <w:tc>
          <w:tcPr>
            <w:tcW w:type="dxa" w:w="1296"/>
            <w:tcBorders>
              <w:bottom w:val="single" w:sz="5" w:space="0" w:color="000000"/>
            </w:tcBorders>
          </w:tcPr>
          <w:p>
            <w:pPr>
              <w:spacing w:before="40" w:after="40"/>
              <w:jc w:val="center"/>
            </w:pPr>
            <w:r>
              <w:rPr>
                <w:rFonts w:ascii="Times New Roman" w:hAnsi="Times New Roman"/>
                <w:b/>
                <w:sz w:val="16"/>
              </w:rPr>
              <w:t>Zero-Shot (%)</w:t>
            </w:r>
          </w:p>
        </w:tc>
        <w:tc>
          <w:tcPr>
            <w:tcW w:type="dxa" w:w="1152"/>
            <w:tcBorders>
              <w:bottom w:val="single" w:sz="5" w:space="0" w:color="000000"/>
            </w:tcBorders>
          </w:tcPr>
          <w:p>
            <w:pPr>
              <w:spacing w:before="40" w:after="40"/>
              <w:jc w:val="center"/>
            </w:pPr>
            <w:r>
              <w:rPr>
                <w:rFonts w:ascii="Times New Roman" w:hAnsi="Times New Roman"/>
                <w:b/>
                <w:sz w:val="16"/>
              </w:rPr>
              <w:t>DiffuZero-TTA (%)</w:t>
            </w:r>
          </w:p>
        </w:tc>
        <w:tc>
          <w:tcPr>
            <w:tcW w:type="dxa" w:w="936"/>
            <w:tcBorders>
              <w:bottom w:val="single" w:sz="5" w:space="0" w:color="000000"/>
            </w:tcBorders>
          </w:tcPr>
          <w:p>
            <w:pPr>
              <w:spacing w:before="40" w:after="40"/>
              <w:jc w:val="center"/>
            </w:pPr>
            <w:r>
              <w:rPr>
                <w:rFonts w:ascii="Times New Roman" w:hAnsi="Times New Roman"/>
                <w:b/>
                <w:sz w:val="16"/>
              </w:rPr>
              <w:t>Gain (Delta)</w:t>
            </w:r>
          </w:p>
        </w:tc>
        <w:tc>
          <w:tcPr>
            <w:tcW w:type="dxa" w:w="720"/>
            <w:tcBorders>
              <w:bottom w:val="single" w:sz="5" w:space="0" w:color="000000"/>
            </w:tcBorders>
          </w:tcPr>
          <w:p>
            <w:pPr>
              <w:spacing w:before="40" w:after="40"/>
              <w:jc w:val="center"/>
            </w:pPr>
            <w:r>
              <w:rPr>
                <w:rFonts w:ascii="Times New Roman" w:hAnsi="Times New Roman"/>
                <w:b/>
                <w:sz w:val="16"/>
              </w:rPr>
              <w:t>kappa</w:t>
            </w:r>
          </w:p>
        </w:tc>
      </w:tr>
      <w:tr>
        <w:tc>
          <w:tcPr>
            <w:tcW w:type="dxa" w:w="1440"/>
          </w:tcPr>
          <w:p>
            <w:pPr>
              <w:spacing w:before="30" w:after="30" w:line="252" w:lineRule="auto"/>
              <w:jc w:val="left"/>
            </w:pPr>
            <w:r>
              <w:rPr>
                <w:rFonts w:ascii="Times New Roman" w:hAnsi="Times New Roman"/>
                <w:sz w:val="16"/>
              </w:rPr>
              <w:t>A01</w:t>
            </w:r>
          </w:p>
        </w:tc>
        <w:tc>
          <w:tcPr>
            <w:tcW w:type="dxa" w:w="1296"/>
          </w:tcPr>
          <w:p>
            <w:pPr>
              <w:spacing w:before="30" w:after="30" w:line="252" w:lineRule="auto"/>
              <w:jc w:val="center"/>
            </w:pPr>
            <w:r>
              <w:rPr>
                <w:rFonts w:ascii="Times New Roman" w:hAnsi="Times New Roman"/>
                <w:sz w:val="16"/>
              </w:rPr>
              <w:t>68.4%</w:t>
            </w:r>
          </w:p>
        </w:tc>
        <w:tc>
          <w:tcPr>
            <w:tcW w:type="dxa" w:w="1152"/>
          </w:tcPr>
          <w:p>
            <w:pPr>
              <w:spacing w:before="30" w:after="30" w:line="252" w:lineRule="auto"/>
              <w:jc w:val="center"/>
            </w:pPr>
            <w:r>
              <w:rPr>
                <w:rFonts w:ascii="Times New Roman" w:hAnsi="Times New Roman"/>
                <w:sz w:val="16"/>
              </w:rPr>
              <w:t>81.2%</w:t>
            </w:r>
          </w:p>
        </w:tc>
        <w:tc>
          <w:tcPr>
            <w:tcW w:type="dxa" w:w="936"/>
          </w:tcPr>
          <w:p>
            <w:pPr>
              <w:spacing w:before="30" w:after="30" w:line="252" w:lineRule="auto"/>
              <w:jc w:val="center"/>
            </w:pPr>
            <w:r>
              <w:rPr>
                <w:rFonts w:ascii="Times New Roman" w:hAnsi="Times New Roman"/>
                <w:sz w:val="16"/>
              </w:rPr>
              <w:t>+12.8%</w:t>
            </w:r>
          </w:p>
        </w:tc>
        <w:tc>
          <w:tcPr>
            <w:tcW w:type="dxa" w:w="720"/>
          </w:tcPr>
          <w:p>
            <w:pPr>
              <w:spacing w:before="30" w:after="30" w:line="252" w:lineRule="auto"/>
              <w:jc w:val="center"/>
            </w:pPr>
            <w:r>
              <w:rPr>
                <w:rFonts w:ascii="Times New Roman" w:hAnsi="Times New Roman"/>
                <w:sz w:val="16"/>
              </w:rPr>
              <w:t>0.749</w:t>
            </w:r>
          </w:p>
        </w:tc>
      </w:tr>
      <w:tr>
        <w:tc>
          <w:tcPr>
            <w:tcW w:type="dxa" w:w="1440"/>
          </w:tcPr>
          <w:p>
            <w:pPr>
              <w:spacing w:before="30" w:after="30" w:line="252" w:lineRule="auto"/>
              <w:jc w:val="left"/>
            </w:pPr>
            <w:r>
              <w:rPr>
                <w:rFonts w:ascii="Times New Roman" w:hAnsi="Times New Roman"/>
                <w:sz w:val="16"/>
              </w:rPr>
              <w:t>A02</w:t>
            </w:r>
          </w:p>
        </w:tc>
        <w:tc>
          <w:tcPr>
            <w:tcW w:type="dxa" w:w="1296"/>
          </w:tcPr>
          <w:p>
            <w:pPr>
              <w:spacing w:before="30" w:after="30" w:line="252" w:lineRule="auto"/>
              <w:jc w:val="center"/>
            </w:pPr>
            <w:r>
              <w:rPr>
                <w:rFonts w:ascii="Times New Roman" w:hAnsi="Times New Roman"/>
                <w:sz w:val="16"/>
              </w:rPr>
              <w:t>54.2%</w:t>
            </w:r>
          </w:p>
        </w:tc>
        <w:tc>
          <w:tcPr>
            <w:tcW w:type="dxa" w:w="1152"/>
          </w:tcPr>
          <w:p>
            <w:pPr>
              <w:spacing w:before="30" w:after="30" w:line="252" w:lineRule="auto"/>
              <w:jc w:val="center"/>
            </w:pPr>
            <w:r>
              <w:rPr>
                <w:rFonts w:ascii="Times New Roman" w:hAnsi="Times New Roman"/>
                <w:sz w:val="16"/>
              </w:rPr>
              <w:t>71.5%</w:t>
            </w:r>
          </w:p>
        </w:tc>
        <w:tc>
          <w:tcPr>
            <w:tcW w:type="dxa" w:w="936"/>
          </w:tcPr>
          <w:p>
            <w:pPr>
              <w:spacing w:before="30" w:after="30" w:line="252" w:lineRule="auto"/>
              <w:jc w:val="center"/>
            </w:pPr>
            <w:r>
              <w:rPr>
                <w:rFonts w:ascii="Times New Roman" w:hAnsi="Times New Roman"/>
                <w:sz w:val="16"/>
              </w:rPr>
              <w:t>+17.3%</w:t>
            </w:r>
          </w:p>
        </w:tc>
        <w:tc>
          <w:tcPr>
            <w:tcW w:type="dxa" w:w="720"/>
          </w:tcPr>
          <w:p>
            <w:pPr>
              <w:spacing w:before="30" w:after="30" w:line="252" w:lineRule="auto"/>
              <w:jc w:val="center"/>
            </w:pPr>
            <w:r>
              <w:rPr>
                <w:rFonts w:ascii="Times New Roman" w:hAnsi="Times New Roman"/>
                <w:sz w:val="16"/>
              </w:rPr>
              <w:t>0.620</w:t>
            </w:r>
          </w:p>
        </w:tc>
      </w:tr>
      <w:tr>
        <w:tc>
          <w:tcPr>
            <w:tcW w:type="dxa" w:w="1440"/>
          </w:tcPr>
          <w:p>
            <w:pPr>
              <w:spacing w:before="30" w:after="30" w:line="252" w:lineRule="auto"/>
              <w:jc w:val="left"/>
            </w:pPr>
            <w:r>
              <w:rPr>
                <w:rFonts w:ascii="Times New Roman" w:hAnsi="Times New Roman"/>
                <w:sz w:val="16"/>
              </w:rPr>
              <w:t>A03</w:t>
            </w:r>
          </w:p>
        </w:tc>
        <w:tc>
          <w:tcPr>
            <w:tcW w:type="dxa" w:w="1296"/>
          </w:tcPr>
          <w:p>
            <w:pPr>
              <w:spacing w:before="30" w:after="30" w:line="252" w:lineRule="auto"/>
              <w:jc w:val="center"/>
            </w:pPr>
            <w:r>
              <w:rPr>
                <w:rFonts w:ascii="Times New Roman" w:hAnsi="Times New Roman"/>
                <w:sz w:val="16"/>
              </w:rPr>
              <w:t>74.1%</w:t>
            </w:r>
          </w:p>
        </w:tc>
        <w:tc>
          <w:tcPr>
            <w:tcW w:type="dxa" w:w="1152"/>
          </w:tcPr>
          <w:p>
            <w:pPr>
              <w:spacing w:before="30" w:after="30" w:line="252" w:lineRule="auto"/>
              <w:jc w:val="center"/>
            </w:pPr>
            <w:r>
              <w:rPr>
                <w:rFonts w:ascii="Times New Roman" w:hAnsi="Times New Roman"/>
                <w:sz w:val="16"/>
              </w:rPr>
              <w:t>84.6%</w:t>
            </w:r>
          </w:p>
        </w:tc>
        <w:tc>
          <w:tcPr>
            <w:tcW w:type="dxa" w:w="936"/>
          </w:tcPr>
          <w:p>
            <w:pPr>
              <w:spacing w:before="30" w:after="30" w:line="252" w:lineRule="auto"/>
              <w:jc w:val="center"/>
            </w:pPr>
            <w:r>
              <w:rPr>
                <w:rFonts w:ascii="Times New Roman" w:hAnsi="Times New Roman"/>
                <w:sz w:val="16"/>
              </w:rPr>
              <w:t>+10.5%</w:t>
            </w:r>
          </w:p>
        </w:tc>
        <w:tc>
          <w:tcPr>
            <w:tcW w:type="dxa" w:w="720"/>
          </w:tcPr>
          <w:p>
            <w:pPr>
              <w:spacing w:before="30" w:after="30" w:line="252" w:lineRule="auto"/>
              <w:jc w:val="center"/>
            </w:pPr>
            <w:r>
              <w:rPr>
                <w:rFonts w:ascii="Times New Roman" w:hAnsi="Times New Roman"/>
                <w:sz w:val="16"/>
              </w:rPr>
              <w:t>0.795</w:t>
            </w:r>
          </w:p>
        </w:tc>
      </w:tr>
      <w:tr>
        <w:tc>
          <w:tcPr>
            <w:tcW w:type="dxa" w:w="1440"/>
          </w:tcPr>
          <w:p>
            <w:pPr>
              <w:spacing w:before="30" w:after="30" w:line="252" w:lineRule="auto"/>
              <w:jc w:val="left"/>
            </w:pPr>
            <w:r>
              <w:rPr>
                <w:rFonts w:ascii="Times New Roman" w:hAnsi="Times New Roman"/>
                <w:sz w:val="16"/>
              </w:rPr>
              <w:t>A04</w:t>
            </w:r>
          </w:p>
        </w:tc>
        <w:tc>
          <w:tcPr>
            <w:tcW w:type="dxa" w:w="1296"/>
          </w:tcPr>
          <w:p>
            <w:pPr>
              <w:spacing w:before="30" w:after="30" w:line="252" w:lineRule="auto"/>
              <w:jc w:val="center"/>
            </w:pPr>
            <w:r>
              <w:rPr>
                <w:rFonts w:ascii="Times New Roman" w:hAnsi="Times New Roman"/>
                <w:sz w:val="16"/>
              </w:rPr>
              <w:t>58.6%</w:t>
            </w:r>
          </w:p>
        </w:tc>
        <w:tc>
          <w:tcPr>
            <w:tcW w:type="dxa" w:w="1152"/>
          </w:tcPr>
          <w:p>
            <w:pPr>
              <w:spacing w:before="30" w:after="30" w:line="252" w:lineRule="auto"/>
              <w:jc w:val="center"/>
            </w:pPr>
            <w:r>
              <w:rPr>
                <w:rFonts w:ascii="Times New Roman" w:hAnsi="Times New Roman"/>
                <w:sz w:val="16"/>
              </w:rPr>
              <w:t>72.4%</w:t>
            </w:r>
          </w:p>
        </w:tc>
        <w:tc>
          <w:tcPr>
            <w:tcW w:type="dxa" w:w="936"/>
          </w:tcPr>
          <w:p>
            <w:pPr>
              <w:spacing w:before="30" w:after="30" w:line="252" w:lineRule="auto"/>
              <w:jc w:val="center"/>
            </w:pPr>
            <w:r>
              <w:rPr>
                <w:rFonts w:ascii="Times New Roman" w:hAnsi="Times New Roman"/>
                <w:sz w:val="16"/>
              </w:rPr>
              <w:t>+13.8%</w:t>
            </w:r>
          </w:p>
        </w:tc>
        <w:tc>
          <w:tcPr>
            <w:tcW w:type="dxa" w:w="720"/>
          </w:tcPr>
          <w:p>
            <w:pPr>
              <w:spacing w:before="30" w:after="30" w:line="252" w:lineRule="auto"/>
              <w:jc w:val="center"/>
            </w:pPr>
            <w:r>
              <w:rPr>
                <w:rFonts w:ascii="Times New Roman" w:hAnsi="Times New Roman"/>
                <w:sz w:val="16"/>
              </w:rPr>
              <w:t>0.632</w:t>
            </w:r>
          </w:p>
        </w:tc>
      </w:tr>
      <w:tr>
        <w:tc>
          <w:tcPr>
            <w:tcW w:type="dxa" w:w="1440"/>
          </w:tcPr>
          <w:p>
            <w:pPr>
              <w:spacing w:before="30" w:after="30" w:line="252" w:lineRule="auto"/>
              <w:jc w:val="left"/>
            </w:pPr>
            <w:r>
              <w:rPr>
                <w:rFonts w:ascii="Times New Roman" w:hAnsi="Times New Roman"/>
                <w:sz w:val="16"/>
              </w:rPr>
              <w:t>A05</w:t>
            </w:r>
          </w:p>
        </w:tc>
        <w:tc>
          <w:tcPr>
            <w:tcW w:type="dxa" w:w="1296"/>
          </w:tcPr>
          <w:p>
            <w:pPr>
              <w:spacing w:before="30" w:after="30" w:line="252" w:lineRule="auto"/>
              <w:jc w:val="center"/>
            </w:pPr>
            <w:r>
              <w:rPr>
                <w:rFonts w:ascii="Times New Roman" w:hAnsi="Times New Roman"/>
                <w:sz w:val="16"/>
              </w:rPr>
              <w:t>52.1%</w:t>
            </w:r>
          </w:p>
        </w:tc>
        <w:tc>
          <w:tcPr>
            <w:tcW w:type="dxa" w:w="1152"/>
          </w:tcPr>
          <w:p>
            <w:pPr>
              <w:spacing w:before="30" w:after="30" w:line="252" w:lineRule="auto"/>
              <w:jc w:val="center"/>
            </w:pPr>
            <w:r>
              <w:rPr>
                <w:rFonts w:ascii="Times New Roman" w:hAnsi="Times New Roman"/>
                <w:sz w:val="16"/>
              </w:rPr>
              <w:t>70.3%</w:t>
            </w:r>
          </w:p>
        </w:tc>
        <w:tc>
          <w:tcPr>
            <w:tcW w:type="dxa" w:w="936"/>
          </w:tcPr>
          <w:p>
            <w:pPr>
              <w:spacing w:before="30" w:after="30" w:line="252" w:lineRule="auto"/>
              <w:jc w:val="center"/>
            </w:pPr>
            <w:r>
              <w:rPr>
                <w:rFonts w:ascii="Times New Roman" w:hAnsi="Times New Roman"/>
                <w:sz w:val="16"/>
              </w:rPr>
              <w:t>+18.2%</w:t>
            </w:r>
          </w:p>
        </w:tc>
        <w:tc>
          <w:tcPr>
            <w:tcW w:type="dxa" w:w="720"/>
          </w:tcPr>
          <w:p>
            <w:pPr>
              <w:spacing w:before="30" w:after="30" w:line="252" w:lineRule="auto"/>
              <w:jc w:val="center"/>
            </w:pPr>
            <w:r>
              <w:rPr>
                <w:rFonts w:ascii="Times New Roman" w:hAnsi="Times New Roman"/>
                <w:sz w:val="16"/>
              </w:rPr>
              <w:t>0.604</w:t>
            </w:r>
          </w:p>
        </w:tc>
      </w:tr>
      <w:tr>
        <w:tc>
          <w:tcPr>
            <w:tcW w:type="dxa" w:w="1440"/>
          </w:tcPr>
          <w:p>
            <w:pPr>
              <w:spacing w:before="30" w:after="30" w:line="252" w:lineRule="auto"/>
              <w:jc w:val="left"/>
            </w:pPr>
            <w:r>
              <w:rPr>
                <w:rFonts w:ascii="Times New Roman" w:hAnsi="Times New Roman"/>
                <w:sz w:val="16"/>
              </w:rPr>
              <w:t>A06</w:t>
            </w:r>
          </w:p>
        </w:tc>
        <w:tc>
          <w:tcPr>
            <w:tcW w:type="dxa" w:w="1296"/>
          </w:tcPr>
          <w:p>
            <w:pPr>
              <w:spacing w:before="30" w:after="30" w:line="252" w:lineRule="auto"/>
              <w:jc w:val="center"/>
            </w:pPr>
            <w:r>
              <w:rPr>
                <w:rFonts w:ascii="Times New Roman" w:hAnsi="Times New Roman"/>
                <w:sz w:val="16"/>
              </w:rPr>
              <w:t>56.4%</w:t>
            </w:r>
          </w:p>
        </w:tc>
        <w:tc>
          <w:tcPr>
            <w:tcW w:type="dxa" w:w="1152"/>
          </w:tcPr>
          <w:p>
            <w:pPr>
              <w:spacing w:before="30" w:after="30" w:line="252" w:lineRule="auto"/>
              <w:jc w:val="center"/>
            </w:pPr>
            <w:r>
              <w:rPr>
                <w:rFonts w:ascii="Times New Roman" w:hAnsi="Times New Roman"/>
                <w:sz w:val="16"/>
              </w:rPr>
              <w:t>71.8%</w:t>
            </w:r>
          </w:p>
        </w:tc>
        <w:tc>
          <w:tcPr>
            <w:tcW w:type="dxa" w:w="936"/>
          </w:tcPr>
          <w:p>
            <w:pPr>
              <w:spacing w:before="30" w:after="30" w:line="252" w:lineRule="auto"/>
              <w:jc w:val="center"/>
            </w:pPr>
            <w:r>
              <w:rPr>
                <w:rFonts w:ascii="Times New Roman" w:hAnsi="Times New Roman"/>
                <w:sz w:val="16"/>
              </w:rPr>
              <w:t>+15.4%</w:t>
            </w:r>
          </w:p>
        </w:tc>
        <w:tc>
          <w:tcPr>
            <w:tcW w:type="dxa" w:w="720"/>
          </w:tcPr>
          <w:p>
            <w:pPr>
              <w:spacing w:before="30" w:after="30" w:line="252" w:lineRule="auto"/>
              <w:jc w:val="center"/>
            </w:pPr>
            <w:r>
              <w:rPr>
                <w:rFonts w:ascii="Times New Roman" w:hAnsi="Times New Roman"/>
                <w:sz w:val="16"/>
              </w:rPr>
              <w:t>0.624</w:t>
            </w:r>
          </w:p>
        </w:tc>
      </w:tr>
      <w:tr>
        <w:tc>
          <w:tcPr>
            <w:tcW w:type="dxa" w:w="1440"/>
          </w:tcPr>
          <w:p>
            <w:pPr>
              <w:spacing w:before="30" w:after="30" w:line="252" w:lineRule="auto"/>
              <w:jc w:val="left"/>
            </w:pPr>
            <w:r>
              <w:rPr>
                <w:rFonts w:ascii="Times New Roman" w:hAnsi="Times New Roman"/>
                <w:sz w:val="16"/>
              </w:rPr>
              <w:t>A07</w:t>
            </w:r>
          </w:p>
        </w:tc>
        <w:tc>
          <w:tcPr>
            <w:tcW w:type="dxa" w:w="1296"/>
          </w:tcPr>
          <w:p>
            <w:pPr>
              <w:spacing w:before="30" w:after="30" w:line="252" w:lineRule="auto"/>
              <w:jc w:val="center"/>
            </w:pPr>
            <w:r>
              <w:rPr>
                <w:rFonts w:ascii="Times New Roman" w:hAnsi="Times New Roman"/>
                <w:sz w:val="16"/>
              </w:rPr>
              <w:t>71.8%</w:t>
            </w:r>
          </w:p>
        </w:tc>
        <w:tc>
          <w:tcPr>
            <w:tcW w:type="dxa" w:w="1152"/>
          </w:tcPr>
          <w:p>
            <w:pPr>
              <w:spacing w:before="30" w:after="30" w:line="252" w:lineRule="auto"/>
              <w:jc w:val="center"/>
            </w:pPr>
            <w:r>
              <w:rPr>
                <w:rFonts w:ascii="Times New Roman" w:hAnsi="Times New Roman"/>
                <w:sz w:val="16"/>
              </w:rPr>
              <w:t>82.5%</w:t>
            </w:r>
          </w:p>
        </w:tc>
        <w:tc>
          <w:tcPr>
            <w:tcW w:type="dxa" w:w="936"/>
          </w:tcPr>
          <w:p>
            <w:pPr>
              <w:spacing w:before="30" w:after="30" w:line="252" w:lineRule="auto"/>
              <w:jc w:val="center"/>
            </w:pPr>
            <w:r>
              <w:rPr>
                <w:rFonts w:ascii="Times New Roman" w:hAnsi="Times New Roman"/>
                <w:sz w:val="16"/>
              </w:rPr>
              <w:t>+10.7%</w:t>
            </w:r>
          </w:p>
        </w:tc>
        <w:tc>
          <w:tcPr>
            <w:tcW w:type="dxa" w:w="720"/>
          </w:tcPr>
          <w:p>
            <w:pPr>
              <w:spacing w:before="30" w:after="30" w:line="252" w:lineRule="auto"/>
              <w:jc w:val="center"/>
            </w:pPr>
            <w:r>
              <w:rPr>
                <w:rFonts w:ascii="Times New Roman" w:hAnsi="Times New Roman"/>
                <w:sz w:val="16"/>
              </w:rPr>
              <w:t>0.767</w:t>
            </w:r>
          </w:p>
        </w:tc>
      </w:tr>
      <w:tr>
        <w:tc>
          <w:tcPr>
            <w:tcW w:type="dxa" w:w="1440"/>
          </w:tcPr>
          <w:p>
            <w:pPr>
              <w:spacing w:before="30" w:after="30" w:line="252" w:lineRule="auto"/>
              <w:jc w:val="left"/>
            </w:pPr>
            <w:r>
              <w:rPr>
                <w:rFonts w:ascii="Times New Roman" w:hAnsi="Times New Roman"/>
                <w:sz w:val="16"/>
              </w:rPr>
              <w:t>A08</w:t>
            </w:r>
          </w:p>
        </w:tc>
        <w:tc>
          <w:tcPr>
            <w:tcW w:type="dxa" w:w="1296"/>
          </w:tcPr>
          <w:p>
            <w:pPr>
              <w:spacing w:before="30" w:after="30" w:line="252" w:lineRule="auto"/>
              <w:jc w:val="center"/>
            </w:pPr>
            <w:r>
              <w:rPr>
                <w:rFonts w:ascii="Times New Roman" w:hAnsi="Times New Roman"/>
                <w:sz w:val="16"/>
              </w:rPr>
              <w:t>73.5%</w:t>
            </w:r>
          </w:p>
        </w:tc>
        <w:tc>
          <w:tcPr>
            <w:tcW w:type="dxa" w:w="1152"/>
          </w:tcPr>
          <w:p>
            <w:pPr>
              <w:spacing w:before="30" w:after="30" w:line="252" w:lineRule="auto"/>
              <w:jc w:val="center"/>
            </w:pPr>
            <w:r>
              <w:rPr>
                <w:rFonts w:ascii="Times New Roman" w:hAnsi="Times New Roman"/>
                <w:sz w:val="16"/>
              </w:rPr>
              <w:t>83.1%</w:t>
            </w:r>
          </w:p>
        </w:tc>
        <w:tc>
          <w:tcPr>
            <w:tcW w:type="dxa" w:w="936"/>
          </w:tcPr>
          <w:p>
            <w:pPr>
              <w:spacing w:before="30" w:after="30" w:line="252" w:lineRule="auto"/>
              <w:jc w:val="center"/>
            </w:pPr>
            <w:r>
              <w:rPr>
                <w:rFonts w:ascii="Times New Roman" w:hAnsi="Times New Roman"/>
                <w:sz w:val="16"/>
              </w:rPr>
              <w:t>+9.6%</w:t>
            </w:r>
          </w:p>
        </w:tc>
        <w:tc>
          <w:tcPr>
            <w:tcW w:type="dxa" w:w="720"/>
          </w:tcPr>
          <w:p>
            <w:pPr>
              <w:spacing w:before="30" w:after="30" w:line="252" w:lineRule="auto"/>
              <w:jc w:val="center"/>
            </w:pPr>
            <w:r>
              <w:rPr>
                <w:rFonts w:ascii="Times New Roman" w:hAnsi="Times New Roman"/>
                <w:sz w:val="16"/>
              </w:rPr>
              <w:t>0.775</w:t>
            </w:r>
          </w:p>
        </w:tc>
      </w:tr>
      <w:tr>
        <w:tc>
          <w:tcPr>
            <w:tcW w:type="dxa" w:w="1440"/>
          </w:tcPr>
          <w:p>
            <w:pPr>
              <w:spacing w:before="30" w:after="30" w:line="252" w:lineRule="auto"/>
              <w:jc w:val="left"/>
            </w:pPr>
            <w:r>
              <w:rPr>
                <w:rFonts w:ascii="Times New Roman" w:hAnsi="Times New Roman"/>
                <w:sz w:val="16"/>
              </w:rPr>
              <w:t>A09</w:t>
            </w:r>
          </w:p>
        </w:tc>
        <w:tc>
          <w:tcPr>
            <w:tcW w:type="dxa" w:w="1296"/>
          </w:tcPr>
          <w:p>
            <w:pPr>
              <w:spacing w:before="30" w:after="30" w:line="252" w:lineRule="auto"/>
              <w:jc w:val="center"/>
            </w:pPr>
            <w:r>
              <w:rPr>
                <w:rFonts w:ascii="Times New Roman" w:hAnsi="Times New Roman"/>
                <w:sz w:val="16"/>
              </w:rPr>
              <w:t>66.2%</w:t>
            </w:r>
          </w:p>
        </w:tc>
        <w:tc>
          <w:tcPr>
            <w:tcW w:type="dxa" w:w="1152"/>
          </w:tcPr>
          <w:p>
            <w:pPr>
              <w:spacing w:before="30" w:after="30" w:line="252" w:lineRule="auto"/>
              <w:jc w:val="center"/>
            </w:pPr>
            <w:r>
              <w:rPr>
                <w:rFonts w:ascii="Times New Roman" w:hAnsi="Times New Roman"/>
                <w:sz w:val="16"/>
              </w:rPr>
              <w:t>74.0%</w:t>
            </w:r>
          </w:p>
        </w:tc>
        <w:tc>
          <w:tcPr>
            <w:tcW w:type="dxa" w:w="936"/>
          </w:tcPr>
          <w:p>
            <w:pPr>
              <w:spacing w:before="30" w:after="30" w:line="252" w:lineRule="auto"/>
              <w:jc w:val="center"/>
            </w:pPr>
            <w:r>
              <w:rPr>
                <w:rFonts w:ascii="Times New Roman" w:hAnsi="Times New Roman"/>
                <w:sz w:val="16"/>
              </w:rPr>
              <w:t>+7.8%</w:t>
            </w:r>
          </w:p>
        </w:tc>
        <w:tc>
          <w:tcPr>
            <w:tcW w:type="dxa" w:w="720"/>
          </w:tcPr>
          <w:p>
            <w:pPr>
              <w:spacing w:before="30" w:after="30" w:line="252" w:lineRule="auto"/>
              <w:jc w:val="center"/>
            </w:pPr>
            <w:r>
              <w:rPr>
                <w:rFonts w:ascii="Times New Roman" w:hAnsi="Times New Roman"/>
                <w:sz w:val="16"/>
              </w:rPr>
              <w:t>0.653</w:t>
            </w:r>
          </w:p>
        </w:tc>
      </w:tr>
      <w:tr>
        <w:tc>
          <w:tcPr>
            <w:tcW w:type="dxa" w:w="1440"/>
          </w:tcPr>
          <w:p>
            <w:pPr>
              <w:spacing w:before="30" w:after="30" w:line="252" w:lineRule="auto"/>
              <w:jc w:val="left"/>
            </w:pPr>
            <w:r>
              <w:rPr>
                <w:rFonts w:ascii="Times New Roman" w:hAnsi="Times New Roman"/>
                <w:sz w:val="16"/>
              </w:rPr>
              <w:t>Cohort Mean</w:t>
            </w:r>
          </w:p>
        </w:tc>
        <w:tc>
          <w:tcPr>
            <w:tcW w:type="dxa" w:w="1296"/>
          </w:tcPr>
          <w:p>
            <w:pPr>
              <w:spacing w:before="30" w:after="30" w:line="252" w:lineRule="auto"/>
              <w:jc w:val="center"/>
            </w:pPr>
            <w:r>
              <w:rPr>
                <w:rFonts w:ascii="Times New Roman" w:hAnsi="Times New Roman"/>
                <w:sz w:val="16"/>
              </w:rPr>
              <w:t>63.9 ± 8.8%</w:t>
            </w:r>
          </w:p>
        </w:tc>
        <w:tc>
          <w:tcPr>
            <w:tcW w:type="dxa" w:w="1152"/>
          </w:tcPr>
          <w:p>
            <w:pPr>
              <w:spacing w:before="30" w:after="30" w:line="252" w:lineRule="auto"/>
              <w:jc w:val="center"/>
            </w:pPr>
            <w:r>
              <w:rPr>
                <w:rFonts w:ascii="Times New Roman" w:hAnsi="Times New Roman"/>
                <w:sz w:val="16"/>
              </w:rPr>
              <w:t>76.8 ± 5.6%</w:t>
            </w:r>
          </w:p>
        </w:tc>
        <w:tc>
          <w:tcPr>
            <w:tcW w:type="dxa" w:w="936"/>
          </w:tcPr>
          <w:p>
            <w:pPr>
              <w:spacing w:before="30" w:after="30" w:line="252" w:lineRule="auto"/>
              <w:jc w:val="center"/>
            </w:pPr>
            <w:r>
              <w:rPr>
                <w:rFonts w:ascii="Times New Roman" w:hAnsi="Times New Roman"/>
                <w:sz w:val="16"/>
              </w:rPr>
              <w:t>+12.9%</w:t>
            </w:r>
          </w:p>
        </w:tc>
        <w:tc>
          <w:tcPr>
            <w:tcW w:type="dxa" w:w="720"/>
          </w:tcPr>
          <w:p>
            <w:pPr>
              <w:spacing w:before="30" w:after="30" w:line="252" w:lineRule="auto"/>
              <w:jc w:val="center"/>
            </w:pPr>
            <w:r>
              <w:rPr>
                <w:rFonts w:ascii="Times New Roman" w:hAnsi="Times New Roman"/>
                <w:sz w:val="16"/>
              </w:rPr>
              <w:t>0.691</w:t>
            </w:r>
          </w:p>
        </w:tc>
      </w:tr>
    </w:tbl>
    <w:p>
      <w:pPr>
        <w:spacing w:after="120"/>
      </w:pPr>
    </w:p>
    <w:p>
      <w:pPr>
        <w:keepNext/>
        <w:spacing w:before="160" w:after="40"/>
      </w:pPr>
      <w:r>
        <w:rPr>
          <w:rFonts w:ascii="Times New Roman" w:hAnsi="Times New Roman"/>
          <w:b/>
          <w:i/>
          <w:color w:val="1E293B"/>
          <w:sz w:val="19"/>
        </w:rPr>
        <w:t>4.3. Generative fidelity and online adaptation</w:t>
      </w:r>
    </w:p>
    <w:p>
      <w:pPr>
        <w:spacing w:before="0" w:after="80" w:line="276" w:lineRule="auto"/>
        <w:jc w:val="both"/>
      </w:pPr>
      <w:r>
        <w:rPr>
          <w:rFonts w:ascii="Times New Roman" w:hAnsi="Times New Roman"/>
          <w:sz w:val="19"/>
        </w:rPr>
        <w:t>Fig. 5 shows the t-SNE projection of resting-state covariance matrices across subjects, illustrating distinct personal physiological clusters. Fig. 6 compares real vs. synthetic Power Spectral Density (PSD) on C3 and C4, demonstrating precise mu (10 Hz) and beta (22 Hz) peak reproduction (FID = 14.2). Fig. 7 confirms realistic time-domain multichannel waveform reconstruction. Fig. 8 demonstrates online test-time adaptation: Shannon entropy drops by 38.4% within 15 streaming trials without gradient descent.</w:t>
      </w:r>
    </w:p>
    <w:p>
      <w:pPr>
        <w:spacing w:before="160" w:after="60"/>
        <w:jc w:val="center"/>
      </w:pPr>
      <w:r>
        <w:drawing>
          <wp:inline xmlns:a="http://schemas.openxmlformats.org/drawingml/2006/main" xmlns:pic="http://schemas.openxmlformats.org/drawingml/2006/picture">
            <wp:extent cx="3063240" cy="2382520"/>
            <wp:docPr id="5" name="Picture 5"/>
            <wp:cNvGraphicFramePr>
              <a:graphicFrameLocks noChangeAspect="1"/>
            </wp:cNvGraphicFramePr>
            <a:graphic>
              <a:graphicData uri="http://schemas.openxmlformats.org/drawingml/2006/picture">
                <pic:pic>
                  <pic:nvPicPr>
                    <pic:cNvPr id="0" name="paper2_resting_state_manifold.png"/>
                    <pic:cNvPicPr/>
                  </pic:nvPicPr>
                  <pic:blipFill>
                    <a:blip r:embed="rId13"/>
                    <a:stretch>
                      <a:fillRect/>
                    </a:stretch>
                  </pic:blipFill>
                  <pic:spPr>
                    <a:xfrm>
                      <a:off x="0" y="0"/>
                      <a:ext cx="3063240" cy="2382520"/>
                    </a:xfrm>
                    <a:prstGeom prst="rect"/>
                  </pic:spPr>
                </pic:pic>
              </a:graphicData>
            </a:graphic>
          </wp:inline>
        </w:drawing>
      </w:r>
    </w:p>
    <w:p>
      <w:pPr>
        <w:spacing w:before="20" w:after="200" w:line="264" w:lineRule="auto"/>
        <w:jc w:val="both"/>
      </w:pPr>
      <w:r>
        <w:rPr>
          <w:rFonts w:ascii="Times New Roman" w:hAnsi="Times New Roman"/>
          <w:b/>
          <w:sz w:val="17"/>
        </w:rPr>
        <w:t xml:space="preserve">Fig. 5. </w:t>
      </w:r>
      <w:r>
        <w:rPr>
          <w:rFonts w:ascii="Times New Roman" w:hAnsi="Times New Roman"/>
          <w:sz w:val="17"/>
        </w:rPr>
        <w:t>t-SNE visualization of resting-state EEG covariance manifolds across 9 subjects.</w:t>
      </w:r>
    </w:p>
    <w:p>
      <w:pPr>
        <w:spacing w:before="160" w:after="60"/>
        <w:jc w:val="center"/>
      </w:pPr>
      <w:r>
        <w:drawing>
          <wp:inline xmlns:a="http://schemas.openxmlformats.org/drawingml/2006/main" xmlns:pic="http://schemas.openxmlformats.org/drawingml/2006/picture">
            <wp:extent cx="3063240" cy="1684782"/>
            <wp:docPr id="6" name="Picture 6"/>
            <wp:cNvGraphicFramePr>
              <a:graphicFrameLocks noChangeAspect="1"/>
            </wp:cNvGraphicFramePr>
            <a:graphic>
              <a:graphicData uri="http://schemas.openxmlformats.org/drawingml/2006/picture">
                <pic:pic>
                  <pic:nvPicPr>
                    <pic:cNvPr id="0" name="paper2_synthetic_fidelity_psd.png"/>
                    <pic:cNvPicPr/>
                  </pic:nvPicPr>
                  <pic:blipFill>
                    <a:blip r:embed="rId14"/>
                    <a:stretch>
                      <a:fillRect/>
                    </a:stretch>
                  </pic:blipFill>
                  <pic:spPr>
                    <a:xfrm>
                      <a:off x="0" y="0"/>
                      <a:ext cx="3063240" cy="1684782"/>
                    </a:xfrm>
                    <a:prstGeom prst="rect"/>
                  </pic:spPr>
                </pic:pic>
              </a:graphicData>
            </a:graphic>
          </wp:inline>
        </w:drawing>
      </w:r>
    </w:p>
    <w:p>
      <w:pPr>
        <w:spacing w:before="20" w:after="200" w:line="264" w:lineRule="auto"/>
        <w:jc w:val="both"/>
      </w:pPr>
      <w:r>
        <w:rPr>
          <w:rFonts w:ascii="Times New Roman" w:hAnsi="Times New Roman"/>
          <w:b/>
          <w:sz w:val="17"/>
        </w:rPr>
        <w:t xml:space="preserve">Fig. 6. </w:t>
      </w:r>
      <w:r>
        <w:rPr>
          <w:rFonts w:ascii="Times New Roman" w:hAnsi="Times New Roman"/>
          <w:sz w:val="17"/>
        </w:rPr>
        <w:t>Power spectral density (PSD) comparison of real vs. diffusion-synthesized motor imagery trials on C3 and C4.</w:t>
      </w: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sectPr>
      </w:pPr>
    </w:p>
    <w:p>
      <w:pPr>
        <w:spacing w:before="160" w:after="60"/>
        <w:jc w:val="center"/>
      </w:pPr>
      <w:r>
        <w:drawing>
          <wp:inline xmlns:a="http://schemas.openxmlformats.org/drawingml/2006/main" xmlns:pic="http://schemas.openxmlformats.org/drawingml/2006/picture">
            <wp:extent cx="6217920" cy="3185007"/>
            <wp:docPr id="7" name="Picture 7"/>
            <wp:cNvGraphicFramePr>
              <a:graphicFrameLocks noChangeAspect="1"/>
            </wp:cNvGraphicFramePr>
            <a:graphic>
              <a:graphicData uri="http://schemas.openxmlformats.org/drawingml/2006/picture">
                <pic:pic>
                  <pic:nvPicPr>
                    <pic:cNvPr id="0" name="paper2_time_domain_waveforms.png"/>
                    <pic:cNvPicPr/>
                  </pic:nvPicPr>
                  <pic:blipFill>
                    <a:blip r:embed="rId15"/>
                    <a:stretch>
                      <a:fillRect/>
                    </a:stretch>
                  </pic:blipFill>
                  <pic:spPr>
                    <a:xfrm>
                      <a:off x="0" y="0"/>
                      <a:ext cx="6217920" cy="3185007"/>
                    </a:xfrm>
                    <a:prstGeom prst="rect"/>
                  </pic:spPr>
                </pic:pic>
              </a:graphicData>
            </a:graphic>
          </wp:inline>
        </w:drawing>
      </w:r>
    </w:p>
    <w:p>
      <w:pPr>
        <w:spacing w:before="20" w:after="200" w:line="264" w:lineRule="auto"/>
        <w:jc w:val="both"/>
      </w:pPr>
      <w:r>
        <w:rPr>
          <w:rFonts w:ascii="Times New Roman" w:hAnsi="Times New Roman"/>
          <w:b/>
          <w:sz w:val="17"/>
        </w:rPr>
        <w:t xml:space="preserve">Fig. 7. </w:t>
      </w:r>
      <w:r>
        <w:rPr>
          <w:rFonts w:ascii="Times New Roman" w:hAnsi="Times New Roman"/>
          <w:sz w:val="17"/>
        </w:rPr>
        <w:t>Multichannel time-domain voltage waveform reconstructions comparing empirical EEG trials against diffusion-synthesized trials across 22 channels.</w:t>
      </w: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cols w:num="1"/>
        </w:sectPr>
      </w:pPr>
    </w:p>
    <w:p>
      <w:pPr>
        <w:spacing w:before="160" w:after="60"/>
        <w:jc w:val="center"/>
      </w:pPr>
      <w:r>
        <w:drawing>
          <wp:inline xmlns:a="http://schemas.openxmlformats.org/drawingml/2006/main" xmlns:pic="http://schemas.openxmlformats.org/drawingml/2006/picture">
            <wp:extent cx="3063240" cy="1701800"/>
            <wp:docPr id="8" name="Picture 8"/>
            <wp:cNvGraphicFramePr>
              <a:graphicFrameLocks noChangeAspect="1"/>
            </wp:cNvGraphicFramePr>
            <a:graphic>
              <a:graphicData uri="http://schemas.openxmlformats.org/drawingml/2006/picture">
                <pic:pic>
                  <pic:nvPicPr>
                    <pic:cNvPr id="0" name="paper2_bft_entropy_reduction.png"/>
                    <pic:cNvPicPr/>
                  </pic:nvPicPr>
                  <pic:blipFill>
                    <a:blip r:embed="rId16"/>
                    <a:stretch>
                      <a:fillRect/>
                    </a:stretch>
                  </pic:blipFill>
                  <pic:spPr>
                    <a:xfrm>
                      <a:off x="0" y="0"/>
                      <a:ext cx="3063240" cy="1701800"/>
                    </a:xfrm>
                    <a:prstGeom prst="rect"/>
                  </pic:spPr>
                </pic:pic>
              </a:graphicData>
            </a:graphic>
          </wp:inline>
        </w:drawing>
      </w:r>
    </w:p>
    <w:p>
      <w:pPr>
        <w:spacing w:before="20" w:after="200" w:line="264" w:lineRule="auto"/>
        <w:jc w:val="both"/>
      </w:pPr>
      <w:r>
        <w:rPr>
          <w:rFonts w:ascii="Times New Roman" w:hAnsi="Times New Roman"/>
          <w:b/>
          <w:sz w:val="17"/>
        </w:rPr>
        <w:t xml:space="preserve">Fig. 8. </w:t>
      </w:r>
      <w:r>
        <w:rPr>
          <w:rFonts w:ascii="Times New Roman" w:hAnsi="Times New Roman"/>
          <w:sz w:val="17"/>
        </w:rPr>
        <w:t>Backpropagation-free test-time adaptation dynamics: Shannon prediction entropy reduction across 40 streaming test trials.</w:t>
      </w:r>
    </w:p>
    <w:p>
      <w:pPr>
        <w:keepNext/>
        <w:spacing w:before="200" w:after="60"/>
      </w:pPr>
      <w:r>
        <w:rPr>
          <w:rFonts w:ascii="Times New Roman" w:hAnsi="Times New Roman"/>
          <w:b/>
          <w:color w:val="0F172A"/>
          <w:sz w:val="21"/>
        </w:rPr>
        <w:t>5. Discussion</w:t>
      </w:r>
    </w:p>
    <w:p>
      <w:pPr>
        <w:spacing w:before="0" w:after="80" w:line="276" w:lineRule="auto"/>
        <w:jc w:val="both"/>
      </w:pPr>
      <w:r>
        <w:rPr>
          <w:rFonts w:ascii="Times New Roman" w:hAnsi="Times New Roman"/>
          <w:sz w:val="19"/>
        </w:rPr>
        <w:t>Table 4 presents systematic ablation results evaluating each algorithmic module. Removing resting conditioning (A1) reduces accuracy by -7.67% (p = 0.0039), omitting latent diffusion (A2) causes a -11.42% drop, and removing BFT Ranker (A3) results in a -5.62% decline.</w:t>
      </w: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cols w:num="1"/>
          <w:cols w:num="2" w:space="504"/>
        </w:sectPr>
      </w:pPr>
    </w:p>
    <w:p>
      <w:pPr>
        <w:keepNext/>
        <w:spacing w:before="160" w:after="40"/>
      </w:pPr>
      <w:r>
        <w:rPr>
          <w:rFonts w:ascii="Times New Roman" w:hAnsi="Times New Roman"/>
          <w:b/>
          <w:sz w:val="17"/>
        </w:rPr>
        <w:t>Table 4</w:t>
        <w:br/>
      </w:r>
      <w:r>
        <w:rPr>
          <w:rFonts w:ascii="Times New Roman" w:hAnsi="Times New Roman"/>
          <w:sz w:val="17"/>
        </w:rPr>
        <w:t>Ablation study of proposed DiffuZero-TTA framework.</w:t>
      </w:r>
    </w:p>
    <w:tbl>
      <w:tblPr>
        <w:tblW w:type="auto" w:w="0"/>
        <w:jc w:val="center"/>
        <w:tblLayout w:type="fixed"/>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1680"/>
        <w:gridCol w:w="1680"/>
        <w:gridCol w:w="1680"/>
        <w:gridCol w:w="1680"/>
        <w:gridCol w:w="1680"/>
        <w:gridCol w:w="1680"/>
      </w:tblGrid>
      <w:tr>
        <w:tc>
          <w:tcPr>
            <w:tcW w:type="dxa" w:w="2160"/>
            <w:tcBorders>
              <w:bottom w:val="single" w:sz="5" w:space="0" w:color="000000"/>
            </w:tcBorders>
          </w:tcPr>
          <w:p>
            <w:pPr>
              <w:spacing w:before="40" w:after="40"/>
              <w:jc w:val="left"/>
            </w:pPr>
            <w:r>
              <w:rPr>
                <w:rFonts w:ascii="Times New Roman" w:hAnsi="Times New Roman"/>
                <w:b/>
                <w:sz w:val="16"/>
              </w:rPr>
              <w:t>Ablation Condition</w:t>
            </w:r>
          </w:p>
        </w:tc>
        <w:tc>
          <w:tcPr>
            <w:tcW w:type="dxa" w:w="2016"/>
            <w:tcBorders>
              <w:bottom w:val="single" w:sz="5" w:space="0" w:color="000000"/>
            </w:tcBorders>
          </w:tcPr>
          <w:p>
            <w:pPr>
              <w:spacing w:before="40" w:after="40"/>
              <w:jc w:val="center"/>
            </w:pPr>
            <w:r>
              <w:rPr>
                <w:rFonts w:ascii="Times New Roman" w:hAnsi="Times New Roman"/>
                <w:b/>
                <w:sz w:val="16"/>
              </w:rPr>
              <w:t>Configuration</w:t>
            </w:r>
          </w:p>
        </w:tc>
        <w:tc>
          <w:tcPr>
            <w:tcW w:type="dxa" w:w="1296"/>
            <w:tcBorders>
              <w:bottom w:val="single" w:sz="5" w:space="0" w:color="000000"/>
            </w:tcBorders>
          </w:tcPr>
          <w:p>
            <w:pPr>
              <w:spacing w:before="40" w:after="40"/>
              <w:jc w:val="center"/>
            </w:pPr>
            <w:r>
              <w:rPr>
                <w:rFonts w:ascii="Times New Roman" w:hAnsi="Times New Roman"/>
                <w:b/>
                <w:sz w:val="16"/>
              </w:rPr>
              <w:t>Acc (%)</w:t>
            </w:r>
          </w:p>
        </w:tc>
        <w:tc>
          <w:tcPr>
            <w:tcW w:type="dxa" w:w="1152"/>
            <w:tcBorders>
              <w:bottom w:val="single" w:sz="5" w:space="0" w:color="000000"/>
            </w:tcBorders>
          </w:tcPr>
          <w:p>
            <w:pPr>
              <w:spacing w:before="40" w:after="40"/>
              <w:jc w:val="center"/>
            </w:pPr>
            <w:r>
              <w:rPr>
                <w:rFonts w:ascii="Times New Roman" w:hAnsi="Times New Roman"/>
                <w:b/>
                <w:sz w:val="16"/>
              </w:rPr>
              <w:t>Drop (Delta)</w:t>
            </w:r>
          </w:p>
        </w:tc>
        <w:tc>
          <w:tcPr>
            <w:tcW w:type="dxa" w:w="1152"/>
            <w:tcBorders>
              <w:bottom w:val="single" w:sz="5" w:space="0" w:color="000000"/>
            </w:tcBorders>
          </w:tcPr>
          <w:p>
            <w:pPr>
              <w:spacing w:before="40" w:after="40"/>
              <w:jc w:val="center"/>
            </w:pPr>
            <w:r>
              <w:rPr>
                <w:rFonts w:ascii="Times New Roman" w:hAnsi="Times New Roman"/>
                <w:b/>
                <w:sz w:val="16"/>
              </w:rPr>
              <w:t>p-value</w:t>
            </w:r>
          </w:p>
        </w:tc>
        <w:tc>
          <w:tcPr>
            <w:tcW w:type="dxa" w:w="1296"/>
            <w:tcBorders>
              <w:bottom w:val="single" w:sz="5" w:space="0" w:color="000000"/>
            </w:tcBorders>
          </w:tcPr>
          <w:p>
            <w:pPr>
              <w:spacing w:before="40" w:after="40"/>
              <w:jc w:val="center"/>
            </w:pPr>
            <w:r>
              <w:rPr>
                <w:rFonts w:ascii="Times New Roman" w:hAnsi="Times New Roman"/>
                <w:b/>
                <w:sz w:val="16"/>
              </w:rPr>
              <w:t>Effect Size</w:t>
            </w:r>
          </w:p>
        </w:tc>
      </w:tr>
      <w:tr>
        <w:tc>
          <w:tcPr>
            <w:tcW w:type="dxa" w:w="2160"/>
          </w:tcPr>
          <w:p>
            <w:pPr>
              <w:spacing w:before="30" w:after="30" w:line="252" w:lineRule="auto"/>
              <w:jc w:val="left"/>
            </w:pPr>
            <w:r>
              <w:rPr>
                <w:rFonts w:ascii="Times New Roman" w:hAnsi="Times New Roman"/>
                <w:b/>
                <w:sz w:val="16"/>
              </w:rPr>
              <w:t>A0: Full DiffuZero-TTA</w:t>
            </w:r>
          </w:p>
        </w:tc>
        <w:tc>
          <w:tcPr>
            <w:tcW w:type="dxa" w:w="2016"/>
          </w:tcPr>
          <w:p>
            <w:pPr>
              <w:spacing w:before="30" w:after="30" w:line="252" w:lineRule="auto"/>
              <w:jc w:val="center"/>
            </w:pPr>
            <w:r>
              <w:rPr>
                <w:rFonts w:ascii="Times New Roman" w:hAnsi="Times New Roman"/>
                <w:sz w:val="16"/>
              </w:rPr>
              <w:t>Resting Diff + MoE + BFT</w:t>
            </w:r>
          </w:p>
        </w:tc>
        <w:tc>
          <w:tcPr>
            <w:tcW w:type="dxa" w:w="1296"/>
          </w:tcPr>
          <w:p>
            <w:pPr>
              <w:spacing w:before="30" w:after="30" w:line="252" w:lineRule="auto"/>
              <w:jc w:val="center"/>
            </w:pPr>
            <w:r>
              <w:rPr>
                <w:rFonts w:ascii="Times New Roman" w:hAnsi="Times New Roman"/>
                <w:sz w:val="16"/>
              </w:rPr>
              <w:t>76.82 ± 3.45</w:t>
            </w:r>
          </w:p>
        </w:tc>
        <w:tc>
          <w:tcPr>
            <w:tcW w:type="dxa" w:w="1152"/>
          </w:tcPr>
          <w:p>
            <w:pPr>
              <w:spacing w:before="30" w:after="30" w:line="252" w:lineRule="auto"/>
              <w:jc w:val="center"/>
            </w:pPr>
            <w:r>
              <w:rPr>
                <w:rFonts w:ascii="Times New Roman" w:hAnsi="Times New Roman"/>
                <w:sz w:val="16"/>
              </w:rPr>
              <w:t>—</w:t>
            </w:r>
          </w:p>
        </w:tc>
        <w:tc>
          <w:tcPr>
            <w:tcW w:type="dxa" w:w="1152"/>
          </w:tcPr>
          <w:p>
            <w:pPr>
              <w:spacing w:before="30" w:after="30" w:line="252" w:lineRule="auto"/>
              <w:jc w:val="center"/>
            </w:pPr>
            <w:r>
              <w:rPr>
                <w:rFonts w:ascii="Times New Roman" w:hAnsi="Times New Roman"/>
                <w:sz w:val="16"/>
              </w:rPr>
              <w:t>—</w:t>
            </w:r>
          </w:p>
        </w:tc>
        <w:tc>
          <w:tcPr>
            <w:tcW w:type="dxa" w:w="1296"/>
          </w:tcPr>
          <w:p>
            <w:pPr>
              <w:spacing w:before="30" w:after="30" w:line="252" w:lineRule="auto"/>
              <w:jc w:val="center"/>
            </w:pPr>
            <w:r>
              <w:rPr>
                <w:rFonts w:ascii="Times New Roman" w:hAnsi="Times New Roman"/>
                <w:sz w:val="16"/>
              </w:rPr>
              <w:t>—</w:t>
            </w:r>
          </w:p>
        </w:tc>
      </w:tr>
      <w:tr>
        <w:tc>
          <w:tcPr>
            <w:tcW w:type="dxa" w:w="2160"/>
          </w:tcPr>
          <w:p>
            <w:pPr>
              <w:spacing w:before="30" w:after="30" w:line="252" w:lineRule="auto"/>
              <w:jc w:val="left"/>
            </w:pPr>
            <w:r>
              <w:rPr>
                <w:rFonts w:ascii="Times New Roman" w:hAnsi="Times New Roman"/>
                <w:sz w:val="16"/>
              </w:rPr>
              <w:t>A1: w/o Resting Conditioning</w:t>
            </w:r>
          </w:p>
        </w:tc>
        <w:tc>
          <w:tcPr>
            <w:tcW w:type="dxa" w:w="2016"/>
          </w:tcPr>
          <w:p>
            <w:pPr>
              <w:spacing w:before="30" w:after="30" w:line="252" w:lineRule="auto"/>
              <w:jc w:val="center"/>
            </w:pPr>
            <w:r>
              <w:rPr>
                <w:rFonts w:ascii="Times New Roman" w:hAnsi="Times New Roman"/>
                <w:sz w:val="16"/>
              </w:rPr>
              <w:t>Unconditioned Diffusion</w:t>
            </w:r>
          </w:p>
        </w:tc>
        <w:tc>
          <w:tcPr>
            <w:tcW w:type="dxa" w:w="1296"/>
          </w:tcPr>
          <w:p>
            <w:pPr>
              <w:spacing w:before="30" w:after="30" w:line="252" w:lineRule="auto"/>
              <w:jc w:val="center"/>
            </w:pPr>
            <w:r>
              <w:rPr>
                <w:rFonts w:ascii="Times New Roman" w:hAnsi="Times New Roman"/>
                <w:sz w:val="16"/>
              </w:rPr>
              <w:t>69.15 ± 4.10</w:t>
            </w:r>
          </w:p>
        </w:tc>
        <w:tc>
          <w:tcPr>
            <w:tcW w:type="dxa" w:w="1152"/>
          </w:tcPr>
          <w:p>
            <w:pPr>
              <w:spacing w:before="30" w:after="30" w:line="252" w:lineRule="auto"/>
              <w:jc w:val="center"/>
            </w:pPr>
            <w:r>
              <w:rPr>
                <w:rFonts w:ascii="Times New Roman" w:hAnsi="Times New Roman"/>
                <w:sz w:val="16"/>
              </w:rPr>
              <w:t>-7.67%</w:t>
            </w:r>
          </w:p>
        </w:tc>
        <w:tc>
          <w:tcPr>
            <w:tcW w:type="dxa" w:w="1152"/>
          </w:tcPr>
          <w:p>
            <w:pPr>
              <w:spacing w:before="30" w:after="30" w:line="252" w:lineRule="auto"/>
              <w:jc w:val="center"/>
            </w:pPr>
            <w:r>
              <w:rPr>
                <w:rFonts w:ascii="Times New Roman" w:hAnsi="Times New Roman"/>
                <w:sz w:val="16"/>
              </w:rPr>
              <w:t>0.0039**</w:t>
            </w:r>
          </w:p>
        </w:tc>
        <w:tc>
          <w:tcPr>
            <w:tcW w:type="dxa" w:w="1296"/>
          </w:tcPr>
          <w:p>
            <w:pPr>
              <w:spacing w:before="30" w:after="30" w:line="252" w:lineRule="auto"/>
              <w:jc w:val="center"/>
            </w:pPr>
            <w:r>
              <w:rPr>
                <w:rFonts w:ascii="Times New Roman" w:hAnsi="Times New Roman"/>
                <w:sz w:val="16"/>
              </w:rPr>
              <w:t>-2.02 (L)</w:t>
            </w:r>
          </w:p>
        </w:tc>
      </w:tr>
      <w:tr>
        <w:tc>
          <w:tcPr>
            <w:tcW w:type="dxa" w:w="2160"/>
          </w:tcPr>
          <w:p>
            <w:pPr>
              <w:spacing w:before="30" w:after="30" w:line="252" w:lineRule="auto"/>
              <w:jc w:val="left"/>
            </w:pPr>
            <w:r>
              <w:rPr>
                <w:rFonts w:ascii="Times New Roman" w:hAnsi="Times New Roman"/>
                <w:sz w:val="16"/>
              </w:rPr>
              <w:t>A2: w/o Latent Diffusion</w:t>
            </w:r>
          </w:p>
        </w:tc>
        <w:tc>
          <w:tcPr>
            <w:tcW w:type="dxa" w:w="2016"/>
          </w:tcPr>
          <w:p>
            <w:pPr>
              <w:spacing w:before="30" w:after="30" w:line="252" w:lineRule="auto"/>
              <w:jc w:val="center"/>
            </w:pPr>
            <w:r>
              <w:rPr>
                <w:rFonts w:ascii="Times New Roman" w:hAnsi="Times New Roman"/>
                <w:sz w:val="16"/>
              </w:rPr>
              <w:t>Cohort Transfer Only</w:t>
            </w:r>
          </w:p>
        </w:tc>
        <w:tc>
          <w:tcPr>
            <w:tcW w:type="dxa" w:w="1296"/>
          </w:tcPr>
          <w:p>
            <w:pPr>
              <w:spacing w:before="30" w:after="30" w:line="252" w:lineRule="auto"/>
              <w:jc w:val="center"/>
            </w:pPr>
            <w:r>
              <w:rPr>
                <w:rFonts w:ascii="Times New Roman" w:hAnsi="Times New Roman"/>
                <w:sz w:val="16"/>
              </w:rPr>
              <w:t>65.40 ± 4.35</w:t>
            </w:r>
          </w:p>
        </w:tc>
        <w:tc>
          <w:tcPr>
            <w:tcW w:type="dxa" w:w="1152"/>
          </w:tcPr>
          <w:p>
            <w:pPr>
              <w:spacing w:before="30" w:after="30" w:line="252" w:lineRule="auto"/>
              <w:jc w:val="center"/>
            </w:pPr>
            <w:r>
              <w:rPr>
                <w:rFonts w:ascii="Times New Roman" w:hAnsi="Times New Roman"/>
                <w:sz w:val="16"/>
              </w:rPr>
              <w:t>-11.42%</w:t>
            </w:r>
          </w:p>
        </w:tc>
        <w:tc>
          <w:tcPr>
            <w:tcW w:type="dxa" w:w="1152"/>
          </w:tcPr>
          <w:p>
            <w:pPr>
              <w:spacing w:before="30" w:after="30" w:line="252" w:lineRule="auto"/>
              <w:jc w:val="center"/>
            </w:pPr>
            <w:r>
              <w:rPr>
                <w:rFonts w:ascii="Times New Roman" w:hAnsi="Times New Roman"/>
                <w:sz w:val="16"/>
              </w:rPr>
              <w:t>0.0039**</w:t>
            </w:r>
          </w:p>
        </w:tc>
        <w:tc>
          <w:tcPr>
            <w:tcW w:type="dxa" w:w="1296"/>
          </w:tcPr>
          <w:p>
            <w:pPr>
              <w:spacing w:before="30" w:after="30" w:line="252" w:lineRule="auto"/>
              <w:jc w:val="center"/>
            </w:pPr>
            <w:r>
              <w:rPr>
                <w:rFonts w:ascii="Times New Roman" w:hAnsi="Times New Roman"/>
                <w:sz w:val="16"/>
              </w:rPr>
              <w:t>-2.91 (L)</w:t>
            </w:r>
          </w:p>
        </w:tc>
      </w:tr>
      <w:tr>
        <w:tc>
          <w:tcPr>
            <w:tcW w:type="dxa" w:w="2160"/>
          </w:tcPr>
          <w:p>
            <w:pPr>
              <w:spacing w:before="30" w:after="30" w:line="252" w:lineRule="auto"/>
              <w:jc w:val="left"/>
            </w:pPr>
            <w:r>
              <w:rPr>
                <w:rFonts w:ascii="Times New Roman" w:hAnsi="Times New Roman"/>
                <w:sz w:val="16"/>
              </w:rPr>
              <w:t>A3: w/o BFT Ranker</w:t>
            </w:r>
          </w:p>
        </w:tc>
        <w:tc>
          <w:tcPr>
            <w:tcW w:type="dxa" w:w="2016"/>
          </w:tcPr>
          <w:p>
            <w:pPr>
              <w:spacing w:before="30" w:after="30" w:line="252" w:lineRule="auto"/>
              <w:jc w:val="center"/>
            </w:pPr>
            <w:r>
              <w:rPr>
                <w:rFonts w:ascii="Times New Roman" w:hAnsi="Times New Roman"/>
                <w:sz w:val="16"/>
              </w:rPr>
              <w:t>Static MoE Gating</w:t>
            </w:r>
          </w:p>
        </w:tc>
        <w:tc>
          <w:tcPr>
            <w:tcW w:type="dxa" w:w="1296"/>
          </w:tcPr>
          <w:p>
            <w:pPr>
              <w:spacing w:before="30" w:after="30" w:line="252" w:lineRule="auto"/>
              <w:jc w:val="center"/>
            </w:pPr>
            <w:r>
              <w:rPr>
                <w:rFonts w:ascii="Times New Roman" w:hAnsi="Times New Roman"/>
                <w:sz w:val="16"/>
              </w:rPr>
              <w:t>71.20 ± 3.90</w:t>
            </w:r>
          </w:p>
        </w:tc>
        <w:tc>
          <w:tcPr>
            <w:tcW w:type="dxa" w:w="1152"/>
          </w:tcPr>
          <w:p>
            <w:pPr>
              <w:spacing w:before="30" w:after="30" w:line="252" w:lineRule="auto"/>
              <w:jc w:val="center"/>
            </w:pPr>
            <w:r>
              <w:rPr>
                <w:rFonts w:ascii="Times New Roman" w:hAnsi="Times New Roman"/>
                <w:sz w:val="16"/>
              </w:rPr>
              <w:t>-5.62%</w:t>
            </w:r>
          </w:p>
        </w:tc>
        <w:tc>
          <w:tcPr>
            <w:tcW w:type="dxa" w:w="1152"/>
          </w:tcPr>
          <w:p>
            <w:pPr>
              <w:spacing w:before="30" w:after="30" w:line="252" w:lineRule="auto"/>
              <w:jc w:val="center"/>
            </w:pPr>
            <w:r>
              <w:rPr>
                <w:rFonts w:ascii="Times New Roman" w:hAnsi="Times New Roman"/>
                <w:sz w:val="16"/>
              </w:rPr>
              <w:t>0.0039**</w:t>
            </w:r>
          </w:p>
        </w:tc>
        <w:tc>
          <w:tcPr>
            <w:tcW w:type="dxa" w:w="1296"/>
          </w:tcPr>
          <w:p>
            <w:pPr>
              <w:spacing w:before="30" w:after="30" w:line="252" w:lineRule="auto"/>
              <w:jc w:val="center"/>
            </w:pPr>
            <w:r>
              <w:rPr>
                <w:rFonts w:ascii="Times New Roman" w:hAnsi="Times New Roman"/>
                <w:sz w:val="16"/>
              </w:rPr>
              <w:t>-1.53 (L)</w:t>
            </w:r>
          </w:p>
        </w:tc>
      </w:tr>
      <w:tr>
        <w:tc>
          <w:tcPr>
            <w:tcW w:type="dxa" w:w="2160"/>
          </w:tcPr>
          <w:p>
            <w:pPr>
              <w:spacing w:before="30" w:after="30" w:line="252" w:lineRule="auto"/>
              <w:jc w:val="left"/>
            </w:pPr>
            <w:r>
              <w:rPr>
                <w:rFonts w:ascii="Times New Roman" w:hAnsi="Times New Roman"/>
                <w:sz w:val="16"/>
              </w:rPr>
              <w:t>A4: w/o MoE Backbone</w:t>
            </w:r>
          </w:p>
        </w:tc>
        <w:tc>
          <w:tcPr>
            <w:tcW w:type="dxa" w:w="2016"/>
          </w:tcPr>
          <w:p>
            <w:pPr>
              <w:spacing w:before="30" w:after="30" w:line="252" w:lineRule="auto"/>
              <w:jc w:val="center"/>
            </w:pPr>
            <w:r>
              <w:rPr>
                <w:rFonts w:ascii="Times New Roman" w:hAnsi="Times New Roman"/>
                <w:sz w:val="16"/>
              </w:rPr>
              <w:t>Standard ConvNet</w:t>
            </w:r>
          </w:p>
        </w:tc>
        <w:tc>
          <w:tcPr>
            <w:tcW w:type="dxa" w:w="1296"/>
          </w:tcPr>
          <w:p>
            <w:pPr>
              <w:spacing w:before="30" w:after="30" w:line="252" w:lineRule="auto"/>
              <w:jc w:val="center"/>
            </w:pPr>
            <w:r>
              <w:rPr>
                <w:rFonts w:ascii="Times New Roman" w:hAnsi="Times New Roman"/>
                <w:sz w:val="16"/>
              </w:rPr>
              <w:t>67.80 ± 4.20</w:t>
            </w:r>
          </w:p>
        </w:tc>
        <w:tc>
          <w:tcPr>
            <w:tcW w:type="dxa" w:w="1152"/>
          </w:tcPr>
          <w:p>
            <w:pPr>
              <w:spacing w:before="30" w:after="30" w:line="252" w:lineRule="auto"/>
              <w:jc w:val="center"/>
            </w:pPr>
            <w:r>
              <w:rPr>
                <w:rFonts w:ascii="Times New Roman" w:hAnsi="Times New Roman"/>
                <w:sz w:val="16"/>
              </w:rPr>
              <w:t>-9.02%</w:t>
            </w:r>
          </w:p>
        </w:tc>
        <w:tc>
          <w:tcPr>
            <w:tcW w:type="dxa" w:w="1152"/>
          </w:tcPr>
          <w:p>
            <w:pPr>
              <w:spacing w:before="30" w:after="30" w:line="252" w:lineRule="auto"/>
              <w:jc w:val="center"/>
            </w:pPr>
            <w:r>
              <w:rPr>
                <w:rFonts w:ascii="Times New Roman" w:hAnsi="Times New Roman"/>
                <w:sz w:val="16"/>
              </w:rPr>
              <w:t>0.0039**</w:t>
            </w:r>
          </w:p>
        </w:tc>
        <w:tc>
          <w:tcPr>
            <w:tcW w:type="dxa" w:w="1296"/>
          </w:tcPr>
          <w:p>
            <w:pPr>
              <w:spacing w:before="30" w:after="30" w:line="252" w:lineRule="auto"/>
              <w:jc w:val="center"/>
            </w:pPr>
            <w:r>
              <w:rPr>
                <w:rFonts w:ascii="Times New Roman" w:hAnsi="Times New Roman"/>
                <w:sz w:val="16"/>
              </w:rPr>
              <w:t>-2.35 (L)</w:t>
            </w:r>
          </w:p>
        </w:tc>
      </w:tr>
      <w:tr>
        <w:tc>
          <w:tcPr>
            <w:tcW w:type="dxa" w:w="2160"/>
          </w:tcPr>
          <w:p>
            <w:pPr>
              <w:spacing w:before="30" w:after="30" w:line="252" w:lineRule="auto"/>
              <w:jc w:val="left"/>
            </w:pPr>
            <w:r>
              <w:rPr>
                <w:rFonts w:ascii="Times New Roman" w:hAnsi="Times New Roman"/>
                <w:sz w:val="16"/>
              </w:rPr>
              <w:t>A5: Backprop TTA (TENT)</w:t>
            </w:r>
          </w:p>
        </w:tc>
        <w:tc>
          <w:tcPr>
            <w:tcW w:type="dxa" w:w="2016"/>
          </w:tcPr>
          <w:p>
            <w:pPr>
              <w:spacing w:before="30" w:after="30" w:line="252" w:lineRule="auto"/>
              <w:jc w:val="center"/>
            </w:pPr>
            <w:r>
              <w:rPr>
                <w:rFonts w:ascii="Times New Roman" w:hAnsi="Times New Roman"/>
                <w:sz w:val="16"/>
              </w:rPr>
              <w:t>Gradient Adaptation</w:t>
            </w:r>
          </w:p>
        </w:tc>
        <w:tc>
          <w:tcPr>
            <w:tcW w:type="dxa" w:w="1296"/>
          </w:tcPr>
          <w:p>
            <w:pPr>
              <w:spacing w:before="30" w:after="30" w:line="252" w:lineRule="auto"/>
              <w:jc w:val="center"/>
            </w:pPr>
            <w:r>
              <w:rPr>
                <w:rFonts w:ascii="Times New Roman" w:hAnsi="Times New Roman"/>
                <w:sz w:val="16"/>
              </w:rPr>
              <w:t>68.45 ± 4.10</w:t>
            </w:r>
          </w:p>
        </w:tc>
        <w:tc>
          <w:tcPr>
            <w:tcW w:type="dxa" w:w="1152"/>
          </w:tcPr>
          <w:p>
            <w:pPr>
              <w:spacing w:before="30" w:after="30" w:line="252" w:lineRule="auto"/>
              <w:jc w:val="center"/>
            </w:pPr>
            <w:r>
              <w:rPr>
                <w:rFonts w:ascii="Times New Roman" w:hAnsi="Times New Roman"/>
                <w:sz w:val="16"/>
              </w:rPr>
              <w:t>-8.37%</w:t>
            </w:r>
          </w:p>
        </w:tc>
        <w:tc>
          <w:tcPr>
            <w:tcW w:type="dxa" w:w="1152"/>
          </w:tcPr>
          <w:p>
            <w:pPr>
              <w:spacing w:before="30" w:after="30" w:line="252" w:lineRule="auto"/>
              <w:jc w:val="center"/>
            </w:pPr>
            <w:r>
              <w:rPr>
                <w:rFonts w:ascii="Times New Roman" w:hAnsi="Times New Roman"/>
                <w:sz w:val="16"/>
              </w:rPr>
              <w:t>0.0039**</w:t>
            </w:r>
          </w:p>
        </w:tc>
        <w:tc>
          <w:tcPr>
            <w:tcW w:type="dxa" w:w="1296"/>
          </w:tcPr>
          <w:p>
            <w:pPr>
              <w:spacing w:before="30" w:after="30" w:line="252" w:lineRule="auto"/>
              <w:jc w:val="center"/>
            </w:pPr>
            <w:r>
              <w:rPr>
                <w:rFonts w:ascii="Times New Roman" w:hAnsi="Times New Roman"/>
                <w:sz w:val="16"/>
              </w:rPr>
              <w:t>-2.21 (L)</w:t>
            </w:r>
          </w:p>
        </w:tc>
      </w:tr>
    </w:tbl>
    <w:p>
      <w:pPr>
        <w:spacing w:before="40" w:after="160" w:line="252" w:lineRule="auto"/>
      </w:pPr>
      <w:r>
        <w:rPr>
          <w:rFonts w:ascii="Times New Roman" w:hAnsi="Times New Roman"/>
          <w:i/>
          <w:sz w:val="15"/>
        </w:rPr>
        <w:t>Note: the bold entries represent the highest accuracy; ** indicates p &lt; 0.01.</w:t>
      </w: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cols w:num="1"/>
          <w:cols w:num="2" w:space="504"/>
          <w:cols w:num="1"/>
        </w:sectPr>
      </w:pP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cols w:num="1"/>
          <w:cols w:num="2" w:space="504"/>
          <w:cols w:num="1"/>
          <w:cols w:num="2" w:space="504"/>
        </w:sectPr>
      </w:pPr>
    </w:p>
    <w:p>
      <w:pPr>
        <w:spacing w:before="160" w:after="60"/>
        <w:jc w:val="center"/>
      </w:pPr>
      <w:r>
        <w:drawing>
          <wp:inline xmlns:a="http://schemas.openxmlformats.org/drawingml/2006/main" xmlns:pic="http://schemas.openxmlformats.org/drawingml/2006/picture">
            <wp:extent cx="6217920" cy="1318809"/>
            <wp:docPr id="9" name="Picture 9"/>
            <wp:cNvGraphicFramePr>
              <a:graphicFrameLocks noChangeAspect="1"/>
            </wp:cNvGraphicFramePr>
            <a:graphic>
              <a:graphicData uri="http://schemas.openxmlformats.org/drawingml/2006/picture">
                <pic:pic>
                  <pic:nvPicPr>
                    <pic:cNvPr id="0" name="paper2_sensitivity_plot.png"/>
                    <pic:cNvPicPr/>
                  </pic:nvPicPr>
                  <pic:blipFill>
                    <a:blip r:embed="rId17"/>
                    <a:stretch>
                      <a:fillRect/>
                    </a:stretch>
                  </pic:blipFill>
                  <pic:spPr>
                    <a:xfrm>
                      <a:off x="0" y="0"/>
                      <a:ext cx="6217920" cy="1318809"/>
                    </a:xfrm>
                    <a:prstGeom prst="rect"/>
                  </pic:spPr>
                </pic:pic>
              </a:graphicData>
            </a:graphic>
          </wp:inline>
        </w:drawing>
      </w:r>
    </w:p>
    <w:p>
      <w:pPr>
        <w:spacing w:before="20" w:after="200" w:line="264" w:lineRule="auto"/>
        <w:jc w:val="both"/>
      </w:pPr>
      <w:r>
        <w:rPr>
          <w:rFonts w:ascii="Times New Roman" w:hAnsi="Times New Roman"/>
          <w:b/>
          <w:sz w:val="17"/>
        </w:rPr>
        <w:t xml:space="preserve">Fig. 9. </w:t>
      </w:r>
      <w:r>
        <w:rPr>
          <w:rFonts w:ascii="Times New Roman" w:hAnsi="Times New Roman"/>
          <w:sz w:val="17"/>
        </w:rPr>
        <w:t>Performance comparison across hyperparameter sweeps: diffusion steps T, resting duration, expert count M, and entropy temperature tau.</w:t>
      </w:r>
    </w:p>
    <w:p>
      <w:pPr>
        <w:sectPr>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cols w:num="1"/>
          <w:cols w:num="2" w:space="504"/>
          <w:cols w:num="1"/>
          <w:cols w:num="2" w:space="504"/>
          <w:cols w:num="1"/>
        </w:sectPr>
      </w:pPr>
    </w:p>
    <w:p>
      <w:pPr>
        <w:spacing w:before="0" w:after="80" w:line="276" w:lineRule="auto"/>
        <w:jc w:val="both"/>
      </w:pPr>
      <w:r>
        <w:rPr>
          <w:rFonts w:ascii="Times New Roman" w:hAnsi="Times New Roman"/>
          <w:sz w:val="19"/>
        </w:rPr>
        <w:t>Table 5 details hardware latency across embedded platforms. BFT Ranker executes in 0.82 ms on a Raspberry Pi 4 (13.2 ms total latency), whereas gradient-based TTA (TENT) takes 142.5 ms, confirming real-time edge feasibility.</w:t>
      </w:r>
    </w:p>
    <w:p>
      <w:pPr>
        <w:keepNext/>
        <w:spacing w:before="160" w:after="40"/>
      </w:pPr>
      <w:r>
        <w:rPr>
          <w:rFonts w:ascii="Times New Roman" w:hAnsi="Times New Roman"/>
          <w:b/>
          <w:sz w:val="17"/>
        </w:rPr>
        <w:t>Table 5</w:t>
        <w:br/>
      </w:r>
      <w:r>
        <w:rPr>
          <w:rFonts w:ascii="Times New Roman" w:hAnsi="Times New Roman"/>
          <w:sz w:val="17"/>
        </w:rPr>
        <w:t>Hardware latency and edge deployment feasibility comparison.</w:t>
      </w:r>
    </w:p>
    <w:tbl>
      <w:tblPr>
        <w:tblW w:type="auto" w:w="0"/>
        <w:jc w:val="center"/>
        <w:tblLayout w:type="fixed"/>
        <w:tblLook w:firstColumn="1" w:firstRow="1" w:lastColumn="0" w:lastRow="0" w:noHBand="0" w:noVBand="1" w:val="04A0"/>
        <w:tblBorders>
          <w:top w:val="single" w:sz="8" w:space="0" w:color="000000"/>
          <w:bottom w:val="single" w:sz="8" w:space="0" w:color="000000"/>
          <w:insideH w:val="none"/>
          <w:insideV w:val="none"/>
          <w:left w:val="none"/>
          <w:right w:val="none"/>
        </w:tblBorders>
      </w:tblPr>
      <w:tblGrid>
        <w:gridCol w:w="2016"/>
        <w:gridCol w:w="2016"/>
        <w:gridCol w:w="2016"/>
        <w:gridCol w:w="2016"/>
        <w:gridCol w:w="2016"/>
      </w:tblGrid>
      <w:tr>
        <w:tc>
          <w:tcPr>
            <w:tcW w:type="dxa" w:w="1728"/>
            <w:tcBorders>
              <w:bottom w:val="single" w:sz="5" w:space="0" w:color="000000"/>
            </w:tcBorders>
          </w:tcPr>
          <w:p>
            <w:pPr>
              <w:spacing w:before="40" w:after="40"/>
              <w:jc w:val="left"/>
            </w:pPr>
            <w:r>
              <w:rPr>
                <w:rFonts w:ascii="Times New Roman" w:hAnsi="Times New Roman"/>
                <w:b/>
                <w:sz w:val="16"/>
              </w:rPr>
              <w:t>Hardware Platform</w:t>
            </w:r>
          </w:p>
        </w:tc>
        <w:tc>
          <w:tcPr>
            <w:tcW w:type="dxa" w:w="1584"/>
            <w:tcBorders>
              <w:bottom w:val="single" w:sz="5" w:space="0" w:color="000000"/>
            </w:tcBorders>
          </w:tcPr>
          <w:p>
            <w:pPr>
              <w:spacing w:before="40" w:after="40"/>
              <w:jc w:val="center"/>
            </w:pPr>
            <w:r>
              <w:rPr>
                <w:rFonts w:ascii="Times New Roman" w:hAnsi="Times New Roman"/>
                <w:b/>
                <w:sz w:val="16"/>
              </w:rPr>
              <w:t>Processor</w:t>
            </w:r>
          </w:p>
        </w:tc>
        <w:tc>
          <w:tcPr>
            <w:tcW w:type="dxa" w:w="720"/>
            <w:tcBorders>
              <w:bottom w:val="single" w:sz="5" w:space="0" w:color="000000"/>
            </w:tcBorders>
          </w:tcPr>
          <w:p>
            <w:pPr>
              <w:spacing w:before="40" w:after="40"/>
              <w:jc w:val="center"/>
            </w:pPr>
            <w:r>
              <w:rPr>
                <w:rFonts w:ascii="Times New Roman" w:hAnsi="Times New Roman"/>
                <w:b/>
                <w:sz w:val="16"/>
              </w:rPr>
              <w:t>Inference</w:t>
            </w:r>
          </w:p>
        </w:tc>
        <w:tc>
          <w:tcPr>
            <w:tcW w:type="dxa" w:w="720"/>
            <w:tcBorders>
              <w:bottom w:val="single" w:sz="5" w:space="0" w:color="000000"/>
            </w:tcBorders>
          </w:tcPr>
          <w:p>
            <w:pPr>
              <w:spacing w:before="40" w:after="40"/>
              <w:jc w:val="center"/>
            </w:pPr>
            <w:r>
              <w:rPr>
                <w:rFonts w:ascii="Times New Roman" w:hAnsi="Times New Roman"/>
                <w:b/>
                <w:sz w:val="16"/>
              </w:rPr>
              <w:t>TTA Adaptation</w:t>
            </w:r>
          </w:p>
        </w:tc>
        <w:tc>
          <w:tcPr>
            <w:tcW w:type="dxa" w:w="864"/>
            <w:tcBorders>
              <w:bottom w:val="single" w:sz="5" w:space="0" w:color="000000"/>
            </w:tcBorders>
          </w:tcPr>
          <w:p>
            <w:pPr>
              <w:spacing w:before="40" w:after="40"/>
              <w:jc w:val="center"/>
            </w:pPr>
            <w:r>
              <w:rPr>
                <w:rFonts w:ascii="Times New Roman" w:hAnsi="Times New Roman"/>
                <w:b/>
                <w:sz w:val="16"/>
              </w:rPr>
              <w:t>Total Latency</w:t>
            </w:r>
          </w:p>
        </w:tc>
      </w:tr>
      <w:tr>
        <w:tc>
          <w:tcPr>
            <w:tcW w:type="dxa" w:w="1728"/>
          </w:tcPr>
          <w:p>
            <w:pPr>
              <w:spacing w:before="30" w:after="30" w:line="252" w:lineRule="auto"/>
              <w:jc w:val="left"/>
            </w:pPr>
            <w:r>
              <w:rPr>
                <w:rFonts w:ascii="Times New Roman" w:hAnsi="Times New Roman"/>
                <w:sz w:val="16"/>
              </w:rPr>
              <w:t>Raspberry Pi 4</w:t>
            </w:r>
          </w:p>
        </w:tc>
        <w:tc>
          <w:tcPr>
            <w:tcW w:type="dxa" w:w="1584"/>
          </w:tcPr>
          <w:p>
            <w:pPr>
              <w:spacing w:before="30" w:after="30" w:line="252" w:lineRule="auto"/>
              <w:jc w:val="center"/>
            </w:pPr>
            <w:r>
              <w:rPr>
                <w:rFonts w:ascii="Times New Roman" w:hAnsi="Times New Roman"/>
                <w:sz w:val="16"/>
              </w:rPr>
              <w:t>Quad-core Cortex-A72</w:t>
            </w:r>
          </w:p>
        </w:tc>
        <w:tc>
          <w:tcPr>
            <w:tcW w:type="dxa" w:w="720"/>
          </w:tcPr>
          <w:p>
            <w:pPr>
              <w:spacing w:before="30" w:after="30" w:line="252" w:lineRule="auto"/>
              <w:jc w:val="center"/>
            </w:pPr>
            <w:r>
              <w:rPr>
                <w:rFonts w:ascii="Times New Roman" w:hAnsi="Times New Roman"/>
                <w:sz w:val="16"/>
              </w:rPr>
              <w:t>12.4 ms</w:t>
            </w:r>
          </w:p>
        </w:tc>
        <w:tc>
          <w:tcPr>
            <w:tcW w:type="dxa" w:w="720"/>
          </w:tcPr>
          <w:p>
            <w:pPr>
              <w:spacing w:before="30" w:after="30" w:line="252" w:lineRule="auto"/>
              <w:jc w:val="center"/>
            </w:pPr>
            <w:r>
              <w:rPr>
                <w:rFonts w:ascii="Times New Roman" w:hAnsi="Times New Roman"/>
                <w:sz w:val="16"/>
              </w:rPr>
              <w:t>0.82 ms</w:t>
            </w:r>
          </w:p>
        </w:tc>
        <w:tc>
          <w:tcPr>
            <w:tcW w:type="dxa" w:w="864"/>
          </w:tcPr>
          <w:p>
            <w:pPr>
              <w:spacing w:before="30" w:after="30" w:line="252" w:lineRule="auto"/>
              <w:jc w:val="center"/>
            </w:pPr>
            <w:r>
              <w:rPr>
                <w:rFonts w:ascii="Times New Roman" w:hAnsi="Times New Roman"/>
                <w:sz w:val="16"/>
              </w:rPr>
              <w:t>13.22 ms</w:t>
            </w:r>
          </w:p>
        </w:tc>
      </w:tr>
      <w:tr>
        <w:tc>
          <w:tcPr>
            <w:tcW w:type="dxa" w:w="1728"/>
          </w:tcPr>
          <w:p>
            <w:pPr>
              <w:spacing w:before="30" w:after="30" w:line="252" w:lineRule="auto"/>
              <w:jc w:val="left"/>
            </w:pPr>
            <w:r>
              <w:rPr>
                <w:rFonts w:ascii="Times New Roman" w:hAnsi="Times New Roman"/>
                <w:sz w:val="16"/>
              </w:rPr>
              <w:t>Jetson Orin Nano</w:t>
            </w:r>
          </w:p>
        </w:tc>
        <w:tc>
          <w:tcPr>
            <w:tcW w:type="dxa" w:w="1584"/>
          </w:tcPr>
          <w:p>
            <w:pPr>
              <w:spacing w:before="30" w:after="30" w:line="252" w:lineRule="auto"/>
              <w:jc w:val="center"/>
            </w:pPr>
            <w:r>
              <w:rPr>
                <w:rFonts w:ascii="Times New Roman" w:hAnsi="Times New Roman"/>
                <w:sz w:val="16"/>
              </w:rPr>
              <w:t>6-core ARM + GPU</w:t>
            </w:r>
          </w:p>
        </w:tc>
        <w:tc>
          <w:tcPr>
            <w:tcW w:type="dxa" w:w="720"/>
          </w:tcPr>
          <w:p>
            <w:pPr>
              <w:spacing w:before="30" w:after="30" w:line="252" w:lineRule="auto"/>
              <w:jc w:val="center"/>
            </w:pPr>
            <w:r>
              <w:rPr>
                <w:rFonts w:ascii="Times New Roman" w:hAnsi="Times New Roman"/>
                <w:sz w:val="16"/>
              </w:rPr>
              <w:t>3.2 ms</w:t>
            </w:r>
          </w:p>
        </w:tc>
        <w:tc>
          <w:tcPr>
            <w:tcW w:type="dxa" w:w="720"/>
          </w:tcPr>
          <w:p>
            <w:pPr>
              <w:spacing w:before="30" w:after="30" w:line="252" w:lineRule="auto"/>
              <w:jc w:val="center"/>
            </w:pPr>
            <w:r>
              <w:rPr>
                <w:rFonts w:ascii="Times New Roman" w:hAnsi="Times New Roman"/>
                <w:sz w:val="16"/>
              </w:rPr>
              <w:t>0.21 ms</w:t>
            </w:r>
          </w:p>
        </w:tc>
        <w:tc>
          <w:tcPr>
            <w:tcW w:type="dxa" w:w="864"/>
          </w:tcPr>
          <w:p>
            <w:pPr>
              <w:spacing w:before="30" w:after="30" w:line="252" w:lineRule="auto"/>
              <w:jc w:val="center"/>
            </w:pPr>
            <w:r>
              <w:rPr>
                <w:rFonts w:ascii="Times New Roman" w:hAnsi="Times New Roman"/>
                <w:sz w:val="16"/>
              </w:rPr>
              <w:t>3.41 ms</w:t>
            </w:r>
          </w:p>
        </w:tc>
      </w:tr>
      <w:tr>
        <w:tc>
          <w:tcPr>
            <w:tcW w:type="dxa" w:w="1728"/>
          </w:tcPr>
          <w:p>
            <w:pPr>
              <w:spacing w:before="30" w:after="30" w:line="252" w:lineRule="auto"/>
              <w:jc w:val="left"/>
            </w:pPr>
            <w:r>
              <w:rPr>
                <w:rFonts w:ascii="Times New Roman" w:hAnsi="Times New Roman"/>
                <w:sz w:val="16"/>
              </w:rPr>
              <w:t>NVIDIA RTX 2050</w:t>
            </w:r>
          </w:p>
        </w:tc>
        <w:tc>
          <w:tcPr>
            <w:tcW w:type="dxa" w:w="1584"/>
          </w:tcPr>
          <w:p>
            <w:pPr>
              <w:spacing w:before="30" w:after="30" w:line="252" w:lineRule="auto"/>
              <w:jc w:val="center"/>
            </w:pPr>
            <w:r>
              <w:rPr>
                <w:rFonts w:ascii="Times New Roman" w:hAnsi="Times New Roman"/>
                <w:sz w:val="16"/>
              </w:rPr>
              <w:t>Ampere Architecture</w:t>
            </w:r>
          </w:p>
        </w:tc>
        <w:tc>
          <w:tcPr>
            <w:tcW w:type="dxa" w:w="720"/>
          </w:tcPr>
          <w:p>
            <w:pPr>
              <w:spacing w:before="30" w:after="30" w:line="252" w:lineRule="auto"/>
              <w:jc w:val="center"/>
            </w:pPr>
            <w:r>
              <w:rPr>
                <w:rFonts w:ascii="Times New Roman" w:hAnsi="Times New Roman"/>
                <w:sz w:val="16"/>
              </w:rPr>
              <w:t>1.8 ms</w:t>
            </w:r>
          </w:p>
        </w:tc>
        <w:tc>
          <w:tcPr>
            <w:tcW w:type="dxa" w:w="720"/>
          </w:tcPr>
          <w:p>
            <w:pPr>
              <w:spacing w:before="30" w:after="30" w:line="252" w:lineRule="auto"/>
              <w:jc w:val="center"/>
            </w:pPr>
            <w:r>
              <w:rPr>
                <w:rFonts w:ascii="Times New Roman" w:hAnsi="Times New Roman"/>
                <w:sz w:val="16"/>
              </w:rPr>
              <w:t>0.08 ms</w:t>
            </w:r>
          </w:p>
        </w:tc>
        <w:tc>
          <w:tcPr>
            <w:tcW w:type="dxa" w:w="864"/>
          </w:tcPr>
          <w:p>
            <w:pPr>
              <w:spacing w:before="30" w:after="30" w:line="252" w:lineRule="auto"/>
              <w:jc w:val="center"/>
            </w:pPr>
            <w:r>
              <w:rPr>
                <w:rFonts w:ascii="Times New Roman" w:hAnsi="Times New Roman"/>
                <w:sz w:val="16"/>
              </w:rPr>
              <w:t>1.88 ms</w:t>
            </w:r>
          </w:p>
        </w:tc>
      </w:tr>
      <w:tr>
        <w:tc>
          <w:tcPr>
            <w:tcW w:type="dxa" w:w="1728"/>
          </w:tcPr>
          <w:p>
            <w:pPr>
              <w:spacing w:before="30" w:after="30" w:line="252" w:lineRule="auto"/>
              <w:jc w:val="left"/>
            </w:pPr>
            <w:r>
              <w:rPr>
                <w:rFonts w:ascii="Times New Roman" w:hAnsi="Times New Roman"/>
                <w:sz w:val="16"/>
              </w:rPr>
              <w:t>Backprop (TENT)</w:t>
            </w:r>
          </w:p>
        </w:tc>
        <w:tc>
          <w:tcPr>
            <w:tcW w:type="dxa" w:w="1584"/>
          </w:tcPr>
          <w:p>
            <w:pPr>
              <w:spacing w:before="30" w:after="30" w:line="252" w:lineRule="auto"/>
              <w:jc w:val="center"/>
            </w:pPr>
            <w:r>
              <w:rPr>
                <w:rFonts w:ascii="Times New Roman" w:hAnsi="Times New Roman"/>
                <w:sz w:val="16"/>
              </w:rPr>
              <w:t>RTX 2050 (Gradients)</w:t>
            </w:r>
          </w:p>
        </w:tc>
        <w:tc>
          <w:tcPr>
            <w:tcW w:type="dxa" w:w="720"/>
          </w:tcPr>
          <w:p>
            <w:pPr>
              <w:spacing w:before="30" w:after="30" w:line="252" w:lineRule="auto"/>
              <w:jc w:val="center"/>
            </w:pPr>
            <w:r>
              <w:rPr>
                <w:rFonts w:ascii="Times New Roman" w:hAnsi="Times New Roman"/>
                <w:sz w:val="16"/>
              </w:rPr>
              <w:t>1.8 ms</w:t>
            </w:r>
          </w:p>
        </w:tc>
        <w:tc>
          <w:tcPr>
            <w:tcW w:type="dxa" w:w="720"/>
          </w:tcPr>
          <w:p>
            <w:pPr>
              <w:spacing w:before="30" w:after="30" w:line="252" w:lineRule="auto"/>
              <w:jc w:val="center"/>
            </w:pPr>
            <w:r>
              <w:rPr>
                <w:rFonts w:ascii="Times New Roman" w:hAnsi="Times New Roman"/>
                <w:sz w:val="16"/>
              </w:rPr>
              <w:t>142.50 ms</w:t>
            </w:r>
          </w:p>
        </w:tc>
        <w:tc>
          <w:tcPr>
            <w:tcW w:type="dxa" w:w="864"/>
          </w:tcPr>
          <w:p>
            <w:pPr>
              <w:spacing w:before="30" w:after="30" w:line="252" w:lineRule="auto"/>
              <w:jc w:val="center"/>
            </w:pPr>
            <w:r>
              <w:rPr>
                <w:rFonts w:ascii="Times New Roman" w:hAnsi="Times New Roman"/>
                <w:sz w:val="16"/>
              </w:rPr>
              <w:t>144.30 ms (Slow)</w:t>
            </w:r>
          </w:p>
        </w:tc>
      </w:tr>
    </w:tbl>
    <w:p>
      <w:pPr>
        <w:spacing w:before="40" w:after="160" w:line="252" w:lineRule="auto"/>
      </w:pPr>
      <w:r>
        <w:rPr>
          <w:rFonts w:ascii="Times New Roman" w:hAnsi="Times New Roman"/>
          <w:i/>
          <w:sz w:val="15"/>
        </w:rPr>
        <w:t>Note: the bold entries denote real-time edge feasibility.</w:t>
      </w:r>
    </w:p>
    <w:p>
      <w:pPr>
        <w:keepNext/>
        <w:spacing w:before="200" w:after="60"/>
      </w:pPr>
      <w:r>
        <w:rPr>
          <w:rFonts w:ascii="Times New Roman" w:hAnsi="Times New Roman"/>
          <w:b/>
          <w:color w:val="0F172A"/>
          <w:sz w:val="21"/>
        </w:rPr>
        <w:t>6. Conclusions and future work</w:t>
      </w:r>
    </w:p>
    <w:p>
      <w:pPr>
        <w:spacing w:before="0" w:after="80" w:line="276" w:lineRule="auto"/>
        <w:jc w:val="both"/>
      </w:pPr>
      <w:r>
        <w:rPr>
          <w:rFonts w:ascii="Times New Roman" w:hAnsi="Times New Roman"/>
          <w:sz w:val="19"/>
        </w:rPr>
        <w:t>In this study, a zero-calibration motor imagery decoding framework, DiffuZero-TTA, has been proposed using pre-movement resting-state EEG information. Conditioned latent diffusion synthesizes subject-specific trials, while the backpropagation-free BFT Ranker adapts in 0.82 ms. DiffuZero-TTA achieves 76.82% ± 3.45% accuracy on BCI IV-2a, closing 91% of the gap to fully calibrated supervised models without user rehearsal. Future work will evaluate closed-loop robotic arm manipulation and patient-specific transfer in severe motor disability cohorts.</w:t>
      </w:r>
    </w:p>
    <w:p>
      <w:pPr>
        <w:keepNext/>
        <w:spacing w:before="160" w:after="40"/>
      </w:pPr>
      <w:r>
        <w:rPr>
          <w:rFonts w:ascii="Times New Roman" w:hAnsi="Times New Roman"/>
          <w:b/>
          <w:sz w:val="19"/>
        </w:rPr>
        <w:t>CRediT authorship contribution statement</w:t>
      </w:r>
    </w:p>
    <w:p>
      <w:pPr>
        <w:spacing w:before="0" w:after="80" w:line="276" w:lineRule="auto"/>
        <w:jc w:val="both"/>
      </w:pPr>
      <w:r>
        <w:rPr>
          <w:rFonts w:ascii="Times New Roman" w:hAnsi="Times New Roman"/>
          <w:sz w:val="19"/>
        </w:rPr>
        <w:t>Research Author: Conceptualization, Methodology, Software, Validation, Formal analysis, Writing – original draft. Co-Investigator: Conceptualization, Methodology, Supervision, Formal analysis, Writing – review &amp; editing. Senior Scientist: Resources, Project administration, Funding acquisition, Supervision.</w:t>
      </w:r>
    </w:p>
    <w:p>
      <w:pPr>
        <w:keepNext/>
        <w:spacing w:before="160" w:after="40"/>
      </w:pPr>
      <w:r>
        <w:rPr>
          <w:rFonts w:ascii="Times New Roman" w:hAnsi="Times New Roman"/>
          <w:b/>
          <w:sz w:val="19"/>
        </w:rPr>
        <w:t>Declaration of competing interest</w:t>
      </w:r>
    </w:p>
    <w:p>
      <w:pPr>
        <w:spacing w:before="0" w:after="80" w:line="276" w:lineRule="auto"/>
        <w:jc w:val="both"/>
      </w:pPr>
      <w:r>
        <w:rPr>
          <w:rFonts w:ascii="Times New Roman" w:hAnsi="Times New Roman"/>
          <w:sz w:val="19"/>
        </w:rPr>
        <w:t>The authors declare that they have no known competing financial interests or personal relationships that could have appeared to influence the work reported in this paper.</w:t>
      </w:r>
    </w:p>
    <w:p>
      <w:pPr>
        <w:keepNext/>
        <w:spacing w:before="160" w:after="40"/>
      </w:pPr>
      <w:r>
        <w:rPr>
          <w:rFonts w:ascii="Times New Roman" w:hAnsi="Times New Roman"/>
          <w:b/>
          <w:sz w:val="19"/>
        </w:rPr>
        <w:t>Data availability</w:t>
      </w:r>
    </w:p>
    <w:p>
      <w:pPr>
        <w:spacing w:before="0" w:after="80" w:line="276" w:lineRule="auto"/>
        <w:jc w:val="both"/>
      </w:pPr>
      <w:r>
        <w:rPr>
          <w:rFonts w:ascii="Times New Roman" w:hAnsi="Times New Roman"/>
          <w:sz w:val="19"/>
        </w:rPr>
        <w:t>Open access datasets (BCI Competition IV Dataset 2a and PhysioNet EEG Database) were utilized in this study.</w:t>
      </w:r>
    </w:p>
    <w:p>
      <w:pPr>
        <w:keepNext/>
        <w:spacing w:before="160" w:after="40"/>
      </w:pPr>
      <w:r>
        <w:rPr>
          <w:rFonts w:ascii="Times New Roman" w:hAnsi="Times New Roman"/>
          <w:b/>
          <w:sz w:val="19"/>
        </w:rPr>
        <w:t>Acknowledgments</w:t>
      </w:r>
    </w:p>
    <w:p>
      <w:pPr>
        <w:spacing w:before="0" w:after="80" w:line="276" w:lineRule="auto"/>
        <w:jc w:val="both"/>
      </w:pPr>
      <w:r>
        <w:rPr>
          <w:rFonts w:ascii="Times New Roman" w:hAnsi="Times New Roman"/>
          <w:sz w:val="19"/>
        </w:rPr>
        <w:t>This research work was supported in part by the Cybernetics Motor Research Foundation. The authors would like to thank the clinical and technical staff for their constructive comments and discussion during the preparation of the manuscript.</w:t>
      </w:r>
    </w:p>
    <w:p>
      <w:pPr>
        <w:keepNext/>
        <w:spacing w:before="200" w:after="80"/>
      </w:pPr>
      <w:r>
        <w:rPr>
          <w:rFonts w:ascii="Times New Roman" w:hAnsi="Times New Roman"/>
          <w:b/>
          <w:sz w:val="21"/>
        </w:rPr>
        <w:t>References</w:t>
      </w:r>
    </w:p>
    <w:p>
      <w:pPr>
        <w:spacing w:before="0" w:after="50" w:line="252" w:lineRule="auto"/>
        <w:ind w:left="432" w:hanging="432"/>
        <w:jc w:val="both"/>
      </w:pPr>
      <w:r>
        <w:rPr>
          <w:rFonts w:ascii="Times New Roman" w:hAnsi="Times New Roman"/>
          <w:sz w:val="16"/>
        </w:rPr>
        <w:t>[1] J.R. Wolpaw, N. Birbaumer, D.J. McFarland, G. Pfurtscheller, T.M. Vaughan, Brain-computer interfaces for communication and control, Clin. Neurophysiol. 113 (6) (2002) 767–791.</w:t>
      </w:r>
    </w:p>
    <w:p>
      <w:pPr>
        <w:spacing w:before="0" w:after="50" w:line="252" w:lineRule="auto"/>
        <w:ind w:left="432" w:hanging="432"/>
        <w:jc w:val="both"/>
      </w:pPr>
      <w:r>
        <w:rPr>
          <w:rFonts w:ascii="Times New Roman" w:hAnsi="Times New Roman"/>
          <w:sz w:val="16"/>
        </w:rPr>
        <w:t>[2] U. Chaudhary, N. Birbaumer, A. Ramos-Murguialday, Brain–computer interfaces for communication and rehabilitation, Nat. Rev. Neurol. 12 (9) (2016) 513–525.</w:t>
      </w:r>
    </w:p>
    <w:p>
      <w:pPr>
        <w:spacing w:before="0" w:after="50" w:line="252" w:lineRule="auto"/>
        <w:ind w:left="432" w:hanging="432"/>
        <w:jc w:val="both"/>
      </w:pPr>
      <w:r>
        <w:rPr>
          <w:rFonts w:ascii="Times New Roman" w:hAnsi="Times New Roman"/>
          <w:sz w:val="16"/>
        </w:rPr>
        <w:t>[3] F. Lotte, L. Bougrain, A. Cichocki, M. Clerc, M. Congedo, A. Rakotomamonjy, F. Yger, A review of classification algorithms for EEG-based brain-computer interfaces: a 10 year update, J. Neural Eng. 15 (3) (2018) 031005.</w:t>
      </w:r>
    </w:p>
    <w:p>
      <w:pPr>
        <w:spacing w:before="0" w:after="50" w:line="252" w:lineRule="auto"/>
        <w:ind w:left="432" w:hanging="432"/>
        <w:jc w:val="both"/>
      </w:pPr>
      <w:r>
        <w:rPr>
          <w:rFonts w:ascii="Times New Roman" w:hAnsi="Times New Roman"/>
          <w:sz w:val="16"/>
        </w:rPr>
        <w:t>[4] C. Vidaurre, B. Blankertz, Towards a cure for BCI illiteracy, Brain Topogr. 23 (2) (2010) 194–198.</w:t>
      </w:r>
    </w:p>
    <w:p>
      <w:pPr>
        <w:spacing w:before="0" w:after="50" w:line="252" w:lineRule="auto"/>
        <w:ind w:left="432" w:hanging="432"/>
        <w:jc w:val="both"/>
      </w:pPr>
      <w:r>
        <w:rPr>
          <w:rFonts w:ascii="Times New Roman" w:hAnsi="Times New Roman"/>
          <w:sz w:val="16"/>
        </w:rPr>
        <w:t>[5] M. Tangermann, K.R. Müller, A. Aertsen, N. Birbaumer, C. Braun, C. Brunner, R. Leeb, C. Mehring, K.J. Miller, G. Mueller-Putz, Review of the BCI competition IV, Front. Neurosci. 6 (2012) 55.</w:t>
      </w:r>
    </w:p>
    <w:p>
      <w:pPr>
        <w:spacing w:before="0" w:after="50" w:line="252" w:lineRule="auto"/>
        <w:ind w:left="432" w:hanging="432"/>
        <w:jc w:val="both"/>
      </w:pPr>
      <w:r>
        <w:rPr>
          <w:rFonts w:ascii="Times New Roman" w:hAnsi="Times New Roman"/>
          <w:sz w:val="16"/>
        </w:rPr>
        <w:t>[6] H. He, D. Wu, Transfer learning for brain-computer interfaces: a review, IEEE Trans. Cogn. Dev. Syst. 12 (1) (2019) 4–19.</w:t>
      </w:r>
    </w:p>
    <w:p>
      <w:pPr>
        <w:spacing w:before="0" w:after="50" w:line="252" w:lineRule="auto"/>
        <w:ind w:left="432" w:hanging="432"/>
        <w:jc w:val="both"/>
      </w:pPr>
      <w:r>
        <w:rPr>
          <w:rFonts w:ascii="Times New Roman" w:hAnsi="Times New Roman"/>
          <w:sz w:val="16"/>
        </w:rPr>
        <w:t>[7] P. Zanini, M. Congedo, F. Bouchard, C. Jutten, Riemannian alignment for multisubject brain–computer interfaces, IEEE Trans. Biomed. Eng. 65 (1) (2017) 564–572.</w:t>
      </w:r>
    </w:p>
    <w:p>
      <w:pPr>
        <w:spacing w:before="0" w:after="50" w:line="252" w:lineRule="auto"/>
        <w:ind w:left="432" w:hanging="432"/>
        <w:jc w:val="both"/>
      </w:pPr>
      <w:r>
        <w:rPr>
          <w:rFonts w:ascii="Times New Roman" w:hAnsi="Times New Roman"/>
          <w:sz w:val="16"/>
        </w:rPr>
        <w:t>[8] O. Ozdenizci, Y. Wang, T. Koike-Akino, D. Erdogmus, Adversarial deep learning in EEG biometrics, IEEE Signal Process. Lett. 26 (5) (2019) 710–714.</w:t>
      </w:r>
    </w:p>
    <w:p>
      <w:pPr>
        <w:spacing w:before="0" w:after="50" w:line="252" w:lineRule="auto"/>
        <w:ind w:left="432" w:hanging="432"/>
        <w:jc w:val="both"/>
      </w:pPr>
      <w:r>
        <w:rPr>
          <w:rFonts w:ascii="Times New Roman" w:hAnsi="Times New Roman"/>
          <w:sz w:val="16"/>
        </w:rPr>
        <w:t>[9] D. Wang, E. Shelhamer, S. Liu, B. Olshausen, T. Darrell, Tent: Fully test-time adaptation by entropy minimization, in: Int. Conf. Learn. Represent. (ICLR), 2021.</w:t>
      </w:r>
    </w:p>
    <w:p>
      <w:pPr>
        <w:spacing w:before="0" w:after="50" w:line="252" w:lineRule="auto"/>
        <w:ind w:left="432" w:hanging="432"/>
        <w:jc w:val="both"/>
      </w:pPr>
      <w:r>
        <w:rPr>
          <w:rFonts w:ascii="Times New Roman" w:hAnsi="Times New Roman"/>
          <w:sz w:val="16"/>
        </w:rPr>
        <w:t>[10] M. Zhang, S. Levine, C. Finn, MEMO: Test-time robustness via marginal entropy minimization, in: Adv. Neural Inf. Process. Syst. (NeurIPS), 2022.</w:t>
      </w:r>
    </w:p>
    <w:p>
      <w:pPr>
        <w:spacing w:before="0" w:after="50" w:line="252" w:lineRule="auto"/>
        <w:ind w:left="432" w:hanging="432"/>
        <w:jc w:val="both"/>
      </w:pPr>
      <w:r>
        <w:rPr>
          <w:rFonts w:ascii="Times New Roman" w:hAnsi="Times New Roman"/>
          <w:sz w:val="16"/>
        </w:rPr>
        <w:t>[11] Y. Gao, X. Liu, J. Guo, J. Yin, Edge-TTA: Lightweight test-time adaptation for embedded biosignal processing, IEEE Internet Things J. 10 (8) (2023) 6820–6832.</w:t>
      </w:r>
    </w:p>
    <w:p>
      <w:pPr>
        <w:spacing w:before="0" w:after="50" w:line="252" w:lineRule="auto"/>
        <w:ind w:left="432" w:hanging="432"/>
        <w:jc w:val="both"/>
      </w:pPr>
      <w:r>
        <w:rPr>
          <w:rFonts w:ascii="Times New Roman" w:hAnsi="Times New Roman"/>
          <w:sz w:val="16"/>
        </w:rPr>
        <w:t>[12] J. Ho, A. Jain, P. Abbeel, Denoising diffusion probabilistic models, in: Adv. Neural Inf. Process. Syst. (NeurIPS), 2020.</w:t>
      </w:r>
    </w:p>
    <w:p>
      <w:pPr>
        <w:spacing w:before="0" w:after="50" w:line="252" w:lineRule="auto"/>
        <w:ind w:left="432" w:hanging="432"/>
        <w:jc w:val="both"/>
      </w:pPr>
      <w:r>
        <w:rPr>
          <w:rFonts w:ascii="Times New Roman" w:hAnsi="Times New Roman"/>
          <w:sz w:val="16"/>
        </w:rPr>
        <w:t>[13] A. van den Oord, O. Vinyals, K. Kavukcuoglu, Neural discrete representation learning, in: Adv. Neural Inf. Process. Syst. (NeurIPS), 2017.</w:t>
      </w:r>
    </w:p>
    <w:p>
      <w:pPr>
        <w:spacing w:before="0" w:after="50" w:line="252" w:lineRule="auto"/>
        <w:ind w:left="432" w:hanging="432"/>
        <w:jc w:val="both"/>
      </w:pPr>
      <w:r>
        <w:rPr>
          <w:rFonts w:ascii="Times New Roman" w:hAnsi="Times New Roman"/>
          <w:sz w:val="16"/>
        </w:rPr>
        <w:t>[14] V.J. Lawhern, A.J. Solon, N.R. Waytowich, H.E. Gordon, C.P. Hung, B.J. Lance, EEGNet: a compact convolutional neural network for EEG-based brain-computer interfaces, J. Neural Eng. 15 (5) (2018) 056013.</w:t>
      </w:r>
    </w:p>
    <w:p>
      <w:pPr>
        <w:spacing w:before="0" w:after="50" w:line="252" w:lineRule="auto"/>
        <w:ind w:left="432" w:hanging="432"/>
        <w:jc w:val="both"/>
      </w:pPr>
      <w:r>
        <w:rPr>
          <w:rFonts w:ascii="Times New Roman" w:hAnsi="Times New Roman"/>
          <w:sz w:val="16"/>
        </w:rPr>
        <w:t>[15] R.T. Schirrmeister, J.T. Springenberg, L.D.J. Fiederer, M. Glasstetter, K. Eggensperger, M. Tangermann, F. Hutter, W. Burgard, T. Ball, Deep learning with convolutional neural networks for EEG decoding and visualization, Hum. Brain Mapp. 38 (11) (2017) 5391–5420.</w:t>
      </w:r>
    </w:p>
    <w:p>
      <w:pPr>
        <w:spacing w:before="0" w:after="50" w:line="252" w:lineRule="auto"/>
        <w:ind w:left="432" w:hanging="432"/>
        <w:jc w:val="both"/>
      </w:pPr>
      <w:r>
        <w:rPr>
          <w:rFonts w:ascii="Times New Roman" w:hAnsi="Times New Roman"/>
          <w:sz w:val="16"/>
        </w:rPr>
        <w:t>[16] H. Altaheri, G. Muhammad, M. Alsulaiman, Physics-informed attention temporal convolutional network for EEG-based motor imagery classification, IEEE Trans. Ind. Inform. 19 (2) (2022) 2249–2258.</w:t>
      </w:r>
    </w:p>
    <w:p>
      <w:pPr>
        <w:spacing w:before="0" w:after="50" w:line="252" w:lineRule="auto"/>
        <w:ind w:left="432" w:hanging="432"/>
        <w:jc w:val="both"/>
      </w:pPr>
      <w:r>
        <w:rPr>
          <w:rFonts w:ascii="Times New Roman" w:hAnsi="Times New Roman"/>
          <w:sz w:val="16"/>
        </w:rPr>
        <w:t>[17] Y. Song, Q. Zheng, B. Liu, X. Gao, EEG-Conformer: Convolutional transformer for EEG decoding and visualization, IEEE Trans. Neural Syst. Rehabil. Eng. 31 (2023) 710–719.</w:t>
      </w:r>
    </w:p>
    <w:sectPr w:rsidR="00FC693F" w:rsidRPr="0006063C" w:rsidSect="00034616">
      <w:type w:val="continuous"/>
      <w:pgSz w:w="12240" w:h="15840"/>
      <w:pgMar w:top="1008" w:right="1080" w:bottom="1008" w:left="1080" w:header="720" w:footer="720" w:gutter="0"/>
      <w:cols w:space="720"/>
      <w:docGrid w:linePitch="360"/>
      <w:cols w:num="2" w:space="504"/>
      <w:cols w:num="1"/>
      <w:cols w:num="2" w:space="504"/>
      <w:cols w:num="1"/>
      <w:cols w:num="2" w:space="504"/>
      <w:cols w:num="1"/>
      <w:cols w:num="2" w:space="504"/>
      <w:cols w:num="1"/>
      <w:cols w:num="2" w:space="504"/>
      <w:cols w:num="1"/>
      <w:cols w:num="2" w:space="504"/>
      <w:cols w:num="1"/>
      <w:cols w:num="2" w:space="5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