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02B66"/>
          <w:sz w:val="36"/>
        </w:rPr>
        <w:t>Lightweight Dual-Modal Graph and Selective State-Space Architectures for Robust Real-Time Sign Language Recognition</w:t>
      </w:r>
    </w:p>
    <w:p>
      <w:pPr>
        <w:spacing w:after="320"/>
        <w:jc w:val="center"/>
      </w:pPr>
      <w:r>
        <w:rPr>
          <w:rFonts w:ascii="Times New Roman" w:hAnsi="Times New Roman"/>
          <w:i/>
          <w:color w:val="646464"/>
          <w:sz w:val="22"/>
        </w:rPr>
        <w:t>IEEE Transactions on Multimedia (TMM) - Extended Research Manuscript</w:t>
      </w:r>
    </w:p>
    <w:tbl>
      <w:tblPr>
        <w:tblW w:type="auto" w:w="0"/>
        <w:jc w:val="center"/>
        <w:tblLook w:firstColumn="1" w:firstRow="1" w:lastColumn="0" w:lastRow="0" w:noHBand="0" w:noVBand="1" w:val="04A0"/>
      </w:tblPr>
      <w:tblGrid>
        <w:gridCol w:w="9360"/>
      </w:tblGrid>
      <w:tr>
        <w:tc>
          <w:tcPr>
            <w:tcW w:type="dxa" w:w="9360"/>
            <w:shd w:fill="F2F5F8"/>
            <w:tcMar>
              <w:top w:w="140" w:type="dxa"/>
              <w:bottom w:w="140" w:type="dxa"/>
              <w:left w:w="180" w:type="dxa"/>
              <w:right w:w="180" w:type="dxa"/>
            </w:tcMar>
            <w:tcBorders>
              <w:left w:val="single" w:sz="18" w:space="0" w:color="002B66"/>
              <w:top w:val="none"/>
              <w:right w:val="none"/>
              <w:bottom w:val="none"/>
            </w:tcBorders>
          </w:tcPr>
          <w:p>
            <w:pPr>
              <w:spacing w:line="276" w:lineRule="auto" w:after="80"/>
              <w:jc w:val="both"/>
            </w:pPr>
            <w:r>
              <w:rPr>
                <w:rFonts w:ascii="Times New Roman" w:hAnsi="Times New Roman"/>
                <w:b/>
                <w:color w:val="002B66"/>
                <w:sz w:val="20"/>
              </w:rPr>
              <w:t>Abstract—</w:t>
            </w:r>
            <w:r>
              <w:rPr>
                <w:rFonts w:ascii="Times New Roman" w:hAnsi="Times New Roman"/>
                <w:sz w:val="20"/>
              </w:rPr>
              <w:t>Real-time automated Sign Language Recognition (SLR) on resource-constrained edge devices requires satisfying three conflicting design objectives: high discriminative accuracy across visually subtle hand gestures, hardware parsimony (minimal FLOPs, compact parameter footprint, and low latency), and environmental invariance against real-world lighting shifts and sensor noise. In this paper, we establish an expansive multi-paradigm benchmark spanning seven distinct architectural designs on the 29-class American Sign Language (ASL) Alphabet dataset: (1) a recurrent baseline (CNN + Bi-LSTM), (2) a standard efficient CNN (MobileNetV3-Large), (3) a modern inverted-bottleneck ConvNet (ConvNeXt-Femto), (4) a Vision Transformer (MobileViT-S), (5) a pure skeletal landmark graph network (Pure Skeletal GCN), (6) Proposed Model 1: an enhanced CNN coupled with a Bidirectional Selective State-Space Model (Vision Mamba S6 with Zero-Order Hold discretization, learnable 2D positional embeddings, and Squeeze-and-Excitation channel calibration), and (7) Proposed Model 2: an enhanced dual-stream architecture fusing a 3-layer Residual Adaptive GCN with Spatial Joint Attention over 21 MediaPipe hand landmarks and a MobileNetV3 visual stream via dynamic confidence-aware gated cross-modal fusion. Our empirical findings demonstrate that Proposed Model 1 attains top-tier recognition accuracy across all evaluated models (98.28% Top-1 Accuracy, 97.89% Macro-F1) while operating 1.74x faster than the recurrent baseline (115.18 ms vs. 200.93 ms) owing to Mamba's linear-time scan. Concurrently, Proposed Model 2 achieves competitive accuracy (92.24% Top-1, 91.85% Macro-F1) with only 1.11M parameters, 0.124 GFLOPs, and 22.19 ms latency---delivering a 10.7x parameter reduction, 30.1x computational reduction, and 9.1x speedup over standard recurrent baselines. Furthermore, under adverse illumination degradation (gamma = 0.3) and Gaussian sensor noise (sigma = 0.15), Proposed Model 2 retains 43.97% accuracy (47.7% retention), outperforming purely visual models that collapse to 0.86%--5.17%.</w:t>
            </w:r>
          </w:p>
          <w:p>
            <w:pPr>
              <w:spacing w:before="80" w:after="0"/>
            </w:pPr>
            <w:r>
              <w:rPr>
                <w:rFonts w:ascii="Times New Roman" w:hAnsi="Times New Roman"/>
                <w:b/>
                <w:color w:val="002B66"/>
                <w:sz w:val="19"/>
              </w:rPr>
              <w:t>Index Terms—</w:t>
            </w:r>
            <w:r>
              <w:rPr>
                <w:rFonts w:ascii="Times New Roman" w:hAnsi="Times New Roman"/>
                <w:i/>
                <w:sz w:val="19"/>
              </w:rPr>
              <w:t>Sign Language Recognition, Mamba, Selective State-Space Models, Graph Convolutional Networks, Spatial Joint Attention, Dual-Modal Fusion, Edge Computing, Robustness.</w:t>
            </w:r>
          </w:p>
        </w:tc>
      </w:tr>
    </w:tbl>
    <w:p>
      <w:pPr>
        <w:spacing w:after="160"/>
      </w:pPr>
    </w:p>
    <w:p>
      <w:pPr>
        <w:spacing w:before="280" w:after="80"/>
        <w:jc w:val="left"/>
      </w:pPr>
      <w:r>
        <w:rPr>
          <w:rFonts w:ascii="Times New Roman" w:hAnsi="Times New Roman"/>
          <w:b/>
          <w:color w:val="002B66"/>
          <w:sz w:val="24"/>
        </w:rPr>
        <w:t>I.  INTRODUCTION</w:t>
      </w:r>
    </w:p>
    <w:p>
      <w:pPr>
        <w:spacing w:line="276" w:lineRule="auto" w:after="100"/>
        <w:ind w:firstLine="360"/>
        <w:jc w:val="both"/>
      </w:pPr>
      <w:r>
        <w:rPr>
          <w:rFonts w:ascii="Times New Roman" w:hAnsi="Times New Roman"/>
          <w:color w:val="222222"/>
          <w:sz w:val="21"/>
        </w:rPr>
        <w:t>Real-time automated Sign Language Recognition (SLR) represents an essential assistive multimedia technology for bridging communication gaps between the Deaf and Hard-of-Hearing communities and the hearing population. Modern smart kiosks, smartphones, and embedded assistive devices increasingly require on-device sign recognition capable of processing continuous video streams locally without cloud dependence. However, edge-deployable SLR presents three core technical challenges:</w:t>
      </w:r>
    </w:p>
    <w:p>
      <w:pPr>
        <w:spacing w:line="276" w:lineRule="auto" w:after="100"/>
        <w:jc w:val="both"/>
      </w:pPr>
      <w:r>
        <w:rPr>
          <w:rFonts w:ascii="Times New Roman" w:hAnsi="Times New Roman"/>
          <w:color w:val="222222"/>
          <w:sz w:val="21"/>
        </w:rPr>
        <w:t>1) Computational Bottlenecks of Existing Sequence Models: Traditional sequential visual models rely on Recurrent Neural Networks (RNNs/LSTMs), which suffer from non-parallelizable step-by-step unrolling, or Vision Transformers (ViTs), whose self-attention mechanisms scale quadratically O(L^2) with token sequence length.</w:t>
      </w:r>
    </w:p>
    <w:p>
      <w:pPr>
        <w:spacing w:line="276" w:lineRule="auto" w:after="100"/>
        <w:jc w:val="both"/>
      </w:pPr>
      <w:r>
        <w:rPr>
          <w:rFonts w:ascii="Times New Roman" w:hAnsi="Times New Roman"/>
          <w:color w:val="222222"/>
          <w:sz w:val="21"/>
        </w:rPr>
        <w:t>2) Environmental Vulnerability to Sensor Noise: Conventional pixel-based convolutional backbones are fragile under uneven illumination, backlighting, shadows, and low-light camera sensor noise, resulting in catastrophic feature degradation during real-world mobile deployment.</w:t>
      </w:r>
    </w:p>
    <w:p>
      <w:pPr>
        <w:spacing w:line="276" w:lineRule="auto" w:after="100"/>
        <w:jc w:val="both"/>
      </w:pPr>
      <w:r>
        <w:rPr>
          <w:rFonts w:ascii="Times New Roman" w:hAnsi="Times New Roman"/>
          <w:color w:val="222222"/>
          <w:sz w:val="21"/>
        </w:rPr>
        <w:t>3) Fine-Grained Anatomical Disambiguation: Static signs with subtle geometric variations (e.g., distinguishing between ASL letters 'M', 'N', 'S', and 'T') demand precise topological modeling of distal phalanges and fingertips.</w:t>
      </w:r>
    </w:p>
    <w:p>
      <w:pPr>
        <w:spacing w:line="276" w:lineRule="auto" w:after="100"/>
        <w:ind w:firstLine="360"/>
        <w:jc w:val="both"/>
      </w:pPr>
      <w:r>
        <w:rPr>
          <w:rFonts w:ascii="Times New Roman" w:hAnsi="Times New Roman"/>
          <w:color w:val="222222"/>
          <w:sz w:val="21"/>
        </w:rPr>
        <w:t>To comprehensively address these challenges, this paper presents an extensive empirical and theoretical investigation of two complementary architectures: an Enhanced Vision Mamba (Selective SSM) featuring linear-time token mixing with 2D coordinate embeddings, and an Enhanced Adaptive Dual-Stream GCN-CNN coupling a 3-layer Residual Adaptive GCN with learned Spatial Joint Attention and a MobileNetV3 visual stream via dynamic confidence-aware gated cross-modal fusion.</w:t>
      </w:r>
    </w:p>
    <w:p>
      <w:pPr>
        <w:spacing w:before="280" w:after="80"/>
        <w:jc w:val="left"/>
      </w:pPr>
      <w:r>
        <w:rPr>
          <w:rFonts w:ascii="Times New Roman" w:hAnsi="Times New Roman"/>
          <w:b/>
          <w:color w:val="002B66"/>
          <w:sz w:val="24"/>
        </w:rPr>
        <w:t>II.  MATHEMATICAL FORMULATIONS</w:t>
      </w:r>
    </w:p>
    <w:p>
      <w:pPr>
        <w:spacing w:before="200" w:after="60"/>
        <w:jc w:val="left"/>
      </w:pPr>
      <w:r>
        <w:rPr>
          <w:rFonts w:ascii="Times New Roman" w:hAnsi="Times New Roman"/>
          <w:b/>
          <w:i/>
          <w:color w:val="002B66"/>
          <w:sz w:val="22"/>
        </w:rPr>
        <w:t>A.  Selective State Space Model (Vision Mamba S6)</w:t>
      </w:r>
    </w:p>
    <w:p>
      <w:pPr>
        <w:spacing w:line="276" w:lineRule="auto" w:after="100"/>
        <w:ind w:firstLine="360"/>
        <w:jc w:val="both"/>
      </w:pPr>
      <w:r>
        <w:rPr>
          <w:rFonts w:ascii="Times New Roman" w:hAnsi="Times New Roman"/>
          <w:color w:val="222222"/>
          <w:sz w:val="21"/>
        </w:rPr>
        <w:t>Given a spatial feature map extracted by a lightweight convolutional backbone F in R^{C x H x W}, we flatten the spatial dimensions into a sequence of visual tokens x in R^{L x D}, where L = H * W (e.g., 7 x 7 = 49 tokens) and D represents the latent model dimension. The continuous-time linear state-space system maps an input signal u(t) in R to an N-dimensional latent state h(t) in R^N and predicts output y(t) in R through the governing differential equations:</w:t>
      </w:r>
    </w:p>
    <w:p>
      <w:pPr>
        <w:spacing w:before="80" w:after="80"/>
        <w:jc w:val="center"/>
      </w:pPr>
      <w:r>
        <w:rPr>
          <w:rFonts w:ascii="Times New Roman" w:hAnsi="Times New Roman"/>
          <w:i/>
          <w:sz w:val="21"/>
        </w:rPr>
        <w:t xml:space="preserve">    h'(t) = A h(t) + B u(t)    (1)</w:t>
      </w:r>
    </w:p>
    <w:p>
      <w:pPr>
        <w:spacing w:before="80" w:after="80"/>
        <w:jc w:val="center"/>
      </w:pPr>
      <w:r>
        <w:rPr>
          <w:rFonts w:ascii="Times New Roman" w:hAnsi="Times New Roman"/>
          <w:i/>
          <w:sz w:val="21"/>
        </w:rPr>
        <w:t xml:space="preserve">    y(t) = C h(t) + D u(t)    (2)</w:t>
      </w:r>
    </w:p>
    <w:p>
      <w:pPr>
        <w:spacing w:line="276" w:lineRule="auto" w:after="100"/>
        <w:ind w:firstLine="360"/>
        <w:jc w:val="both"/>
      </w:pPr>
      <w:r>
        <w:rPr>
          <w:rFonts w:ascii="Times New Roman" w:hAnsi="Times New Roman"/>
          <w:color w:val="222222"/>
          <w:sz w:val="21"/>
        </w:rPr>
        <w:t>To execute this system within discrete digital computation, continuous-to-discrete Zero-Order Hold (ZOH) transformation is applied over an input-dependent discretization step size Delta in R^D:</w:t>
      </w:r>
    </w:p>
    <w:p>
      <w:pPr>
        <w:spacing w:before="80" w:after="80"/>
        <w:jc w:val="center"/>
      </w:pPr>
      <w:r>
        <w:rPr>
          <w:rFonts w:ascii="Times New Roman" w:hAnsi="Times New Roman"/>
          <w:i/>
          <w:sz w:val="21"/>
        </w:rPr>
        <w:t xml:space="preserve">    Delta = softplus( Linear_Delta( x_t ) )    (3)</w:t>
      </w:r>
    </w:p>
    <w:p>
      <w:pPr>
        <w:spacing w:before="80" w:after="80"/>
        <w:jc w:val="center"/>
      </w:pPr>
      <w:r>
        <w:rPr>
          <w:rFonts w:ascii="Times New Roman" w:hAnsi="Times New Roman"/>
          <w:i/>
          <w:sz w:val="21"/>
        </w:rPr>
        <w:t xml:space="preserve">    A_bar = exp( Delta * A ),  B_bar approx Delta * B    (4)</w:t>
      </w:r>
    </w:p>
    <w:p>
      <w:pPr>
        <w:spacing w:line="276" w:lineRule="auto" w:after="100"/>
        <w:ind w:firstLine="360"/>
        <w:jc w:val="both"/>
      </w:pPr>
      <w:r>
        <w:rPr>
          <w:rFonts w:ascii="Times New Roman" w:hAnsi="Times New Roman"/>
          <w:color w:val="222222"/>
          <w:sz w:val="21"/>
        </w:rPr>
        <w:t>The discrete recurrence relation is computed as:</w:t>
      </w:r>
    </w:p>
    <w:p>
      <w:pPr>
        <w:spacing w:before="80" w:after="80"/>
        <w:jc w:val="center"/>
      </w:pPr>
      <w:r>
        <w:rPr>
          <w:rFonts w:ascii="Times New Roman" w:hAnsi="Times New Roman"/>
          <w:i/>
          <w:sz w:val="21"/>
        </w:rPr>
        <w:t xml:space="preserve">    h_t = A_bar_t h_{t-1} + B_bar_t u_t    (5)</w:t>
      </w:r>
    </w:p>
    <w:p>
      <w:pPr>
        <w:spacing w:before="80" w:after="80"/>
        <w:jc w:val="center"/>
      </w:pPr>
      <w:r>
        <w:rPr>
          <w:rFonts w:ascii="Times New Roman" w:hAnsi="Times New Roman"/>
          <w:i/>
          <w:sz w:val="21"/>
        </w:rPr>
        <w:t xml:space="preserve">    y_t = C_t h_t + D u_t    (6)</w:t>
      </w:r>
    </w:p>
    <w:p>
      <w:pPr>
        <w:spacing w:line="276" w:lineRule="auto" w:after="100"/>
        <w:ind w:firstLine="360"/>
        <w:jc w:val="both"/>
      </w:pPr>
      <w:r>
        <w:rPr>
          <w:rFonts w:ascii="Times New Roman" w:hAnsi="Times New Roman"/>
          <w:color w:val="222222"/>
          <w:sz w:val="21"/>
        </w:rPr>
        <w:t>To preserve bidirectional 2D spatial context, bidirectional scanning is conducted:</w:t>
      </w:r>
    </w:p>
    <w:p>
      <w:pPr>
        <w:spacing w:before="80" w:after="80"/>
        <w:jc w:val="center"/>
      </w:pPr>
      <w:r>
        <w:rPr>
          <w:rFonts w:ascii="Times New Roman" w:hAnsi="Times New Roman"/>
          <w:i/>
          <w:sz w:val="21"/>
        </w:rPr>
        <w:t xml:space="preserve">    y_{bidir} = ( y_{fwd} + flip( y_{bwd} ) ) odot SiLU( z )    (7)</w:t>
      </w:r>
    </w:p>
    <w:p>
      <w:pPr>
        <w:spacing w:before="200" w:after="60"/>
        <w:jc w:val="left"/>
      </w:pPr>
      <w:r>
        <w:rPr>
          <w:rFonts w:ascii="Times New Roman" w:hAnsi="Times New Roman"/>
          <w:b/>
          <w:i/>
          <w:color w:val="002B66"/>
          <w:sz w:val="22"/>
        </w:rPr>
        <w:t>B.  Residual Adaptive GCN with Spatial Joint Attention (Proposed Model 2)</w:t>
      </w:r>
    </w:p>
    <w:p>
      <w:pPr>
        <w:spacing w:line="276" w:lineRule="auto" w:after="100"/>
        <w:ind w:firstLine="360"/>
        <w:jc w:val="both"/>
      </w:pPr>
      <w:r>
        <w:rPr>
          <w:rFonts w:ascii="Times New Roman" w:hAnsi="Times New Roman"/>
          <w:color w:val="222222"/>
          <w:sz w:val="21"/>
        </w:rPr>
        <w:t>For hand landmarks X in R^{21 x 3} representing 21 anatomical landmarks, graph convolution operates on a dynamic topological adjacency:</w:t>
      </w:r>
    </w:p>
    <w:p>
      <w:pPr>
        <w:spacing w:before="80" w:after="80"/>
        <w:jc w:val="center"/>
      </w:pPr>
      <w:r>
        <w:rPr>
          <w:rFonts w:ascii="Times New Roman" w:hAnsi="Times New Roman"/>
          <w:i/>
          <w:sz w:val="21"/>
        </w:rPr>
        <w:t xml:space="preserve">    A_{total} = A_hat + alpha * A_{ada}    (8)</w:t>
      </w:r>
    </w:p>
    <w:p>
      <w:pPr>
        <w:spacing w:line="276" w:lineRule="auto" w:after="100"/>
        <w:ind w:firstLine="360"/>
        <w:jc w:val="both"/>
      </w:pPr>
      <w:r>
        <w:rPr>
          <w:rFonts w:ascii="Times New Roman" w:hAnsi="Times New Roman"/>
          <w:color w:val="222222"/>
          <w:sz w:val="21"/>
        </w:rPr>
        <w:t>where A_hat is the normalized anatomical adjacency with self-loops, A_{ada} in R^{21 x 21} is a learnable matrix capturing non-anatomical fingertip co-occurrences, and alpha is a learnable scaling parameter. Residual skip connections maintain multi-hop feature propagation:</w:t>
      </w:r>
    </w:p>
    <w:p>
      <w:pPr>
        <w:spacing w:before="80" w:after="80"/>
        <w:jc w:val="center"/>
      </w:pPr>
      <w:r>
        <w:rPr>
          <w:rFonts w:ascii="Times New Roman" w:hAnsi="Times New Roman"/>
          <w:i/>
          <w:sz w:val="21"/>
        </w:rPr>
        <w:t xml:space="preserve">    H^{(l+1)} = ReLU( BatchNorm( A_{total} H^{(l)} W^{(l)} ) ) + ResProj( H^{(l)} )    (9)</w:t>
      </w:r>
    </w:p>
    <w:p>
      <w:pPr>
        <w:spacing w:line="276" w:lineRule="auto" w:after="100"/>
        <w:ind w:firstLine="360"/>
        <w:jc w:val="both"/>
      </w:pPr>
      <w:r>
        <w:rPr>
          <w:rFonts w:ascii="Times New Roman" w:hAnsi="Times New Roman"/>
          <w:color w:val="222222"/>
          <w:sz w:val="21"/>
        </w:rPr>
        <w:t>Furthermore, a learnable Spatial Joint Attention module pools the landmark graph across decisive distal joints:</w:t>
      </w:r>
    </w:p>
    <w:p>
      <w:pPr>
        <w:spacing w:before="80" w:after="80"/>
        <w:jc w:val="center"/>
      </w:pPr>
      <w:r>
        <w:rPr>
          <w:rFonts w:ascii="Times New Roman" w:hAnsi="Times New Roman"/>
          <w:i/>
          <w:sz w:val="21"/>
        </w:rPr>
        <w:t xml:space="preserve">    beta_i = exp( w_a^T tanh( W_s h_i^{(3)} ) ) / sum_j exp( w_a^T tanh( W_s h_j^{(3)} ) )    (10)</w:t>
      </w:r>
    </w:p>
    <w:p>
      <w:pPr>
        <w:spacing w:before="80" w:after="80"/>
        <w:jc w:val="center"/>
      </w:pPr>
      <w:r>
        <w:rPr>
          <w:rFonts w:ascii="Times New Roman" w:hAnsi="Times New Roman"/>
          <w:i/>
          <w:sz w:val="21"/>
        </w:rPr>
        <w:t xml:space="preserve">    z_{gcn} = sum_{i=1}^{21} beta_i h_i^{(3)}    (11)</w:t>
      </w:r>
    </w:p>
    <w:p>
      <w:pPr>
        <w:spacing w:before="200" w:after="60"/>
        <w:jc w:val="left"/>
      </w:pPr>
      <w:r>
        <w:rPr>
          <w:rFonts w:ascii="Times New Roman" w:hAnsi="Times New Roman"/>
          <w:b/>
          <w:i/>
          <w:color w:val="002B66"/>
          <w:sz w:val="22"/>
        </w:rPr>
        <w:t>C.  Dynamic Confidence-Aware Gated Cross-Modal Fusion</w:t>
      </w:r>
    </w:p>
    <w:p>
      <w:pPr>
        <w:spacing w:line="276" w:lineRule="auto" w:after="100"/>
        <w:ind w:firstLine="360"/>
        <w:jc w:val="both"/>
      </w:pPr>
      <w:r>
        <w:rPr>
          <w:rFonts w:ascii="Times New Roman" w:hAnsi="Times New Roman"/>
          <w:color w:val="222222"/>
          <w:sz w:val="21"/>
        </w:rPr>
        <w:t>The landmark descriptor z_{gcn} and visual feature z_{cnn} are merged via a dynamic non-linear gating network:</w:t>
      </w:r>
    </w:p>
    <w:p>
      <w:pPr>
        <w:spacing w:before="80" w:after="80"/>
        <w:jc w:val="center"/>
      </w:pPr>
      <w:r>
        <w:rPr>
          <w:rFonts w:ascii="Times New Roman" w:hAnsi="Times New Roman"/>
          <w:i/>
          <w:sz w:val="21"/>
        </w:rPr>
        <w:t xml:space="preserve">    g = sigma( MLP([ z_{gcn} || z_{cnn} ]) ) in [0, 1]^d    (12)</w:t>
      </w:r>
    </w:p>
    <w:p>
      <w:pPr>
        <w:spacing w:before="80" w:after="80"/>
        <w:jc w:val="center"/>
      </w:pPr>
      <w:r>
        <w:rPr>
          <w:rFonts w:ascii="Times New Roman" w:hAnsi="Times New Roman"/>
          <w:i/>
          <w:sz w:val="21"/>
        </w:rPr>
        <w:t xml:space="preserve">    z_{fused} = g odot z_{gcn} + (1 - g) odot z_{cnn}    (13)</w:t>
      </w:r>
    </w:p>
    <w:p>
      <w:pPr>
        <w:spacing w:before="160" w:after="40"/>
        <w:jc w:val="center"/>
      </w:pPr>
      <w:r>
        <w:drawing>
          <wp:inline xmlns:a="http://schemas.openxmlformats.org/drawingml/2006/main" xmlns:pic="http://schemas.openxmlformats.org/drawingml/2006/picture">
            <wp:extent cx="5669280" cy="3033562"/>
            <wp:docPr id="1" name="Picture 1"/>
            <wp:cNvGraphicFramePr>
              <a:graphicFrameLocks noChangeAspect="1"/>
            </wp:cNvGraphicFramePr>
            <a:graphic>
              <a:graphicData uri="http://schemas.openxmlformats.org/drawingml/2006/picture">
                <pic:pic>
                  <pic:nvPicPr>
                    <pic:cNvPr id="0" name="fig_architecture_pipeline.png"/>
                    <pic:cNvPicPr/>
                  </pic:nvPicPr>
                  <pic:blipFill>
                    <a:blip r:embed="rId9"/>
                    <a:stretch>
                      <a:fillRect/>
                    </a:stretch>
                  </pic:blipFill>
                  <pic:spPr>
                    <a:xfrm>
                      <a:off x="0" y="0"/>
                      <a:ext cx="5669280" cy="3033562"/>
                    </a:xfrm>
                    <a:prstGeom prst="rect"/>
                  </pic:spPr>
                </pic:pic>
              </a:graphicData>
            </a:graphic>
          </wp:inline>
        </w:drawing>
      </w:r>
    </w:p>
    <w:p>
      <w:pPr>
        <w:spacing w:after="240"/>
        <w:jc w:val="center"/>
      </w:pPr>
      <w:r>
        <w:rPr>
          <w:b/>
          <w:color w:val="002B66"/>
          <w:sz w:val="19"/>
        </w:rPr>
        <w:t>Fig. 1.  End-to-end multimodal architecture pipeline featuring the 3-layer Adaptive GCN skeletal stream, inverted-bottleneck MobileNetV3 visual stream, and dynamic confidence-aware cross-modal gating.</w:t>
      </w:r>
    </w:p>
    <w:p>
      <w:pPr>
        <w:spacing w:before="280" w:after="80"/>
        <w:jc w:val="left"/>
      </w:pPr>
      <w:r>
        <w:rPr>
          <w:rFonts w:ascii="Times New Roman" w:hAnsi="Times New Roman"/>
          <w:b/>
          <w:color w:val="002B66"/>
          <w:sz w:val="24"/>
        </w:rPr>
        <w:t>III.  EXPERIMENTAL RESULTS AND DISCUSSION</w:t>
      </w:r>
    </w:p>
    <w:p>
      <w:pPr>
        <w:spacing w:before="200" w:after="60"/>
        <w:jc w:val="left"/>
      </w:pPr>
      <w:r>
        <w:rPr>
          <w:rFonts w:ascii="Times New Roman" w:hAnsi="Times New Roman"/>
          <w:b/>
          <w:i/>
          <w:color w:val="002B66"/>
          <w:sz w:val="22"/>
        </w:rPr>
        <w:t>A.  Multi-Paradigm Comparative Benchmark</w:t>
      </w:r>
    </w:p>
    <w:p>
      <w:pPr>
        <w:spacing w:line="276" w:lineRule="auto" w:after="100"/>
        <w:ind w:firstLine="360"/>
        <w:jc w:val="both"/>
      </w:pPr>
      <w:r>
        <w:rPr>
          <w:rFonts w:ascii="Times New Roman" w:hAnsi="Times New Roman"/>
          <w:color w:val="222222"/>
          <w:sz w:val="21"/>
        </w:rPr>
        <w:t>Table I presents the unified comparative evaluation across seven distinct architectures representing all five modern computer vision paradigms. All models were evaluated under standardized benchmarking conditions.</w:t>
      </w:r>
    </w:p>
    <w:p>
      <w:pPr>
        <w:spacing w:before="160" w:after="80"/>
        <w:jc w:val="center"/>
      </w:pPr>
      <w:r>
        <w:rPr>
          <w:b/>
          <w:color w:val="002B66"/>
          <w:sz w:val="19"/>
        </w:rPr>
        <w:t>TABLE I: MULTI-PARADIGM HARDWARE EFFICIENCY &amp; RECOGNITION BENCHMARK ON 29-CLASS ASL DATASET</w:t>
      </w:r>
    </w:p>
    <w:tbl>
      <w:tblPr>
        <w:tblW w:type="auto" w:w="0"/>
        <w:jc w:val="center"/>
        <w:tblLook w:firstColumn="1" w:firstRow="1" w:lastColumn="0" w:lastRow="0" w:noHBand="0" w:noVBand="1" w:val="04A0"/>
        <w:tblBorders>
          <w:top w:val="single" w:sz="12" w:space="0" w:color="002B66"/>
          <w:bottom w:val="single" w:sz="12" w:space="0" w:color="002B66"/>
          <w:insideH w:val="single" w:sz="4" w:space="0" w:color="B0C4DE"/>
          <w:left w:val="none"/>
          <w:right w:val="none"/>
          <w:insideV w:val="none"/>
        </w:tblBorders>
      </w:tblPr>
      <w:tblGrid>
        <w:gridCol w:w="1560"/>
        <w:gridCol w:w="1560"/>
        <w:gridCol w:w="1560"/>
        <w:gridCol w:w="1560"/>
        <w:gridCol w:w="1560"/>
        <w:gridCol w:w="1560"/>
      </w:tblGrid>
      <w:tr>
        <w:tc>
          <w:tcPr>
            <w:tcW w:type="dxa" w:w="1560"/>
            <w:shd w:fill="EBF1F5"/>
            <w:tcMar>
              <w:top w:w="120" w:type="dxa"/>
              <w:bottom w:w="120" w:type="dxa"/>
              <w:left w:w="140" w:type="dxa"/>
              <w:right w:w="140" w:type="dxa"/>
            </w:tcMar>
          </w:tcPr>
          <w:p>
            <w:pPr>
              <w:jc w:val="left"/>
            </w:pPr>
            <w:r>
              <w:rPr>
                <w:b/>
                <w:color w:val="002B66"/>
                <w:sz w:val="18"/>
              </w:rPr>
              <w:t>Model Architecture</w:t>
            </w:r>
          </w:p>
        </w:tc>
        <w:tc>
          <w:tcPr>
            <w:tcW w:type="dxa" w:w="1560"/>
            <w:shd w:fill="EBF1F5"/>
            <w:tcMar>
              <w:top w:w="120" w:type="dxa"/>
              <w:bottom w:w="120" w:type="dxa"/>
              <w:left w:w="140" w:type="dxa"/>
              <w:right w:w="140" w:type="dxa"/>
            </w:tcMar>
          </w:tcPr>
          <w:p>
            <w:pPr>
              <w:jc w:val="center"/>
            </w:pPr>
            <w:r>
              <w:rPr>
                <w:b/>
                <w:color w:val="002B66"/>
                <w:sz w:val="18"/>
              </w:rPr>
              <w:t>Params (M)</w:t>
            </w:r>
          </w:p>
        </w:tc>
        <w:tc>
          <w:tcPr>
            <w:tcW w:type="dxa" w:w="1560"/>
            <w:shd w:fill="EBF1F5"/>
            <w:tcMar>
              <w:top w:w="120" w:type="dxa"/>
              <w:bottom w:w="120" w:type="dxa"/>
              <w:left w:w="140" w:type="dxa"/>
              <w:right w:w="140" w:type="dxa"/>
            </w:tcMar>
          </w:tcPr>
          <w:p>
            <w:pPr>
              <w:jc w:val="center"/>
            </w:pPr>
            <w:r>
              <w:rPr>
                <w:b/>
                <w:color w:val="002B66"/>
                <w:sz w:val="18"/>
              </w:rPr>
              <w:t>FLOPs (G)</w:t>
            </w:r>
          </w:p>
        </w:tc>
        <w:tc>
          <w:tcPr>
            <w:tcW w:type="dxa" w:w="1560"/>
            <w:shd w:fill="EBF1F5"/>
            <w:tcMar>
              <w:top w:w="120" w:type="dxa"/>
              <w:bottom w:w="120" w:type="dxa"/>
              <w:left w:w="140" w:type="dxa"/>
              <w:right w:w="140" w:type="dxa"/>
            </w:tcMar>
          </w:tcPr>
          <w:p>
            <w:pPr>
              <w:jc w:val="center"/>
            </w:pPr>
            <w:r>
              <w:rPr>
                <w:b/>
                <w:color w:val="002B66"/>
                <w:sz w:val="18"/>
              </w:rPr>
              <w:t>Latency (ms)</w:t>
            </w:r>
          </w:p>
        </w:tc>
        <w:tc>
          <w:tcPr>
            <w:tcW w:type="dxa" w:w="1560"/>
            <w:shd w:fill="EBF1F5"/>
            <w:tcMar>
              <w:top w:w="120" w:type="dxa"/>
              <w:bottom w:w="120" w:type="dxa"/>
              <w:left w:w="140" w:type="dxa"/>
              <w:right w:w="140" w:type="dxa"/>
            </w:tcMar>
          </w:tcPr>
          <w:p>
            <w:pPr>
              <w:jc w:val="center"/>
            </w:pPr>
            <w:r>
              <w:rPr>
                <w:b/>
                <w:color w:val="002B66"/>
                <w:sz w:val="18"/>
              </w:rPr>
              <w:t>Top-1 Acc (%)</w:t>
            </w:r>
          </w:p>
        </w:tc>
        <w:tc>
          <w:tcPr>
            <w:tcW w:type="dxa" w:w="1560"/>
            <w:shd w:fill="EBF1F5"/>
            <w:tcMar>
              <w:top w:w="120" w:type="dxa"/>
              <w:bottom w:w="120" w:type="dxa"/>
              <w:left w:w="140" w:type="dxa"/>
              <w:right w:w="140" w:type="dxa"/>
            </w:tcMar>
          </w:tcPr>
          <w:p>
            <w:pPr>
              <w:jc w:val="center"/>
            </w:pPr>
            <w:r>
              <w:rPr>
                <w:b/>
                <w:color w:val="002B66"/>
                <w:sz w:val="18"/>
              </w:rPr>
              <w:t>Macro-F1 (%)</w:t>
            </w:r>
          </w:p>
        </w:tc>
      </w:tr>
      <w:tr>
        <w:tc>
          <w:tcPr>
            <w:tcW w:type="dxa" w:w="1560"/>
            <w:tcMar>
              <w:top w:w="90" w:type="dxa"/>
              <w:bottom w:w="90" w:type="dxa"/>
              <w:left w:w="140" w:type="dxa"/>
              <w:right w:w="140" w:type="dxa"/>
            </w:tcMar>
          </w:tcPr>
          <w:p>
            <w:pPr>
              <w:jc w:val="left"/>
            </w:pPr>
            <w:r>
              <w:rPr>
                <w:sz w:val="18"/>
              </w:rPr>
              <w:t>Baseline (CNN + Bi-LSTM)</w:t>
            </w:r>
          </w:p>
        </w:tc>
        <w:tc>
          <w:tcPr>
            <w:tcW w:type="dxa" w:w="1560"/>
            <w:tcMar>
              <w:top w:w="90" w:type="dxa"/>
              <w:bottom w:w="90" w:type="dxa"/>
              <w:left w:w="140" w:type="dxa"/>
              <w:right w:w="140" w:type="dxa"/>
            </w:tcMar>
          </w:tcPr>
          <w:p>
            <w:pPr>
              <w:jc w:val="center"/>
            </w:pPr>
            <w:r>
              <w:rPr>
                <w:sz w:val="18"/>
              </w:rPr>
              <w:t>11.91</w:t>
            </w:r>
          </w:p>
        </w:tc>
        <w:tc>
          <w:tcPr>
            <w:tcW w:type="dxa" w:w="1560"/>
            <w:tcMar>
              <w:top w:w="90" w:type="dxa"/>
              <w:bottom w:w="90" w:type="dxa"/>
              <w:left w:w="140" w:type="dxa"/>
              <w:right w:w="140" w:type="dxa"/>
            </w:tcMar>
          </w:tcPr>
          <w:p>
            <w:pPr>
              <w:jc w:val="center"/>
            </w:pPr>
            <w:r>
              <w:rPr>
                <w:sz w:val="18"/>
              </w:rPr>
              <w:t>3.718</w:t>
            </w:r>
          </w:p>
        </w:tc>
        <w:tc>
          <w:tcPr>
            <w:tcW w:type="dxa" w:w="1560"/>
            <w:tcMar>
              <w:top w:w="90" w:type="dxa"/>
              <w:bottom w:w="90" w:type="dxa"/>
              <w:left w:w="140" w:type="dxa"/>
              <w:right w:w="140" w:type="dxa"/>
            </w:tcMar>
          </w:tcPr>
          <w:p>
            <w:pPr>
              <w:jc w:val="center"/>
            </w:pPr>
            <w:r>
              <w:rPr>
                <w:sz w:val="18"/>
              </w:rPr>
              <w:t>200.93</w:t>
            </w:r>
          </w:p>
        </w:tc>
        <w:tc>
          <w:tcPr>
            <w:tcW w:type="dxa" w:w="1560"/>
            <w:tcMar>
              <w:top w:w="90" w:type="dxa"/>
              <w:bottom w:w="90" w:type="dxa"/>
              <w:left w:w="140" w:type="dxa"/>
              <w:right w:w="140" w:type="dxa"/>
            </w:tcMar>
          </w:tcPr>
          <w:p>
            <w:pPr>
              <w:jc w:val="center"/>
            </w:pPr>
            <w:r>
              <w:rPr>
                <w:sz w:val="18"/>
              </w:rPr>
              <w:t>89.66</w:t>
            </w:r>
          </w:p>
        </w:tc>
        <w:tc>
          <w:tcPr>
            <w:tcW w:type="dxa" w:w="1560"/>
            <w:tcMar>
              <w:top w:w="90" w:type="dxa"/>
              <w:bottom w:w="90" w:type="dxa"/>
              <w:left w:w="140" w:type="dxa"/>
              <w:right w:w="140" w:type="dxa"/>
            </w:tcMar>
          </w:tcPr>
          <w:p>
            <w:pPr>
              <w:jc w:val="center"/>
            </w:pPr>
            <w:r>
              <w:rPr>
                <w:sz w:val="18"/>
              </w:rPr>
              <w:t>88.75</w:t>
            </w:r>
          </w:p>
        </w:tc>
      </w:tr>
      <w:tr>
        <w:tc>
          <w:tcPr>
            <w:tcW w:type="dxa" w:w="1560"/>
            <w:tcMar>
              <w:top w:w="90" w:type="dxa"/>
              <w:bottom w:w="90" w:type="dxa"/>
              <w:left w:w="140" w:type="dxa"/>
              <w:right w:w="140" w:type="dxa"/>
            </w:tcMar>
            <w:shd w:fill="F9FBFC"/>
          </w:tcPr>
          <w:p>
            <w:pPr>
              <w:jc w:val="left"/>
            </w:pPr>
            <w:r>
              <w:rPr>
                <w:sz w:val="18"/>
              </w:rPr>
              <w:t>MobileNetV3-Large</w:t>
            </w:r>
          </w:p>
        </w:tc>
        <w:tc>
          <w:tcPr>
            <w:tcW w:type="dxa" w:w="1560"/>
            <w:tcMar>
              <w:top w:w="90" w:type="dxa"/>
              <w:bottom w:w="90" w:type="dxa"/>
              <w:left w:w="140" w:type="dxa"/>
              <w:right w:w="140" w:type="dxa"/>
            </w:tcMar>
            <w:shd w:fill="F9FBFC"/>
          </w:tcPr>
          <w:p>
            <w:pPr>
              <w:jc w:val="center"/>
            </w:pPr>
            <w:r>
              <w:rPr>
                <w:sz w:val="18"/>
              </w:rPr>
              <w:t>4.24</w:t>
            </w:r>
          </w:p>
        </w:tc>
        <w:tc>
          <w:tcPr>
            <w:tcW w:type="dxa" w:w="1560"/>
            <w:tcMar>
              <w:top w:w="90" w:type="dxa"/>
              <w:bottom w:w="90" w:type="dxa"/>
              <w:left w:w="140" w:type="dxa"/>
              <w:right w:w="140" w:type="dxa"/>
            </w:tcMar>
            <w:shd w:fill="F9FBFC"/>
          </w:tcPr>
          <w:p>
            <w:pPr>
              <w:jc w:val="center"/>
            </w:pPr>
            <w:r>
              <w:rPr>
                <w:sz w:val="18"/>
              </w:rPr>
              <w:t>0.431</w:t>
            </w:r>
          </w:p>
        </w:tc>
        <w:tc>
          <w:tcPr>
            <w:tcW w:type="dxa" w:w="1560"/>
            <w:tcMar>
              <w:top w:w="90" w:type="dxa"/>
              <w:bottom w:w="90" w:type="dxa"/>
              <w:left w:w="140" w:type="dxa"/>
              <w:right w:w="140" w:type="dxa"/>
            </w:tcMar>
            <w:shd w:fill="F9FBFC"/>
          </w:tcPr>
          <w:p>
            <w:pPr>
              <w:jc w:val="center"/>
            </w:pPr>
            <w:r>
              <w:rPr>
                <w:sz w:val="18"/>
              </w:rPr>
              <w:t>134.41</w:t>
            </w:r>
          </w:p>
        </w:tc>
        <w:tc>
          <w:tcPr>
            <w:tcW w:type="dxa" w:w="1560"/>
            <w:tcMar>
              <w:top w:w="90" w:type="dxa"/>
              <w:bottom w:w="90" w:type="dxa"/>
              <w:left w:w="140" w:type="dxa"/>
              <w:right w:w="140" w:type="dxa"/>
            </w:tcMar>
            <w:shd w:fill="F9FBFC"/>
          </w:tcPr>
          <w:p>
            <w:pPr>
              <w:jc w:val="center"/>
            </w:pPr>
            <w:r>
              <w:rPr>
                <w:sz w:val="18"/>
              </w:rPr>
              <w:t>98.28</w:t>
            </w:r>
          </w:p>
        </w:tc>
        <w:tc>
          <w:tcPr>
            <w:tcW w:type="dxa" w:w="1560"/>
            <w:tcMar>
              <w:top w:w="90" w:type="dxa"/>
              <w:bottom w:w="90" w:type="dxa"/>
              <w:left w:w="140" w:type="dxa"/>
              <w:right w:w="140" w:type="dxa"/>
            </w:tcMar>
            <w:shd w:fill="F9FBFC"/>
          </w:tcPr>
          <w:p>
            <w:pPr>
              <w:jc w:val="center"/>
            </w:pPr>
            <w:r>
              <w:rPr>
                <w:sz w:val="18"/>
              </w:rPr>
              <w:t>96.97</w:t>
            </w:r>
          </w:p>
        </w:tc>
      </w:tr>
      <w:tr>
        <w:tc>
          <w:tcPr>
            <w:tcW w:type="dxa" w:w="1560"/>
            <w:tcMar>
              <w:top w:w="90" w:type="dxa"/>
              <w:bottom w:w="90" w:type="dxa"/>
              <w:left w:w="140" w:type="dxa"/>
              <w:right w:w="140" w:type="dxa"/>
            </w:tcMar>
          </w:tcPr>
          <w:p>
            <w:pPr>
              <w:jc w:val="left"/>
            </w:pPr>
            <w:r>
              <w:rPr>
                <w:sz w:val="18"/>
              </w:rPr>
              <w:t>Comparative (ConvNeXt-Femto)</w:t>
            </w:r>
          </w:p>
        </w:tc>
        <w:tc>
          <w:tcPr>
            <w:tcW w:type="dxa" w:w="1560"/>
            <w:tcMar>
              <w:top w:w="90" w:type="dxa"/>
              <w:bottom w:w="90" w:type="dxa"/>
              <w:left w:w="140" w:type="dxa"/>
              <w:right w:w="140" w:type="dxa"/>
            </w:tcMar>
          </w:tcPr>
          <w:p>
            <w:pPr>
              <w:jc w:val="center"/>
            </w:pPr>
            <w:r>
              <w:rPr>
                <w:sz w:val="18"/>
              </w:rPr>
              <w:t>4.84</w:t>
            </w:r>
          </w:p>
        </w:tc>
        <w:tc>
          <w:tcPr>
            <w:tcW w:type="dxa" w:w="1560"/>
            <w:tcMar>
              <w:top w:w="90" w:type="dxa"/>
              <w:bottom w:w="90" w:type="dxa"/>
              <w:left w:w="140" w:type="dxa"/>
              <w:right w:w="140" w:type="dxa"/>
            </w:tcMar>
          </w:tcPr>
          <w:p>
            <w:pPr>
              <w:jc w:val="center"/>
            </w:pPr>
            <w:r>
              <w:rPr>
                <w:sz w:val="18"/>
              </w:rPr>
              <w:t>1.559</w:t>
            </w:r>
          </w:p>
        </w:tc>
        <w:tc>
          <w:tcPr>
            <w:tcW w:type="dxa" w:w="1560"/>
            <w:tcMar>
              <w:top w:w="90" w:type="dxa"/>
              <w:bottom w:w="90" w:type="dxa"/>
              <w:left w:w="140" w:type="dxa"/>
              <w:right w:w="140" w:type="dxa"/>
            </w:tcMar>
          </w:tcPr>
          <w:p>
            <w:pPr>
              <w:jc w:val="center"/>
            </w:pPr>
            <w:r>
              <w:rPr>
                <w:sz w:val="18"/>
              </w:rPr>
              <w:t>116.10</w:t>
            </w:r>
          </w:p>
        </w:tc>
        <w:tc>
          <w:tcPr>
            <w:tcW w:type="dxa" w:w="1560"/>
            <w:tcMar>
              <w:top w:w="90" w:type="dxa"/>
              <w:bottom w:w="90" w:type="dxa"/>
              <w:left w:w="140" w:type="dxa"/>
              <w:right w:w="140" w:type="dxa"/>
            </w:tcMar>
          </w:tcPr>
          <w:p>
            <w:pPr>
              <w:jc w:val="center"/>
            </w:pPr>
            <w:r>
              <w:rPr>
                <w:sz w:val="18"/>
              </w:rPr>
              <w:t>98.28</w:t>
            </w:r>
          </w:p>
        </w:tc>
        <w:tc>
          <w:tcPr>
            <w:tcW w:type="dxa" w:w="1560"/>
            <w:tcMar>
              <w:top w:w="90" w:type="dxa"/>
              <w:bottom w:w="90" w:type="dxa"/>
              <w:left w:w="140" w:type="dxa"/>
              <w:right w:w="140" w:type="dxa"/>
            </w:tcMar>
          </w:tcPr>
          <w:p>
            <w:pPr>
              <w:jc w:val="center"/>
            </w:pPr>
            <w:r>
              <w:rPr>
                <w:sz w:val="18"/>
              </w:rPr>
              <w:t>96.38</w:t>
            </w:r>
          </w:p>
        </w:tc>
      </w:tr>
      <w:tr>
        <w:tc>
          <w:tcPr>
            <w:tcW w:type="dxa" w:w="1560"/>
            <w:tcMar>
              <w:top w:w="90" w:type="dxa"/>
              <w:bottom w:w="90" w:type="dxa"/>
              <w:left w:w="140" w:type="dxa"/>
              <w:right w:w="140" w:type="dxa"/>
            </w:tcMar>
            <w:shd w:fill="F9FBFC"/>
          </w:tcPr>
          <w:p>
            <w:pPr>
              <w:jc w:val="left"/>
            </w:pPr>
            <w:r>
              <w:rPr>
                <w:sz w:val="18"/>
              </w:rPr>
              <w:t>Comparative (MobileViT-S)</w:t>
            </w:r>
          </w:p>
        </w:tc>
        <w:tc>
          <w:tcPr>
            <w:tcW w:type="dxa" w:w="1560"/>
            <w:tcMar>
              <w:top w:w="90" w:type="dxa"/>
              <w:bottom w:w="90" w:type="dxa"/>
              <w:left w:w="140" w:type="dxa"/>
              <w:right w:w="140" w:type="dxa"/>
            </w:tcMar>
            <w:shd w:fill="F9FBFC"/>
          </w:tcPr>
          <w:p>
            <w:pPr>
              <w:jc w:val="center"/>
            </w:pPr>
            <w:r>
              <w:rPr>
                <w:sz w:val="18"/>
              </w:rPr>
              <w:t>4.96</w:t>
            </w:r>
          </w:p>
        </w:tc>
        <w:tc>
          <w:tcPr>
            <w:tcW w:type="dxa" w:w="1560"/>
            <w:tcMar>
              <w:top w:w="90" w:type="dxa"/>
              <w:bottom w:w="90" w:type="dxa"/>
              <w:left w:w="140" w:type="dxa"/>
              <w:right w:w="140" w:type="dxa"/>
            </w:tcMar>
            <w:shd w:fill="F9FBFC"/>
          </w:tcPr>
          <w:p>
            <w:pPr>
              <w:jc w:val="center"/>
            </w:pPr>
            <w:r>
              <w:rPr>
                <w:sz w:val="18"/>
              </w:rPr>
              <w:t>2.840</w:t>
            </w:r>
          </w:p>
        </w:tc>
        <w:tc>
          <w:tcPr>
            <w:tcW w:type="dxa" w:w="1560"/>
            <w:tcMar>
              <w:top w:w="90" w:type="dxa"/>
              <w:bottom w:w="90" w:type="dxa"/>
              <w:left w:w="140" w:type="dxa"/>
              <w:right w:w="140" w:type="dxa"/>
            </w:tcMar>
            <w:shd w:fill="F9FBFC"/>
          </w:tcPr>
          <w:p>
            <w:pPr>
              <w:jc w:val="center"/>
            </w:pPr>
            <w:r>
              <w:rPr>
                <w:sz w:val="18"/>
              </w:rPr>
              <w:t>197.85</w:t>
            </w:r>
          </w:p>
        </w:tc>
        <w:tc>
          <w:tcPr>
            <w:tcW w:type="dxa" w:w="1560"/>
            <w:tcMar>
              <w:top w:w="90" w:type="dxa"/>
              <w:bottom w:w="90" w:type="dxa"/>
              <w:left w:w="140" w:type="dxa"/>
              <w:right w:w="140" w:type="dxa"/>
            </w:tcMar>
            <w:shd w:fill="F9FBFC"/>
          </w:tcPr>
          <w:p>
            <w:pPr>
              <w:jc w:val="center"/>
            </w:pPr>
            <w:r>
              <w:rPr>
                <w:sz w:val="18"/>
              </w:rPr>
              <w:t>87.07</w:t>
            </w:r>
          </w:p>
        </w:tc>
        <w:tc>
          <w:tcPr>
            <w:tcW w:type="dxa" w:w="1560"/>
            <w:tcMar>
              <w:top w:w="90" w:type="dxa"/>
              <w:bottom w:w="90" w:type="dxa"/>
              <w:left w:w="140" w:type="dxa"/>
              <w:right w:w="140" w:type="dxa"/>
            </w:tcMar>
            <w:shd w:fill="F9FBFC"/>
          </w:tcPr>
          <w:p>
            <w:pPr>
              <w:jc w:val="center"/>
            </w:pPr>
            <w:r>
              <w:rPr>
                <w:sz w:val="18"/>
              </w:rPr>
              <w:t>86.79</w:t>
            </w:r>
          </w:p>
        </w:tc>
      </w:tr>
      <w:tr>
        <w:tc>
          <w:tcPr>
            <w:tcW w:type="dxa" w:w="1560"/>
            <w:tcMar>
              <w:top w:w="90" w:type="dxa"/>
              <w:bottom w:w="90" w:type="dxa"/>
              <w:left w:w="140" w:type="dxa"/>
              <w:right w:w="140" w:type="dxa"/>
            </w:tcMar>
          </w:tcPr>
          <w:p>
            <w:pPr>
              <w:jc w:val="left"/>
            </w:pPr>
            <w:r>
              <w:rPr>
                <w:sz w:val="18"/>
              </w:rPr>
              <w:t>Pure Skeletal GCN</w:t>
            </w:r>
          </w:p>
        </w:tc>
        <w:tc>
          <w:tcPr>
            <w:tcW w:type="dxa" w:w="1560"/>
            <w:tcMar>
              <w:top w:w="90" w:type="dxa"/>
              <w:bottom w:w="90" w:type="dxa"/>
              <w:left w:w="140" w:type="dxa"/>
              <w:right w:w="140" w:type="dxa"/>
            </w:tcMar>
          </w:tcPr>
          <w:p>
            <w:pPr>
              <w:jc w:val="center"/>
            </w:pPr>
            <w:r>
              <w:rPr>
                <w:sz w:val="18"/>
              </w:rPr>
              <w:t>0.06</w:t>
            </w:r>
          </w:p>
        </w:tc>
        <w:tc>
          <w:tcPr>
            <w:tcW w:type="dxa" w:w="1560"/>
            <w:tcMar>
              <w:top w:w="90" w:type="dxa"/>
              <w:bottom w:w="90" w:type="dxa"/>
              <w:left w:w="140" w:type="dxa"/>
              <w:right w:w="140" w:type="dxa"/>
            </w:tcMar>
          </w:tcPr>
          <w:p>
            <w:pPr>
              <w:jc w:val="center"/>
            </w:pPr>
            <w:r>
              <w:rPr>
                <w:sz w:val="18"/>
              </w:rPr>
              <w:t>0.002</w:t>
            </w:r>
          </w:p>
        </w:tc>
        <w:tc>
          <w:tcPr>
            <w:tcW w:type="dxa" w:w="1560"/>
            <w:tcMar>
              <w:top w:w="90" w:type="dxa"/>
              <w:bottom w:w="90" w:type="dxa"/>
              <w:left w:w="140" w:type="dxa"/>
              <w:right w:w="140" w:type="dxa"/>
            </w:tcMar>
          </w:tcPr>
          <w:p>
            <w:pPr>
              <w:jc w:val="center"/>
            </w:pPr>
            <w:r>
              <w:rPr>
                <w:sz w:val="18"/>
              </w:rPr>
              <w:t>1.77</w:t>
            </w:r>
          </w:p>
        </w:tc>
        <w:tc>
          <w:tcPr>
            <w:tcW w:type="dxa" w:w="1560"/>
            <w:tcMar>
              <w:top w:w="90" w:type="dxa"/>
              <w:bottom w:w="90" w:type="dxa"/>
              <w:left w:w="140" w:type="dxa"/>
              <w:right w:w="140" w:type="dxa"/>
            </w:tcMar>
          </w:tcPr>
          <w:p>
            <w:pPr>
              <w:jc w:val="center"/>
            </w:pPr>
            <w:r>
              <w:rPr>
                <w:sz w:val="18"/>
              </w:rPr>
              <w:t>70.69</w:t>
            </w:r>
          </w:p>
        </w:tc>
        <w:tc>
          <w:tcPr>
            <w:tcW w:type="dxa" w:w="1560"/>
            <w:tcMar>
              <w:top w:w="90" w:type="dxa"/>
              <w:bottom w:w="90" w:type="dxa"/>
              <w:left w:w="140" w:type="dxa"/>
              <w:right w:w="140" w:type="dxa"/>
            </w:tcMar>
          </w:tcPr>
          <w:p>
            <w:pPr>
              <w:jc w:val="center"/>
            </w:pPr>
            <w:r>
              <w:rPr>
                <w:sz w:val="18"/>
              </w:rPr>
              <w:t>69.99</w:t>
            </w:r>
          </w:p>
        </w:tc>
      </w:tr>
      <w:tr>
        <w:tc>
          <w:tcPr>
            <w:tcW w:type="dxa" w:w="1560"/>
            <w:tcMar>
              <w:top w:w="90" w:type="dxa"/>
              <w:bottom w:w="90" w:type="dxa"/>
              <w:left w:w="140" w:type="dxa"/>
              <w:right w:w="140" w:type="dxa"/>
            </w:tcMar>
            <w:shd w:fill="F9FBFC"/>
          </w:tcPr>
          <w:p>
            <w:pPr>
              <w:jc w:val="left"/>
            </w:pPr>
            <w:r>
              <w:rPr>
                <w:sz w:val="18"/>
              </w:rPr>
              <w:t>Proposed 1 (Enhanced CNN + Mamba)</w:t>
            </w:r>
          </w:p>
        </w:tc>
        <w:tc>
          <w:tcPr>
            <w:tcW w:type="dxa" w:w="1560"/>
            <w:tcMar>
              <w:top w:w="90" w:type="dxa"/>
              <w:bottom w:w="90" w:type="dxa"/>
              <w:left w:w="140" w:type="dxa"/>
              <w:right w:w="140" w:type="dxa"/>
            </w:tcMar>
            <w:shd w:fill="F9FBFC"/>
          </w:tcPr>
          <w:p>
            <w:pPr>
              <w:jc w:val="center"/>
            </w:pPr>
            <w:r>
              <w:rPr>
                <w:sz w:val="18"/>
              </w:rPr>
              <w:t>11.87</w:t>
            </w:r>
          </w:p>
        </w:tc>
        <w:tc>
          <w:tcPr>
            <w:tcW w:type="dxa" w:w="1560"/>
            <w:tcMar>
              <w:top w:w="90" w:type="dxa"/>
              <w:bottom w:w="90" w:type="dxa"/>
              <w:left w:w="140" w:type="dxa"/>
              <w:right w:w="140" w:type="dxa"/>
            </w:tcMar>
            <w:shd w:fill="F9FBFC"/>
          </w:tcPr>
          <w:p>
            <w:pPr>
              <w:jc w:val="center"/>
            </w:pPr>
            <w:r>
              <w:rPr>
                <w:sz w:val="18"/>
              </w:rPr>
              <w:t>3.709</w:t>
            </w:r>
          </w:p>
        </w:tc>
        <w:tc>
          <w:tcPr>
            <w:tcW w:type="dxa" w:w="1560"/>
            <w:tcMar>
              <w:top w:w="90" w:type="dxa"/>
              <w:bottom w:w="90" w:type="dxa"/>
              <w:left w:w="140" w:type="dxa"/>
              <w:right w:w="140" w:type="dxa"/>
            </w:tcMar>
            <w:shd w:fill="F9FBFC"/>
          </w:tcPr>
          <w:p>
            <w:pPr>
              <w:jc w:val="center"/>
            </w:pPr>
            <w:r>
              <w:rPr>
                <w:sz w:val="18"/>
              </w:rPr>
              <w:t>115.18</w:t>
            </w:r>
          </w:p>
        </w:tc>
        <w:tc>
          <w:tcPr>
            <w:tcW w:type="dxa" w:w="1560"/>
            <w:tcMar>
              <w:top w:w="90" w:type="dxa"/>
              <w:bottom w:w="90" w:type="dxa"/>
              <w:left w:w="140" w:type="dxa"/>
              <w:right w:w="140" w:type="dxa"/>
            </w:tcMar>
            <w:shd w:fill="F9FBFC"/>
          </w:tcPr>
          <w:p>
            <w:pPr>
              <w:jc w:val="center"/>
            </w:pPr>
            <w:r>
              <w:rPr>
                <w:sz w:val="18"/>
              </w:rPr>
              <w:t>98.28</w:t>
            </w:r>
          </w:p>
        </w:tc>
        <w:tc>
          <w:tcPr>
            <w:tcW w:type="dxa" w:w="1560"/>
            <w:tcMar>
              <w:top w:w="90" w:type="dxa"/>
              <w:bottom w:w="90" w:type="dxa"/>
              <w:left w:w="140" w:type="dxa"/>
              <w:right w:w="140" w:type="dxa"/>
            </w:tcMar>
            <w:shd w:fill="F9FBFC"/>
          </w:tcPr>
          <w:p>
            <w:pPr>
              <w:jc w:val="center"/>
            </w:pPr>
            <w:r>
              <w:rPr>
                <w:sz w:val="18"/>
              </w:rPr>
              <w:t>97.89</w:t>
            </w:r>
          </w:p>
        </w:tc>
      </w:tr>
      <w:tr>
        <w:tc>
          <w:tcPr>
            <w:tcW w:type="dxa" w:w="1560"/>
            <w:tcMar>
              <w:top w:w="90" w:type="dxa"/>
              <w:bottom w:w="90" w:type="dxa"/>
              <w:left w:w="140" w:type="dxa"/>
              <w:right w:w="140" w:type="dxa"/>
            </w:tcMar>
          </w:tcPr>
          <w:p>
            <w:pPr>
              <w:jc w:val="left"/>
            </w:pPr>
            <w:r>
              <w:rPr>
                <w:b/>
                <w:color w:val="002B66"/>
                <w:sz w:val="18"/>
              </w:rPr>
              <w:t>Proposed 2 (Enhanced GCN + CNN)</w:t>
            </w:r>
          </w:p>
        </w:tc>
        <w:tc>
          <w:tcPr>
            <w:tcW w:type="dxa" w:w="1560"/>
            <w:tcMar>
              <w:top w:w="90" w:type="dxa"/>
              <w:bottom w:w="90" w:type="dxa"/>
              <w:left w:w="140" w:type="dxa"/>
              <w:right w:w="140" w:type="dxa"/>
            </w:tcMar>
          </w:tcPr>
          <w:p>
            <w:pPr>
              <w:jc w:val="center"/>
            </w:pPr>
            <w:r>
              <w:rPr>
                <w:b/>
                <w:sz w:val="18"/>
              </w:rPr>
              <w:t>1.11</w:t>
            </w:r>
          </w:p>
        </w:tc>
        <w:tc>
          <w:tcPr>
            <w:tcW w:type="dxa" w:w="1560"/>
            <w:tcMar>
              <w:top w:w="90" w:type="dxa"/>
              <w:bottom w:w="90" w:type="dxa"/>
              <w:left w:w="140" w:type="dxa"/>
              <w:right w:w="140" w:type="dxa"/>
            </w:tcMar>
          </w:tcPr>
          <w:p>
            <w:pPr>
              <w:jc w:val="center"/>
            </w:pPr>
            <w:r>
              <w:rPr>
                <w:b/>
                <w:sz w:val="18"/>
              </w:rPr>
              <w:t>0.124</w:t>
            </w:r>
          </w:p>
        </w:tc>
        <w:tc>
          <w:tcPr>
            <w:tcW w:type="dxa" w:w="1560"/>
            <w:tcMar>
              <w:top w:w="90" w:type="dxa"/>
              <w:bottom w:w="90" w:type="dxa"/>
              <w:left w:w="140" w:type="dxa"/>
              <w:right w:w="140" w:type="dxa"/>
            </w:tcMar>
          </w:tcPr>
          <w:p>
            <w:pPr>
              <w:jc w:val="center"/>
            </w:pPr>
            <w:r>
              <w:rPr>
                <w:b/>
                <w:sz w:val="18"/>
              </w:rPr>
              <w:t>22.19</w:t>
            </w:r>
          </w:p>
        </w:tc>
        <w:tc>
          <w:tcPr>
            <w:tcW w:type="dxa" w:w="1560"/>
            <w:tcMar>
              <w:top w:w="90" w:type="dxa"/>
              <w:bottom w:w="90" w:type="dxa"/>
              <w:left w:w="140" w:type="dxa"/>
              <w:right w:w="140" w:type="dxa"/>
            </w:tcMar>
          </w:tcPr>
          <w:p>
            <w:pPr>
              <w:jc w:val="center"/>
            </w:pPr>
            <w:r>
              <w:rPr>
                <w:b/>
                <w:sz w:val="18"/>
              </w:rPr>
              <w:t>92.24</w:t>
            </w:r>
          </w:p>
        </w:tc>
        <w:tc>
          <w:tcPr>
            <w:tcW w:type="dxa" w:w="1560"/>
            <w:tcMar>
              <w:top w:w="90" w:type="dxa"/>
              <w:bottom w:w="90" w:type="dxa"/>
              <w:left w:w="140" w:type="dxa"/>
              <w:right w:w="140" w:type="dxa"/>
            </w:tcMar>
          </w:tcPr>
          <w:p>
            <w:pPr>
              <w:jc w:val="center"/>
            </w:pPr>
            <w:r>
              <w:rPr>
                <w:b/>
                <w:sz w:val="18"/>
              </w:rPr>
              <w:t>91.85</w:t>
            </w:r>
          </w:p>
        </w:tc>
      </w:tr>
    </w:tbl>
    <w:p>
      <w:pPr>
        <w:spacing w:line="276" w:lineRule="auto" w:after="100"/>
        <w:ind w:firstLine="360"/>
        <w:jc w:val="both"/>
      </w:pPr>
      <w:r>
        <w:rPr>
          <w:rFonts w:ascii="Times New Roman" w:hAnsi="Times New Roman"/>
          <w:color w:val="222222"/>
          <w:sz w:val="21"/>
        </w:rPr>
        <w:t>As established in Table I, Proposed Model 1 (Selective SSM) attains top-tier recognition accuracy across all paradigms (98.28% Top-1 Acc, 97.89% Macro-F1), matching modern transferred backbones while outperforming the recurrent CNN + Bi-LSTM baseline by +8.62% and running 1.74x faster (115.18 ms vs. 200.93 ms) owing to Mamba's linear scan. Concurrently, Proposed Model 2 (Dual-Stream GCN + CNN) achieves extraordinary hardware parsimony (92.24% Top-1 Acc, 91.85% Macro-F1), slashing parameters by 10.7x (1.11M vs. 11.91M), reducing theoretical FLOPs by 30.1x (0.124G vs. 3.718G), and running at an ultra-low latency of 22.19 ms (9.1x faster than Baseline), establishing the optimal operating envelope for mobile edge assistive deployment.</w:t>
      </w:r>
    </w:p>
    <w:p>
      <w:pPr>
        <w:spacing w:before="120" w:after="40"/>
        <w:jc w:val="center"/>
      </w:pPr>
      <w:r>
        <w:drawing>
          <wp:inline xmlns:a="http://schemas.openxmlformats.org/drawingml/2006/main" xmlns:pic="http://schemas.openxmlformats.org/drawingml/2006/picture">
            <wp:extent cx="5303520" cy="3260099"/>
            <wp:docPr id="2" name="Picture 2"/>
            <wp:cNvGraphicFramePr>
              <a:graphicFrameLocks noChangeAspect="1"/>
            </wp:cNvGraphicFramePr>
            <a:graphic>
              <a:graphicData uri="http://schemas.openxmlformats.org/drawingml/2006/picture">
                <pic:pic>
                  <pic:nvPicPr>
                    <pic:cNvPr id="0" name="fig_accuracy_vs_params.png"/>
                    <pic:cNvPicPr/>
                  </pic:nvPicPr>
                  <pic:blipFill>
                    <a:blip r:embed="rId10"/>
                    <a:stretch>
                      <a:fillRect/>
                    </a:stretch>
                  </pic:blipFill>
                  <pic:spPr>
                    <a:xfrm>
                      <a:off x="0" y="0"/>
                      <a:ext cx="5303520" cy="3260099"/>
                    </a:xfrm>
                    <a:prstGeom prst="rect"/>
                  </pic:spPr>
                </pic:pic>
              </a:graphicData>
            </a:graphic>
          </wp:inline>
        </w:drawing>
      </w:r>
    </w:p>
    <w:p>
      <w:pPr>
        <w:spacing w:after="240"/>
        <w:jc w:val="center"/>
      </w:pPr>
      <w:r>
        <w:rPr>
          <w:b/>
          <w:color w:val="002B66"/>
          <w:sz w:val="19"/>
        </w:rPr>
        <w:t>Fig. 2.  Model recognition accuracy vs. parameter footprint Pareto trade-off (bubble area is proportional to inference latency in ms).</w:t>
      </w:r>
    </w:p>
    <w:p>
      <w:pPr>
        <w:spacing w:before="120" w:after="40"/>
        <w:jc w:val="center"/>
      </w:pPr>
      <w:r>
        <w:drawing>
          <wp:inline xmlns:a="http://schemas.openxmlformats.org/drawingml/2006/main" xmlns:pic="http://schemas.openxmlformats.org/drawingml/2006/picture">
            <wp:extent cx="5303520" cy="3163267"/>
            <wp:docPr id="3" name="Picture 3"/>
            <wp:cNvGraphicFramePr>
              <a:graphicFrameLocks noChangeAspect="1"/>
            </wp:cNvGraphicFramePr>
            <a:graphic>
              <a:graphicData uri="http://schemas.openxmlformats.org/drawingml/2006/picture">
                <pic:pic>
                  <pic:nvPicPr>
                    <pic:cNvPr id="0" name="fig_flops_vs_latency.png"/>
                    <pic:cNvPicPr/>
                  </pic:nvPicPr>
                  <pic:blipFill>
                    <a:blip r:embed="rId11"/>
                    <a:stretch>
                      <a:fillRect/>
                    </a:stretch>
                  </pic:blipFill>
                  <pic:spPr>
                    <a:xfrm>
                      <a:off x="0" y="0"/>
                      <a:ext cx="5303520" cy="3163267"/>
                    </a:xfrm>
                    <a:prstGeom prst="rect"/>
                  </pic:spPr>
                </pic:pic>
              </a:graphicData>
            </a:graphic>
          </wp:inline>
        </w:drawing>
      </w:r>
    </w:p>
    <w:p>
      <w:pPr>
        <w:spacing w:after="240"/>
        <w:jc w:val="center"/>
      </w:pPr>
      <w:r>
        <w:rPr>
          <w:b/>
          <w:color w:val="002B66"/>
          <w:sz w:val="19"/>
        </w:rPr>
        <w:t>Fig. 3.  Computational efficiency landscape: FLOPs (G) vs. measured inference latency (ms), highlighting target edge budget.</w:t>
      </w:r>
    </w:p>
    <w:p>
      <w:pPr>
        <w:spacing w:before="200" w:after="60"/>
        <w:jc w:val="left"/>
      </w:pPr>
      <w:r>
        <w:rPr>
          <w:rFonts w:ascii="Times New Roman" w:hAnsi="Times New Roman"/>
          <w:b/>
          <w:i/>
          <w:color w:val="002B66"/>
          <w:sz w:val="22"/>
        </w:rPr>
        <w:t>B.  Modality Stream Synergy &amp; Isolation Analysis</w:t>
      </w:r>
    </w:p>
    <w:p>
      <w:pPr>
        <w:spacing w:line="276" w:lineRule="auto" w:after="100"/>
        <w:ind w:firstLine="360"/>
        <w:jc w:val="both"/>
      </w:pPr>
      <w:r>
        <w:rPr>
          <w:rFonts w:ascii="Times New Roman" w:hAnsi="Times New Roman"/>
          <w:color w:val="222222"/>
          <w:sz w:val="21"/>
        </w:rPr>
        <w:t>To rigorously quantify the separate contribution of skeletal landmark geometry versus RGB appearance, Table II and Fig. 4 decompose the modalities.</w:t>
      </w:r>
    </w:p>
    <w:p>
      <w:pPr>
        <w:spacing w:before="160" w:after="80"/>
        <w:jc w:val="center"/>
      </w:pPr>
      <w:r>
        <w:rPr>
          <w:b/>
          <w:color w:val="002B66"/>
          <w:sz w:val="19"/>
        </w:rPr>
        <w:t>TABLE II: MODALITY ISOLATION &amp; SYNERGISTIC FUSION DECOMPOSITION</w:t>
      </w:r>
    </w:p>
    <w:tbl>
      <w:tblPr>
        <w:tblW w:type="auto" w:w="0"/>
        <w:jc w:val="center"/>
        <w:tblLook w:firstColumn="1" w:firstRow="1" w:lastColumn="0" w:lastRow="0" w:noHBand="0" w:noVBand="1" w:val="04A0"/>
        <w:tblBorders>
          <w:top w:val="single" w:sz="12" w:space="0" w:color="002B66"/>
          <w:bottom w:val="single" w:sz="12" w:space="0" w:color="002B66"/>
          <w:insideH w:val="single" w:sz="4" w:space="0" w:color="B0C4DE"/>
          <w:left w:val="none"/>
          <w:right w:val="none"/>
          <w:insideV w:val="none"/>
        </w:tblBorders>
      </w:tblPr>
      <w:tblGrid>
        <w:gridCol w:w="1872"/>
        <w:gridCol w:w="1872"/>
        <w:gridCol w:w="1872"/>
        <w:gridCol w:w="1872"/>
        <w:gridCol w:w="1872"/>
      </w:tblGrid>
      <w:tr>
        <w:tc>
          <w:tcPr>
            <w:tcW w:type="dxa" w:w="1872"/>
            <w:shd w:fill="EBF1F5"/>
            <w:tcMar>
              <w:top w:w="120" w:type="dxa"/>
              <w:bottom w:w="120" w:type="dxa"/>
              <w:left w:w="140" w:type="dxa"/>
              <w:right w:w="140" w:type="dxa"/>
            </w:tcMar>
          </w:tcPr>
          <w:p>
            <w:pPr>
              <w:jc w:val="left"/>
            </w:pPr>
            <w:r>
              <w:rPr>
                <w:b/>
                <w:color w:val="002B66"/>
                <w:sz w:val="18"/>
              </w:rPr>
              <w:t>Stream Configuration</w:t>
            </w:r>
          </w:p>
        </w:tc>
        <w:tc>
          <w:tcPr>
            <w:tcW w:type="dxa" w:w="1872"/>
            <w:shd w:fill="EBF1F5"/>
            <w:tcMar>
              <w:top w:w="120" w:type="dxa"/>
              <w:bottom w:w="120" w:type="dxa"/>
              <w:left w:w="140" w:type="dxa"/>
              <w:right w:w="140" w:type="dxa"/>
            </w:tcMar>
          </w:tcPr>
          <w:p>
            <w:pPr>
              <w:jc w:val="center"/>
            </w:pPr>
            <w:r>
              <w:rPr>
                <w:b/>
                <w:color w:val="002B66"/>
                <w:sz w:val="18"/>
              </w:rPr>
              <w:t>Input Modality</w:t>
            </w:r>
          </w:p>
        </w:tc>
        <w:tc>
          <w:tcPr>
            <w:tcW w:type="dxa" w:w="1872"/>
            <w:shd w:fill="EBF1F5"/>
            <w:tcMar>
              <w:top w:w="120" w:type="dxa"/>
              <w:bottom w:w="120" w:type="dxa"/>
              <w:left w:w="140" w:type="dxa"/>
              <w:right w:w="140" w:type="dxa"/>
            </w:tcMar>
          </w:tcPr>
          <w:p>
            <w:pPr>
              <w:jc w:val="center"/>
            </w:pPr>
            <w:r>
              <w:rPr>
                <w:b/>
                <w:color w:val="002B66"/>
                <w:sz w:val="18"/>
              </w:rPr>
              <w:t>Params (M)</w:t>
            </w:r>
          </w:p>
        </w:tc>
        <w:tc>
          <w:tcPr>
            <w:tcW w:type="dxa" w:w="1872"/>
            <w:shd w:fill="EBF1F5"/>
            <w:tcMar>
              <w:top w:w="120" w:type="dxa"/>
              <w:bottom w:w="120" w:type="dxa"/>
              <w:left w:w="140" w:type="dxa"/>
              <w:right w:w="140" w:type="dxa"/>
            </w:tcMar>
          </w:tcPr>
          <w:p>
            <w:pPr>
              <w:jc w:val="center"/>
            </w:pPr>
            <w:r>
              <w:rPr>
                <w:b/>
                <w:color w:val="002B66"/>
                <w:sz w:val="18"/>
              </w:rPr>
              <w:t>Clean Acc (%)</w:t>
            </w:r>
          </w:p>
        </w:tc>
        <w:tc>
          <w:tcPr>
            <w:tcW w:type="dxa" w:w="1872"/>
            <w:shd w:fill="EBF1F5"/>
            <w:tcMar>
              <w:top w:w="120" w:type="dxa"/>
              <w:bottom w:w="120" w:type="dxa"/>
              <w:left w:w="140" w:type="dxa"/>
              <w:right w:w="140" w:type="dxa"/>
            </w:tcMar>
          </w:tcPr>
          <w:p>
            <w:pPr>
              <w:jc w:val="center"/>
            </w:pPr>
            <w:r>
              <w:rPr>
                <w:b/>
                <w:color w:val="002B66"/>
                <w:sz w:val="18"/>
              </w:rPr>
              <w:t>Stress Acc (%)</w:t>
            </w:r>
          </w:p>
        </w:tc>
      </w:tr>
      <w:tr>
        <w:tc>
          <w:tcPr>
            <w:tcW w:type="dxa" w:w="1872"/>
            <w:tcMar>
              <w:top w:w="90" w:type="dxa"/>
              <w:bottom w:w="90" w:type="dxa"/>
              <w:left w:w="140" w:type="dxa"/>
              <w:right w:w="140" w:type="dxa"/>
            </w:tcMar>
          </w:tcPr>
          <w:p>
            <w:pPr>
              <w:jc w:val="left"/>
            </w:pPr>
            <w:r>
              <w:rPr>
                <w:sz w:val="18"/>
              </w:rPr>
              <w:t>Skeleton Only (Pure GCN)</w:t>
            </w:r>
          </w:p>
        </w:tc>
        <w:tc>
          <w:tcPr>
            <w:tcW w:type="dxa" w:w="1872"/>
            <w:tcMar>
              <w:top w:w="90" w:type="dxa"/>
              <w:bottom w:w="90" w:type="dxa"/>
              <w:left w:w="140" w:type="dxa"/>
              <w:right w:w="140" w:type="dxa"/>
            </w:tcMar>
          </w:tcPr>
          <w:p>
            <w:pPr>
              <w:jc w:val="center"/>
            </w:pPr>
            <w:r>
              <w:rPr>
                <w:sz w:val="18"/>
              </w:rPr>
              <w:t>21 3D Landmarks</w:t>
            </w:r>
          </w:p>
        </w:tc>
        <w:tc>
          <w:tcPr>
            <w:tcW w:type="dxa" w:w="1872"/>
            <w:tcMar>
              <w:top w:w="90" w:type="dxa"/>
              <w:bottom w:w="90" w:type="dxa"/>
              <w:left w:w="140" w:type="dxa"/>
              <w:right w:w="140" w:type="dxa"/>
            </w:tcMar>
          </w:tcPr>
          <w:p>
            <w:pPr>
              <w:jc w:val="center"/>
            </w:pPr>
            <w:r>
              <w:rPr>
                <w:sz w:val="18"/>
              </w:rPr>
              <w:t>0.06</w:t>
            </w:r>
          </w:p>
        </w:tc>
        <w:tc>
          <w:tcPr>
            <w:tcW w:type="dxa" w:w="1872"/>
            <w:tcMar>
              <w:top w:w="90" w:type="dxa"/>
              <w:bottom w:w="90" w:type="dxa"/>
              <w:left w:w="140" w:type="dxa"/>
              <w:right w:w="140" w:type="dxa"/>
            </w:tcMar>
          </w:tcPr>
          <w:p>
            <w:pPr>
              <w:jc w:val="center"/>
            </w:pPr>
            <w:r>
              <w:rPr>
                <w:sz w:val="18"/>
              </w:rPr>
              <w:t>70.69</w:t>
            </w:r>
          </w:p>
        </w:tc>
        <w:tc>
          <w:tcPr>
            <w:tcW w:type="dxa" w:w="1872"/>
            <w:tcMar>
              <w:top w:w="90" w:type="dxa"/>
              <w:bottom w:w="90" w:type="dxa"/>
              <w:left w:w="140" w:type="dxa"/>
              <w:right w:w="140" w:type="dxa"/>
            </w:tcMar>
          </w:tcPr>
          <w:p>
            <w:pPr>
              <w:jc w:val="center"/>
            </w:pPr>
            <w:r>
              <w:rPr>
                <w:sz w:val="18"/>
              </w:rPr>
              <w:t>70.69 (+0.0% delta)</w:t>
            </w:r>
          </w:p>
        </w:tc>
      </w:tr>
      <w:tr>
        <w:tc>
          <w:tcPr>
            <w:tcW w:type="dxa" w:w="1872"/>
            <w:tcMar>
              <w:top w:w="90" w:type="dxa"/>
              <w:bottom w:w="90" w:type="dxa"/>
              <w:left w:w="140" w:type="dxa"/>
              <w:right w:w="140" w:type="dxa"/>
            </w:tcMar>
            <w:shd w:fill="F9FBFC"/>
          </w:tcPr>
          <w:p>
            <w:pPr>
              <w:jc w:val="left"/>
            </w:pPr>
            <w:r>
              <w:rPr>
                <w:sz w:val="18"/>
              </w:rPr>
              <w:t>Vision Only (MobileNetV3)</w:t>
            </w:r>
          </w:p>
        </w:tc>
        <w:tc>
          <w:tcPr>
            <w:tcW w:type="dxa" w:w="1872"/>
            <w:tcMar>
              <w:top w:w="90" w:type="dxa"/>
              <w:bottom w:w="90" w:type="dxa"/>
              <w:left w:w="140" w:type="dxa"/>
              <w:right w:w="140" w:type="dxa"/>
            </w:tcMar>
            <w:shd w:fill="F9FBFC"/>
          </w:tcPr>
          <w:p>
            <w:pPr>
              <w:jc w:val="center"/>
            </w:pPr>
            <w:r>
              <w:rPr>
                <w:sz w:val="18"/>
              </w:rPr>
              <w:t>RGB Frame</w:t>
            </w:r>
          </w:p>
        </w:tc>
        <w:tc>
          <w:tcPr>
            <w:tcW w:type="dxa" w:w="1872"/>
            <w:tcMar>
              <w:top w:w="90" w:type="dxa"/>
              <w:bottom w:w="90" w:type="dxa"/>
              <w:left w:w="140" w:type="dxa"/>
              <w:right w:w="140" w:type="dxa"/>
            </w:tcMar>
            <w:shd w:fill="F9FBFC"/>
          </w:tcPr>
          <w:p>
            <w:pPr>
              <w:jc w:val="center"/>
            </w:pPr>
            <w:r>
              <w:rPr>
                <w:sz w:val="18"/>
              </w:rPr>
              <w:t>1.02</w:t>
            </w:r>
          </w:p>
        </w:tc>
        <w:tc>
          <w:tcPr>
            <w:tcW w:type="dxa" w:w="1872"/>
            <w:tcMar>
              <w:top w:w="90" w:type="dxa"/>
              <w:bottom w:w="90" w:type="dxa"/>
              <w:left w:w="140" w:type="dxa"/>
              <w:right w:w="140" w:type="dxa"/>
            </w:tcMar>
            <w:shd w:fill="F9FBFC"/>
          </w:tcPr>
          <w:p>
            <w:pPr>
              <w:jc w:val="center"/>
            </w:pPr>
            <w:r>
              <w:rPr>
                <w:sz w:val="18"/>
              </w:rPr>
              <w:t>93.10</w:t>
            </w:r>
          </w:p>
        </w:tc>
        <w:tc>
          <w:tcPr>
            <w:tcW w:type="dxa" w:w="1872"/>
            <w:tcMar>
              <w:top w:w="90" w:type="dxa"/>
              <w:bottom w:w="90" w:type="dxa"/>
              <w:left w:w="140" w:type="dxa"/>
              <w:right w:w="140" w:type="dxa"/>
            </w:tcMar>
            <w:shd w:fill="F9FBFC"/>
          </w:tcPr>
          <w:p>
            <w:pPr>
              <w:jc w:val="center"/>
            </w:pPr>
            <w:r>
              <w:rPr>
                <w:sz w:val="18"/>
              </w:rPr>
              <w:t>3.45 (-89.7% delta)</w:t>
            </w:r>
          </w:p>
        </w:tc>
      </w:tr>
      <w:tr>
        <w:tc>
          <w:tcPr>
            <w:tcW w:type="dxa" w:w="1872"/>
            <w:tcMar>
              <w:top w:w="90" w:type="dxa"/>
              <w:bottom w:w="90" w:type="dxa"/>
              <w:left w:w="140" w:type="dxa"/>
              <w:right w:w="140" w:type="dxa"/>
            </w:tcMar>
          </w:tcPr>
          <w:p>
            <w:pPr>
              <w:jc w:val="left"/>
            </w:pPr>
            <w:r>
              <w:rPr>
                <w:sz w:val="18"/>
              </w:rPr>
              <w:t>Dual-Modal (Proposed 2: Concat)</w:t>
            </w:r>
          </w:p>
        </w:tc>
        <w:tc>
          <w:tcPr>
            <w:tcW w:type="dxa" w:w="1872"/>
            <w:tcMar>
              <w:top w:w="90" w:type="dxa"/>
              <w:bottom w:w="90" w:type="dxa"/>
              <w:left w:w="140" w:type="dxa"/>
              <w:right w:w="140" w:type="dxa"/>
            </w:tcMar>
          </w:tcPr>
          <w:p>
            <w:pPr>
              <w:jc w:val="center"/>
            </w:pPr>
            <w:r>
              <w:rPr>
                <w:sz w:val="18"/>
              </w:rPr>
              <w:t>RGB + Landmarks</w:t>
            </w:r>
          </w:p>
        </w:tc>
        <w:tc>
          <w:tcPr>
            <w:tcW w:type="dxa" w:w="1872"/>
            <w:tcMar>
              <w:top w:w="90" w:type="dxa"/>
              <w:bottom w:w="90" w:type="dxa"/>
              <w:left w:w="140" w:type="dxa"/>
              <w:right w:w="140" w:type="dxa"/>
            </w:tcMar>
          </w:tcPr>
          <w:p>
            <w:pPr>
              <w:jc w:val="center"/>
            </w:pPr>
            <w:r>
              <w:rPr>
                <w:sz w:val="18"/>
              </w:rPr>
              <w:t>1.08</w:t>
            </w:r>
          </w:p>
        </w:tc>
        <w:tc>
          <w:tcPr>
            <w:tcW w:type="dxa" w:w="1872"/>
            <w:tcMar>
              <w:top w:w="90" w:type="dxa"/>
              <w:bottom w:w="90" w:type="dxa"/>
              <w:left w:w="140" w:type="dxa"/>
              <w:right w:w="140" w:type="dxa"/>
            </w:tcMar>
          </w:tcPr>
          <w:p>
            <w:pPr>
              <w:jc w:val="center"/>
            </w:pPr>
            <w:r>
              <w:rPr>
                <w:sz w:val="18"/>
              </w:rPr>
              <w:t>91.38</w:t>
            </w:r>
          </w:p>
        </w:tc>
        <w:tc>
          <w:tcPr>
            <w:tcW w:type="dxa" w:w="1872"/>
            <w:tcMar>
              <w:top w:w="90" w:type="dxa"/>
              <w:bottom w:w="90" w:type="dxa"/>
              <w:left w:w="140" w:type="dxa"/>
              <w:right w:w="140" w:type="dxa"/>
            </w:tcMar>
          </w:tcPr>
          <w:p>
            <w:pPr>
              <w:jc w:val="center"/>
            </w:pPr>
            <w:r>
              <w:rPr>
                <w:sz w:val="18"/>
              </w:rPr>
              <w:t>36.21 (-55.2% delta)</w:t>
            </w:r>
          </w:p>
        </w:tc>
      </w:tr>
      <w:tr>
        <w:tc>
          <w:tcPr>
            <w:tcW w:type="dxa" w:w="1872"/>
            <w:tcMar>
              <w:top w:w="90" w:type="dxa"/>
              <w:bottom w:w="90" w:type="dxa"/>
              <w:left w:w="140" w:type="dxa"/>
              <w:right w:w="140" w:type="dxa"/>
            </w:tcMar>
            <w:shd w:fill="F9FBFC"/>
          </w:tcPr>
          <w:p>
            <w:pPr>
              <w:jc w:val="left"/>
            </w:pPr>
            <w:r>
              <w:rPr>
                <w:b/>
                <w:color w:val="002B66"/>
                <w:sz w:val="18"/>
              </w:rPr>
              <w:t>Dual-Modal (Proposed 2: Gated)</w:t>
            </w:r>
          </w:p>
        </w:tc>
        <w:tc>
          <w:tcPr>
            <w:tcW w:type="dxa" w:w="1872"/>
            <w:tcMar>
              <w:top w:w="90" w:type="dxa"/>
              <w:bottom w:w="90" w:type="dxa"/>
              <w:left w:w="140" w:type="dxa"/>
              <w:right w:w="140" w:type="dxa"/>
            </w:tcMar>
            <w:shd w:fill="F9FBFC"/>
          </w:tcPr>
          <w:p>
            <w:pPr>
              <w:jc w:val="center"/>
            </w:pPr>
            <w:r>
              <w:rPr>
                <w:b/>
                <w:sz w:val="18"/>
              </w:rPr>
              <w:t>RGB + Landmarks</w:t>
            </w:r>
          </w:p>
        </w:tc>
        <w:tc>
          <w:tcPr>
            <w:tcW w:type="dxa" w:w="1872"/>
            <w:tcMar>
              <w:top w:w="90" w:type="dxa"/>
              <w:bottom w:w="90" w:type="dxa"/>
              <w:left w:w="140" w:type="dxa"/>
              <w:right w:w="140" w:type="dxa"/>
            </w:tcMar>
            <w:shd w:fill="F9FBFC"/>
          </w:tcPr>
          <w:p>
            <w:pPr>
              <w:jc w:val="center"/>
            </w:pPr>
            <w:r>
              <w:rPr>
                <w:b/>
                <w:sz w:val="18"/>
              </w:rPr>
              <w:t>1.11</w:t>
            </w:r>
          </w:p>
        </w:tc>
        <w:tc>
          <w:tcPr>
            <w:tcW w:type="dxa" w:w="1872"/>
            <w:tcMar>
              <w:top w:w="90" w:type="dxa"/>
              <w:bottom w:w="90" w:type="dxa"/>
              <w:left w:w="140" w:type="dxa"/>
              <w:right w:w="140" w:type="dxa"/>
            </w:tcMar>
            <w:shd w:fill="F9FBFC"/>
          </w:tcPr>
          <w:p>
            <w:pPr>
              <w:jc w:val="center"/>
            </w:pPr>
            <w:r>
              <w:rPr>
                <w:b/>
                <w:sz w:val="18"/>
              </w:rPr>
              <w:t>92.24</w:t>
            </w:r>
          </w:p>
        </w:tc>
        <w:tc>
          <w:tcPr>
            <w:tcW w:type="dxa" w:w="1872"/>
            <w:tcMar>
              <w:top w:w="90" w:type="dxa"/>
              <w:bottom w:w="90" w:type="dxa"/>
              <w:left w:w="140" w:type="dxa"/>
              <w:right w:w="140" w:type="dxa"/>
            </w:tcMar>
            <w:shd w:fill="F9FBFC"/>
          </w:tcPr>
          <w:p>
            <w:pPr>
              <w:jc w:val="center"/>
            </w:pPr>
            <w:r>
              <w:rPr>
                <w:b/>
                <w:sz w:val="18"/>
              </w:rPr>
              <w:t>43.97 (-48.3% delta)</w:t>
            </w:r>
          </w:p>
        </w:tc>
      </w:tr>
    </w:tbl>
    <w:p>
      <w:pPr>
        <w:spacing w:line="276" w:lineRule="auto" w:after="100"/>
        <w:ind w:firstLine="360"/>
        <w:jc w:val="both"/>
      </w:pPr>
      <w:r>
        <w:rPr>
          <w:rFonts w:ascii="Times New Roman" w:hAnsi="Times New Roman"/>
          <w:color w:val="222222"/>
          <w:sz w:val="21"/>
        </w:rPr>
        <w:t>Discussion of Modality Synergy: Pure Skeletal GCN alone achieves 70.69% accuracy with only 59k parameters and 0.002 GFLOPs, showing 0.00% performance degradation under optical noise (100.0% retention). Standalone MobileNetV3 achieves 93.10% clean accuracy, but drops sharply to 3.45% under low light and sensor noise (-89.66% degradation delta). Fusing both modalities with simple concatenation elevates stress accuracy to 36.21%, while dynamic confidence gating achieves the highest adverse stress accuracy (43.97%), limiting degradation delta to -48.28% by dynamically suppressing corrupted visual channels in favor of invariant 3D landmarks.</w:t>
      </w:r>
    </w:p>
    <w:p>
      <w:pPr>
        <w:spacing w:before="120" w:after="40"/>
        <w:jc w:val="center"/>
      </w:pPr>
      <w:r>
        <w:drawing>
          <wp:inline xmlns:a="http://schemas.openxmlformats.org/drawingml/2006/main" xmlns:pic="http://schemas.openxmlformats.org/drawingml/2006/picture">
            <wp:extent cx="5303520" cy="2778034"/>
            <wp:docPr id="4" name="Picture 4"/>
            <wp:cNvGraphicFramePr>
              <a:graphicFrameLocks noChangeAspect="1"/>
            </wp:cNvGraphicFramePr>
            <a:graphic>
              <a:graphicData uri="http://schemas.openxmlformats.org/drawingml/2006/picture">
                <pic:pic>
                  <pic:nvPicPr>
                    <pic:cNvPr id="0" name="fig_modality_ablation.png"/>
                    <pic:cNvPicPr/>
                  </pic:nvPicPr>
                  <pic:blipFill>
                    <a:blip r:embed="rId12"/>
                    <a:stretch>
                      <a:fillRect/>
                    </a:stretch>
                  </pic:blipFill>
                  <pic:spPr>
                    <a:xfrm>
                      <a:off x="0" y="0"/>
                      <a:ext cx="5303520" cy="2778034"/>
                    </a:xfrm>
                    <a:prstGeom prst="rect"/>
                  </pic:spPr>
                </pic:pic>
              </a:graphicData>
            </a:graphic>
          </wp:inline>
        </w:drawing>
      </w:r>
    </w:p>
    <w:p>
      <w:pPr>
        <w:spacing w:after="240"/>
        <w:jc w:val="center"/>
      </w:pPr>
      <w:r>
        <w:rPr>
          <w:b/>
          <w:color w:val="002B66"/>
          <w:sz w:val="19"/>
        </w:rPr>
        <w:t>Fig. 4.  Modality stream decomposition: Clean vs. adverse stress test accuracy across skeletal, visual, and dual-modal streams.</w:t>
      </w:r>
    </w:p>
    <w:p>
      <w:pPr>
        <w:spacing w:before="200" w:after="60"/>
        <w:jc w:val="left"/>
      </w:pPr>
      <w:r>
        <w:rPr>
          <w:rFonts w:ascii="Times New Roman" w:hAnsi="Times New Roman"/>
          <w:b/>
          <w:i/>
          <w:color w:val="002B66"/>
          <w:sz w:val="22"/>
        </w:rPr>
        <w:t>C.  Statistical Significance &amp; 95% Confidence Intervals</w:t>
      </w:r>
    </w:p>
    <w:p>
      <w:pPr>
        <w:spacing w:line="276" w:lineRule="auto" w:after="100"/>
        <w:ind w:firstLine="360"/>
        <w:jc w:val="both"/>
      </w:pPr>
      <w:r>
        <w:rPr>
          <w:rFonts w:ascii="Times New Roman" w:hAnsi="Times New Roman"/>
          <w:color w:val="222222"/>
          <w:sz w:val="21"/>
        </w:rPr>
        <w:t>To satisfy rigorous IEEE TMM validation standards, all architectures were evaluated across 5 distinct random seed initializations. Table III and Fig. 5 report the mean accuracy, standard deviations, 95% Confidence Intervals (CI), and paired t-test p-values relative to the Baseline.</w:t>
      </w:r>
    </w:p>
    <w:p>
      <w:pPr>
        <w:spacing w:before="160" w:after="80"/>
        <w:jc w:val="center"/>
      </w:pPr>
      <w:r>
        <w:rPr>
          <w:b/>
          <w:color w:val="002B66"/>
          <w:sz w:val="19"/>
        </w:rPr>
        <w:t>TABLE III: STATISTICAL SIGNIFICANCE AND 95% CONFIDENCE INTERVALS (5 RANDOM SEEDS)</w:t>
      </w:r>
    </w:p>
    <w:tbl>
      <w:tblPr>
        <w:tblW w:type="auto" w:w="0"/>
        <w:jc w:val="center"/>
        <w:tblLook w:firstColumn="1" w:firstRow="1" w:lastColumn="0" w:lastRow="0" w:noHBand="0" w:noVBand="1" w:val="04A0"/>
        <w:tblBorders>
          <w:top w:val="single" w:sz="12" w:space="0" w:color="002B66"/>
          <w:bottom w:val="single" w:sz="12" w:space="0" w:color="002B66"/>
          <w:insideH w:val="single" w:sz="4" w:space="0" w:color="B0C4DE"/>
          <w:left w:val="none"/>
          <w:right w:val="none"/>
          <w:insideV w:val="none"/>
        </w:tblBorders>
      </w:tblPr>
      <w:tblGrid>
        <w:gridCol w:w="1872"/>
        <w:gridCol w:w="1872"/>
        <w:gridCol w:w="1872"/>
        <w:gridCol w:w="1872"/>
        <w:gridCol w:w="1872"/>
      </w:tblGrid>
      <w:tr>
        <w:tc>
          <w:tcPr>
            <w:tcW w:type="dxa" w:w="1872"/>
            <w:shd w:fill="EBF1F5"/>
            <w:tcMar>
              <w:top w:w="120" w:type="dxa"/>
              <w:bottom w:w="120" w:type="dxa"/>
              <w:left w:w="140" w:type="dxa"/>
              <w:right w:w="140" w:type="dxa"/>
            </w:tcMar>
          </w:tcPr>
          <w:p>
            <w:pPr>
              <w:jc w:val="left"/>
            </w:pPr>
            <w:r>
              <w:rPr>
                <w:b/>
                <w:color w:val="002B66"/>
                <w:sz w:val="18"/>
              </w:rPr>
              <w:t>Architecture</w:t>
            </w:r>
          </w:p>
        </w:tc>
        <w:tc>
          <w:tcPr>
            <w:tcW w:type="dxa" w:w="1872"/>
            <w:shd w:fill="EBF1F5"/>
            <w:tcMar>
              <w:top w:w="120" w:type="dxa"/>
              <w:bottom w:w="120" w:type="dxa"/>
              <w:left w:w="140" w:type="dxa"/>
              <w:right w:w="140" w:type="dxa"/>
            </w:tcMar>
          </w:tcPr>
          <w:p>
            <w:pPr>
              <w:jc w:val="center"/>
            </w:pPr>
            <w:r>
              <w:rPr>
                <w:b/>
                <w:color w:val="002B66"/>
                <w:sz w:val="18"/>
              </w:rPr>
              <w:t>Mean Top-1 (%)</w:t>
            </w:r>
          </w:p>
        </w:tc>
        <w:tc>
          <w:tcPr>
            <w:tcW w:type="dxa" w:w="1872"/>
            <w:shd w:fill="EBF1F5"/>
            <w:tcMar>
              <w:top w:w="120" w:type="dxa"/>
              <w:bottom w:w="120" w:type="dxa"/>
              <w:left w:w="140" w:type="dxa"/>
              <w:right w:w="140" w:type="dxa"/>
            </w:tcMar>
          </w:tcPr>
          <w:p>
            <w:pPr>
              <w:jc w:val="center"/>
            </w:pPr>
            <w:r>
              <w:rPr>
                <w:b/>
                <w:color w:val="002B66"/>
                <w:sz w:val="18"/>
              </w:rPr>
              <w:t>Std Dev (%)</w:t>
            </w:r>
          </w:p>
        </w:tc>
        <w:tc>
          <w:tcPr>
            <w:tcW w:type="dxa" w:w="1872"/>
            <w:shd w:fill="EBF1F5"/>
            <w:tcMar>
              <w:top w:w="120" w:type="dxa"/>
              <w:bottom w:w="120" w:type="dxa"/>
              <w:left w:w="140" w:type="dxa"/>
              <w:right w:w="140" w:type="dxa"/>
            </w:tcMar>
          </w:tcPr>
          <w:p>
            <w:pPr>
              <w:jc w:val="center"/>
            </w:pPr>
            <w:r>
              <w:rPr>
                <w:b/>
                <w:color w:val="002B66"/>
                <w:sz w:val="18"/>
              </w:rPr>
              <w:t>95% CI (±%)</w:t>
            </w:r>
          </w:p>
        </w:tc>
        <w:tc>
          <w:tcPr>
            <w:tcW w:type="dxa" w:w="1872"/>
            <w:shd w:fill="EBF1F5"/>
            <w:tcMar>
              <w:top w:w="120" w:type="dxa"/>
              <w:bottom w:w="120" w:type="dxa"/>
              <w:left w:w="140" w:type="dxa"/>
              <w:right w:w="140" w:type="dxa"/>
            </w:tcMar>
          </w:tcPr>
          <w:p>
            <w:pPr>
              <w:jc w:val="center"/>
            </w:pPr>
            <w:r>
              <w:rPr>
                <w:b/>
                <w:color w:val="002B66"/>
                <w:sz w:val="18"/>
              </w:rPr>
              <w:t>p-value vs Baseline</w:t>
            </w:r>
          </w:p>
        </w:tc>
      </w:tr>
      <w:tr>
        <w:tc>
          <w:tcPr>
            <w:tcW w:type="dxa" w:w="1872"/>
            <w:tcMar>
              <w:top w:w="90" w:type="dxa"/>
              <w:bottom w:w="90" w:type="dxa"/>
              <w:left w:w="140" w:type="dxa"/>
              <w:right w:w="140" w:type="dxa"/>
            </w:tcMar>
          </w:tcPr>
          <w:p>
            <w:pPr>
              <w:jc w:val="left"/>
            </w:pPr>
            <w:r>
              <w:rPr>
                <w:sz w:val="18"/>
              </w:rPr>
              <w:t>Baseline (CNN + Bi-LSTM)</w:t>
            </w:r>
          </w:p>
        </w:tc>
        <w:tc>
          <w:tcPr>
            <w:tcW w:type="dxa" w:w="1872"/>
            <w:tcMar>
              <w:top w:w="90" w:type="dxa"/>
              <w:bottom w:w="90" w:type="dxa"/>
              <w:left w:w="140" w:type="dxa"/>
              <w:right w:w="140" w:type="dxa"/>
            </w:tcMar>
          </w:tcPr>
          <w:p>
            <w:pPr>
              <w:jc w:val="center"/>
            </w:pPr>
            <w:r>
              <w:rPr>
                <w:sz w:val="18"/>
              </w:rPr>
              <w:t>88.24</w:t>
            </w:r>
          </w:p>
        </w:tc>
        <w:tc>
          <w:tcPr>
            <w:tcW w:type="dxa" w:w="1872"/>
            <w:tcMar>
              <w:top w:w="90" w:type="dxa"/>
              <w:bottom w:w="90" w:type="dxa"/>
              <w:left w:w="140" w:type="dxa"/>
              <w:right w:w="140" w:type="dxa"/>
            </w:tcMar>
          </w:tcPr>
          <w:p>
            <w:pPr>
              <w:jc w:val="center"/>
            </w:pPr>
            <w:r>
              <w:rPr>
                <w:sz w:val="18"/>
              </w:rPr>
              <w:t>1.85</w:t>
            </w:r>
          </w:p>
        </w:tc>
        <w:tc>
          <w:tcPr>
            <w:tcW w:type="dxa" w:w="1872"/>
            <w:tcMar>
              <w:top w:w="90" w:type="dxa"/>
              <w:bottom w:w="90" w:type="dxa"/>
              <w:left w:w="140" w:type="dxa"/>
              <w:right w:w="140" w:type="dxa"/>
            </w:tcMar>
          </w:tcPr>
          <w:p>
            <w:pPr>
              <w:jc w:val="center"/>
            </w:pPr>
            <w:r>
              <w:rPr>
                <w:sz w:val="18"/>
              </w:rPr>
              <w:t>±1.62</w:t>
            </w:r>
          </w:p>
        </w:tc>
        <w:tc>
          <w:tcPr>
            <w:tcW w:type="dxa" w:w="1872"/>
            <w:tcMar>
              <w:top w:w="90" w:type="dxa"/>
              <w:bottom w:w="90" w:type="dxa"/>
              <w:left w:w="140" w:type="dxa"/>
              <w:right w:w="140" w:type="dxa"/>
            </w:tcMar>
          </w:tcPr>
          <w:p>
            <w:pPr>
              <w:jc w:val="center"/>
            </w:pPr>
            <w:r>
              <w:rPr>
                <w:sz w:val="18"/>
              </w:rPr>
              <w:t>Reference</w:t>
            </w:r>
          </w:p>
        </w:tc>
      </w:tr>
      <w:tr>
        <w:tc>
          <w:tcPr>
            <w:tcW w:type="dxa" w:w="1872"/>
            <w:tcMar>
              <w:top w:w="90" w:type="dxa"/>
              <w:bottom w:w="90" w:type="dxa"/>
              <w:left w:w="140" w:type="dxa"/>
              <w:right w:w="140" w:type="dxa"/>
            </w:tcMar>
            <w:shd w:fill="F9FBFC"/>
          </w:tcPr>
          <w:p>
            <w:pPr>
              <w:jc w:val="left"/>
            </w:pPr>
            <w:r>
              <w:rPr>
                <w:sz w:val="18"/>
              </w:rPr>
              <w:t>MobileNetV3-Large</w:t>
            </w:r>
          </w:p>
        </w:tc>
        <w:tc>
          <w:tcPr>
            <w:tcW w:type="dxa" w:w="1872"/>
            <w:tcMar>
              <w:top w:w="90" w:type="dxa"/>
              <w:bottom w:w="90" w:type="dxa"/>
              <w:left w:w="140" w:type="dxa"/>
              <w:right w:w="140" w:type="dxa"/>
            </w:tcMar>
            <w:shd w:fill="F9FBFC"/>
          </w:tcPr>
          <w:p>
            <w:pPr>
              <w:jc w:val="center"/>
            </w:pPr>
            <w:r>
              <w:rPr>
                <w:sz w:val="18"/>
              </w:rPr>
              <w:t>97.55</w:t>
            </w:r>
          </w:p>
        </w:tc>
        <w:tc>
          <w:tcPr>
            <w:tcW w:type="dxa" w:w="1872"/>
            <w:tcMar>
              <w:top w:w="90" w:type="dxa"/>
              <w:bottom w:w="90" w:type="dxa"/>
              <w:left w:w="140" w:type="dxa"/>
              <w:right w:w="140" w:type="dxa"/>
            </w:tcMar>
            <w:shd w:fill="F9FBFC"/>
          </w:tcPr>
          <w:p>
            <w:pPr>
              <w:jc w:val="center"/>
            </w:pPr>
            <w:r>
              <w:rPr>
                <w:sz w:val="18"/>
              </w:rPr>
              <w:t>0.92</w:t>
            </w:r>
          </w:p>
        </w:tc>
        <w:tc>
          <w:tcPr>
            <w:tcW w:type="dxa" w:w="1872"/>
            <w:tcMar>
              <w:top w:w="90" w:type="dxa"/>
              <w:bottom w:w="90" w:type="dxa"/>
              <w:left w:w="140" w:type="dxa"/>
              <w:right w:w="140" w:type="dxa"/>
            </w:tcMar>
            <w:shd w:fill="F9FBFC"/>
          </w:tcPr>
          <w:p>
            <w:pPr>
              <w:jc w:val="center"/>
            </w:pPr>
            <w:r>
              <w:rPr>
                <w:sz w:val="18"/>
              </w:rPr>
              <w:t>±0.81</w:t>
            </w:r>
          </w:p>
        </w:tc>
        <w:tc>
          <w:tcPr>
            <w:tcW w:type="dxa" w:w="1872"/>
            <w:tcMar>
              <w:top w:w="90" w:type="dxa"/>
              <w:bottom w:w="90" w:type="dxa"/>
              <w:left w:w="140" w:type="dxa"/>
              <w:right w:w="140" w:type="dxa"/>
            </w:tcMar>
            <w:shd w:fill="F9FBFC"/>
          </w:tcPr>
          <w:p>
            <w:pPr>
              <w:jc w:val="center"/>
            </w:pPr>
            <w:r>
              <w:rPr>
                <w:sz w:val="18"/>
              </w:rPr>
              <w:t>p &lt; 0.001</w:t>
            </w:r>
          </w:p>
        </w:tc>
      </w:tr>
      <w:tr>
        <w:tc>
          <w:tcPr>
            <w:tcW w:type="dxa" w:w="1872"/>
            <w:tcMar>
              <w:top w:w="90" w:type="dxa"/>
              <w:bottom w:w="90" w:type="dxa"/>
              <w:left w:w="140" w:type="dxa"/>
              <w:right w:w="140" w:type="dxa"/>
            </w:tcMar>
          </w:tcPr>
          <w:p>
            <w:pPr>
              <w:jc w:val="left"/>
            </w:pPr>
            <w:r>
              <w:rPr>
                <w:sz w:val="18"/>
              </w:rPr>
              <w:t>Comparative (ConvNeXt-Femto)</w:t>
            </w:r>
          </w:p>
        </w:tc>
        <w:tc>
          <w:tcPr>
            <w:tcW w:type="dxa" w:w="1872"/>
            <w:tcMar>
              <w:top w:w="90" w:type="dxa"/>
              <w:bottom w:w="90" w:type="dxa"/>
              <w:left w:w="140" w:type="dxa"/>
              <w:right w:w="140" w:type="dxa"/>
            </w:tcMar>
          </w:tcPr>
          <w:p>
            <w:pPr>
              <w:jc w:val="center"/>
            </w:pPr>
            <w:r>
              <w:rPr>
                <w:sz w:val="18"/>
              </w:rPr>
              <w:t>97.84</w:t>
            </w:r>
          </w:p>
        </w:tc>
        <w:tc>
          <w:tcPr>
            <w:tcW w:type="dxa" w:w="1872"/>
            <w:tcMar>
              <w:top w:w="90" w:type="dxa"/>
              <w:bottom w:w="90" w:type="dxa"/>
              <w:left w:w="140" w:type="dxa"/>
              <w:right w:w="140" w:type="dxa"/>
            </w:tcMar>
          </w:tcPr>
          <w:p>
            <w:pPr>
              <w:jc w:val="center"/>
            </w:pPr>
            <w:r>
              <w:rPr>
                <w:sz w:val="18"/>
              </w:rPr>
              <w:t>0.81</w:t>
            </w:r>
          </w:p>
        </w:tc>
        <w:tc>
          <w:tcPr>
            <w:tcW w:type="dxa" w:w="1872"/>
            <w:tcMar>
              <w:top w:w="90" w:type="dxa"/>
              <w:bottom w:w="90" w:type="dxa"/>
              <w:left w:w="140" w:type="dxa"/>
              <w:right w:w="140" w:type="dxa"/>
            </w:tcMar>
          </w:tcPr>
          <w:p>
            <w:pPr>
              <w:jc w:val="center"/>
            </w:pPr>
            <w:r>
              <w:rPr>
                <w:sz w:val="18"/>
              </w:rPr>
              <w:t>±0.71</w:t>
            </w:r>
          </w:p>
        </w:tc>
        <w:tc>
          <w:tcPr>
            <w:tcW w:type="dxa" w:w="1872"/>
            <w:tcMar>
              <w:top w:w="90" w:type="dxa"/>
              <w:bottom w:w="90" w:type="dxa"/>
              <w:left w:w="140" w:type="dxa"/>
              <w:right w:w="140" w:type="dxa"/>
            </w:tcMar>
          </w:tcPr>
          <w:p>
            <w:pPr>
              <w:jc w:val="center"/>
            </w:pPr>
            <w:r>
              <w:rPr>
                <w:sz w:val="18"/>
              </w:rPr>
              <w:t>p &lt; 0.001</w:t>
            </w:r>
          </w:p>
        </w:tc>
      </w:tr>
      <w:tr>
        <w:tc>
          <w:tcPr>
            <w:tcW w:type="dxa" w:w="1872"/>
            <w:tcMar>
              <w:top w:w="90" w:type="dxa"/>
              <w:bottom w:w="90" w:type="dxa"/>
              <w:left w:w="140" w:type="dxa"/>
              <w:right w:w="140" w:type="dxa"/>
            </w:tcMar>
            <w:shd w:fill="F9FBFC"/>
          </w:tcPr>
          <w:p>
            <w:pPr>
              <w:jc w:val="left"/>
            </w:pPr>
            <w:r>
              <w:rPr>
                <w:sz w:val="18"/>
              </w:rPr>
              <w:t>Comparative (MobileViT-S)</w:t>
            </w:r>
          </w:p>
        </w:tc>
        <w:tc>
          <w:tcPr>
            <w:tcW w:type="dxa" w:w="1872"/>
            <w:tcMar>
              <w:top w:w="90" w:type="dxa"/>
              <w:bottom w:w="90" w:type="dxa"/>
              <w:left w:w="140" w:type="dxa"/>
              <w:right w:w="140" w:type="dxa"/>
            </w:tcMar>
            <w:shd w:fill="F9FBFC"/>
          </w:tcPr>
          <w:p>
            <w:pPr>
              <w:jc w:val="center"/>
            </w:pPr>
            <w:r>
              <w:rPr>
                <w:sz w:val="18"/>
              </w:rPr>
              <w:t>86.83</w:t>
            </w:r>
          </w:p>
        </w:tc>
        <w:tc>
          <w:tcPr>
            <w:tcW w:type="dxa" w:w="1872"/>
            <w:tcMar>
              <w:top w:w="90" w:type="dxa"/>
              <w:bottom w:w="90" w:type="dxa"/>
              <w:left w:w="140" w:type="dxa"/>
              <w:right w:w="140" w:type="dxa"/>
            </w:tcMar>
            <w:shd w:fill="F9FBFC"/>
          </w:tcPr>
          <w:p>
            <w:pPr>
              <w:jc w:val="center"/>
            </w:pPr>
            <w:r>
              <w:rPr>
                <w:sz w:val="18"/>
              </w:rPr>
              <w:t>1.25</w:t>
            </w:r>
          </w:p>
        </w:tc>
        <w:tc>
          <w:tcPr>
            <w:tcW w:type="dxa" w:w="1872"/>
            <w:tcMar>
              <w:top w:w="90" w:type="dxa"/>
              <w:bottom w:w="90" w:type="dxa"/>
              <w:left w:w="140" w:type="dxa"/>
              <w:right w:w="140" w:type="dxa"/>
            </w:tcMar>
            <w:shd w:fill="F9FBFC"/>
          </w:tcPr>
          <w:p>
            <w:pPr>
              <w:jc w:val="center"/>
            </w:pPr>
            <w:r>
              <w:rPr>
                <w:sz w:val="18"/>
              </w:rPr>
              <w:t>±1.10</w:t>
            </w:r>
          </w:p>
        </w:tc>
        <w:tc>
          <w:tcPr>
            <w:tcW w:type="dxa" w:w="1872"/>
            <w:tcMar>
              <w:top w:w="90" w:type="dxa"/>
              <w:bottom w:w="90" w:type="dxa"/>
              <w:left w:w="140" w:type="dxa"/>
              <w:right w:w="140" w:type="dxa"/>
            </w:tcMar>
            <w:shd w:fill="F9FBFC"/>
          </w:tcPr>
          <w:p>
            <w:pPr>
              <w:jc w:val="center"/>
            </w:pPr>
            <w:r>
              <w:rPr>
                <w:sz w:val="18"/>
              </w:rPr>
              <w:t>p = 0.078</w:t>
            </w:r>
          </w:p>
        </w:tc>
      </w:tr>
      <w:tr>
        <w:tc>
          <w:tcPr>
            <w:tcW w:type="dxa" w:w="1872"/>
            <w:tcMar>
              <w:top w:w="90" w:type="dxa"/>
              <w:bottom w:w="90" w:type="dxa"/>
              <w:left w:w="140" w:type="dxa"/>
              <w:right w:w="140" w:type="dxa"/>
            </w:tcMar>
          </w:tcPr>
          <w:p>
            <w:pPr>
              <w:jc w:val="left"/>
            </w:pPr>
            <w:r>
              <w:rPr>
                <w:sz w:val="18"/>
              </w:rPr>
              <w:t>Pure Skeletal GCN</w:t>
            </w:r>
          </w:p>
        </w:tc>
        <w:tc>
          <w:tcPr>
            <w:tcW w:type="dxa" w:w="1872"/>
            <w:tcMar>
              <w:top w:w="90" w:type="dxa"/>
              <w:bottom w:w="90" w:type="dxa"/>
              <w:left w:w="140" w:type="dxa"/>
              <w:right w:w="140" w:type="dxa"/>
            </w:tcMar>
          </w:tcPr>
          <w:p>
            <w:pPr>
              <w:jc w:val="center"/>
            </w:pPr>
            <w:r>
              <w:rPr>
                <w:sz w:val="18"/>
              </w:rPr>
              <w:t>70.42</w:t>
            </w:r>
          </w:p>
        </w:tc>
        <w:tc>
          <w:tcPr>
            <w:tcW w:type="dxa" w:w="1872"/>
            <w:tcMar>
              <w:top w:w="90" w:type="dxa"/>
              <w:bottom w:w="90" w:type="dxa"/>
              <w:left w:w="140" w:type="dxa"/>
              <w:right w:w="140" w:type="dxa"/>
            </w:tcMar>
          </w:tcPr>
          <w:p>
            <w:pPr>
              <w:jc w:val="center"/>
            </w:pPr>
            <w:r>
              <w:rPr>
                <w:sz w:val="18"/>
              </w:rPr>
              <w:t>1.54</w:t>
            </w:r>
          </w:p>
        </w:tc>
        <w:tc>
          <w:tcPr>
            <w:tcW w:type="dxa" w:w="1872"/>
            <w:tcMar>
              <w:top w:w="90" w:type="dxa"/>
              <w:bottom w:w="90" w:type="dxa"/>
              <w:left w:w="140" w:type="dxa"/>
              <w:right w:w="140" w:type="dxa"/>
            </w:tcMar>
          </w:tcPr>
          <w:p>
            <w:pPr>
              <w:jc w:val="center"/>
            </w:pPr>
            <w:r>
              <w:rPr>
                <w:sz w:val="18"/>
              </w:rPr>
              <w:t>±1.35</w:t>
            </w:r>
          </w:p>
        </w:tc>
        <w:tc>
          <w:tcPr>
            <w:tcW w:type="dxa" w:w="1872"/>
            <w:tcMar>
              <w:top w:w="90" w:type="dxa"/>
              <w:bottom w:w="90" w:type="dxa"/>
              <w:left w:w="140" w:type="dxa"/>
              <w:right w:w="140" w:type="dxa"/>
            </w:tcMar>
          </w:tcPr>
          <w:p>
            <w:pPr>
              <w:jc w:val="center"/>
            </w:pPr>
            <w:r>
              <w:rPr>
                <w:sz w:val="18"/>
              </w:rPr>
              <w:t>p &lt; 0.001</w:t>
            </w:r>
          </w:p>
        </w:tc>
      </w:tr>
      <w:tr>
        <w:tc>
          <w:tcPr>
            <w:tcW w:type="dxa" w:w="1872"/>
            <w:tcMar>
              <w:top w:w="90" w:type="dxa"/>
              <w:bottom w:w="90" w:type="dxa"/>
              <w:left w:w="140" w:type="dxa"/>
              <w:right w:w="140" w:type="dxa"/>
            </w:tcMar>
            <w:shd w:fill="F9FBFC"/>
          </w:tcPr>
          <w:p>
            <w:pPr>
              <w:jc w:val="left"/>
            </w:pPr>
            <w:r>
              <w:rPr>
                <w:sz w:val="18"/>
              </w:rPr>
              <w:t>Proposed 1 (Enhanced CNN + Mamba)</w:t>
            </w:r>
          </w:p>
        </w:tc>
        <w:tc>
          <w:tcPr>
            <w:tcW w:type="dxa" w:w="1872"/>
            <w:tcMar>
              <w:top w:w="90" w:type="dxa"/>
              <w:bottom w:w="90" w:type="dxa"/>
              <w:left w:w="140" w:type="dxa"/>
              <w:right w:w="140" w:type="dxa"/>
            </w:tcMar>
            <w:shd w:fill="F9FBFC"/>
          </w:tcPr>
          <w:p>
            <w:pPr>
              <w:jc w:val="center"/>
            </w:pPr>
            <w:r>
              <w:rPr>
                <w:sz w:val="18"/>
              </w:rPr>
              <w:t>98.12</w:t>
            </w:r>
          </w:p>
        </w:tc>
        <w:tc>
          <w:tcPr>
            <w:tcW w:type="dxa" w:w="1872"/>
            <w:tcMar>
              <w:top w:w="90" w:type="dxa"/>
              <w:bottom w:w="90" w:type="dxa"/>
              <w:left w:w="140" w:type="dxa"/>
              <w:right w:w="140" w:type="dxa"/>
            </w:tcMar>
            <w:shd w:fill="F9FBFC"/>
          </w:tcPr>
          <w:p>
            <w:pPr>
              <w:jc w:val="center"/>
            </w:pPr>
            <w:r>
              <w:rPr>
                <w:sz w:val="18"/>
              </w:rPr>
              <w:t>0.65</w:t>
            </w:r>
          </w:p>
        </w:tc>
        <w:tc>
          <w:tcPr>
            <w:tcW w:type="dxa" w:w="1872"/>
            <w:tcMar>
              <w:top w:w="90" w:type="dxa"/>
              <w:bottom w:w="90" w:type="dxa"/>
              <w:left w:w="140" w:type="dxa"/>
              <w:right w:w="140" w:type="dxa"/>
            </w:tcMar>
            <w:shd w:fill="F9FBFC"/>
          </w:tcPr>
          <w:p>
            <w:pPr>
              <w:jc w:val="center"/>
            </w:pPr>
            <w:r>
              <w:rPr>
                <w:sz w:val="18"/>
              </w:rPr>
              <w:t>±0.57</w:t>
            </w:r>
          </w:p>
        </w:tc>
        <w:tc>
          <w:tcPr>
            <w:tcW w:type="dxa" w:w="1872"/>
            <w:tcMar>
              <w:top w:w="90" w:type="dxa"/>
              <w:bottom w:w="90" w:type="dxa"/>
              <w:left w:w="140" w:type="dxa"/>
              <w:right w:w="140" w:type="dxa"/>
            </w:tcMar>
            <w:shd w:fill="F9FBFC"/>
          </w:tcPr>
          <w:p>
            <w:pPr>
              <w:jc w:val="center"/>
            </w:pPr>
            <w:r>
              <w:rPr>
                <w:sz w:val="18"/>
              </w:rPr>
              <w:t>p = 0.002</w:t>
            </w:r>
          </w:p>
        </w:tc>
      </w:tr>
      <w:tr>
        <w:tc>
          <w:tcPr>
            <w:tcW w:type="dxa" w:w="1872"/>
            <w:tcMar>
              <w:top w:w="90" w:type="dxa"/>
              <w:bottom w:w="90" w:type="dxa"/>
              <w:left w:w="140" w:type="dxa"/>
              <w:right w:w="140" w:type="dxa"/>
            </w:tcMar>
          </w:tcPr>
          <w:p>
            <w:pPr>
              <w:jc w:val="left"/>
            </w:pPr>
            <w:r>
              <w:rPr>
                <w:b/>
                <w:color w:val="002B66"/>
                <w:sz w:val="18"/>
              </w:rPr>
              <w:t>Proposed 2 (Enhanced GCN + CNN)</w:t>
            </w:r>
          </w:p>
        </w:tc>
        <w:tc>
          <w:tcPr>
            <w:tcW w:type="dxa" w:w="1872"/>
            <w:tcMar>
              <w:top w:w="90" w:type="dxa"/>
              <w:bottom w:w="90" w:type="dxa"/>
              <w:left w:w="140" w:type="dxa"/>
              <w:right w:w="140" w:type="dxa"/>
            </w:tcMar>
          </w:tcPr>
          <w:p>
            <w:pPr>
              <w:jc w:val="center"/>
            </w:pPr>
            <w:r>
              <w:rPr>
                <w:b/>
                <w:sz w:val="18"/>
              </w:rPr>
              <w:t>91.86</w:t>
            </w:r>
          </w:p>
        </w:tc>
        <w:tc>
          <w:tcPr>
            <w:tcW w:type="dxa" w:w="1872"/>
            <w:tcMar>
              <w:top w:w="90" w:type="dxa"/>
              <w:bottom w:w="90" w:type="dxa"/>
              <w:left w:w="140" w:type="dxa"/>
              <w:right w:w="140" w:type="dxa"/>
            </w:tcMar>
          </w:tcPr>
          <w:p>
            <w:pPr>
              <w:jc w:val="center"/>
            </w:pPr>
            <w:r>
              <w:rPr>
                <w:b/>
                <w:sz w:val="18"/>
              </w:rPr>
              <w:t>1.12</w:t>
            </w:r>
          </w:p>
        </w:tc>
        <w:tc>
          <w:tcPr>
            <w:tcW w:type="dxa" w:w="1872"/>
            <w:tcMar>
              <w:top w:w="90" w:type="dxa"/>
              <w:bottom w:w="90" w:type="dxa"/>
              <w:left w:w="140" w:type="dxa"/>
              <w:right w:w="140" w:type="dxa"/>
            </w:tcMar>
          </w:tcPr>
          <w:p>
            <w:pPr>
              <w:jc w:val="center"/>
            </w:pPr>
            <w:r>
              <w:rPr>
                <w:b/>
                <w:sz w:val="18"/>
              </w:rPr>
              <w:t>±0.99</w:t>
            </w:r>
          </w:p>
        </w:tc>
        <w:tc>
          <w:tcPr>
            <w:tcW w:type="dxa" w:w="1872"/>
            <w:tcMar>
              <w:top w:w="90" w:type="dxa"/>
              <w:bottom w:w="90" w:type="dxa"/>
              <w:left w:w="140" w:type="dxa"/>
              <w:right w:w="140" w:type="dxa"/>
            </w:tcMar>
          </w:tcPr>
          <w:p>
            <w:pPr>
              <w:jc w:val="center"/>
            </w:pPr>
            <w:r>
              <w:rPr>
                <w:b/>
                <w:sz w:val="18"/>
              </w:rPr>
              <w:t>p = 0.018</w:t>
            </w:r>
          </w:p>
        </w:tc>
      </w:tr>
    </w:tbl>
    <w:p>
      <w:pPr>
        <w:spacing w:before="120" w:after="40"/>
        <w:jc w:val="center"/>
      </w:pPr>
      <w:r>
        <w:drawing>
          <wp:inline xmlns:a="http://schemas.openxmlformats.org/drawingml/2006/main" xmlns:pic="http://schemas.openxmlformats.org/drawingml/2006/picture">
            <wp:extent cx="5303520" cy="2650778"/>
            <wp:docPr id="5" name="Picture 5"/>
            <wp:cNvGraphicFramePr>
              <a:graphicFrameLocks noChangeAspect="1"/>
            </wp:cNvGraphicFramePr>
            <a:graphic>
              <a:graphicData uri="http://schemas.openxmlformats.org/drawingml/2006/picture">
                <pic:pic>
                  <pic:nvPicPr>
                    <pic:cNvPr id="0" name="fig_statistical_significance.png"/>
                    <pic:cNvPicPr/>
                  </pic:nvPicPr>
                  <pic:blipFill>
                    <a:blip r:embed="rId13"/>
                    <a:stretch>
                      <a:fillRect/>
                    </a:stretch>
                  </pic:blipFill>
                  <pic:spPr>
                    <a:xfrm>
                      <a:off x="0" y="0"/>
                      <a:ext cx="5303520" cy="2650778"/>
                    </a:xfrm>
                    <a:prstGeom prst="rect"/>
                  </pic:spPr>
                </pic:pic>
              </a:graphicData>
            </a:graphic>
          </wp:inline>
        </w:drawing>
      </w:r>
    </w:p>
    <w:p>
      <w:pPr>
        <w:spacing w:after="240"/>
        <w:jc w:val="center"/>
      </w:pPr>
      <w:r>
        <w:rPr>
          <w:b/>
          <w:color w:val="002B66"/>
          <w:sz w:val="19"/>
        </w:rPr>
        <w:t>Fig. 5.  Empirical accuracy distribution &amp; statistical significance with 95% Confidence Intervals across 5 evaluation seeds.</w:t>
      </w:r>
    </w:p>
    <w:p>
      <w:pPr>
        <w:spacing w:before="200" w:after="60"/>
        <w:jc w:val="left"/>
      </w:pPr>
      <w:r>
        <w:rPr>
          <w:rFonts w:ascii="Times New Roman" w:hAnsi="Times New Roman"/>
          <w:b/>
          <w:i/>
          <w:color w:val="002B66"/>
          <w:sz w:val="22"/>
        </w:rPr>
        <w:t>D.  Adverse Noise &amp; Illumination Stress-Testing</w:t>
      </w:r>
    </w:p>
    <w:p>
      <w:pPr>
        <w:spacing w:line="276" w:lineRule="auto" w:after="100"/>
        <w:ind w:firstLine="360"/>
        <w:jc w:val="both"/>
      </w:pPr>
      <w:r>
        <w:rPr>
          <w:rFonts w:ascii="Times New Roman" w:hAnsi="Times New Roman"/>
          <w:color w:val="222222"/>
          <w:sz w:val="21"/>
        </w:rPr>
        <w:t>To test resilience under low-light nighttime video capture and camera sensor noise, we subjected test frames to joint degradation: gamma brightness reduction factor gamma = 0.3 and additive Gaussian noise sigma = 0.15. Table IV and Fig. 6 present the outcomes.</w:t>
      </w:r>
    </w:p>
    <w:p>
      <w:pPr>
        <w:spacing w:before="160" w:after="80"/>
        <w:jc w:val="center"/>
      </w:pPr>
      <w:r>
        <w:rPr>
          <w:b/>
          <w:color w:val="002B66"/>
          <w:sz w:val="19"/>
        </w:rPr>
        <w:t>TABLE IV: STRESS-TESTING UNDER LOW LIGHT (gamma = 0.3) AND GAUSSIAN NOISE (sigma = 0.15)</w:t>
      </w:r>
    </w:p>
    <w:tbl>
      <w:tblPr>
        <w:tblW w:type="auto" w:w="0"/>
        <w:jc w:val="center"/>
        <w:tblLook w:firstColumn="1" w:firstRow="1" w:lastColumn="0" w:lastRow="0" w:noHBand="0" w:noVBand="1" w:val="04A0"/>
        <w:tblBorders>
          <w:top w:val="single" w:sz="12" w:space="0" w:color="002B66"/>
          <w:bottom w:val="single" w:sz="12" w:space="0" w:color="002B66"/>
          <w:insideH w:val="single" w:sz="4" w:space="0" w:color="B0C4DE"/>
          <w:left w:val="none"/>
          <w:right w:val="none"/>
          <w:insideV w:val="none"/>
        </w:tblBorders>
      </w:tblPr>
      <w:tblGrid>
        <w:gridCol w:w="2340"/>
        <w:gridCol w:w="2340"/>
        <w:gridCol w:w="2340"/>
        <w:gridCol w:w="2340"/>
      </w:tblGrid>
      <w:tr>
        <w:tc>
          <w:tcPr>
            <w:tcW w:type="dxa" w:w="2340"/>
            <w:shd w:fill="EBF1F5"/>
            <w:tcMar>
              <w:top w:w="120" w:type="dxa"/>
              <w:bottom w:w="120" w:type="dxa"/>
              <w:left w:w="140" w:type="dxa"/>
              <w:right w:w="140" w:type="dxa"/>
            </w:tcMar>
          </w:tcPr>
          <w:p>
            <w:pPr>
              <w:jc w:val="left"/>
            </w:pPr>
            <w:r>
              <w:rPr>
                <w:b/>
                <w:color w:val="002B66"/>
                <w:sz w:val="18"/>
              </w:rPr>
              <w:t>Model Architecture</w:t>
            </w:r>
          </w:p>
        </w:tc>
        <w:tc>
          <w:tcPr>
            <w:tcW w:type="dxa" w:w="2340"/>
            <w:shd w:fill="EBF1F5"/>
            <w:tcMar>
              <w:top w:w="120" w:type="dxa"/>
              <w:bottom w:w="120" w:type="dxa"/>
              <w:left w:w="140" w:type="dxa"/>
              <w:right w:w="140" w:type="dxa"/>
            </w:tcMar>
          </w:tcPr>
          <w:p>
            <w:pPr>
              <w:jc w:val="center"/>
            </w:pPr>
            <w:r>
              <w:rPr>
                <w:b/>
                <w:color w:val="002B66"/>
                <w:sz w:val="18"/>
              </w:rPr>
              <w:t>Clean Acc (%)</w:t>
            </w:r>
          </w:p>
        </w:tc>
        <w:tc>
          <w:tcPr>
            <w:tcW w:type="dxa" w:w="2340"/>
            <w:shd w:fill="EBF1F5"/>
            <w:tcMar>
              <w:top w:w="120" w:type="dxa"/>
              <w:bottom w:w="120" w:type="dxa"/>
              <w:left w:w="140" w:type="dxa"/>
              <w:right w:w="140" w:type="dxa"/>
            </w:tcMar>
          </w:tcPr>
          <w:p>
            <w:pPr>
              <w:jc w:val="center"/>
            </w:pPr>
            <w:r>
              <w:rPr>
                <w:b/>
                <w:color w:val="002B66"/>
                <w:sz w:val="18"/>
              </w:rPr>
              <w:t>Stress Acc (%)</w:t>
            </w:r>
          </w:p>
        </w:tc>
        <w:tc>
          <w:tcPr>
            <w:tcW w:type="dxa" w:w="2340"/>
            <w:shd w:fill="EBF1F5"/>
            <w:tcMar>
              <w:top w:w="120" w:type="dxa"/>
              <w:bottom w:w="120" w:type="dxa"/>
              <w:left w:w="140" w:type="dxa"/>
              <w:right w:w="140" w:type="dxa"/>
            </w:tcMar>
          </w:tcPr>
          <w:p>
            <w:pPr>
              <w:jc w:val="center"/>
            </w:pPr>
            <w:r>
              <w:rPr>
                <w:b/>
                <w:color w:val="002B66"/>
                <w:sz w:val="18"/>
              </w:rPr>
              <w:t>Accuracy Retention (%)</w:t>
            </w:r>
          </w:p>
        </w:tc>
      </w:tr>
      <w:tr>
        <w:tc>
          <w:tcPr>
            <w:tcW w:type="dxa" w:w="2340"/>
            <w:tcMar>
              <w:top w:w="90" w:type="dxa"/>
              <w:bottom w:w="90" w:type="dxa"/>
              <w:left w:w="140" w:type="dxa"/>
              <w:right w:w="140" w:type="dxa"/>
            </w:tcMar>
          </w:tcPr>
          <w:p>
            <w:pPr>
              <w:jc w:val="left"/>
            </w:pPr>
            <w:r>
              <w:rPr>
                <w:sz w:val="18"/>
              </w:rPr>
              <w:t>Baseline (CNN + Bi-LSTM)</w:t>
            </w:r>
          </w:p>
        </w:tc>
        <w:tc>
          <w:tcPr>
            <w:tcW w:type="dxa" w:w="2340"/>
            <w:tcMar>
              <w:top w:w="90" w:type="dxa"/>
              <w:bottom w:w="90" w:type="dxa"/>
              <w:left w:w="140" w:type="dxa"/>
              <w:right w:w="140" w:type="dxa"/>
            </w:tcMar>
          </w:tcPr>
          <w:p>
            <w:pPr>
              <w:jc w:val="center"/>
            </w:pPr>
            <w:r>
              <w:rPr>
                <w:sz w:val="18"/>
              </w:rPr>
              <w:t>89.66</w:t>
            </w:r>
          </w:p>
        </w:tc>
        <w:tc>
          <w:tcPr>
            <w:tcW w:type="dxa" w:w="2340"/>
            <w:tcMar>
              <w:top w:w="90" w:type="dxa"/>
              <w:bottom w:w="90" w:type="dxa"/>
              <w:left w:w="140" w:type="dxa"/>
              <w:right w:w="140" w:type="dxa"/>
            </w:tcMar>
          </w:tcPr>
          <w:p>
            <w:pPr>
              <w:jc w:val="center"/>
            </w:pPr>
            <w:r>
              <w:rPr>
                <w:sz w:val="18"/>
              </w:rPr>
              <w:t>5.17</w:t>
            </w:r>
          </w:p>
        </w:tc>
        <w:tc>
          <w:tcPr>
            <w:tcW w:type="dxa" w:w="2340"/>
            <w:tcMar>
              <w:top w:w="90" w:type="dxa"/>
              <w:bottom w:w="90" w:type="dxa"/>
              <w:left w:w="140" w:type="dxa"/>
              <w:right w:w="140" w:type="dxa"/>
            </w:tcMar>
          </w:tcPr>
          <w:p>
            <w:pPr>
              <w:jc w:val="center"/>
            </w:pPr>
            <w:r>
              <w:rPr>
                <w:sz w:val="18"/>
              </w:rPr>
              <w:t>5.77%</w:t>
            </w:r>
          </w:p>
        </w:tc>
      </w:tr>
      <w:tr>
        <w:tc>
          <w:tcPr>
            <w:tcW w:type="dxa" w:w="2340"/>
            <w:tcMar>
              <w:top w:w="90" w:type="dxa"/>
              <w:bottom w:w="90" w:type="dxa"/>
              <w:left w:w="140" w:type="dxa"/>
              <w:right w:w="140" w:type="dxa"/>
            </w:tcMar>
            <w:shd w:fill="F9FBFC"/>
          </w:tcPr>
          <w:p>
            <w:pPr>
              <w:jc w:val="left"/>
            </w:pPr>
            <w:r>
              <w:rPr>
                <w:sz w:val="18"/>
              </w:rPr>
              <w:t>MobileNetV3-Large</w:t>
            </w:r>
          </w:p>
        </w:tc>
        <w:tc>
          <w:tcPr>
            <w:tcW w:type="dxa" w:w="2340"/>
            <w:tcMar>
              <w:top w:w="90" w:type="dxa"/>
              <w:bottom w:w="90" w:type="dxa"/>
              <w:left w:w="140" w:type="dxa"/>
              <w:right w:w="140" w:type="dxa"/>
            </w:tcMar>
            <w:shd w:fill="F9FBFC"/>
          </w:tcPr>
          <w:p>
            <w:pPr>
              <w:jc w:val="center"/>
            </w:pPr>
            <w:r>
              <w:rPr>
                <w:sz w:val="18"/>
              </w:rPr>
              <w:t>98.28</w:t>
            </w:r>
          </w:p>
        </w:tc>
        <w:tc>
          <w:tcPr>
            <w:tcW w:type="dxa" w:w="2340"/>
            <w:tcMar>
              <w:top w:w="90" w:type="dxa"/>
              <w:bottom w:w="90" w:type="dxa"/>
              <w:left w:w="140" w:type="dxa"/>
              <w:right w:w="140" w:type="dxa"/>
            </w:tcMar>
            <w:shd w:fill="F9FBFC"/>
          </w:tcPr>
          <w:p>
            <w:pPr>
              <w:jc w:val="center"/>
            </w:pPr>
            <w:r>
              <w:rPr>
                <w:sz w:val="18"/>
              </w:rPr>
              <w:t>0.86</w:t>
            </w:r>
          </w:p>
        </w:tc>
        <w:tc>
          <w:tcPr>
            <w:tcW w:type="dxa" w:w="2340"/>
            <w:tcMar>
              <w:top w:w="90" w:type="dxa"/>
              <w:bottom w:w="90" w:type="dxa"/>
              <w:left w:w="140" w:type="dxa"/>
              <w:right w:w="140" w:type="dxa"/>
            </w:tcMar>
            <w:shd w:fill="F9FBFC"/>
          </w:tcPr>
          <w:p>
            <w:pPr>
              <w:jc w:val="center"/>
            </w:pPr>
            <w:r>
              <w:rPr>
                <w:sz w:val="18"/>
              </w:rPr>
              <w:t>0.88%</w:t>
            </w:r>
          </w:p>
        </w:tc>
      </w:tr>
      <w:tr>
        <w:tc>
          <w:tcPr>
            <w:tcW w:type="dxa" w:w="2340"/>
            <w:tcMar>
              <w:top w:w="90" w:type="dxa"/>
              <w:bottom w:w="90" w:type="dxa"/>
              <w:left w:w="140" w:type="dxa"/>
              <w:right w:w="140" w:type="dxa"/>
            </w:tcMar>
          </w:tcPr>
          <w:p>
            <w:pPr>
              <w:jc w:val="left"/>
            </w:pPr>
            <w:r>
              <w:rPr>
                <w:sz w:val="18"/>
              </w:rPr>
              <w:t>Comparative (ConvNeXt-Femto)</w:t>
            </w:r>
          </w:p>
        </w:tc>
        <w:tc>
          <w:tcPr>
            <w:tcW w:type="dxa" w:w="2340"/>
            <w:tcMar>
              <w:top w:w="90" w:type="dxa"/>
              <w:bottom w:w="90" w:type="dxa"/>
              <w:left w:w="140" w:type="dxa"/>
              <w:right w:w="140" w:type="dxa"/>
            </w:tcMar>
          </w:tcPr>
          <w:p>
            <w:pPr>
              <w:jc w:val="center"/>
            </w:pPr>
            <w:r>
              <w:rPr>
                <w:sz w:val="18"/>
              </w:rPr>
              <w:t>98.28</w:t>
            </w:r>
          </w:p>
        </w:tc>
        <w:tc>
          <w:tcPr>
            <w:tcW w:type="dxa" w:w="2340"/>
            <w:tcMar>
              <w:top w:w="90" w:type="dxa"/>
              <w:bottom w:w="90" w:type="dxa"/>
              <w:left w:w="140" w:type="dxa"/>
              <w:right w:w="140" w:type="dxa"/>
            </w:tcMar>
          </w:tcPr>
          <w:p>
            <w:pPr>
              <w:jc w:val="center"/>
            </w:pPr>
            <w:r>
              <w:rPr>
                <w:sz w:val="18"/>
              </w:rPr>
              <w:t>27.59</w:t>
            </w:r>
          </w:p>
        </w:tc>
        <w:tc>
          <w:tcPr>
            <w:tcW w:type="dxa" w:w="2340"/>
            <w:tcMar>
              <w:top w:w="90" w:type="dxa"/>
              <w:bottom w:w="90" w:type="dxa"/>
              <w:left w:w="140" w:type="dxa"/>
              <w:right w:w="140" w:type="dxa"/>
            </w:tcMar>
          </w:tcPr>
          <w:p>
            <w:pPr>
              <w:jc w:val="center"/>
            </w:pPr>
            <w:r>
              <w:rPr>
                <w:sz w:val="18"/>
              </w:rPr>
              <w:t>28.07%</w:t>
            </w:r>
          </w:p>
        </w:tc>
      </w:tr>
      <w:tr>
        <w:tc>
          <w:tcPr>
            <w:tcW w:type="dxa" w:w="2340"/>
            <w:tcMar>
              <w:top w:w="90" w:type="dxa"/>
              <w:bottom w:w="90" w:type="dxa"/>
              <w:left w:w="140" w:type="dxa"/>
              <w:right w:w="140" w:type="dxa"/>
            </w:tcMar>
            <w:shd w:fill="F9FBFC"/>
          </w:tcPr>
          <w:p>
            <w:pPr>
              <w:jc w:val="left"/>
            </w:pPr>
            <w:r>
              <w:rPr>
                <w:sz w:val="18"/>
              </w:rPr>
              <w:t>Comparative (MobileViT-S)</w:t>
            </w:r>
          </w:p>
        </w:tc>
        <w:tc>
          <w:tcPr>
            <w:tcW w:type="dxa" w:w="2340"/>
            <w:tcMar>
              <w:top w:w="90" w:type="dxa"/>
              <w:bottom w:w="90" w:type="dxa"/>
              <w:left w:w="140" w:type="dxa"/>
              <w:right w:w="140" w:type="dxa"/>
            </w:tcMar>
            <w:shd w:fill="F9FBFC"/>
          </w:tcPr>
          <w:p>
            <w:pPr>
              <w:jc w:val="center"/>
            </w:pPr>
            <w:r>
              <w:rPr>
                <w:sz w:val="18"/>
              </w:rPr>
              <w:t>87.07</w:t>
            </w:r>
          </w:p>
        </w:tc>
        <w:tc>
          <w:tcPr>
            <w:tcW w:type="dxa" w:w="2340"/>
            <w:tcMar>
              <w:top w:w="90" w:type="dxa"/>
              <w:bottom w:w="90" w:type="dxa"/>
              <w:left w:w="140" w:type="dxa"/>
              <w:right w:w="140" w:type="dxa"/>
            </w:tcMar>
            <w:shd w:fill="F9FBFC"/>
          </w:tcPr>
          <w:p>
            <w:pPr>
              <w:jc w:val="center"/>
            </w:pPr>
            <w:r>
              <w:rPr>
                <w:sz w:val="18"/>
              </w:rPr>
              <w:t>4.31</w:t>
            </w:r>
          </w:p>
        </w:tc>
        <w:tc>
          <w:tcPr>
            <w:tcW w:type="dxa" w:w="2340"/>
            <w:tcMar>
              <w:top w:w="90" w:type="dxa"/>
              <w:bottom w:w="90" w:type="dxa"/>
              <w:left w:w="140" w:type="dxa"/>
              <w:right w:w="140" w:type="dxa"/>
            </w:tcMar>
            <w:shd w:fill="F9FBFC"/>
          </w:tcPr>
          <w:p>
            <w:pPr>
              <w:jc w:val="center"/>
            </w:pPr>
            <w:r>
              <w:rPr>
                <w:sz w:val="18"/>
              </w:rPr>
              <w:t>4.95%</w:t>
            </w:r>
          </w:p>
        </w:tc>
      </w:tr>
      <w:tr>
        <w:tc>
          <w:tcPr>
            <w:tcW w:type="dxa" w:w="2340"/>
            <w:tcMar>
              <w:top w:w="90" w:type="dxa"/>
              <w:bottom w:w="90" w:type="dxa"/>
              <w:left w:w="140" w:type="dxa"/>
              <w:right w:w="140" w:type="dxa"/>
            </w:tcMar>
          </w:tcPr>
          <w:p>
            <w:pPr>
              <w:jc w:val="left"/>
            </w:pPr>
            <w:r>
              <w:rPr>
                <w:sz w:val="18"/>
              </w:rPr>
              <w:t>Pure Skeletal GCN</w:t>
            </w:r>
          </w:p>
        </w:tc>
        <w:tc>
          <w:tcPr>
            <w:tcW w:type="dxa" w:w="2340"/>
            <w:tcMar>
              <w:top w:w="90" w:type="dxa"/>
              <w:bottom w:w="90" w:type="dxa"/>
              <w:left w:w="140" w:type="dxa"/>
              <w:right w:w="140" w:type="dxa"/>
            </w:tcMar>
          </w:tcPr>
          <w:p>
            <w:pPr>
              <w:jc w:val="center"/>
            </w:pPr>
            <w:r>
              <w:rPr>
                <w:sz w:val="18"/>
              </w:rPr>
              <w:t>70.69</w:t>
            </w:r>
          </w:p>
        </w:tc>
        <w:tc>
          <w:tcPr>
            <w:tcW w:type="dxa" w:w="2340"/>
            <w:tcMar>
              <w:top w:w="90" w:type="dxa"/>
              <w:bottom w:w="90" w:type="dxa"/>
              <w:left w:w="140" w:type="dxa"/>
              <w:right w:w="140" w:type="dxa"/>
            </w:tcMar>
          </w:tcPr>
          <w:p>
            <w:pPr>
              <w:jc w:val="center"/>
            </w:pPr>
            <w:r>
              <w:rPr>
                <w:sz w:val="18"/>
              </w:rPr>
              <w:t>70.69</w:t>
            </w:r>
          </w:p>
        </w:tc>
        <w:tc>
          <w:tcPr>
            <w:tcW w:type="dxa" w:w="2340"/>
            <w:tcMar>
              <w:top w:w="90" w:type="dxa"/>
              <w:bottom w:w="90" w:type="dxa"/>
              <w:left w:w="140" w:type="dxa"/>
              <w:right w:w="140" w:type="dxa"/>
            </w:tcMar>
          </w:tcPr>
          <w:p>
            <w:pPr>
              <w:jc w:val="center"/>
            </w:pPr>
            <w:r>
              <w:rPr>
                <w:sz w:val="18"/>
              </w:rPr>
              <w:t>100.00%</w:t>
            </w:r>
          </w:p>
        </w:tc>
      </w:tr>
      <w:tr>
        <w:tc>
          <w:tcPr>
            <w:tcW w:type="dxa" w:w="2340"/>
            <w:tcMar>
              <w:top w:w="90" w:type="dxa"/>
              <w:bottom w:w="90" w:type="dxa"/>
              <w:left w:w="140" w:type="dxa"/>
              <w:right w:w="140" w:type="dxa"/>
            </w:tcMar>
            <w:shd w:fill="F9FBFC"/>
          </w:tcPr>
          <w:p>
            <w:pPr>
              <w:jc w:val="left"/>
            </w:pPr>
            <w:r>
              <w:rPr>
                <w:sz w:val="18"/>
              </w:rPr>
              <w:t>Proposed 1 (Enhanced CNN + Mamba)</w:t>
            </w:r>
          </w:p>
        </w:tc>
        <w:tc>
          <w:tcPr>
            <w:tcW w:type="dxa" w:w="2340"/>
            <w:tcMar>
              <w:top w:w="90" w:type="dxa"/>
              <w:bottom w:w="90" w:type="dxa"/>
              <w:left w:w="140" w:type="dxa"/>
              <w:right w:w="140" w:type="dxa"/>
            </w:tcMar>
            <w:shd w:fill="F9FBFC"/>
          </w:tcPr>
          <w:p>
            <w:pPr>
              <w:jc w:val="center"/>
            </w:pPr>
            <w:r>
              <w:rPr>
                <w:sz w:val="18"/>
              </w:rPr>
              <w:t>98.28</w:t>
            </w:r>
          </w:p>
        </w:tc>
        <w:tc>
          <w:tcPr>
            <w:tcW w:type="dxa" w:w="2340"/>
            <w:tcMar>
              <w:top w:w="90" w:type="dxa"/>
              <w:bottom w:w="90" w:type="dxa"/>
              <w:left w:w="140" w:type="dxa"/>
              <w:right w:w="140" w:type="dxa"/>
            </w:tcMar>
            <w:shd w:fill="F9FBFC"/>
          </w:tcPr>
          <w:p>
            <w:pPr>
              <w:jc w:val="center"/>
            </w:pPr>
            <w:r>
              <w:rPr>
                <w:sz w:val="18"/>
              </w:rPr>
              <w:t>23.28</w:t>
            </w:r>
          </w:p>
        </w:tc>
        <w:tc>
          <w:tcPr>
            <w:tcW w:type="dxa" w:w="2340"/>
            <w:tcMar>
              <w:top w:w="90" w:type="dxa"/>
              <w:bottom w:w="90" w:type="dxa"/>
              <w:left w:w="140" w:type="dxa"/>
              <w:right w:w="140" w:type="dxa"/>
            </w:tcMar>
            <w:shd w:fill="F9FBFC"/>
          </w:tcPr>
          <w:p>
            <w:pPr>
              <w:jc w:val="center"/>
            </w:pPr>
            <w:r>
              <w:rPr>
                <w:sz w:val="18"/>
              </w:rPr>
              <w:t>23.68%</w:t>
            </w:r>
          </w:p>
        </w:tc>
      </w:tr>
      <w:tr>
        <w:tc>
          <w:tcPr>
            <w:tcW w:type="dxa" w:w="2340"/>
            <w:tcMar>
              <w:top w:w="90" w:type="dxa"/>
              <w:bottom w:w="90" w:type="dxa"/>
              <w:left w:w="140" w:type="dxa"/>
              <w:right w:w="140" w:type="dxa"/>
            </w:tcMar>
          </w:tcPr>
          <w:p>
            <w:pPr>
              <w:jc w:val="left"/>
            </w:pPr>
            <w:r>
              <w:rPr>
                <w:b/>
                <w:color w:val="002B66"/>
                <w:sz w:val="18"/>
              </w:rPr>
              <w:t>Proposed 2 (Enhanced GCN + CNN)</w:t>
            </w:r>
          </w:p>
        </w:tc>
        <w:tc>
          <w:tcPr>
            <w:tcW w:type="dxa" w:w="2340"/>
            <w:tcMar>
              <w:top w:w="90" w:type="dxa"/>
              <w:bottom w:w="90" w:type="dxa"/>
              <w:left w:w="140" w:type="dxa"/>
              <w:right w:w="140" w:type="dxa"/>
            </w:tcMar>
          </w:tcPr>
          <w:p>
            <w:pPr>
              <w:jc w:val="center"/>
            </w:pPr>
            <w:r>
              <w:rPr>
                <w:b/>
                <w:sz w:val="18"/>
              </w:rPr>
              <w:t>92.24</w:t>
            </w:r>
          </w:p>
        </w:tc>
        <w:tc>
          <w:tcPr>
            <w:tcW w:type="dxa" w:w="2340"/>
            <w:tcMar>
              <w:top w:w="90" w:type="dxa"/>
              <w:bottom w:w="90" w:type="dxa"/>
              <w:left w:w="140" w:type="dxa"/>
              <w:right w:w="140" w:type="dxa"/>
            </w:tcMar>
          </w:tcPr>
          <w:p>
            <w:pPr>
              <w:jc w:val="center"/>
            </w:pPr>
            <w:r>
              <w:rPr>
                <w:b/>
                <w:sz w:val="18"/>
              </w:rPr>
              <w:t>43.97</w:t>
            </w:r>
          </w:p>
        </w:tc>
        <w:tc>
          <w:tcPr>
            <w:tcW w:type="dxa" w:w="2340"/>
            <w:tcMar>
              <w:top w:w="90" w:type="dxa"/>
              <w:bottom w:w="90" w:type="dxa"/>
              <w:left w:w="140" w:type="dxa"/>
              <w:right w:w="140" w:type="dxa"/>
            </w:tcMar>
          </w:tcPr>
          <w:p>
            <w:pPr>
              <w:jc w:val="center"/>
            </w:pPr>
            <w:r>
              <w:rPr>
                <w:b/>
                <w:sz w:val="18"/>
              </w:rPr>
              <w:t>47.66%</w:t>
            </w:r>
          </w:p>
        </w:tc>
      </w:tr>
    </w:tbl>
    <w:p>
      <w:pPr>
        <w:spacing w:before="120" w:after="40"/>
        <w:jc w:val="center"/>
      </w:pPr>
      <w:r>
        <w:drawing>
          <wp:inline xmlns:a="http://schemas.openxmlformats.org/drawingml/2006/main" xmlns:pic="http://schemas.openxmlformats.org/drawingml/2006/picture">
            <wp:extent cx="5303520" cy="2624975"/>
            <wp:docPr id="6" name="Picture 6"/>
            <wp:cNvGraphicFramePr>
              <a:graphicFrameLocks noChangeAspect="1"/>
            </wp:cNvGraphicFramePr>
            <a:graphic>
              <a:graphicData uri="http://schemas.openxmlformats.org/drawingml/2006/picture">
                <pic:pic>
                  <pic:nvPicPr>
                    <pic:cNvPr id="0" name="fig_robustness_stress.png"/>
                    <pic:cNvPicPr/>
                  </pic:nvPicPr>
                  <pic:blipFill>
                    <a:blip r:embed="rId14"/>
                    <a:stretch>
                      <a:fillRect/>
                    </a:stretch>
                  </pic:blipFill>
                  <pic:spPr>
                    <a:xfrm>
                      <a:off x="0" y="0"/>
                      <a:ext cx="5303520" cy="2624975"/>
                    </a:xfrm>
                    <a:prstGeom prst="rect"/>
                  </pic:spPr>
                </pic:pic>
              </a:graphicData>
            </a:graphic>
          </wp:inline>
        </w:drawing>
      </w:r>
    </w:p>
    <w:p>
      <w:pPr>
        <w:spacing w:after="240"/>
        <w:jc w:val="center"/>
      </w:pPr>
      <w:r>
        <w:rPr>
          <w:b/>
          <w:color w:val="002B66"/>
          <w:sz w:val="19"/>
        </w:rPr>
        <w:t>Fig. 6.  Clean test accuracy versus adverse noise and illumination degradation across all 7 evaluated architectures.</w:t>
      </w:r>
    </w:p>
    <w:p>
      <w:pPr>
        <w:spacing w:before="120" w:after="40"/>
        <w:jc w:val="center"/>
      </w:pPr>
      <w:r>
        <w:drawing>
          <wp:inline xmlns:a="http://schemas.openxmlformats.org/drawingml/2006/main" xmlns:pic="http://schemas.openxmlformats.org/drawingml/2006/picture">
            <wp:extent cx="5303520" cy="3153444"/>
            <wp:docPr id="7" name="Picture 7"/>
            <wp:cNvGraphicFramePr>
              <a:graphicFrameLocks noChangeAspect="1"/>
            </wp:cNvGraphicFramePr>
            <a:graphic>
              <a:graphicData uri="http://schemas.openxmlformats.org/drawingml/2006/picture">
                <pic:pic>
                  <pic:nvPicPr>
                    <pic:cNvPr id="0" name="fig_dynamic_gating_weights.png"/>
                    <pic:cNvPicPr/>
                  </pic:nvPicPr>
                  <pic:blipFill>
                    <a:blip r:embed="rId15"/>
                    <a:stretch>
                      <a:fillRect/>
                    </a:stretch>
                  </pic:blipFill>
                  <pic:spPr>
                    <a:xfrm>
                      <a:off x="0" y="0"/>
                      <a:ext cx="5303520" cy="3153444"/>
                    </a:xfrm>
                    <a:prstGeom prst="rect"/>
                  </pic:spPr>
                </pic:pic>
              </a:graphicData>
            </a:graphic>
          </wp:inline>
        </w:drawing>
      </w:r>
    </w:p>
    <w:p>
      <w:pPr>
        <w:spacing w:after="240"/>
        <w:jc w:val="center"/>
      </w:pPr>
      <w:r>
        <w:rPr>
          <w:b/>
          <w:color w:val="002B66"/>
          <w:sz w:val="19"/>
        </w:rPr>
        <w:t>Fig. 7.  Dynamic cross-modal gating response under progressive sensor noise sweep (sigma in [0.0, 0.30]), illustrating autonomous adaptive modulation.</w:t>
      </w:r>
    </w:p>
    <w:p>
      <w:pPr>
        <w:spacing w:before="200" w:after="60"/>
        <w:jc w:val="left"/>
      </w:pPr>
      <w:r>
        <w:rPr>
          <w:rFonts w:ascii="Times New Roman" w:hAnsi="Times New Roman"/>
          <w:b/>
          <w:i/>
          <w:color w:val="002B66"/>
          <w:sz w:val="22"/>
        </w:rPr>
        <w:t>E.  Latent Manifold Representation &amp; Feature Disambiguation</w:t>
      </w:r>
    </w:p>
    <w:p>
      <w:pPr>
        <w:spacing w:line="276" w:lineRule="auto" w:after="100"/>
        <w:ind w:firstLine="360"/>
        <w:jc w:val="both"/>
      </w:pPr>
      <w:r>
        <w:rPr>
          <w:rFonts w:ascii="Times New Roman" w:hAnsi="Times New Roman"/>
          <w:color w:val="222222"/>
          <w:sz w:val="21"/>
        </w:rPr>
        <w:t>To examine how the synergistic dual-stream model separates fine-grained sign gestures, we extract penultimate 128-dimensional latent representations and project them via 2D t-Distributed Stochastic Neighbor Embedding (t-SNE). As illustrated in Fig. 8, the learned cross-modal manifold exhibits distinct semantic clustering across all 29 ASL alphabet classes while preserving tight topological neighborhood bounds for visually ambiguous signs (e.g., thumb-tuck gestures 'M', 'N', 'T'). In addition, Fig. 9 presents the complete normalized 29-class confusion matrix, demonstrating well-balanced recall across both static fingerspelling letters and dynamic transition tokens ('del', 'space').</w:t>
      </w:r>
    </w:p>
    <w:p>
      <w:pPr>
        <w:spacing w:before="120" w:after="40"/>
        <w:jc w:val="center"/>
      </w:pPr>
      <w:r>
        <w:drawing>
          <wp:inline xmlns:a="http://schemas.openxmlformats.org/drawingml/2006/main" xmlns:pic="http://schemas.openxmlformats.org/drawingml/2006/picture">
            <wp:extent cx="5303520" cy="3965877"/>
            <wp:docPr id="8" name="Picture 8"/>
            <wp:cNvGraphicFramePr>
              <a:graphicFrameLocks noChangeAspect="1"/>
            </wp:cNvGraphicFramePr>
            <a:graphic>
              <a:graphicData uri="http://schemas.openxmlformats.org/drawingml/2006/picture">
                <pic:pic>
                  <pic:nvPicPr>
                    <pic:cNvPr id="0" name="fig_tsne_latent_space.png"/>
                    <pic:cNvPicPr/>
                  </pic:nvPicPr>
                  <pic:blipFill>
                    <a:blip r:embed="rId16"/>
                    <a:stretch>
                      <a:fillRect/>
                    </a:stretch>
                  </pic:blipFill>
                  <pic:spPr>
                    <a:xfrm>
                      <a:off x="0" y="0"/>
                      <a:ext cx="5303520" cy="3965877"/>
                    </a:xfrm>
                    <a:prstGeom prst="rect"/>
                  </pic:spPr>
                </pic:pic>
              </a:graphicData>
            </a:graphic>
          </wp:inline>
        </w:drawing>
      </w:r>
    </w:p>
    <w:p>
      <w:pPr>
        <w:spacing w:after="240"/>
        <w:jc w:val="center"/>
      </w:pPr>
      <w:r>
        <w:rPr>
          <w:b/>
          <w:color w:val="002B66"/>
          <w:sz w:val="19"/>
        </w:rPr>
        <w:t>Fig. 8.  Two-dimensional t-SNE manifold projection of the fused multimodal latent space (128-D) across the 29 ASL alphabet classes.</w:t>
      </w:r>
    </w:p>
    <w:p>
      <w:pPr>
        <w:spacing w:before="120" w:after="40"/>
        <w:jc w:val="center"/>
      </w:pPr>
      <w:r>
        <w:drawing>
          <wp:inline xmlns:a="http://schemas.openxmlformats.org/drawingml/2006/main" xmlns:pic="http://schemas.openxmlformats.org/drawingml/2006/picture">
            <wp:extent cx="5120640" cy="4659634"/>
            <wp:docPr id="9" name="Picture 9"/>
            <wp:cNvGraphicFramePr>
              <a:graphicFrameLocks noChangeAspect="1"/>
            </wp:cNvGraphicFramePr>
            <a:graphic>
              <a:graphicData uri="http://schemas.openxmlformats.org/drawingml/2006/picture">
                <pic:pic>
                  <pic:nvPicPr>
                    <pic:cNvPr id="0" name="fig_confusion_matrix.png"/>
                    <pic:cNvPicPr/>
                  </pic:nvPicPr>
                  <pic:blipFill>
                    <a:blip r:embed="rId17"/>
                    <a:stretch>
                      <a:fillRect/>
                    </a:stretch>
                  </pic:blipFill>
                  <pic:spPr>
                    <a:xfrm>
                      <a:off x="0" y="0"/>
                      <a:ext cx="5120640" cy="4659634"/>
                    </a:xfrm>
                    <a:prstGeom prst="rect"/>
                  </pic:spPr>
                </pic:pic>
              </a:graphicData>
            </a:graphic>
          </wp:inline>
        </w:drawing>
      </w:r>
    </w:p>
    <w:p>
      <w:pPr>
        <w:spacing w:after="240"/>
        <w:jc w:val="center"/>
      </w:pPr>
      <w:r>
        <w:rPr>
          <w:b/>
          <w:color w:val="002B66"/>
          <w:sz w:val="19"/>
        </w:rPr>
        <w:t>Fig. 9.  Normalized confusion matrix across all 29 ASL alphabet classes for Proposed Model 2 (Adaptive GCN + MobileNetV3).</w:t>
      </w:r>
    </w:p>
    <w:p>
      <w:pPr>
        <w:spacing w:before="200" w:after="60"/>
        <w:jc w:val="left"/>
      </w:pPr>
      <w:r>
        <w:rPr>
          <w:rFonts w:ascii="Times New Roman" w:hAnsi="Times New Roman"/>
          <w:b/>
          <w:i/>
          <w:color w:val="002B66"/>
          <w:sz w:val="22"/>
        </w:rPr>
        <w:t>F.  Sequence Length Latency Scaling Analysis</w:t>
      </w:r>
    </w:p>
    <w:p>
      <w:pPr>
        <w:spacing w:line="276" w:lineRule="auto" w:after="100"/>
        <w:ind w:firstLine="360"/>
        <w:jc w:val="both"/>
      </w:pPr>
      <w:r>
        <w:rPr>
          <w:rFonts w:ascii="Times New Roman" w:hAnsi="Times New Roman"/>
          <w:color w:val="222222"/>
          <w:sz w:val="21"/>
        </w:rPr>
        <w:t>A central theoretical motivation for adopting Selective State-Space Models (Vision Mamba S6) in multimedia sign recognition is to circumvent the quadratic computational scaling O(L^2) of self-attention mechanisms and the non-parallelizable recurrent unrolling of Bi-LSTMs. We empirically profiled the inference latency of the inner sequence processing blocks across varying sequence lengths L in {16, 32, 49, 64, 96, 128, 196, 256} tokens (d_model = 192, batch size = 1, 20 warmup + 100 timed passes via high-precision performance timers on local multi-threaded CPU). Table V and Fig. 10 present the empirical measurements.</w:t>
      </w:r>
    </w:p>
    <w:p>
      <w:pPr>
        <w:spacing w:before="160" w:after="80"/>
        <w:jc w:val="center"/>
      </w:pPr>
      <w:r>
        <w:rPr>
          <w:b/>
          <w:color w:val="002B66"/>
          <w:sz w:val="19"/>
        </w:rPr>
        <w:t>TABLE V: EMPIRICAL SEQUENCE LENGTH LATENCY SCALING ACROSS MODEL PARADIGMS (d_model = 192, CPU)</w:t>
      </w:r>
    </w:p>
    <w:tbl>
      <w:tblPr>
        <w:tblW w:type="auto" w:w="0"/>
        <w:jc w:val="center"/>
        <w:tblLook w:firstColumn="1" w:firstRow="1" w:lastColumn="0" w:lastRow="0" w:noHBand="0" w:noVBand="1" w:val="04A0"/>
        <w:tblBorders>
          <w:top w:val="single" w:sz="12" w:space="0" w:color="002B66"/>
          <w:bottom w:val="single" w:sz="12" w:space="0" w:color="002B66"/>
          <w:insideH w:val="single" w:sz="4" w:space="0" w:color="B0C4DE"/>
          <w:left w:val="none"/>
          <w:right w:val="none"/>
          <w:insideV w:val="none"/>
        </w:tblBorders>
      </w:tblPr>
      <w:tblGrid>
        <w:gridCol w:w="1872"/>
        <w:gridCol w:w="1872"/>
        <w:gridCol w:w="1872"/>
        <w:gridCol w:w="1872"/>
        <w:gridCol w:w="1872"/>
      </w:tblGrid>
      <w:tr>
        <w:tc>
          <w:tcPr>
            <w:tcW w:type="dxa" w:w="1872"/>
            <w:shd w:fill="EBF1F5"/>
            <w:tcMar>
              <w:top w:w="120" w:type="dxa"/>
              <w:bottom w:w="120" w:type="dxa"/>
              <w:left w:w="140" w:type="dxa"/>
              <w:right w:w="140" w:type="dxa"/>
            </w:tcMar>
          </w:tcPr>
          <w:p>
            <w:pPr>
              <w:jc w:val="left"/>
            </w:pPr>
            <w:r>
              <w:rPr>
                <w:b/>
                <w:color w:val="002B66"/>
                <w:sz w:val="18"/>
              </w:rPr>
              <w:t>Tokens (L)</w:t>
            </w:r>
          </w:p>
        </w:tc>
        <w:tc>
          <w:tcPr>
            <w:tcW w:type="dxa" w:w="1872"/>
            <w:shd w:fill="EBF1F5"/>
            <w:tcMar>
              <w:top w:w="120" w:type="dxa"/>
              <w:bottom w:w="120" w:type="dxa"/>
              <w:left w:w="140" w:type="dxa"/>
              <w:right w:w="140" w:type="dxa"/>
            </w:tcMar>
          </w:tcPr>
          <w:p>
            <w:pPr>
              <w:jc w:val="center"/>
            </w:pPr>
            <w:r>
              <w:rPr>
                <w:b/>
                <w:color w:val="002B66"/>
                <w:sz w:val="18"/>
              </w:rPr>
              <w:t>Mamba (ms)</w:t>
            </w:r>
          </w:p>
        </w:tc>
        <w:tc>
          <w:tcPr>
            <w:tcW w:type="dxa" w:w="1872"/>
            <w:shd w:fill="EBF1F5"/>
            <w:tcMar>
              <w:top w:w="120" w:type="dxa"/>
              <w:bottom w:w="120" w:type="dxa"/>
              <w:left w:w="140" w:type="dxa"/>
              <w:right w:w="140" w:type="dxa"/>
            </w:tcMar>
          </w:tcPr>
          <w:p>
            <w:pPr>
              <w:jc w:val="center"/>
            </w:pPr>
            <w:r>
              <w:rPr>
                <w:b/>
                <w:color w:val="002B66"/>
                <w:sz w:val="18"/>
              </w:rPr>
              <w:t>Bi-LSTM (ms)</w:t>
            </w:r>
          </w:p>
        </w:tc>
        <w:tc>
          <w:tcPr>
            <w:tcW w:type="dxa" w:w="1872"/>
            <w:shd w:fill="EBF1F5"/>
            <w:tcMar>
              <w:top w:w="120" w:type="dxa"/>
              <w:bottom w:w="120" w:type="dxa"/>
              <w:left w:w="140" w:type="dxa"/>
              <w:right w:w="140" w:type="dxa"/>
            </w:tcMar>
          </w:tcPr>
          <w:p>
            <w:pPr>
              <w:jc w:val="center"/>
            </w:pPr>
            <w:r>
              <w:rPr>
                <w:b/>
                <w:color w:val="002B66"/>
                <w:sz w:val="18"/>
              </w:rPr>
              <w:t>ViT Attn (ms)</w:t>
            </w:r>
          </w:p>
        </w:tc>
        <w:tc>
          <w:tcPr>
            <w:tcW w:type="dxa" w:w="1872"/>
            <w:shd w:fill="EBF1F5"/>
            <w:tcMar>
              <w:top w:w="120" w:type="dxa"/>
              <w:bottom w:w="120" w:type="dxa"/>
              <w:left w:w="140" w:type="dxa"/>
              <w:right w:w="140" w:type="dxa"/>
            </w:tcMar>
          </w:tcPr>
          <w:p>
            <w:pPr>
              <w:jc w:val="center"/>
            </w:pPr>
            <w:r>
              <w:rPr>
                <w:b/>
                <w:color w:val="002B66"/>
                <w:sz w:val="18"/>
              </w:rPr>
              <w:t>Mamba vs LSTM</w:t>
            </w:r>
          </w:p>
        </w:tc>
      </w:tr>
      <w:tr>
        <w:tc>
          <w:tcPr>
            <w:tcW w:type="dxa" w:w="1872"/>
            <w:tcMar>
              <w:top w:w="90" w:type="dxa"/>
              <w:bottom w:w="90" w:type="dxa"/>
              <w:left w:w="140" w:type="dxa"/>
              <w:right w:w="140" w:type="dxa"/>
            </w:tcMar>
          </w:tcPr>
          <w:p>
            <w:pPr>
              <w:jc w:val="left"/>
            </w:pPr>
            <w:r>
              <w:rPr>
                <w:sz w:val="18"/>
              </w:rPr>
              <w:t>16</w:t>
            </w:r>
          </w:p>
        </w:tc>
        <w:tc>
          <w:tcPr>
            <w:tcW w:type="dxa" w:w="1872"/>
            <w:tcMar>
              <w:top w:w="90" w:type="dxa"/>
              <w:bottom w:w="90" w:type="dxa"/>
              <w:left w:w="140" w:type="dxa"/>
              <w:right w:w="140" w:type="dxa"/>
            </w:tcMar>
          </w:tcPr>
          <w:p>
            <w:pPr>
              <w:jc w:val="center"/>
            </w:pPr>
            <w:r>
              <w:rPr>
                <w:sz w:val="18"/>
              </w:rPr>
              <w:t>9.59</w:t>
            </w:r>
          </w:p>
        </w:tc>
        <w:tc>
          <w:tcPr>
            <w:tcW w:type="dxa" w:w="1872"/>
            <w:tcMar>
              <w:top w:w="90" w:type="dxa"/>
              <w:bottom w:w="90" w:type="dxa"/>
              <w:left w:w="140" w:type="dxa"/>
              <w:right w:w="140" w:type="dxa"/>
            </w:tcMar>
          </w:tcPr>
          <w:p>
            <w:pPr>
              <w:jc w:val="center"/>
            </w:pPr>
            <w:r>
              <w:rPr>
                <w:sz w:val="18"/>
              </w:rPr>
              <w:t>2.81</w:t>
            </w:r>
          </w:p>
        </w:tc>
        <w:tc>
          <w:tcPr>
            <w:tcW w:type="dxa" w:w="1872"/>
            <w:tcMar>
              <w:top w:w="90" w:type="dxa"/>
              <w:bottom w:w="90" w:type="dxa"/>
              <w:left w:w="140" w:type="dxa"/>
              <w:right w:w="140" w:type="dxa"/>
            </w:tcMar>
          </w:tcPr>
          <w:p>
            <w:pPr>
              <w:jc w:val="center"/>
            </w:pPr>
            <w:r>
              <w:rPr>
                <w:sz w:val="18"/>
              </w:rPr>
              <w:t>0.84</w:t>
            </w:r>
          </w:p>
        </w:tc>
        <w:tc>
          <w:tcPr>
            <w:tcW w:type="dxa" w:w="1872"/>
            <w:tcMar>
              <w:top w:w="90" w:type="dxa"/>
              <w:bottom w:w="90" w:type="dxa"/>
              <w:left w:w="140" w:type="dxa"/>
              <w:right w:w="140" w:type="dxa"/>
            </w:tcMar>
          </w:tcPr>
          <w:p>
            <w:pPr>
              <w:jc w:val="center"/>
            </w:pPr>
            <w:r>
              <w:rPr>
                <w:sz w:val="18"/>
              </w:rPr>
              <w:t>0.29x</w:t>
            </w:r>
          </w:p>
        </w:tc>
      </w:tr>
      <w:tr>
        <w:tc>
          <w:tcPr>
            <w:tcW w:type="dxa" w:w="1872"/>
            <w:tcMar>
              <w:top w:w="90" w:type="dxa"/>
              <w:bottom w:w="90" w:type="dxa"/>
              <w:left w:w="140" w:type="dxa"/>
              <w:right w:w="140" w:type="dxa"/>
            </w:tcMar>
            <w:shd w:fill="F9FBFC"/>
          </w:tcPr>
          <w:p>
            <w:pPr>
              <w:jc w:val="left"/>
            </w:pPr>
            <w:r>
              <w:rPr>
                <w:sz w:val="18"/>
              </w:rPr>
              <w:t>32</w:t>
            </w:r>
          </w:p>
        </w:tc>
        <w:tc>
          <w:tcPr>
            <w:tcW w:type="dxa" w:w="1872"/>
            <w:tcMar>
              <w:top w:w="90" w:type="dxa"/>
              <w:bottom w:w="90" w:type="dxa"/>
              <w:left w:w="140" w:type="dxa"/>
              <w:right w:w="140" w:type="dxa"/>
            </w:tcMar>
            <w:shd w:fill="F9FBFC"/>
          </w:tcPr>
          <w:p>
            <w:pPr>
              <w:jc w:val="center"/>
            </w:pPr>
            <w:r>
              <w:rPr>
                <w:sz w:val="18"/>
              </w:rPr>
              <w:t>16.92</w:t>
            </w:r>
          </w:p>
        </w:tc>
        <w:tc>
          <w:tcPr>
            <w:tcW w:type="dxa" w:w="1872"/>
            <w:tcMar>
              <w:top w:w="90" w:type="dxa"/>
              <w:bottom w:w="90" w:type="dxa"/>
              <w:left w:w="140" w:type="dxa"/>
              <w:right w:w="140" w:type="dxa"/>
            </w:tcMar>
            <w:shd w:fill="F9FBFC"/>
          </w:tcPr>
          <w:p>
            <w:pPr>
              <w:jc w:val="center"/>
            </w:pPr>
            <w:r>
              <w:rPr>
                <w:sz w:val="18"/>
              </w:rPr>
              <w:t>3.98</w:t>
            </w:r>
          </w:p>
        </w:tc>
        <w:tc>
          <w:tcPr>
            <w:tcW w:type="dxa" w:w="1872"/>
            <w:tcMar>
              <w:top w:w="90" w:type="dxa"/>
              <w:bottom w:w="90" w:type="dxa"/>
              <w:left w:w="140" w:type="dxa"/>
              <w:right w:w="140" w:type="dxa"/>
            </w:tcMar>
            <w:shd w:fill="F9FBFC"/>
          </w:tcPr>
          <w:p>
            <w:pPr>
              <w:jc w:val="center"/>
            </w:pPr>
            <w:r>
              <w:rPr>
                <w:sz w:val="18"/>
              </w:rPr>
              <w:t>1.06</w:t>
            </w:r>
          </w:p>
        </w:tc>
        <w:tc>
          <w:tcPr>
            <w:tcW w:type="dxa" w:w="1872"/>
            <w:tcMar>
              <w:top w:w="90" w:type="dxa"/>
              <w:bottom w:w="90" w:type="dxa"/>
              <w:left w:w="140" w:type="dxa"/>
              <w:right w:w="140" w:type="dxa"/>
            </w:tcMar>
            <w:shd w:fill="F9FBFC"/>
          </w:tcPr>
          <w:p>
            <w:pPr>
              <w:jc w:val="center"/>
            </w:pPr>
            <w:r>
              <w:rPr>
                <w:sz w:val="18"/>
              </w:rPr>
              <w:t>0.24x</w:t>
            </w:r>
          </w:p>
        </w:tc>
      </w:tr>
      <w:tr>
        <w:tc>
          <w:tcPr>
            <w:tcW w:type="dxa" w:w="1872"/>
            <w:tcMar>
              <w:top w:w="90" w:type="dxa"/>
              <w:bottom w:w="90" w:type="dxa"/>
              <w:left w:w="140" w:type="dxa"/>
              <w:right w:w="140" w:type="dxa"/>
            </w:tcMar>
          </w:tcPr>
          <w:p>
            <w:pPr>
              <w:jc w:val="left"/>
            </w:pPr>
            <w:r>
              <w:rPr>
                <w:sz w:val="18"/>
              </w:rPr>
              <w:t>49</w:t>
            </w:r>
          </w:p>
        </w:tc>
        <w:tc>
          <w:tcPr>
            <w:tcW w:type="dxa" w:w="1872"/>
            <w:tcMar>
              <w:top w:w="90" w:type="dxa"/>
              <w:bottom w:w="90" w:type="dxa"/>
              <w:left w:w="140" w:type="dxa"/>
              <w:right w:w="140" w:type="dxa"/>
            </w:tcMar>
          </w:tcPr>
          <w:p>
            <w:pPr>
              <w:jc w:val="center"/>
            </w:pPr>
            <w:r>
              <w:rPr>
                <w:sz w:val="18"/>
              </w:rPr>
              <w:t>25.82</w:t>
            </w:r>
          </w:p>
        </w:tc>
        <w:tc>
          <w:tcPr>
            <w:tcW w:type="dxa" w:w="1872"/>
            <w:tcMar>
              <w:top w:w="90" w:type="dxa"/>
              <w:bottom w:w="90" w:type="dxa"/>
              <w:left w:w="140" w:type="dxa"/>
              <w:right w:w="140" w:type="dxa"/>
            </w:tcMar>
          </w:tcPr>
          <w:p>
            <w:pPr>
              <w:jc w:val="center"/>
            </w:pPr>
            <w:r>
              <w:rPr>
                <w:sz w:val="18"/>
              </w:rPr>
              <w:t>4.87</w:t>
            </w:r>
          </w:p>
        </w:tc>
        <w:tc>
          <w:tcPr>
            <w:tcW w:type="dxa" w:w="1872"/>
            <w:tcMar>
              <w:top w:w="90" w:type="dxa"/>
              <w:bottom w:w="90" w:type="dxa"/>
              <w:left w:w="140" w:type="dxa"/>
              <w:right w:w="140" w:type="dxa"/>
            </w:tcMar>
          </w:tcPr>
          <w:p>
            <w:pPr>
              <w:jc w:val="center"/>
            </w:pPr>
            <w:r>
              <w:rPr>
                <w:sz w:val="18"/>
              </w:rPr>
              <w:t>1.17</w:t>
            </w:r>
          </w:p>
        </w:tc>
        <w:tc>
          <w:tcPr>
            <w:tcW w:type="dxa" w:w="1872"/>
            <w:tcMar>
              <w:top w:w="90" w:type="dxa"/>
              <w:bottom w:w="90" w:type="dxa"/>
              <w:left w:w="140" w:type="dxa"/>
              <w:right w:w="140" w:type="dxa"/>
            </w:tcMar>
          </w:tcPr>
          <w:p>
            <w:pPr>
              <w:jc w:val="center"/>
            </w:pPr>
            <w:r>
              <w:rPr>
                <w:sz w:val="18"/>
              </w:rPr>
              <w:t>0.19x</w:t>
            </w:r>
          </w:p>
        </w:tc>
      </w:tr>
      <w:tr>
        <w:tc>
          <w:tcPr>
            <w:tcW w:type="dxa" w:w="1872"/>
            <w:tcMar>
              <w:top w:w="90" w:type="dxa"/>
              <w:bottom w:w="90" w:type="dxa"/>
              <w:left w:w="140" w:type="dxa"/>
              <w:right w:w="140" w:type="dxa"/>
            </w:tcMar>
            <w:shd w:fill="F9FBFC"/>
          </w:tcPr>
          <w:p>
            <w:pPr>
              <w:jc w:val="left"/>
            </w:pPr>
            <w:r>
              <w:rPr>
                <w:sz w:val="18"/>
              </w:rPr>
              <w:t>64</w:t>
            </w:r>
          </w:p>
        </w:tc>
        <w:tc>
          <w:tcPr>
            <w:tcW w:type="dxa" w:w="1872"/>
            <w:tcMar>
              <w:top w:w="90" w:type="dxa"/>
              <w:bottom w:w="90" w:type="dxa"/>
              <w:left w:w="140" w:type="dxa"/>
              <w:right w:w="140" w:type="dxa"/>
            </w:tcMar>
            <w:shd w:fill="F9FBFC"/>
          </w:tcPr>
          <w:p>
            <w:pPr>
              <w:jc w:val="center"/>
            </w:pPr>
            <w:r>
              <w:rPr>
                <w:sz w:val="18"/>
              </w:rPr>
              <w:t>32.90</w:t>
            </w:r>
          </w:p>
        </w:tc>
        <w:tc>
          <w:tcPr>
            <w:tcW w:type="dxa" w:w="1872"/>
            <w:tcMar>
              <w:top w:w="90" w:type="dxa"/>
              <w:bottom w:w="90" w:type="dxa"/>
              <w:left w:w="140" w:type="dxa"/>
              <w:right w:w="140" w:type="dxa"/>
            </w:tcMar>
            <w:shd w:fill="F9FBFC"/>
          </w:tcPr>
          <w:p>
            <w:pPr>
              <w:jc w:val="center"/>
            </w:pPr>
            <w:r>
              <w:rPr>
                <w:sz w:val="18"/>
              </w:rPr>
              <w:t>6.61</w:t>
            </w:r>
          </w:p>
        </w:tc>
        <w:tc>
          <w:tcPr>
            <w:tcW w:type="dxa" w:w="1872"/>
            <w:tcMar>
              <w:top w:w="90" w:type="dxa"/>
              <w:bottom w:w="90" w:type="dxa"/>
              <w:left w:w="140" w:type="dxa"/>
              <w:right w:w="140" w:type="dxa"/>
            </w:tcMar>
            <w:shd w:fill="F9FBFC"/>
          </w:tcPr>
          <w:p>
            <w:pPr>
              <w:jc w:val="center"/>
            </w:pPr>
            <w:r>
              <w:rPr>
                <w:sz w:val="18"/>
              </w:rPr>
              <w:t>1.25</w:t>
            </w:r>
          </w:p>
        </w:tc>
        <w:tc>
          <w:tcPr>
            <w:tcW w:type="dxa" w:w="1872"/>
            <w:tcMar>
              <w:top w:w="90" w:type="dxa"/>
              <w:bottom w:w="90" w:type="dxa"/>
              <w:left w:w="140" w:type="dxa"/>
              <w:right w:w="140" w:type="dxa"/>
            </w:tcMar>
            <w:shd w:fill="F9FBFC"/>
          </w:tcPr>
          <w:p>
            <w:pPr>
              <w:jc w:val="center"/>
            </w:pPr>
            <w:r>
              <w:rPr>
                <w:sz w:val="18"/>
              </w:rPr>
              <w:t>0.20x</w:t>
            </w:r>
          </w:p>
        </w:tc>
      </w:tr>
      <w:tr>
        <w:tc>
          <w:tcPr>
            <w:tcW w:type="dxa" w:w="1872"/>
            <w:tcMar>
              <w:top w:w="90" w:type="dxa"/>
              <w:bottom w:w="90" w:type="dxa"/>
              <w:left w:w="140" w:type="dxa"/>
              <w:right w:w="140" w:type="dxa"/>
            </w:tcMar>
          </w:tcPr>
          <w:p>
            <w:pPr>
              <w:jc w:val="left"/>
            </w:pPr>
            <w:r>
              <w:rPr>
                <w:sz w:val="18"/>
              </w:rPr>
              <w:t>96</w:t>
            </w:r>
          </w:p>
        </w:tc>
        <w:tc>
          <w:tcPr>
            <w:tcW w:type="dxa" w:w="1872"/>
            <w:tcMar>
              <w:top w:w="90" w:type="dxa"/>
              <w:bottom w:w="90" w:type="dxa"/>
              <w:left w:w="140" w:type="dxa"/>
              <w:right w:w="140" w:type="dxa"/>
            </w:tcMar>
          </w:tcPr>
          <w:p>
            <w:pPr>
              <w:jc w:val="center"/>
            </w:pPr>
            <w:r>
              <w:rPr>
                <w:sz w:val="18"/>
              </w:rPr>
              <w:t>46.05</w:t>
            </w:r>
          </w:p>
        </w:tc>
        <w:tc>
          <w:tcPr>
            <w:tcW w:type="dxa" w:w="1872"/>
            <w:tcMar>
              <w:top w:w="90" w:type="dxa"/>
              <w:bottom w:w="90" w:type="dxa"/>
              <w:left w:w="140" w:type="dxa"/>
              <w:right w:w="140" w:type="dxa"/>
            </w:tcMar>
          </w:tcPr>
          <w:p>
            <w:pPr>
              <w:jc w:val="center"/>
            </w:pPr>
            <w:r>
              <w:rPr>
                <w:sz w:val="18"/>
              </w:rPr>
              <w:t>9.24</w:t>
            </w:r>
          </w:p>
        </w:tc>
        <w:tc>
          <w:tcPr>
            <w:tcW w:type="dxa" w:w="1872"/>
            <w:tcMar>
              <w:top w:w="90" w:type="dxa"/>
              <w:bottom w:w="90" w:type="dxa"/>
              <w:left w:w="140" w:type="dxa"/>
              <w:right w:w="140" w:type="dxa"/>
            </w:tcMar>
          </w:tcPr>
          <w:p>
            <w:pPr>
              <w:jc w:val="center"/>
            </w:pPr>
            <w:r>
              <w:rPr>
                <w:sz w:val="18"/>
              </w:rPr>
              <w:t>1.85</w:t>
            </w:r>
          </w:p>
        </w:tc>
        <w:tc>
          <w:tcPr>
            <w:tcW w:type="dxa" w:w="1872"/>
            <w:tcMar>
              <w:top w:w="90" w:type="dxa"/>
              <w:bottom w:w="90" w:type="dxa"/>
              <w:left w:w="140" w:type="dxa"/>
              <w:right w:w="140" w:type="dxa"/>
            </w:tcMar>
          </w:tcPr>
          <w:p>
            <w:pPr>
              <w:jc w:val="center"/>
            </w:pPr>
            <w:r>
              <w:rPr>
                <w:sz w:val="18"/>
              </w:rPr>
              <w:t>0.20x</w:t>
            </w:r>
          </w:p>
        </w:tc>
      </w:tr>
      <w:tr>
        <w:tc>
          <w:tcPr>
            <w:tcW w:type="dxa" w:w="1872"/>
            <w:tcMar>
              <w:top w:w="90" w:type="dxa"/>
              <w:bottom w:w="90" w:type="dxa"/>
              <w:left w:w="140" w:type="dxa"/>
              <w:right w:w="140" w:type="dxa"/>
            </w:tcMar>
            <w:shd w:fill="F9FBFC"/>
          </w:tcPr>
          <w:p>
            <w:pPr>
              <w:jc w:val="left"/>
            </w:pPr>
            <w:r>
              <w:rPr>
                <w:sz w:val="18"/>
              </w:rPr>
              <w:t>128</w:t>
            </w:r>
          </w:p>
        </w:tc>
        <w:tc>
          <w:tcPr>
            <w:tcW w:type="dxa" w:w="1872"/>
            <w:tcMar>
              <w:top w:w="90" w:type="dxa"/>
              <w:bottom w:w="90" w:type="dxa"/>
              <w:left w:w="140" w:type="dxa"/>
              <w:right w:w="140" w:type="dxa"/>
            </w:tcMar>
            <w:shd w:fill="F9FBFC"/>
          </w:tcPr>
          <w:p>
            <w:pPr>
              <w:jc w:val="center"/>
            </w:pPr>
            <w:r>
              <w:rPr>
                <w:sz w:val="18"/>
              </w:rPr>
              <w:t>61.34</w:t>
            </w:r>
          </w:p>
        </w:tc>
        <w:tc>
          <w:tcPr>
            <w:tcW w:type="dxa" w:w="1872"/>
            <w:tcMar>
              <w:top w:w="90" w:type="dxa"/>
              <w:bottom w:w="90" w:type="dxa"/>
              <w:left w:w="140" w:type="dxa"/>
              <w:right w:w="140" w:type="dxa"/>
            </w:tcMar>
            <w:shd w:fill="F9FBFC"/>
          </w:tcPr>
          <w:p>
            <w:pPr>
              <w:jc w:val="center"/>
            </w:pPr>
            <w:r>
              <w:rPr>
                <w:sz w:val="18"/>
              </w:rPr>
              <w:t>13.19</w:t>
            </w:r>
          </w:p>
        </w:tc>
        <w:tc>
          <w:tcPr>
            <w:tcW w:type="dxa" w:w="1872"/>
            <w:tcMar>
              <w:top w:w="90" w:type="dxa"/>
              <w:bottom w:w="90" w:type="dxa"/>
              <w:left w:w="140" w:type="dxa"/>
              <w:right w:w="140" w:type="dxa"/>
            </w:tcMar>
            <w:shd w:fill="F9FBFC"/>
          </w:tcPr>
          <w:p>
            <w:pPr>
              <w:jc w:val="center"/>
            </w:pPr>
            <w:r>
              <w:rPr>
                <w:sz w:val="18"/>
              </w:rPr>
              <w:t>5.67</w:t>
            </w:r>
          </w:p>
        </w:tc>
        <w:tc>
          <w:tcPr>
            <w:tcW w:type="dxa" w:w="1872"/>
            <w:tcMar>
              <w:top w:w="90" w:type="dxa"/>
              <w:bottom w:w="90" w:type="dxa"/>
              <w:left w:w="140" w:type="dxa"/>
              <w:right w:w="140" w:type="dxa"/>
            </w:tcMar>
            <w:shd w:fill="F9FBFC"/>
          </w:tcPr>
          <w:p>
            <w:pPr>
              <w:jc w:val="center"/>
            </w:pPr>
            <w:r>
              <w:rPr>
                <w:sz w:val="18"/>
              </w:rPr>
              <w:t>0.22x</w:t>
            </w:r>
          </w:p>
        </w:tc>
      </w:tr>
      <w:tr>
        <w:tc>
          <w:tcPr>
            <w:tcW w:type="dxa" w:w="1872"/>
            <w:tcMar>
              <w:top w:w="90" w:type="dxa"/>
              <w:bottom w:w="90" w:type="dxa"/>
              <w:left w:w="140" w:type="dxa"/>
              <w:right w:w="140" w:type="dxa"/>
            </w:tcMar>
          </w:tcPr>
          <w:p>
            <w:pPr>
              <w:jc w:val="left"/>
            </w:pPr>
            <w:r>
              <w:rPr>
                <w:sz w:val="18"/>
              </w:rPr>
              <w:t>196</w:t>
            </w:r>
          </w:p>
        </w:tc>
        <w:tc>
          <w:tcPr>
            <w:tcW w:type="dxa" w:w="1872"/>
            <w:tcMar>
              <w:top w:w="90" w:type="dxa"/>
              <w:bottom w:w="90" w:type="dxa"/>
              <w:left w:w="140" w:type="dxa"/>
              <w:right w:w="140" w:type="dxa"/>
            </w:tcMar>
          </w:tcPr>
          <w:p>
            <w:pPr>
              <w:jc w:val="center"/>
            </w:pPr>
            <w:r>
              <w:rPr>
                <w:sz w:val="18"/>
              </w:rPr>
              <w:t>115.98</w:t>
            </w:r>
          </w:p>
        </w:tc>
        <w:tc>
          <w:tcPr>
            <w:tcW w:type="dxa" w:w="1872"/>
            <w:tcMar>
              <w:top w:w="90" w:type="dxa"/>
              <w:bottom w:w="90" w:type="dxa"/>
              <w:left w:w="140" w:type="dxa"/>
              <w:right w:w="140" w:type="dxa"/>
            </w:tcMar>
          </w:tcPr>
          <w:p>
            <w:pPr>
              <w:jc w:val="center"/>
            </w:pPr>
            <w:r>
              <w:rPr>
                <w:sz w:val="18"/>
              </w:rPr>
              <w:t>16.10</w:t>
            </w:r>
          </w:p>
        </w:tc>
        <w:tc>
          <w:tcPr>
            <w:tcW w:type="dxa" w:w="1872"/>
            <w:tcMar>
              <w:top w:w="90" w:type="dxa"/>
              <w:bottom w:w="90" w:type="dxa"/>
              <w:left w:w="140" w:type="dxa"/>
              <w:right w:w="140" w:type="dxa"/>
            </w:tcMar>
          </w:tcPr>
          <w:p>
            <w:pPr>
              <w:jc w:val="center"/>
            </w:pPr>
            <w:r>
              <w:rPr>
                <w:sz w:val="18"/>
              </w:rPr>
              <w:t>6.25</w:t>
            </w:r>
          </w:p>
        </w:tc>
        <w:tc>
          <w:tcPr>
            <w:tcW w:type="dxa" w:w="1872"/>
            <w:tcMar>
              <w:top w:w="90" w:type="dxa"/>
              <w:bottom w:w="90" w:type="dxa"/>
              <w:left w:w="140" w:type="dxa"/>
              <w:right w:w="140" w:type="dxa"/>
            </w:tcMar>
          </w:tcPr>
          <w:p>
            <w:pPr>
              <w:jc w:val="center"/>
            </w:pPr>
            <w:r>
              <w:rPr>
                <w:sz w:val="18"/>
              </w:rPr>
              <w:t>0.14x</w:t>
            </w:r>
          </w:p>
        </w:tc>
      </w:tr>
      <w:tr>
        <w:tc>
          <w:tcPr>
            <w:tcW w:type="dxa" w:w="1872"/>
            <w:tcMar>
              <w:top w:w="90" w:type="dxa"/>
              <w:bottom w:w="90" w:type="dxa"/>
              <w:left w:w="140" w:type="dxa"/>
              <w:right w:w="140" w:type="dxa"/>
            </w:tcMar>
            <w:shd w:fill="F9FBFC"/>
          </w:tcPr>
          <w:p>
            <w:pPr>
              <w:jc w:val="left"/>
            </w:pPr>
            <w:r>
              <w:rPr>
                <w:sz w:val="18"/>
              </w:rPr>
              <w:t>256</w:t>
            </w:r>
          </w:p>
        </w:tc>
        <w:tc>
          <w:tcPr>
            <w:tcW w:type="dxa" w:w="1872"/>
            <w:tcMar>
              <w:top w:w="90" w:type="dxa"/>
              <w:bottom w:w="90" w:type="dxa"/>
              <w:left w:w="140" w:type="dxa"/>
              <w:right w:w="140" w:type="dxa"/>
            </w:tcMar>
            <w:shd w:fill="F9FBFC"/>
          </w:tcPr>
          <w:p>
            <w:pPr>
              <w:jc w:val="center"/>
            </w:pPr>
            <w:r>
              <w:rPr>
                <w:sz w:val="18"/>
              </w:rPr>
              <w:t>177.23</w:t>
            </w:r>
          </w:p>
        </w:tc>
        <w:tc>
          <w:tcPr>
            <w:tcW w:type="dxa" w:w="1872"/>
            <w:tcMar>
              <w:top w:w="90" w:type="dxa"/>
              <w:bottom w:w="90" w:type="dxa"/>
              <w:left w:w="140" w:type="dxa"/>
              <w:right w:w="140" w:type="dxa"/>
            </w:tcMar>
            <w:shd w:fill="F9FBFC"/>
          </w:tcPr>
          <w:p>
            <w:pPr>
              <w:jc w:val="center"/>
            </w:pPr>
            <w:r>
              <w:rPr>
                <w:sz w:val="18"/>
              </w:rPr>
              <w:t>32.76</w:t>
            </w:r>
          </w:p>
        </w:tc>
        <w:tc>
          <w:tcPr>
            <w:tcW w:type="dxa" w:w="1872"/>
            <w:tcMar>
              <w:top w:w="90" w:type="dxa"/>
              <w:bottom w:w="90" w:type="dxa"/>
              <w:left w:w="140" w:type="dxa"/>
              <w:right w:w="140" w:type="dxa"/>
            </w:tcMar>
            <w:shd w:fill="F9FBFC"/>
          </w:tcPr>
          <w:p>
            <w:pPr>
              <w:jc w:val="center"/>
            </w:pPr>
            <w:r>
              <w:rPr>
                <w:sz w:val="18"/>
              </w:rPr>
              <w:t>7.87</w:t>
            </w:r>
          </w:p>
        </w:tc>
        <w:tc>
          <w:tcPr>
            <w:tcW w:type="dxa" w:w="1872"/>
            <w:tcMar>
              <w:top w:w="90" w:type="dxa"/>
              <w:bottom w:w="90" w:type="dxa"/>
              <w:left w:w="140" w:type="dxa"/>
              <w:right w:w="140" w:type="dxa"/>
            </w:tcMar>
            <w:shd w:fill="F9FBFC"/>
          </w:tcPr>
          <w:p>
            <w:pPr>
              <w:jc w:val="center"/>
            </w:pPr>
            <w:r>
              <w:rPr>
                <w:sz w:val="18"/>
              </w:rPr>
              <w:t>0.18x</w:t>
            </w:r>
          </w:p>
        </w:tc>
      </w:tr>
    </w:tbl>
    <w:p>
      <w:pPr>
        <w:spacing w:before="120" w:after="40"/>
        <w:jc w:val="center"/>
      </w:pPr>
      <w:r>
        <w:drawing>
          <wp:inline xmlns:a="http://schemas.openxmlformats.org/drawingml/2006/main" xmlns:pic="http://schemas.openxmlformats.org/drawingml/2006/picture">
            <wp:extent cx="5303520" cy="3289525"/>
            <wp:docPr id="10" name="Picture 10"/>
            <wp:cNvGraphicFramePr>
              <a:graphicFrameLocks noChangeAspect="1"/>
            </wp:cNvGraphicFramePr>
            <a:graphic>
              <a:graphicData uri="http://schemas.openxmlformats.org/drawingml/2006/picture">
                <pic:pic>
                  <pic:nvPicPr>
                    <pic:cNvPr id="0" name="fig_sequence_scaling.png"/>
                    <pic:cNvPicPr/>
                  </pic:nvPicPr>
                  <pic:blipFill>
                    <a:blip r:embed="rId18"/>
                    <a:stretch>
                      <a:fillRect/>
                    </a:stretch>
                  </pic:blipFill>
                  <pic:spPr>
                    <a:xfrm>
                      <a:off x="0" y="0"/>
                      <a:ext cx="5303520" cy="3289525"/>
                    </a:xfrm>
                    <a:prstGeom prst="rect"/>
                  </pic:spPr>
                </pic:pic>
              </a:graphicData>
            </a:graphic>
          </wp:inline>
        </w:drawing>
      </w:r>
    </w:p>
    <w:p>
      <w:pPr>
        <w:spacing w:after="240"/>
        <w:jc w:val="center"/>
      </w:pPr>
      <w:r>
        <w:rPr>
          <w:b/>
          <w:color w:val="002B66"/>
          <w:sz w:val="19"/>
        </w:rPr>
        <w:t>Fig. 10.  Measured inference latency scaling as a function of token sequence length L in [16, 256], confirming linear complexity O(L) for selective state-space modeling.</w:t>
      </w:r>
    </w:p>
    <w:p>
      <w:pPr>
        <w:spacing w:before="200" w:after="60"/>
        <w:jc w:val="left"/>
      </w:pPr>
      <w:r>
        <w:rPr>
          <w:rFonts w:ascii="Times New Roman" w:hAnsi="Times New Roman"/>
          <w:b/>
          <w:i/>
          <w:color w:val="002B66"/>
          <w:sz w:val="22"/>
        </w:rPr>
        <w:t>G.  Fine-Grained Disambiguation of Visually Indistinguishable Signs (VISigns)</w:t>
      </w:r>
    </w:p>
    <w:p>
      <w:pPr>
        <w:spacing w:line="276" w:lineRule="auto" w:after="100"/>
        <w:ind w:firstLine="360"/>
        <w:jc w:val="both"/>
      </w:pPr>
      <w:r>
        <w:rPr>
          <w:rFonts w:ascii="Times New Roman" w:hAnsi="Times New Roman"/>
          <w:color w:val="222222"/>
          <w:sz w:val="21"/>
        </w:rPr>
        <w:t>In practical sign language corpora, a major source of classification failure stems from Visually Indistinguishable Signs (VISigns)---classes that share nearly identical global hand silhouettes and differ solely in minute thumb tucking or subtle finger extension (e.g., distinguishing 'M', 'N', 'T', 'S', 'E', 'A'). Pure convolutional backbones frequently experience catastrophic confusion on these clusters because optical blur, motion smearing, and sensor noise mask subtle phalangeal differentials. To assess how our dual-stream framework resolves VISign ambiguity, we extracted and evaluated performance across four challenging anatomical clusters from the validation dataset. Table VI presents the empirical results.</w:t>
      </w:r>
    </w:p>
    <w:p>
      <w:pPr>
        <w:spacing w:before="160" w:after="80"/>
        <w:jc w:val="center"/>
      </w:pPr>
      <w:r>
        <w:rPr>
          <w:b/>
          <w:color w:val="002B66"/>
          <w:sz w:val="19"/>
        </w:rPr>
        <w:t>TABLE VI: FINE-GRAINED RECOGNITION ACCURACY ON VISUALLY INDISTINGUISHABLE SIGN (VISIGN) CLUSTERS</w:t>
      </w:r>
    </w:p>
    <w:tbl>
      <w:tblPr>
        <w:tblW w:type="auto" w:w="0"/>
        <w:jc w:val="center"/>
        <w:tblLook w:firstColumn="1" w:firstRow="1" w:lastColumn="0" w:lastRow="0" w:noHBand="0" w:noVBand="1" w:val="04A0"/>
        <w:tblBorders>
          <w:top w:val="single" w:sz="12" w:space="0" w:color="002B66"/>
          <w:bottom w:val="single" w:sz="12" w:space="0" w:color="002B66"/>
          <w:insideH w:val="single" w:sz="4" w:space="0" w:color="B0C4DE"/>
          <w:left w:val="none"/>
          <w:right w:val="none"/>
          <w:insideV w:val="none"/>
        </w:tblBorders>
      </w:tblPr>
      <w:tblGrid>
        <w:gridCol w:w="1872"/>
        <w:gridCol w:w="1872"/>
        <w:gridCol w:w="1872"/>
        <w:gridCol w:w="1872"/>
        <w:gridCol w:w="1872"/>
      </w:tblGrid>
      <w:tr>
        <w:tc>
          <w:tcPr>
            <w:tcW w:type="dxa" w:w="1872"/>
            <w:shd w:fill="EBF1F5"/>
            <w:tcMar>
              <w:top w:w="120" w:type="dxa"/>
              <w:bottom w:w="120" w:type="dxa"/>
              <w:left w:w="140" w:type="dxa"/>
              <w:right w:w="140" w:type="dxa"/>
            </w:tcMar>
          </w:tcPr>
          <w:p>
            <w:pPr>
              <w:jc w:val="left"/>
            </w:pPr>
            <w:r>
              <w:rPr>
                <w:b/>
                <w:color w:val="002B66"/>
                <w:sz w:val="18"/>
              </w:rPr>
              <w:t>Ambiguous Cluster</w:t>
            </w:r>
          </w:p>
        </w:tc>
        <w:tc>
          <w:tcPr>
            <w:tcW w:type="dxa" w:w="1872"/>
            <w:shd w:fill="EBF1F5"/>
            <w:tcMar>
              <w:top w:w="120" w:type="dxa"/>
              <w:bottom w:w="120" w:type="dxa"/>
              <w:left w:w="140" w:type="dxa"/>
              <w:right w:w="140" w:type="dxa"/>
            </w:tcMar>
          </w:tcPr>
          <w:p>
            <w:pPr>
              <w:jc w:val="left"/>
            </w:pPr>
            <w:r>
              <w:rPr>
                <w:b/>
                <w:color w:val="002B66"/>
                <w:sz w:val="18"/>
              </w:rPr>
              <w:t>Classes</w:t>
            </w:r>
          </w:p>
        </w:tc>
        <w:tc>
          <w:tcPr>
            <w:tcW w:type="dxa" w:w="1872"/>
            <w:shd w:fill="EBF1F5"/>
            <w:tcMar>
              <w:top w:w="120" w:type="dxa"/>
              <w:bottom w:w="120" w:type="dxa"/>
              <w:left w:w="140" w:type="dxa"/>
              <w:right w:w="140" w:type="dxa"/>
            </w:tcMar>
          </w:tcPr>
          <w:p>
            <w:pPr>
              <w:jc w:val="center"/>
            </w:pPr>
            <w:r>
              <w:rPr>
                <w:b/>
                <w:color w:val="002B66"/>
                <w:sz w:val="18"/>
              </w:rPr>
              <w:t>Vision Acc (%)</w:t>
            </w:r>
          </w:p>
        </w:tc>
        <w:tc>
          <w:tcPr>
            <w:tcW w:type="dxa" w:w="1872"/>
            <w:shd w:fill="EBF1F5"/>
            <w:tcMar>
              <w:top w:w="120" w:type="dxa"/>
              <w:bottom w:w="120" w:type="dxa"/>
              <w:left w:w="140" w:type="dxa"/>
              <w:right w:w="140" w:type="dxa"/>
            </w:tcMar>
          </w:tcPr>
          <w:p>
            <w:pPr>
              <w:jc w:val="center"/>
            </w:pPr>
            <w:r>
              <w:rPr>
                <w:b/>
                <w:color w:val="002B66"/>
                <w:sz w:val="18"/>
              </w:rPr>
              <w:t>Dual-Modal Acc (%)</w:t>
            </w:r>
          </w:p>
        </w:tc>
        <w:tc>
          <w:tcPr>
            <w:tcW w:type="dxa" w:w="1872"/>
            <w:shd w:fill="EBF1F5"/>
            <w:tcMar>
              <w:top w:w="120" w:type="dxa"/>
              <w:bottom w:w="120" w:type="dxa"/>
              <w:left w:w="140" w:type="dxa"/>
              <w:right w:w="140" w:type="dxa"/>
            </w:tcMar>
          </w:tcPr>
          <w:p>
            <w:pPr>
              <w:jc w:val="center"/>
            </w:pPr>
            <w:r>
              <w:rPr>
                <w:b/>
                <w:color w:val="002B66"/>
                <w:sz w:val="18"/>
              </w:rPr>
              <w:t>Gain (%)</w:t>
            </w:r>
          </w:p>
        </w:tc>
      </w:tr>
      <w:tr>
        <w:tc>
          <w:tcPr>
            <w:tcW w:type="dxa" w:w="1872"/>
            <w:tcMar>
              <w:top w:w="90" w:type="dxa"/>
              <w:bottom w:w="90" w:type="dxa"/>
              <w:left w:w="140" w:type="dxa"/>
              <w:right w:w="140" w:type="dxa"/>
            </w:tcMar>
          </w:tcPr>
          <w:p>
            <w:pPr>
              <w:jc w:val="left"/>
            </w:pPr>
            <w:r>
              <w:rPr>
                <w:sz w:val="18"/>
              </w:rPr>
              <w:t>Fist / Thumb-Tuck</w:t>
            </w:r>
          </w:p>
        </w:tc>
        <w:tc>
          <w:tcPr>
            <w:tcW w:type="dxa" w:w="1872"/>
            <w:tcMar>
              <w:top w:w="90" w:type="dxa"/>
              <w:bottom w:w="90" w:type="dxa"/>
              <w:left w:w="140" w:type="dxa"/>
              <w:right w:w="140" w:type="dxa"/>
            </w:tcMar>
          </w:tcPr>
          <w:p>
            <w:pPr>
              <w:jc w:val="left"/>
            </w:pPr>
            <w:r>
              <w:rPr>
                <w:sz w:val="18"/>
              </w:rPr>
              <w:t>M, N, T, S, E, A</w:t>
            </w:r>
          </w:p>
        </w:tc>
        <w:tc>
          <w:tcPr>
            <w:tcW w:type="dxa" w:w="1872"/>
            <w:tcMar>
              <w:top w:w="90" w:type="dxa"/>
              <w:bottom w:w="90" w:type="dxa"/>
              <w:left w:w="140" w:type="dxa"/>
              <w:right w:w="140" w:type="dxa"/>
            </w:tcMar>
          </w:tcPr>
          <w:p>
            <w:pPr>
              <w:jc w:val="center"/>
            </w:pPr>
            <w:r>
              <w:rPr>
                <w:sz w:val="18"/>
              </w:rPr>
              <w:t>14.7%</w:t>
            </w:r>
          </w:p>
        </w:tc>
        <w:tc>
          <w:tcPr>
            <w:tcW w:type="dxa" w:w="1872"/>
            <w:tcMar>
              <w:top w:w="90" w:type="dxa"/>
              <w:bottom w:w="90" w:type="dxa"/>
              <w:left w:w="140" w:type="dxa"/>
              <w:right w:w="140" w:type="dxa"/>
            </w:tcMar>
          </w:tcPr>
          <w:p>
            <w:pPr>
              <w:jc w:val="center"/>
            </w:pPr>
            <w:r>
              <w:rPr>
                <w:b/>
                <w:color w:val="002B66"/>
                <w:sz w:val="18"/>
              </w:rPr>
              <w:t>58.8%</w:t>
            </w:r>
          </w:p>
        </w:tc>
        <w:tc>
          <w:tcPr>
            <w:tcW w:type="dxa" w:w="1872"/>
            <w:tcMar>
              <w:top w:w="90" w:type="dxa"/>
              <w:bottom w:w="90" w:type="dxa"/>
              <w:left w:w="140" w:type="dxa"/>
              <w:right w:w="140" w:type="dxa"/>
            </w:tcMar>
          </w:tcPr>
          <w:p>
            <w:pPr>
              <w:jc w:val="center"/>
            </w:pPr>
            <w:r>
              <w:rPr>
                <w:b/>
                <w:color w:val="002B66"/>
                <w:sz w:val="18"/>
              </w:rPr>
              <w:t>+44.1%</w:t>
            </w:r>
          </w:p>
        </w:tc>
      </w:tr>
      <w:tr>
        <w:tc>
          <w:tcPr>
            <w:tcW w:type="dxa" w:w="1872"/>
            <w:tcMar>
              <w:top w:w="90" w:type="dxa"/>
              <w:bottom w:w="90" w:type="dxa"/>
              <w:left w:w="140" w:type="dxa"/>
              <w:right w:w="140" w:type="dxa"/>
            </w:tcMar>
            <w:shd w:fill="F9FBFC"/>
          </w:tcPr>
          <w:p>
            <w:pPr>
              <w:jc w:val="left"/>
            </w:pPr>
            <w:r>
              <w:rPr>
                <w:sz w:val="18"/>
              </w:rPr>
              <w:t>Extended Fingers</w:t>
            </w:r>
          </w:p>
        </w:tc>
        <w:tc>
          <w:tcPr>
            <w:tcW w:type="dxa" w:w="1872"/>
            <w:tcMar>
              <w:top w:w="90" w:type="dxa"/>
              <w:bottom w:w="90" w:type="dxa"/>
              <w:left w:w="140" w:type="dxa"/>
              <w:right w:w="140" w:type="dxa"/>
            </w:tcMar>
            <w:shd w:fill="F9FBFC"/>
          </w:tcPr>
          <w:p>
            <w:pPr>
              <w:jc w:val="left"/>
            </w:pPr>
            <w:r>
              <w:rPr>
                <w:sz w:val="18"/>
              </w:rPr>
              <w:t>U, V, W, K, R</w:t>
            </w:r>
          </w:p>
        </w:tc>
        <w:tc>
          <w:tcPr>
            <w:tcW w:type="dxa" w:w="1872"/>
            <w:tcMar>
              <w:top w:w="90" w:type="dxa"/>
              <w:bottom w:w="90" w:type="dxa"/>
              <w:left w:w="140" w:type="dxa"/>
              <w:right w:w="140" w:type="dxa"/>
            </w:tcMar>
            <w:shd w:fill="F9FBFC"/>
          </w:tcPr>
          <w:p>
            <w:pPr>
              <w:jc w:val="center"/>
            </w:pPr>
            <w:r>
              <w:rPr>
                <w:sz w:val="18"/>
              </w:rPr>
              <w:t>12.0%</w:t>
            </w:r>
          </w:p>
        </w:tc>
        <w:tc>
          <w:tcPr>
            <w:tcW w:type="dxa" w:w="1872"/>
            <w:tcMar>
              <w:top w:w="90" w:type="dxa"/>
              <w:bottom w:w="90" w:type="dxa"/>
              <w:left w:w="140" w:type="dxa"/>
              <w:right w:w="140" w:type="dxa"/>
            </w:tcMar>
            <w:shd w:fill="F9FBFC"/>
          </w:tcPr>
          <w:p>
            <w:pPr>
              <w:jc w:val="center"/>
            </w:pPr>
            <w:r>
              <w:rPr>
                <w:b/>
                <w:color w:val="002B66"/>
                <w:sz w:val="18"/>
              </w:rPr>
              <w:t>92.0%</w:t>
            </w:r>
          </w:p>
        </w:tc>
        <w:tc>
          <w:tcPr>
            <w:tcW w:type="dxa" w:w="1872"/>
            <w:tcMar>
              <w:top w:w="90" w:type="dxa"/>
              <w:bottom w:w="90" w:type="dxa"/>
              <w:left w:w="140" w:type="dxa"/>
              <w:right w:w="140" w:type="dxa"/>
            </w:tcMar>
            <w:shd w:fill="F9FBFC"/>
          </w:tcPr>
          <w:p>
            <w:pPr>
              <w:jc w:val="center"/>
            </w:pPr>
            <w:r>
              <w:rPr>
                <w:b/>
                <w:color w:val="002B66"/>
                <w:sz w:val="18"/>
              </w:rPr>
              <w:t>+80.0%</w:t>
            </w:r>
          </w:p>
        </w:tc>
      </w:tr>
      <w:tr>
        <w:tc>
          <w:tcPr>
            <w:tcW w:type="dxa" w:w="1872"/>
            <w:tcMar>
              <w:top w:w="90" w:type="dxa"/>
              <w:bottom w:w="90" w:type="dxa"/>
              <w:left w:w="140" w:type="dxa"/>
              <w:right w:w="140" w:type="dxa"/>
            </w:tcMar>
          </w:tcPr>
          <w:p>
            <w:pPr>
              <w:jc w:val="left"/>
            </w:pPr>
            <w:r>
              <w:rPr>
                <w:sz w:val="18"/>
              </w:rPr>
              <w:t>Index Pointing</w:t>
            </w:r>
          </w:p>
        </w:tc>
        <w:tc>
          <w:tcPr>
            <w:tcW w:type="dxa" w:w="1872"/>
            <w:tcMar>
              <w:top w:w="90" w:type="dxa"/>
              <w:bottom w:w="90" w:type="dxa"/>
              <w:left w:w="140" w:type="dxa"/>
              <w:right w:w="140" w:type="dxa"/>
            </w:tcMar>
          </w:tcPr>
          <w:p>
            <w:pPr>
              <w:jc w:val="left"/>
            </w:pPr>
            <w:r>
              <w:rPr>
                <w:sz w:val="18"/>
              </w:rPr>
              <w:t>D, G, P, Q, Z</w:t>
            </w:r>
          </w:p>
        </w:tc>
        <w:tc>
          <w:tcPr>
            <w:tcW w:type="dxa" w:w="1872"/>
            <w:tcMar>
              <w:top w:w="90" w:type="dxa"/>
              <w:bottom w:w="90" w:type="dxa"/>
              <w:left w:w="140" w:type="dxa"/>
              <w:right w:w="140" w:type="dxa"/>
            </w:tcMar>
          </w:tcPr>
          <w:p>
            <w:pPr>
              <w:jc w:val="center"/>
            </w:pPr>
            <w:r>
              <w:rPr>
                <w:sz w:val="18"/>
              </w:rPr>
              <w:t>20.7%</w:t>
            </w:r>
          </w:p>
        </w:tc>
        <w:tc>
          <w:tcPr>
            <w:tcW w:type="dxa" w:w="1872"/>
            <w:tcMar>
              <w:top w:w="90" w:type="dxa"/>
              <w:bottom w:w="90" w:type="dxa"/>
              <w:left w:w="140" w:type="dxa"/>
              <w:right w:w="140" w:type="dxa"/>
            </w:tcMar>
          </w:tcPr>
          <w:p>
            <w:pPr>
              <w:jc w:val="center"/>
            </w:pPr>
            <w:r>
              <w:rPr>
                <w:b/>
                <w:color w:val="002B66"/>
                <w:sz w:val="18"/>
              </w:rPr>
              <w:t>69.0%</w:t>
            </w:r>
          </w:p>
        </w:tc>
        <w:tc>
          <w:tcPr>
            <w:tcW w:type="dxa" w:w="1872"/>
            <w:tcMar>
              <w:top w:w="90" w:type="dxa"/>
              <w:bottom w:w="90" w:type="dxa"/>
              <w:left w:w="140" w:type="dxa"/>
              <w:right w:w="140" w:type="dxa"/>
            </w:tcMar>
          </w:tcPr>
          <w:p>
            <w:pPr>
              <w:jc w:val="center"/>
            </w:pPr>
            <w:r>
              <w:rPr>
                <w:b/>
                <w:color w:val="002B66"/>
                <w:sz w:val="18"/>
              </w:rPr>
              <w:t>+48.3%</w:t>
            </w:r>
          </w:p>
        </w:tc>
      </w:tr>
      <w:tr>
        <w:tc>
          <w:tcPr>
            <w:tcW w:type="dxa" w:w="1872"/>
            <w:tcMar>
              <w:top w:w="90" w:type="dxa"/>
              <w:bottom w:w="90" w:type="dxa"/>
              <w:left w:w="140" w:type="dxa"/>
              <w:right w:w="140" w:type="dxa"/>
            </w:tcMar>
            <w:shd w:fill="F9FBFC"/>
          </w:tcPr>
          <w:p>
            <w:pPr>
              <w:jc w:val="left"/>
            </w:pPr>
            <w:r>
              <w:rPr>
                <w:sz w:val="18"/>
              </w:rPr>
              <w:t>Flat Hand Open Palm</w:t>
            </w:r>
          </w:p>
        </w:tc>
        <w:tc>
          <w:tcPr>
            <w:tcW w:type="dxa" w:w="1872"/>
            <w:tcMar>
              <w:top w:w="90" w:type="dxa"/>
              <w:bottom w:w="90" w:type="dxa"/>
              <w:left w:w="140" w:type="dxa"/>
              <w:right w:w="140" w:type="dxa"/>
            </w:tcMar>
            <w:shd w:fill="F9FBFC"/>
          </w:tcPr>
          <w:p>
            <w:pPr>
              <w:jc w:val="left"/>
            </w:pPr>
            <w:r>
              <w:rPr>
                <w:sz w:val="18"/>
              </w:rPr>
              <w:t>B, C, F, O</w:t>
            </w:r>
          </w:p>
        </w:tc>
        <w:tc>
          <w:tcPr>
            <w:tcW w:type="dxa" w:w="1872"/>
            <w:tcMar>
              <w:top w:w="90" w:type="dxa"/>
              <w:bottom w:w="90" w:type="dxa"/>
              <w:left w:w="140" w:type="dxa"/>
              <w:right w:w="140" w:type="dxa"/>
            </w:tcMar>
            <w:shd w:fill="F9FBFC"/>
          </w:tcPr>
          <w:p>
            <w:pPr>
              <w:jc w:val="center"/>
            </w:pPr>
            <w:r>
              <w:rPr>
                <w:sz w:val="18"/>
              </w:rPr>
              <w:t>39.3%</w:t>
            </w:r>
          </w:p>
        </w:tc>
        <w:tc>
          <w:tcPr>
            <w:tcW w:type="dxa" w:w="1872"/>
            <w:tcMar>
              <w:top w:w="90" w:type="dxa"/>
              <w:bottom w:w="90" w:type="dxa"/>
              <w:left w:w="140" w:type="dxa"/>
              <w:right w:w="140" w:type="dxa"/>
            </w:tcMar>
            <w:shd w:fill="F9FBFC"/>
          </w:tcPr>
          <w:p>
            <w:pPr>
              <w:jc w:val="center"/>
            </w:pPr>
            <w:r>
              <w:rPr>
                <w:b/>
                <w:color w:val="002B66"/>
                <w:sz w:val="18"/>
              </w:rPr>
              <w:t>89.3%</w:t>
            </w:r>
          </w:p>
        </w:tc>
        <w:tc>
          <w:tcPr>
            <w:tcW w:type="dxa" w:w="1872"/>
            <w:tcMar>
              <w:top w:w="90" w:type="dxa"/>
              <w:bottom w:w="90" w:type="dxa"/>
              <w:left w:w="140" w:type="dxa"/>
              <w:right w:w="140" w:type="dxa"/>
            </w:tcMar>
            <w:shd w:fill="F9FBFC"/>
          </w:tcPr>
          <w:p>
            <w:pPr>
              <w:jc w:val="center"/>
            </w:pPr>
            <w:r>
              <w:rPr>
                <w:b/>
                <w:color w:val="002B66"/>
                <w:sz w:val="18"/>
              </w:rPr>
              <w:t>+50.0%</w:t>
            </w:r>
          </w:p>
        </w:tc>
      </w:tr>
    </w:tbl>
    <w:p>
      <w:pPr>
        <w:spacing w:before="200" w:after="60"/>
        <w:jc w:val="left"/>
      </w:pPr>
      <w:r>
        <w:rPr>
          <w:rFonts w:ascii="Times New Roman" w:hAnsi="Times New Roman"/>
          <w:b/>
          <w:i/>
          <w:color w:val="002B66"/>
          <w:sz w:val="22"/>
        </w:rPr>
        <w:t>H.  Multi-Batch Inference Throughput &amp; Edge Deployment Envelope</w:t>
      </w:r>
    </w:p>
    <w:p>
      <w:pPr>
        <w:spacing w:line="276" w:lineRule="auto" w:after="100"/>
        <w:ind w:firstLine="360"/>
        <w:jc w:val="both"/>
      </w:pPr>
      <w:r>
        <w:rPr>
          <w:rFonts w:ascii="Times New Roman" w:hAnsi="Times New Roman"/>
          <w:color w:val="222222"/>
          <w:sz w:val="21"/>
        </w:rPr>
        <w:t>In interactive sign language kiosks and edge mobile multimedia systems, practical viability is dictated not only by isolated single-sample latency but also by multi-batch throughput measured in Frames Per Second (FPS). We evaluated inference throughput across batch sizes B in {1, 4, 8, 16, 32} on multi-threaded CPU hardware. As illustrated in Fig. 11, Proposed Model 2 comfortably sustains interactive edge throughput, exceeding 25.0 FPS across batch dimensions, while pure skeletal processing achieves ultra-high throughput (&gt;460 FPS at B=1 and &gt;6500 FPS at B=32). Conversely, Vision Transformer (MobileViT-S) and Recurrent Baseline (Bi-LSTM) suffer severe latency overheads, plateauing well below the interactive threshold.</w:t>
      </w:r>
    </w:p>
    <w:p>
      <w:pPr>
        <w:spacing w:before="120" w:after="40"/>
        <w:jc w:val="center"/>
      </w:pPr>
      <w:r>
        <w:drawing>
          <wp:inline xmlns:a="http://schemas.openxmlformats.org/drawingml/2006/main" xmlns:pic="http://schemas.openxmlformats.org/drawingml/2006/picture">
            <wp:extent cx="5303520" cy="3219994"/>
            <wp:docPr id="11" name="Picture 11"/>
            <wp:cNvGraphicFramePr>
              <a:graphicFrameLocks noChangeAspect="1"/>
            </wp:cNvGraphicFramePr>
            <a:graphic>
              <a:graphicData uri="http://schemas.openxmlformats.org/drawingml/2006/picture">
                <pic:pic>
                  <pic:nvPicPr>
                    <pic:cNvPr id="0" name="fig_throughput_fps.png"/>
                    <pic:cNvPicPr/>
                  </pic:nvPicPr>
                  <pic:blipFill>
                    <a:blip r:embed="rId19"/>
                    <a:stretch>
                      <a:fillRect/>
                    </a:stretch>
                  </pic:blipFill>
                  <pic:spPr>
                    <a:xfrm>
                      <a:off x="0" y="0"/>
                      <a:ext cx="5303520" cy="3219994"/>
                    </a:xfrm>
                    <a:prstGeom prst="rect"/>
                  </pic:spPr>
                </pic:pic>
              </a:graphicData>
            </a:graphic>
          </wp:inline>
        </w:drawing>
      </w:r>
    </w:p>
    <w:p>
      <w:pPr>
        <w:spacing w:after="240"/>
        <w:jc w:val="center"/>
      </w:pPr>
      <w:r>
        <w:rPr>
          <w:b/>
          <w:color w:val="002B66"/>
          <w:sz w:val="19"/>
        </w:rPr>
        <w:t>Fig. 11.  Multi-batch inference throughput (FPS) across visual and multimodal architectures, indicating the 30 FPS interactive real-time video streaming threshold.</w:t>
      </w:r>
    </w:p>
    <w:p>
      <w:pPr>
        <w:spacing w:before="200" w:after="60"/>
        <w:jc w:val="left"/>
      </w:pPr>
      <w:r>
        <w:rPr>
          <w:rFonts w:ascii="Times New Roman" w:hAnsi="Times New Roman"/>
          <w:b/>
          <w:i/>
          <w:color w:val="002B66"/>
          <w:sz w:val="22"/>
        </w:rPr>
        <w:t>I.  Granular 29-Class Performance Spectrum Analysis</w:t>
      </w:r>
    </w:p>
    <w:p>
      <w:pPr>
        <w:spacing w:line="276" w:lineRule="auto" w:after="100"/>
        <w:ind w:firstLine="360"/>
        <w:jc w:val="both"/>
      </w:pPr>
      <w:r>
        <w:rPr>
          <w:rFonts w:ascii="Times New Roman" w:hAnsi="Times New Roman"/>
          <w:color w:val="222222"/>
          <w:sz w:val="21"/>
        </w:rPr>
        <w:t>To verify that our dynamic gating mechanism does not disproportionately favor high-frequency signs at the expense of rare letters or transition tokens, Fig. 12 details the complete class-wise Precision, Recall, and F1-score across all 29 classes. The empirical distribution reveals remarkably uniform recall across both alphabetical gestures ('A'--'Z') and dynamic gesture tokens ('del', 'nothing', 'space'). This uniformity confirms that cross-modal feature integration prevents mode collapse, maintaining balanced semantic representations across diverse hand shapes.</w:t>
      </w:r>
    </w:p>
    <w:p>
      <w:pPr>
        <w:spacing w:before="120" w:after="40"/>
        <w:jc w:val="center"/>
      </w:pPr>
      <w:r>
        <w:drawing>
          <wp:inline xmlns:a="http://schemas.openxmlformats.org/drawingml/2006/main" xmlns:pic="http://schemas.openxmlformats.org/drawingml/2006/picture">
            <wp:extent cx="5669280" cy="2334409"/>
            <wp:docPr id="12" name="Picture 12"/>
            <wp:cNvGraphicFramePr>
              <a:graphicFrameLocks noChangeAspect="1"/>
            </wp:cNvGraphicFramePr>
            <a:graphic>
              <a:graphicData uri="http://schemas.openxmlformats.org/drawingml/2006/picture">
                <pic:pic>
                  <pic:nvPicPr>
                    <pic:cNvPr id="0" name="fig_per_class_f1.png"/>
                    <pic:cNvPicPr/>
                  </pic:nvPicPr>
                  <pic:blipFill>
                    <a:blip r:embed="rId20"/>
                    <a:stretch>
                      <a:fillRect/>
                    </a:stretch>
                  </pic:blipFill>
                  <pic:spPr>
                    <a:xfrm>
                      <a:off x="0" y="0"/>
                      <a:ext cx="5669280" cy="2334409"/>
                    </a:xfrm>
                    <a:prstGeom prst="rect"/>
                  </pic:spPr>
                </pic:pic>
              </a:graphicData>
            </a:graphic>
          </wp:inline>
        </w:drawing>
      </w:r>
    </w:p>
    <w:p>
      <w:pPr>
        <w:spacing w:after="240"/>
        <w:jc w:val="center"/>
      </w:pPr>
      <w:r>
        <w:rPr>
          <w:b/>
          <w:color w:val="002B66"/>
          <w:sz w:val="19"/>
        </w:rPr>
        <w:t>Fig. 12.  Granular 29-class recognition performance spectrum (Precision, Recall, and F1-Score) for Proposed Model 2 (Adaptive GCN + MobileNetV3) evaluated on the ASL alphabet benchmark.</w:t>
      </w:r>
    </w:p>
    <w:p>
      <w:pPr>
        <w:spacing w:before="200" w:after="60"/>
        <w:jc w:val="left"/>
      </w:pPr>
      <w:r>
        <w:rPr>
          <w:rFonts w:ascii="Times New Roman" w:hAnsi="Times New Roman"/>
          <w:b/>
          <w:i/>
          <w:color w:val="002B66"/>
          <w:sz w:val="22"/>
        </w:rPr>
        <w:t>J.  Learned Spatial Joint Attention Distribution Over 21 Skeletal Landmarks</w:t>
      </w:r>
    </w:p>
    <w:p>
      <w:pPr>
        <w:spacing w:line="276" w:lineRule="auto" w:after="100"/>
        <w:ind w:firstLine="360"/>
        <w:jc w:val="both"/>
      </w:pPr>
      <w:r>
        <w:rPr>
          <w:rFonts w:ascii="Times New Roman" w:hAnsi="Times New Roman"/>
          <w:color w:val="222222"/>
          <w:sz w:val="21"/>
        </w:rPr>
        <w:t>To interpret the anatomical prioritization learned by the Spatial Joint Attention block in Proposed Model 2, we extracted the attention weights across the test split. Fig. 13 illustrates the empirical distribution across the 21 MediaPipe landmarks grouped by anatomical structure (Thumb, Knuckles, Interphalangeal joints, Fingertips, and Wrist). Crucially, the attention mechanism autonomously allocates elevated importance to distal fingertips (Thumb Tip, Index Tip, Middle Tip, Ring Tip, Pinky Tip) and thumb phalanges (5.12%--5.42%, significantly above the uniform threshold of 1/21 approx 4.76%), while downweighting proximal wrist and static metacarpal joints (4.41%--4.54%). This aligns directly with clinical biomechanics and linguistic findings, indicating that sign distinction is concentrated in distal finger flexions.</w:t>
      </w:r>
    </w:p>
    <w:p>
      <w:pPr>
        <w:spacing w:before="120" w:after="40"/>
        <w:jc w:val="center"/>
      </w:pPr>
      <w:r>
        <w:drawing>
          <wp:inline xmlns:a="http://schemas.openxmlformats.org/drawingml/2006/main" xmlns:pic="http://schemas.openxmlformats.org/drawingml/2006/picture">
            <wp:extent cx="5486400" cy="2479431"/>
            <wp:docPr id="13" name="Picture 13"/>
            <wp:cNvGraphicFramePr>
              <a:graphicFrameLocks noChangeAspect="1"/>
            </wp:cNvGraphicFramePr>
            <a:graphic>
              <a:graphicData uri="http://schemas.openxmlformats.org/drawingml/2006/picture">
                <pic:pic>
                  <pic:nvPicPr>
                    <pic:cNvPr id="0" name="fig_spatial_joint_attention.png"/>
                    <pic:cNvPicPr/>
                  </pic:nvPicPr>
                  <pic:blipFill>
                    <a:blip r:embed="rId21"/>
                    <a:stretch>
                      <a:fillRect/>
                    </a:stretch>
                  </pic:blipFill>
                  <pic:spPr>
                    <a:xfrm>
                      <a:off x="0" y="0"/>
                      <a:ext cx="5486400" cy="2479431"/>
                    </a:xfrm>
                    <a:prstGeom prst="rect"/>
                  </pic:spPr>
                </pic:pic>
              </a:graphicData>
            </a:graphic>
          </wp:inline>
        </w:drawing>
      </w:r>
    </w:p>
    <w:p>
      <w:pPr>
        <w:spacing w:after="240"/>
        <w:jc w:val="center"/>
      </w:pPr>
      <w:r>
        <w:rPr>
          <w:b/>
          <w:color w:val="002B66"/>
          <w:sz w:val="19"/>
        </w:rPr>
        <w:t>Fig. 13.  Empirical distribution of learned spatial joint attention weights across 21 MediaPipe hand landmarks, revealing elevated topological prioritization on distal fingertips and thumb joints.</w:t>
      </w:r>
    </w:p>
    <w:p>
      <w:pPr>
        <w:spacing w:before="200" w:after="60"/>
        <w:jc w:val="left"/>
      </w:pPr>
      <w:r>
        <w:rPr>
          <w:rFonts w:ascii="Times New Roman" w:hAnsi="Times New Roman"/>
          <w:b/>
          <w:i/>
          <w:color w:val="002B66"/>
          <w:sz w:val="22"/>
        </w:rPr>
        <w:t>K.  Architectural Ablation of Vision Mamba Sequence Scanning &amp; Pooling</w:t>
      </w:r>
    </w:p>
    <w:p>
      <w:pPr>
        <w:spacing w:line="276" w:lineRule="auto" w:after="100"/>
        <w:ind w:firstLine="360"/>
        <w:jc w:val="both"/>
      </w:pPr>
      <w:r>
        <w:rPr>
          <w:rFonts w:ascii="Times New Roman" w:hAnsi="Times New Roman"/>
          <w:color w:val="222222"/>
          <w:sz w:val="21"/>
        </w:rPr>
        <w:t>To determine the contribution of bidirectional scanning and multi-scale dual pooling in Proposed Model 1, we conducted an architectural ablation study comparing unidirectional vs. bidirectional S6 scanning and global pooling strategies. Fig. 14 summarizes the results. Unidirectional forward scanning attains 93.10% Top-1 accuracy, while backward scanning yields 92.24%, demonstrating that causal scanning restricts the visual receptive field. Integrating bidirectional scanning elevates accuracy to 96.55%, while augmenting the architecture with multi-scale dual pooling achieves top-tier recognition of 98.28% Top-1 accuracy, confirming that dual pooling captures both salient peak activations and contextual spatial background.</w:t>
      </w:r>
    </w:p>
    <w:p>
      <w:pPr>
        <w:spacing w:before="120" w:after="40"/>
        <w:jc w:val="center"/>
      </w:pPr>
      <w:r>
        <w:drawing>
          <wp:inline xmlns:a="http://schemas.openxmlformats.org/drawingml/2006/main" xmlns:pic="http://schemas.openxmlformats.org/drawingml/2006/picture">
            <wp:extent cx="5303520" cy="2855742"/>
            <wp:docPr id="14" name="Picture 14"/>
            <wp:cNvGraphicFramePr>
              <a:graphicFrameLocks noChangeAspect="1"/>
            </wp:cNvGraphicFramePr>
            <a:graphic>
              <a:graphicData uri="http://schemas.openxmlformats.org/drawingml/2006/picture">
                <pic:pic>
                  <pic:nvPicPr>
                    <pic:cNvPr id="0" name="fig_mamba_ablation.png"/>
                    <pic:cNvPicPr/>
                  </pic:nvPicPr>
                  <pic:blipFill>
                    <a:blip r:embed="rId22"/>
                    <a:stretch>
                      <a:fillRect/>
                    </a:stretch>
                  </pic:blipFill>
                  <pic:spPr>
                    <a:xfrm>
                      <a:off x="0" y="0"/>
                      <a:ext cx="5303520" cy="2855742"/>
                    </a:xfrm>
                    <a:prstGeom prst="rect"/>
                  </pic:spPr>
                </pic:pic>
              </a:graphicData>
            </a:graphic>
          </wp:inline>
        </w:drawing>
      </w:r>
    </w:p>
    <w:p>
      <w:pPr>
        <w:spacing w:after="240"/>
        <w:jc w:val="center"/>
      </w:pPr>
      <w:r>
        <w:rPr>
          <w:b/>
          <w:color w:val="002B66"/>
          <w:sz w:val="19"/>
        </w:rPr>
        <w:t>Fig. 14.  Ablation of Vision Mamba selective state-space design: Comparison of scan directionality (Forward, Backward, Bidirectional) and pooling mechanisms on Top-1 Accuracy (%) and inference latency (ms).</w:t>
      </w:r>
    </w:p>
    <w:p>
      <w:pPr>
        <w:spacing w:before="280" w:after="80"/>
        <w:jc w:val="left"/>
      </w:pPr>
      <w:r>
        <w:rPr>
          <w:rFonts w:ascii="Times New Roman" w:hAnsi="Times New Roman"/>
          <w:b/>
          <w:color w:val="002B66"/>
          <w:sz w:val="24"/>
        </w:rPr>
        <w:t>IV.  ETHICAL CONSIDERATIONS AND BROADER IMPACT</w:t>
      </w:r>
    </w:p>
    <w:p>
      <w:pPr>
        <w:spacing w:line="276" w:lineRule="auto" w:after="100"/>
        <w:ind w:firstLine="360"/>
        <w:jc w:val="both"/>
      </w:pPr>
      <w:r>
        <w:rPr>
          <w:rFonts w:ascii="Times New Roman" w:hAnsi="Times New Roman"/>
          <w:color w:val="222222"/>
          <w:sz w:val="21"/>
        </w:rPr>
        <w:t>Automated sign language recognition systems possess transformative potential for enhancing accessibility, independent communication, and social inclusivity for Deaf and Hard-of-Hearing individuals. However, deploying real-world SLR technology requires conscientious ethical stewardship:</w:t>
      </w:r>
    </w:p>
    <w:p>
      <w:pPr>
        <w:spacing w:line="276" w:lineRule="auto" w:after="100"/>
        <w:jc w:val="both"/>
      </w:pPr>
      <w:r>
        <w:rPr>
          <w:rFonts w:ascii="Times New Roman" w:hAnsi="Times New Roman"/>
          <w:color w:val="222222"/>
          <w:sz w:val="21"/>
        </w:rPr>
        <w:t>1) Privacy by Design: Visual video capture of signing individuals inherently records facial biometric data and surrounding domestic environments. By isolating 21 3D skeletal landmark coordinates on-device via local MediaPipe extraction, our dual-modal paradigm enables visual privacy options where raw RGB video can be immediately discarded, streaming solely anonymized kinematic coordinates.</w:t>
      </w:r>
    </w:p>
    <w:p>
      <w:pPr>
        <w:spacing w:line="276" w:lineRule="auto" w:after="100"/>
        <w:jc w:val="both"/>
      </w:pPr>
      <w:r>
        <w:rPr>
          <w:rFonts w:ascii="Times New Roman" w:hAnsi="Times New Roman"/>
          <w:color w:val="222222"/>
          <w:sz w:val="21"/>
        </w:rPr>
        <w:t>2) Demographic and Cultural Representation: Sign languages are geographically and culturally diverse natural languages, not direct word-for-word encodings of spoken tongues. Fingerspelling benchmarks represent only one component of full sign communication. Continuous deployment must incorporate native Deaf signers across diverse ages, skin tones, and regional signing dialects to prevent algorithmic bias.</w:t>
      </w:r>
    </w:p>
    <w:p>
      <w:pPr>
        <w:spacing w:before="280" w:after="80"/>
        <w:jc w:val="left"/>
      </w:pPr>
      <w:r>
        <w:rPr>
          <w:rFonts w:ascii="Times New Roman" w:hAnsi="Times New Roman"/>
          <w:b/>
          <w:color w:val="002B66"/>
          <w:sz w:val="24"/>
        </w:rPr>
        <w:t>V.  REPRODUCIBILITY AND EXPERIMENTAL SPECIFICATIONS</w:t>
      </w:r>
    </w:p>
    <w:p>
      <w:pPr>
        <w:spacing w:line="276" w:lineRule="auto" w:after="100"/>
        <w:ind w:firstLine="360"/>
        <w:jc w:val="both"/>
      </w:pPr>
      <w:r>
        <w:rPr>
          <w:rFonts w:ascii="Times New Roman" w:hAnsi="Times New Roman"/>
          <w:color w:val="222222"/>
          <w:sz w:val="21"/>
        </w:rPr>
        <w:t>To ensure strict scientific reproducibility across research institutions: (1) Software stack: PyTorch 2.14, timm 1.0.30, torchvision 0.29, thop 0.1.1, scikit-learn 1.9, MediaPipe 0.10.14; (2) Training hyper-parameters: AdamW optimizer with beta1 = 0.9, beta2 = 0.999, weight decay 1e-4, Cosine Annealing learning rate schedule initialized at 1e-3 decaying to 1e-6; (3) Standardized hardware profiling: 20 warmup passes followed by 100 timed unbatched forward passes; (4) Open source code and benchmark logs are fully maintained in the project GitHub repository.</w:t>
      </w:r>
    </w:p>
    <w:p>
      <w:pPr>
        <w:spacing w:before="280" w:after="80"/>
        <w:jc w:val="left"/>
      </w:pPr>
      <w:r>
        <w:rPr>
          <w:rFonts w:ascii="Times New Roman" w:hAnsi="Times New Roman"/>
          <w:b/>
          <w:color w:val="002B66"/>
          <w:sz w:val="24"/>
        </w:rPr>
        <w:t>VI.  LIMITATIONS AND FUTURE WORK</w:t>
      </w:r>
    </w:p>
    <w:p>
      <w:pPr>
        <w:spacing w:line="276" w:lineRule="auto" w:after="100"/>
        <w:ind w:firstLine="360"/>
        <w:jc w:val="both"/>
      </w:pPr>
      <w:r>
        <w:rPr>
          <w:rFonts w:ascii="Times New Roman" w:hAnsi="Times New Roman"/>
          <w:color w:val="222222"/>
          <w:sz w:val="21"/>
        </w:rPr>
        <w:t>While our dual-modal framework achieves exceptional efficiency and noise resilience on 29-class alphabet recognition, several avenues warrant future exploration:</w:t>
      </w:r>
    </w:p>
    <w:p>
      <w:pPr>
        <w:spacing w:line="276" w:lineRule="auto" w:after="100"/>
        <w:jc w:val="both"/>
      </w:pPr>
      <w:r>
        <w:rPr>
          <w:rFonts w:ascii="Times New Roman" w:hAnsi="Times New Roman"/>
          <w:color w:val="222222"/>
          <w:sz w:val="21"/>
        </w:rPr>
        <w:t>1) Continuous Sentence-Level Recognition: Extending the architecture from isolated fingerspelling signs to continuous sign sentences requiring dynamic temporal segmentation, Connectionist Temporal Classification (CTC), and gloss-to-text language translation.</w:t>
      </w:r>
    </w:p>
    <w:p>
      <w:pPr>
        <w:spacing w:line="276" w:lineRule="auto" w:after="100"/>
        <w:jc w:val="both"/>
      </w:pPr>
      <w:r>
        <w:rPr>
          <w:rFonts w:ascii="Times New Roman" w:hAnsi="Times New Roman"/>
          <w:color w:val="222222"/>
          <w:sz w:val="21"/>
        </w:rPr>
        <w:t>2) Facial and Non-Manual Signals: Incorporating facial expression landmarks (eyebrows, mouth morphemes) to capture grammatical markers essential in natural sign discourse.</w:t>
      </w:r>
    </w:p>
    <w:p>
      <w:pPr>
        <w:spacing w:line="276" w:lineRule="auto" w:after="100"/>
        <w:jc w:val="both"/>
      </w:pPr>
      <w:r>
        <w:rPr>
          <w:rFonts w:ascii="Times New Roman" w:hAnsi="Times New Roman"/>
          <w:color w:val="222222"/>
          <w:sz w:val="21"/>
        </w:rPr>
        <w:t>3) On-Chip Edge TPU Deployment: Quantizing the model to 8-bit integer (INT8) representation for embedded deployment on microcontroller accelerators such as Coral Edge TPU.</w:t>
      </w:r>
    </w:p>
    <w:p>
      <w:pPr>
        <w:spacing w:before="280" w:after="80"/>
        <w:jc w:val="left"/>
      </w:pPr>
      <w:r>
        <w:rPr>
          <w:rFonts w:ascii="Times New Roman" w:hAnsi="Times New Roman"/>
          <w:b/>
          <w:color w:val="002B66"/>
          <w:sz w:val="24"/>
        </w:rPr>
        <w:t>VII.  CONCLUSION</w:t>
      </w:r>
    </w:p>
    <w:p>
      <w:pPr>
        <w:spacing w:line="276" w:lineRule="auto" w:after="100"/>
        <w:ind w:firstLine="360"/>
        <w:jc w:val="both"/>
      </w:pPr>
      <w:r>
        <w:rPr>
          <w:rFonts w:ascii="Times New Roman" w:hAnsi="Times New Roman"/>
          <w:color w:val="222222"/>
          <w:sz w:val="21"/>
        </w:rPr>
        <w:t>In this work, we established an extensive multi-paradigm benchmark for Sign Language Recognition, evaluating Recurrent, Convolutional, Transformer, State-Space, and Graph architectures. Our empirical findings demonstrate that Proposed Model 1 (Enhanced CNN + Mamba SSM) achieves state-of-the-art recognition (98.28% Top-1, 97.89% Macro-F1) with a 1.74x speedup over recurrent baselines. Concurrently, Proposed Model 2 (Enhanced Adaptive GCN + MobileNetV3 CNN with Dynamic Gated Fusion) achieves unprecedented efficiency: only 1.11M parameters, 0.124 GFLOPs, and 22.19 ms latency with 92.24% clean accuracy. Furthermore, by fusing geometric skeletal landmarks with visual features, Proposed Model 2 exhibits superior environmental resilience under adverse sensor noise and low illumination (47.7% retention vs. 0.9%--5.8% for standard appearance models), making it the optimal candidate for robust, real-time edge deployment.</w:t>
      </w:r>
    </w:p>
    <w:p>
      <w:pPr>
        <w:spacing w:before="280" w:after="80"/>
        <w:jc w:val="left"/>
      </w:pPr>
      <w:r>
        <w:rPr>
          <w:rFonts w:ascii="Times New Roman" w:hAnsi="Times New Roman"/>
          <w:b/>
          <w:color w:val="002B66"/>
          <w:sz w:val="24"/>
        </w:rPr>
        <w:t>VIII.  REFERENCES</w:t>
      </w:r>
    </w:p>
    <w:p>
      <w:pPr>
        <w:spacing w:after="60"/>
        <w:ind w:left="360" w:hanging="360"/>
        <w:jc w:val="both"/>
      </w:pPr>
      <w:r>
        <w:rPr>
          <w:rFonts w:ascii="Times New Roman" w:hAnsi="Times New Roman"/>
          <w:color w:val="222222"/>
          <w:sz w:val="18"/>
        </w:rPr>
        <w:t>[1] A. Gu and T. Dao, "Mamba: Linear-time sequence modeling with selective state spaces," arXiv preprint arXiv:2312.00752, 2023.</w:t>
      </w:r>
    </w:p>
    <w:p>
      <w:pPr>
        <w:spacing w:after="60"/>
        <w:ind w:left="360" w:hanging="360"/>
        <w:jc w:val="both"/>
      </w:pPr>
      <w:r>
        <w:rPr>
          <w:rFonts w:ascii="Times New Roman" w:hAnsi="Times New Roman"/>
          <w:color w:val="222222"/>
          <w:sz w:val="18"/>
        </w:rPr>
        <w:t>[2] L. Zhu, B. Liao, Q. Zhang, X. Wang, W. Liu, and X. Wang, "Vision Mamba: Efficient visual representation learning with bidirectional state space model," in Proc. Int. Conf. Mach. Learn. (ICML), 2024.</w:t>
      </w:r>
    </w:p>
    <w:p>
      <w:pPr>
        <w:spacing w:after="60"/>
        <w:ind w:left="360" w:hanging="360"/>
        <w:jc w:val="both"/>
      </w:pPr>
      <w:r>
        <w:rPr>
          <w:rFonts w:ascii="Times New Roman" w:hAnsi="Times New Roman"/>
          <w:color w:val="222222"/>
          <w:sz w:val="18"/>
        </w:rPr>
        <w:t>[3] S. Yan, Y. Xiong, and D. Lin, "Spatial temporal graph convolutional networks for skeleton-based action recognition," in Proc. AAAI Conf. Artif. Intell., vol. 32, no. 1, 2018.</w:t>
      </w:r>
    </w:p>
    <w:p>
      <w:pPr>
        <w:spacing w:after="60"/>
        <w:ind w:left="360" w:hanging="360"/>
        <w:jc w:val="both"/>
      </w:pPr>
      <w:r>
        <w:rPr>
          <w:rFonts w:ascii="Times New Roman" w:hAnsi="Times New Roman"/>
          <w:color w:val="222222"/>
          <w:sz w:val="18"/>
        </w:rPr>
        <w:t>[4] F. Zhang et al., "MediaPipe Hands: On-device real-time hand tracking," in CVPR Workshop on Computer Vision for Augmented and Virtual Reality, 2020.</w:t>
      </w:r>
    </w:p>
    <w:p>
      <w:pPr>
        <w:spacing w:after="60"/>
        <w:ind w:left="360" w:hanging="360"/>
        <w:jc w:val="both"/>
      </w:pPr>
      <w:r>
        <w:rPr>
          <w:rFonts w:ascii="Times New Roman" w:hAnsi="Times New Roman"/>
          <w:color w:val="222222"/>
          <w:sz w:val="18"/>
        </w:rPr>
        <w:t>[5] Z. Liu et al., "A ConvNet for the 2020s," in Proc. IEEE/CVF Conf. Comput. Vis. Pattern Recognit. (CVPR), 2022, pp. 11976-11986.</w:t>
      </w:r>
    </w:p>
    <w:p>
      <w:pPr>
        <w:spacing w:after="60"/>
        <w:ind w:left="360" w:hanging="360"/>
        <w:jc w:val="both"/>
      </w:pPr>
      <w:r>
        <w:rPr>
          <w:rFonts w:ascii="Times New Roman" w:hAnsi="Times New Roman"/>
          <w:color w:val="222222"/>
          <w:sz w:val="18"/>
        </w:rPr>
        <w:t>[6] A. Howard et al., "Searching for MobileNetV3," in Proc. IEEE/CVF Int. Conf. Comput. Vis. (ICCV), 2019, pp. 1314-1324.</w:t>
      </w:r>
    </w:p>
    <w:p>
      <w:pPr>
        <w:spacing w:after="60"/>
        <w:ind w:left="360" w:hanging="360"/>
        <w:jc w:val="both"/>
      </w:pPr>
      <w:r>
        <w:rPr>
          <w:rFonts w:ascii="Times New Roman" w:hAnsi="Times New Roman"/>
          <w:color w:val="222222"/>
          <w:sz w:val="18"/>
        </w:rPr>
        <w:t>[7] J. Hu, L. Shen, and G. Sun, "Squeeze-and-excitation networks," in Proc. IEEE Conf. Comput. Vis. Pattern Recognit. (CVPR), 2018, pp. 7132-7141.</w:t>
      </w:r>
    </w:p>
    <w:p>
      <w:pPr>
        <w:spacing w:after="60"/>
        <w:ind w:left="360" w:hanging="360"/>
        <w:jc w:val="both"/>
      </w:pPr>
      <w:r>
        <w:rPr>
          <w:rFonts w:ascii="Times New Roman" w:hAnsi="Times New Roman"/>
          <w:color w:val="222222"/>
          <w:sz w:val="18"/>
        </w:rPr>
        <w:t>[8] S. Mehta and M. Rastegari, "MobileViT: Light-weight, general-purpose, and mobile-friendly vision transformer," in Proc. Int. Conf. Learn. Represent. (ICLR), 2022.</w:t>
      </w:r>
    </w:p>
    <w:p>
      <w:pPr>
        <w:spacing w:after="60"/>
        <w:ind w:left="360" w:hanging="360"/>
        <w:jc w:val="both"/>
      </w:pPr>
      <w:r>
        <w:rPr>
          <w:rFonts w:ascii="Times New Roman" w:hAnsi="Times New Roman"/>
          <w:color w:val="222222"/>
          <w:sz w:val="18"/>
        </w:rPr>
        <w:t>[9] T. N. Kipf and M. Welling, "Semi-supervised classification with graph convolutional networks," in Proc. Int. Conf. Learn. Represent. (ICLR), 2017.</w:t>
      </w:r>
    </w:p>
    <w:p>
      <w:pPr>
        <w:spacing w:after="60"/>
        <w:ind w:left="360" w:hanging="360"/>
        <w:jc w:val="both"/>
      </w:pPr>
      <w:r>
        <w:rPr>
          <w:rFonts w:ascii="Times New Roman" w:hAnsi="Times New Roman"/>
          <w:color w:val="222222"/>
          <w:sz w:val="18"/>
        </w:rPr>
        <w:t>[10] O. Koller, "Quantitative survey of sign language recognition: Data, approaches and open challenges," IEEE Trans. Pattern Anal. Mach. Intell., vol. 42, no. 10, pp. 2487-2508, 2020.</w:t>
      </w:r>
    </w:p>
    <w:p>
      <w:pPr>
        <w:spacing w:after="60"/>
        <w:ind w:left="360" w:hanging="360"/>
        <w:jc w:val="both"/>
      </w:pPr>
      <w:r>
        <w:rPr>
          <w:rFonts w:ascii="Times New Roman" w:hAnsi="Times New Roman"/>
          <w:color w:val="222222"/>
          <w:sz w:val="18"/>
        </w:rPr>
        <w:t>[11] R. Zuo, F. Zheng, and B. Mak, "Natural language-assisted sign language recognition," in Proc. IEEE/CVF Conf. Comput. Vis. Pattern Recognit. (CVPR), 2023, pp. 14860-14870.</w:t>
      </w:r>
    </w:p>
    <w:p>
      <w:pPr>
        <w:spacing w:after="60"/>
        <w:ind w:left="360" w:hanging="360"/>
        <w:jc w:val="both"/>
      </w:pPr>
      <w:r>
        <w:rPr>
          <w:rFonts w:ascii="Times New Roman" w:hAnsi="Times New Roman"/>
          <w:color w:val="222222"/>
          <w:sz w:val="18"/>
        </w:rPr>
        <w:t>[12] H. Hu, W. Zhao, W. Zhou, and H. Li, "SignBERT+: Hand-model-aware self-supervised pre-training for sign language understanding," IEEE Trans. Pattern Anal. Mach. Intell., 2023.</w:t>
      </w:r>
    </w:p>
    <w:p>
      <w:pPr>
        <w:spacing w:after="60"/>
        <w:ind w:left="360" w:hanging="360"/>
        <w:jc w:val="both"/>
      </w:pPr>
      <w:r>
        <w:rPr>
          <w:rFonts w:ascii="Times New Roman" w:hAnsi="Times New Roman"/>
          <w:color w:val="222222"/>
          <w:sz w:val="18"/>
        </w:rPr>
        <w:t>[13] L. Hu, W. Feng, L. Gao, Z. Liu, and W. Zhou, "CorrNet+: Sign language recognition and translation via spatial-temporal correlation," IEEE Trans. Pattern Anal. Mach. Intell., vol. 46, no. 8, pp. 5420-5435, 2024.</w:t>
      </w:r>
    </w:p>
    <w:p>
      <w:pPr>
        <w:spacing w:after="60"/>
        <w:ind w:left="360" w:hanging="360"/>
        <w:jc w:val="both"/>
      </w:pPr>
      <w:r>
        <w:rPr>
          <w:rFonts w:ascii="Times New Roman" w:hAnsi="Times New Roman"/>
          <w:color w:val="222222"/>
          <w:sz w:val="18"/>
        </w:rPr>
        <w:t>[14] H. Hu, W. Zhou, W. Zhao, and H. Li, "Dynamic spatial-temporal aggregation for skeleton-aware sign language recognition," in Proc. IEEE Int. Conf. Acoust. Speech Signal Process. (ICASSP), 2024, pp. 3170-3174.</w:t>
      </w:r>
    </w:p>
    <w:p>
      <w:pPr>
        <w:spacing w:after="60"/>
        <w:ind w:left="360" w:hanging="360"/>
        <w:jc w:val="both"/>
      </w:pPr>
      <w:r>
        <w:rPr>
          <w:rFonts w:ascii="Times New Roman" w:hAnsi="Times New Roman"/>
          <w:color w:val="222222"/>
          <w:sz w:val="18"/>
        </w:rPr>
        <w:t>[15] A. L. C. Carneiro et al., "Sign language recognition based on deep learning and low-cost handcrafted descriptors," IEEE Access, vol. 12, pp. 112450-112465, 2024.</w:t>
      </w:r>
    </w:p>
    <w:p>
      <w:pPr>
        <w:spacing w:after="60"/>
        <w:ind w:left="360" w:hanging="360"/>
        <w:jc w:val="both"/>
      </w:pPr>
      <w:r>
        <w:rPr>
          <w:rFonts w:ascii="Times New Roman" w:hAnsi="Times New Roman"/>
          <w:color w:val="222222"/>
          <w:sz w:val="18"/>
        </w:rPr>
        <w:t>[16] M. Javorek et al., "Sign language recognition in the age of LLMs," in Proc. IEEE/CVF Conf. Comput. Vis. Pattern Recognit. Workshops (CVPRW),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