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Week 5 Feasibility Memo: AI-Assisted Triage Data Exploration</w:t>
      </w:r>
    </w:p>
    <w:p>
      <w:pPr>
        <w:jc w:val="center"/>
      </w:pPr>
      <w:r>
        <w:rPr>
          <w:sz w:val="16"/>
        </w:rPr>
        <w:t>Vishal Baboolal | CariSurg MedTech Pathways Programme | Dataset: yaleemmlc_admissionprediction_triage.csv</w:t>
      </w:r>
    </w:p>
    <w:p>
      <w:pPr>
        <w:pStyle w:val="Heading2"/>
      </w:pPr>
      <w:r>
        <w:t>One-sentence verdict</w:t>
      </w:r>
    </w:p>
    <w:p>
      <w:r>
        <w:rPr>
          <w:b w:val="0"/>
        </w:rPr>
        <w:t>Proceed with caveats: this dataset is suitable for building a baseline triage model because it has 55,121 adult ED records, complete ESI labels, vital signs and 200 chief-complaint flags, but it should only be used after leakage removal, outlier review, fairness checks and external/local validation.</w:t>
      </w:r>
    </w:p>
    <w:p>
      <w:pPr>
        <w:pStyle w:val="Heading2"/>
      </w:pPr>
      <w:r>
        <w:t>Dataset summary</w:t>
      </w:r>
    </w:p>
    <w:p>
      <w:r>
        <w:rPr>
          <w:b w:val="0"/>
        </w:rPr>
        <w:t>The dataset contains 55,121 patient records and 226 raw columns. After removing the original index column, the cleaned working file contains 225 columns. The target variable is ESI, where 1 is most urgent and 5 is least urgent. The dataset includes demographics, arrival details, vital signs, oxygen-device status, glucose, disposition variables and extensive one-hot encoded chief complaints.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sz w:val="16"/>
              </w:rPr>
              <w:t>Item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Finding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Age profile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18-107 years; median 55; mean 55.3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Gender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57.6% female; 42.4% male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Race/Ethnicity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53.4% White/Caucasian; 29.0% Black/African American; 17.9% Hispanic/Latino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Arrival mode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41.4% car; 33.7% ambulance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Missing/Duplicates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0 missing values; 0 duplicate rows excluding index</w:t>
            </w:r>
          </w:p>
        </w:tc>
      </w:tr>
      <w:tr>
        <w:tc>
          <w:tcPr>
            <w:tcW w:type="dxa" w:w="5400"/>
          </w:tcPr>
          <w:p>
            <w:r>
              <w:rPr>
                <w:sz w:val="16"/>
              </w:rPr>
              <w:t>Target balance</w:t>
            </w:r>
          </w:p>
        </w:tc>
        <w:tc>
          <w:tcPr>
            <w:tcW w:type="dxa" w:w="5400"/>
          </w:tcPr>
          <w:p>
            <w:r>
              <w:rPr>
                <w:sz w:val="16"/>
              </w:rPr>
              <w:t>ESI 1: 0.14%, ESI 2: 32.5%, ESI 3: 49.0%, ESI 4: 16.1%, ESI 5: 2.2%</w:t>
            </w:r>
          </w:p>
        </w:tc>
      </w:tr>
    </w:tbl>
    <w:p>
      <w:r>
        <w:rPr>
          <w:b/>
        </w:rPr>
        <w:t>Figure 1. Core data quality dashboard</w:t>
      </w:r>
    </w:p>
    <w:p>
      <w:r>
        <w:drawing>
          <wp:inline xmlns:a="http://schemas.openxmlformats.org/drawingml/2006/main" xmlns:pic="http://schemas.openxmlformats.org/drawingml/2006/picture">
            <wp:extent cx="6217920" cy="4404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4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4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Top 3 data-quality concerns</w:t>
      </w:r>
    </w:p>
    <w:p>
      <w:r>
        <w:rPr>
          <w:b/>
        </w:rPr>
        <w:t>1. Leakage risk from post-triage variables</w:t>
      </w:r>
    </w:p>
    <w:p>
      <w:r>
        <w:t>The dataset includes disposition and previousdispo. Disposition occurs after ED assessment and treatment, so it must not be used as an input to a triage model. Excluding post-triage variables is essential to avoid artificially strong results.</w:t>
      </w:r>
    </w:p>
    <w:p>
      <w:r>
        <w:rPr>
          <w:b/>
        </w:rPr>
        <w:t>2. Target imbalance</w:t>
      </w:r>
    </w:p>
    <w:p>
      <w:r>
        <w:t>ESI 3 represents 49.0% of records and ESI 2 represents 32.5%, while ESI 1 is only 0.14%. A model could look accurate while missing rare but high-risk ESI 1 patients.</w:t>
      </w:r>
    </w:p>
    <w:p>
      <w:r>
        <w:rPr>
          <w:b/>
        </w:rPr>
        <w:t>3. Extreme vital signs and transferability concerns</w:t>
      </w:r>
    </w:p>
    <w:p>
      <w:r>
        <w:t>Vital signs are complete but include extreme values such as HR 221, systolic BP 266, respiratory rate 66, temperature 106 F and glucose 1066. Some may be true critical values, but they require audit. US-style insurance and arrival fields may not transfer cleanly to a Caribbean public hospital.</w:t>
      </w:r>
    </w:p>
    <w:p>
      <w:pPr>
        <w:pStyle w:val="Heading2"/>
      </w:pPr>
      <w:r>
        <w:t>Top 3 reasons to proceed</w:t>
      </w:r>
    </w:p>
    <w:p>
      <w:r>
        <w:rPr>
          <w:b/>
        </w:rPr>
        <w:t>1. Large sample size and complete labels</w:t>
      </w:r>
    </w:p>
    <w:p>
      <w:r>
        <w:t>55,121 records with complete ESI labels support robust exploratory analysis and baseline modelling.</w:t>
      </w:r>
    </w:p>
    <w:p>
      <w:r>
        <w:rPr>
          <w:b/>
        </w:rPr>
        <w:t>2. Clinically meaningful feature groups</w:t>
      </w:r>
    </w:p>
    <w:p>
      <w:r>
        <w:t>Age, arrival mode, vital signs, oxygen-device status, glucose and chief complaints reflect information clinicians use during triage.</w:t>
      </w:r>
    </w:p>
    <w:p>
      <w:r>
        <w:rPr>
          <w:b/>
        </w:rPr>
        <w:t>3. Rich complaint coverage</w:t>
      </w:r>
    </w:p>
    <w:p>
      <w:r>
        <w:t>The 200 chief-complaint flags provide strong clinical context, including chest pain, shortness of breath, abdominal pain, altered mental status and suicidal ideation.</w:t>
      </w:r>
    </w:p>
    <w:p>
      <w:r>
        <w:rPr>
          <w:b/>
        </w:rPr>
        <w:t>Figure 2. Target distribution and top complaints</w:t>
      </w:r>
    </w:p>
    <w:p>
      <w:r>
        <w:drawing>
          <wp:inline xmlns:a="http://schemas.openxmlformats.org/drawingml/2006/main" xmlns:pic="http://schemas.openxmlformats.org/drawingml/2006/picture">
            <wp:extent cx="2971800" cy="1948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esi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48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971800" cy="1717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top_compl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1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Top-10 feature shortlist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sz w:val="14"/>
              </w:rPr>
              <w:t>Rank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Feature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Assoc.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Clinical reasoning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triage_vital_o2_device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-0.219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Patients needing supplemental oxygen are more likely to require urgent review; it has one of the strongest associations with lower ESI acuity level.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triage_vital_o2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0.159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Low oxygen saturation directly signals hypoxia and respiratory compromise, which should influence triage urgency.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age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-0.238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Older adults have higher risk of deterioration and admission; age shows the strongest demographic association with ESI.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cc_chestpain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-0.164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Chest pain may represent acute coronary syndrome and is one of the most common high-acuity complaints.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cc_shortnessofbreath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-0.15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Shortness of breath can indicate respiratory failure, heart failure, asthma/COPD exacerbation or sepsis.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triage_vital_hr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-0.073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Tachycardia or bradycardia can indicate shock, arrhythmia, pain, fever or physiological stress.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triage_glucose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-0.111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Abnormal glucose can indicate diabetic emergencies or severe metabolic illness.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cc_alteredmentalstatus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-0.132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Altered mental status is clinically high risk and associated with urgent neurologic, toxicologic, septic or metabolic causes.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triage_vital_rr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-0.056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Respiratory rate is an early marker of deterioration and respiratory/metabolic stress.</w:t>
            </w:r>
          </w:p>
        </w:tc>
      </w:tr>
      <w:tr>
        <w:tc>
          <w:tcPr>
            <w:tcW w:type="dxa" w:w="270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cc_suicidal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-0.143</w:t>
            </w:r>
          </w:p>
        </w:tc>
        <w:tc>
          <w:tcPr>
            <w:tcW w:type="dxa" w:w="2700"/>
          </w:tcPr>
          <w:p>
            <w:r>
              <w:rPr>
                <w:sz w:val="14"/>
              </w:rPr>
              <w:t>Suicidal ideation is a safety-critical presentation requiring urgent mental health risk assessment.</w:t>
            </w:r>
          </w:p>
        </w:tc>
      </w:tr>
    </w:tbl>
    <w:p>
      <w:r>
        <w:t>Note: Lower ESI means higher urgency. Negative associations indicate association with more urgent triage levels.</w:t>
      </w:r>
    </w:p>
    <w:p>
      <w:pPr>
        <w:pStyle w:val="Heading2"/>
      </w:pPr>
      <w:r>
        <w:t>Caveats and recommendation</w:t>
      </w:r>
    </w:p>
    <w:p>
      <w:r>
        <w:rPr>
          <w:b w:val="0"/>
        </w:rPr>
        <w:t>This dataset is good enough for baseline modelling and feasibility testing, but not for direct clinical deployment. Week 6 modelling should exclude leakage variables, use class-specific metrics, review high-acuity recall, and include subgroup checks across age, race, ethnicity, sex, language, insurance and arrival mode.</w:t>
      </w:r>
    </w:p>
    <w:p>
      <w:r>
        <w:rPr>
          <w:b w:val="0"/>
        </w:rPr>
        <w:t>Recommended next step: build an offline baseline model using only variables available at or before triage; report confusion matrix, macro-F1, ESI 1/2 recall, calibration and subgroup performance. Any future clinical use should begin as a silent pilot before displaying AI output to triage staff.</w:t>
      </w:r>
    </w:p>
    <w:p>
      <w:r>
        <w:rPr>
          <w:b/>
        </w:rPr>
        <w:t>Figure 3. Selected correlation heatmap</w:t>
      </w:r>
    </w:p>
    <w:p>
      <w:r>
        <w:drawing>
          <wp:inline xmlns:a="http://schemas.openxmlformats.org/drawingml/2006/main" xmlns:pic="http://schemas.openxmlformats.org/drawingml/2006/picture">
            <wp:extent cx="5394960" cy="4792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924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