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86C58" w14:textId="77777777" w:rsidR="005045AB" w:rsidRDefault="00000000">
      <w:pPr>
        <w:spacing w:after="60"/>
        <w:jc w:val="center"/>
      </w:pPr>
      <w:r>
        <w:rPr>
          <w:b/>
          <w:bCs/>
          <w:sz w:val="30"/>
          <w:szCs w:val="30"/>
        </w:rPr>
        <w:t>Converting Written Payment Policy into Executable Rules: An Agentic Approach to Content Management in Healthcare</w:t>
      </w:r>
    </w:p>
    <w:p w14:paraId="3E8136AC" w14:textId="407383FA" w:rsidR="005045AB" w:rsidRDefault="00000000">
      <w:pPr>
        <w:spacing w:after="40"/>
        <w:jc w:val="center"/>
      </w:pPr>
      <w:r>
        <w:rPr>
          <w:i/>
          <w:iCs/>
        </w:rPr>
        <w:t xml:space="preserve">Cotiviti Intern Assessment </w:t>
      </w:r>
      <w:r w:rsidR="00C63AD5">
        <w:rPr>
          <w:i/>
          <w:iCs/>
        </w:rPr>
        <w:t xml:space="preserve">- </w:t>
      </w:r>
      <w:r>
        <w:rPr>
          <w:i/>
          <w:iCs/>
        </w:rPr>
        <w:t>Topic 3: Content Management in Health Care</w:t>
      </w:r>
    </w:p>
    <w:p w14:paraId="7E1B41FE" w14:textId="0FB62881" w:rsidR="005045AB" w:rsidRDefault="00C63AD5">
      <w:pPr>
        <w:spacing w:after="240"/>
        <w:jc w:val="center"/>
      </w:pPr>
      <w:r>
        <w:rPr>
          <w:color w:val="555555"/>
          <w:sz w:val="20"/>
          <w:szCs w:val="20"/>
        </w:rPr>
        <w:t>Vishal Balaji |</w:t>
      </w:r>
      <w:r w:rsidR="00000000">
        <w:rPr>
          <w:color w:val="555555"/>
          <w:sz w:val="20"/>
          <w:szCs w:val="20"/>
        </w:rPr>
        <w:t xml:space="preserve">  M.S. in Artificial Intelligence, Yeshiva University  |  </w:t>
      </w:r>
      <w:r>
        <w:rPr>
          <w:color w:val="555555"/>
          <w:sz w:val="20"/>
          <w:szCs w:val="20"/>
        </w:rPr>
        <w:t>New Jersey</w:t>
      </w:r>
    </w:p>
    <w:p w14:paraId="76BFA17C" w14:textId="77777777" w:rsidR="005045AB" w:rsidRDefault="00000000">
      <w:pPr>
        <w:pStyle w:val="Heading2"/>
      </w:pPr>
      <w:r>
        <w:t>Defining the Concept</w:t>
      </w:r>
    </w:p>
    <w:p w14:paraId="30A307C3" w14:textId="67703B24" w:rsidR="005045AB" w:rsidRDefault="00000000">
      <w:pPr>
        <w:spacing w:after="160" w:line="276" w:lineRule="auto"/>
      </w:pPr>
      <w:r>
        <w:t>Content management in healthcare payment integrity is the discipline of translating written clinical and payment policy</w:t>
      </w:r>
      <w:r w:rsidR="00C63AD5">
        <w:t xml:space="preserve"> - </w:t>
      </w:r>
      <w:r>
        <w:t>issued by bodies such as the American Medical Association (AMA), the Centers for Medicare &amp; Medicaid Services (CMS), and state Medicaid programs</w:t>
      </w:r>
      <w:r w:rsidR="00C63AD5">
        <w:t xml:space="preserve"> - </w:t>
      </w:r>
      <w:r>
        <w:t>into structured, machine-checkable rules that can be applied to claims before or after payment (Cotiviti, n.d.-a). A representative example is the CMS National Correct Coding Initiative (NCCI), whose Procedure-to-Procedure (PTP) edits identify pairs of codes that should not be reported together. Each pair carries a Correct Coding Modifier Indicator that determines whether an appropriate modifier may bypass the edit (CMS, 2026). The central engineering challenge is converting prose policy</w:t>
      </w:r>
      <w:r w:rsidR="00C63AD5">
        <w:t xml:space="preserve"> - </w:t>
      </w:r>
      <w:r>
        <w:t>revised on a quarterly cadence</w:t>
      </w:r>
      <w:r w:rsidR="00C63AD5">
        <w:t xml:space="preserve"> - i</w:t>
      </w:r>
      <w:r>
        <w:t>nto executable logic without losing fidelity to the source, an activity Cotiviti performs across more than 100 policy sources to develop industry-compliant payment rules (Cotiviti, n.d.-a).</w:t>
      </w:r>
    </w:p>
    <w:p w14:paraId="796D8519" w14:textId="77777777" w:rsidR="005045AB" w:rsidRDefault="00000000">
      <w:pPr>
        <w:pStyle w:val="Heading2"/>
      </w:pPr>
      <w:r>
        <w:t>Relevant Trends</w:t>
      </w:r>
    </w:p>
    <w:p w14:paraId="7998184C" w14:textId="064C71D1" w:rsidR="005045AB" w:rsidRDefault="00000000">
      <w:pPr>
        <w:spacing w:after="160" w:line="276" w:lineRule="auto"/>
      </w:pPr>
      <w:r>
        <w:t>Three trends are reshaping this space. First, administrative complexity remains a major cost driver: administrative activity accounts for roughly a quarter of U.S. healthcare spending, with providers and payers spending an estimated $80 billion annually managing administrative transactions (CVS Health, 2026). Second, agentic AI is moving from experimentation toward production. Industry analysts project that payers will significantly expand their use of an agentic workforce in 2026, and vendors are now shipping agentic claims tooling</w:t>
      </w:r>
      <w:r w:rsidR="00C63AD5">
        <w:t xml:space="preserve"> - </w:t>
      </w:r>
      <w:r>
        <w:t>Aetna’s second-generation Claims Assist Manager, for instance, reports reducing processing time by more than 20% on complex claims requiring manual review (Cohere Health, 2026; CVS Health, 2026). Even so, most agentic deployments remain early-stage pilots concentrated among larger, technology-forward enterprises (</w:t>
      </w:r>
      <w:proofErr w:type="spellStart"/>
      <w:r>
        <w:t>HealthVerity</w:t>
      </w:r>
      <w:proofErr w:type="spellEnd"/>
      <w:r>
        <w:t>, 2025). Third, the basis of competition is shifting from raw automation to trust: leading approaches keep agent logic visible and auditable and position AI to augment rather than replace human expertise (</w:t>
      </w:r>
      <w:proofErr w:type="spellStart"/>
      <w:r>
        <w:t>HealthVerity</w:t>
      </w:r>
      <w:proofErr w:type="spellEnd"/>
      <w:r>
        <w:t>, 2025; Cohere Health, 2026)</w:t>
      </w:r>
      <w:r w:rsidR="00C63AD5">
        <w:t xml:space="preserve"> - </w:t>
      </w:r>
      <w:r>
        <w:t>a stance Cotiviti itself takes in advocating the safe application of AI in payment integrity (Cotiviti, n.d.-b).</w:t>
      </w:r>
    </w:p>
    <w:p w14:paraId="5AE9245A" w14:textId="77777777" w:rsidR="005045AB" w:rsidRDefault="00000000">
      <w:pPr>
        <w:pStyle w:val="Heading2"/>
      </w:pPr>
      <w:r>
        <w:t>Opportunities and Threats</w:t>
      </w:r>
    </w:p>
    <w:p w14:paraId="3D247D91" w14:textId="77777777" w:rsidR="005045AB" w:rsidRDefault="00000000">
      <w:pPr>
        <w:spacing w:after="160" w:line="276" w:lineRule="auto"/>
      </w:pPr>
      <w:r>
        <w:t>The opportunity is substantial. An agentic policy-to-rule capability could compress the manual effort of authoring and maintaining edits, shorten the time from policy publication to deployed rule, and make it economical to encode lower-volume policies that are impractical to handle by hand. Cotiviti already shortens time-to-results from more than 90 days to under five and helps a single large Medicaid client avoid roughly $200 million in payment errors each year; an agentic layer could widen that margin while reducing provider abrasion through clearer, citation-backed edit rationales (Cotiviti, n.d.-b, n.d.-c).</w:t>
      </w:r>
    </w:p>
    <w:p w14:paraId="3BF1FA98" w14:textId="77777777" w:rsidR="005045AB" w:rsidRDefault="00000000">
      <w:pPr>
        <w:spacing w:after="160" w:line="276" w:lineRule="auto"/>
      </w:pPr>
      <w:r>
        <w:lastRenderedPageBreak/>
        <w:t>The same autonomy introduces risk. Large language models can fabricate citations or misread policy, and in a payment context an unfounded denial drives provider abrasion, appeals, and regulatory exposure. Healthcare’s governance bar is rising, making accountability, validation, and oversight central questions for any autonomous system (</w:t>
      </w:r>
      <w:proofErr w:type="spellStart"/>
      <w:r>
        <w:t>HealthVerity</w:t>
      </w:r>
      <w:proofErr w:type="spellEnd"/>
      <w:r>
        <w:t>, 2025). Protected health information and the quarterly churn of NCCI edits further require that any solution be continuously revalidated. In short, a system that cannot show why it reached a decision is not deployable in this domain.</w:t>
      </w:r>
    </w:p>
    <w:p w14:paraId="4D2767AB" w14:textId="77777777" w:rsidR="005045AB" w:rsidRDefault="00000000">
      <w:pPr>
        <w:pStyle w:val="Heading2"/>
      </w:pPr>
      <w:r>
        <w:t>Strategic Options for Cotiviti</w:t>
      </w:r>
    </w:p>
    <w:p w14:paraId="7BC0EBC6" w14:textId="193613C9" w:rsidR="005045AB" w:rsidRDefault="00000000">
      <w:pPr>
        <w:spacing w:after="160" w:line="276" w:lineRule="auto"/>
      </w:pPr>
      <w:r>
        <w:t>Cotiviti should pilot an agentic policy-compilation and verification layer that sits on top of</w:t>
      </w:r>
      <w:r w:rsidR="00C63AD5">
        <w:t xml:space="preserve"> - </w:t>
      </w:r>
      <w:r>
        <w:t>rather than replaces</w:t>
      </w:r>
      <w:r w:rsidR="00C63AD5">
        <w:t xml:space="preserve"> - </w:t>
      </w:r>
      <w:r>
        <w:t>its Payment Policy Management engine. Three design commitments make such a system defensible. First, grounded compilation: an agent extracts each rule from the source policy and attaches the verbatim policy span it relied on, and any rule whose citation cannot be matched to the source is rejected before deployment. Second, independent verification: a separate critic agent checks each decision for contradictions against the cited policy</w:t>
      </w:r>
      <w:r w:rsidR="00C63AD5">
        <w:t xml:space="preserve"> - </w:t>
      </w:r>
      <w:r>
        <w:t>mirroring natural-language-inference contradiction detection</w:t>
      </w:r>
      <w:r w:rsidR="00C63AD5">
        <w:t xml:space="preserve"> - </w:t>
      </w:r>
      <w:proofErr w:type="spellStart"/>
      <w:r>
        <w:t>so</w:t>
      </w:r>
      <w:proofErr w:type="spellEnd"/>
      <w:r>
        <w:t xml:space="preserve"> errors are caught before a claim is touched. Third, human-in-the-loop by default: uncertain cases are escalated to Cotiviti’s certified coders and medical directors rather than auto-denied, preserving the company’s 99.90% accuracy standard and its provider relationships (Cotiviti, n.d.-a).</w:t>
      </w:r>
    </w:p>
    <w:p w14:paraId="33221746" w14:textId="726FE3F9" w:rsidR="005045AB" w:rsidRDefault="00000000">
      <w:pPr>
        <w:spacing w:after="160" w:line="276" w:lineRule="auto"/>
      </w:pPr>
      <w:r>
        <w:t>A focused pilot</w:t>
      </w:r>
      <w:r w:rsidR="00C63AD5">
        <w:t xml:space="preserve"> - </w:t>
      </w:r>
      <w:r>
        <w:t>scoped to a single policy family such as NCCI PTP edits</w:t>
      </w:r>
      <w:r w:rsidR="00C63AD5">
        <w:t xml:space="preserve"> - </w:t>
      </w:r>
      <w:r>
        <w:t>would let Cotiviti quantify the reduction in rule-authoring time and the accuracy of generated citations against its expert baseline before scaling. The accompanying proof of concept demonstrates this exact pattern end to end: it compiles a public NCCI excerpt into executable rules, audits sample claims as pass, fail, or needs-review, and runs a grounding check that catches fabricated citations. A build-and-augment path is preferable to either building from scratch or relying on a pure third-party vendor, because Cotiviti’s proprietary, medical-director-reviewed policy database is the defensible asset; agentic tooling should amplify that advantage rather than outsource it.</w:t>
      </w:r>
    </w:p>
    <w:p w14:paraId="3DE39426" w14:textId="77777777" w:rsidR="005045AB" w:rsidRDefault="00000000">
      <w:pPr>
        <w:pStyle w:val="Heading2"/>
      </w:pPr>
      <w:r>
        <w:t>Conclusion</w:t>
      </w:r>
    </w:p>
    <w:p w14:paraId="5EB746BA" w14:textId="62D8D9B2" w:rsidR="005045AB" w:rsidRDefault="00000000">
      <w:pPr>
        <w:spacing w:after="160" w:line="276" w:lineRule="auto"/>
      </w:pPr>
      <w:r>
        <w:t>The opportunity in healthcare content management is not a chatbot that explains policy but an agent that can be trusted to compile and apply it. Grounding, independent verification, and human oversight are what convert that opportunity from a pilot into production value</w:t>
      </w:r>
      <w:r w:rsidR="00C63AD5">
        <w:t xml:space="preserve"> - </w:t>
      </w:r>
      <w:r>
        <w:t>and each aligns directly with strengths Cotiviti has already built over two decades of payment integrity leadership.</w:t>
      </w:r>
    </w:p>
    <w:p w14:paraId="38212E01" w14:textId="77777777" w:rsidR="005045AB" w:rsidRDefault="00000000">
      <w:r>
        <w:br w:type="page"/>
      </w:r>
    </w:p>
    <w:p w14:paraId="6BEEAD6F" w14:textId="77777777" w:rsidR="005045AB" w:rsidRDefault="00000000">
      <w:pPr>
        <w:spacing w:after="200"/>
        <w:jc w:val="center"/>
      </w:pPr>
      <w:r>
        <w:rPr>
          <w:b/>
          <w:bCs/>
          <w:sz w:val="24"/>
          <w:szCs w:val="24"/>
        </w:rPr>
        <w:lastRenderedPageBreak/>
        <w:t>References</w:t>
      </w:r>
    </w:p>
    <w:p w14:paraId="3E8069B2" w14:textId="77777777" w:rsidR="005045AB" w:rsidRDefault="00000000" w:rsidP="00C63AD5">
      <w:pPr>
        <w:spacing w:after="120" w:line="276" w:lineRule="auto"/>
        <w:ind w:left="720" w:hanging="720"/>
      </w:pPr>
      <w:r>
        <w:t xml:space="preserve">Centers for Medicare &amp; Medicaid Services. (2026). </w:t>
      </w:r>
      <w:r>
        <w:rPr>
          <w:i/>
          <w:iCs/>
        </w:rPr>
        <w:t>Medicare NCCI policy manual for Medicare services</w:t>
      </w:r>
      <w:r>
        <w:t xml:space="preserve">. </w:t>
      </w:r>
      <w:hyperlink r:id="rId5" w:history="1">
        <w:r>
          <w:rPr>
            <w:color w:val="1155CC"/>
            <w:u w:val="single"/>
          </w:rPr>
          <w:t>https://www.cms.gov/medicare/coding-billing/national-correct-coding-initiative-ncci-edits/medicare-ncci-policy-manual</w:t>
        </w:r>
      </w:hyperlink>
    </w:p>
    <w:p w14:paraId="5F639A91" w14:textId="77777777" w:rsidR="005045AB" w:rsidRDefault="00000000" w:rsidP="00C63AD5">
      <w:pPr>
        <w:spacing w:after="120" w:line="276" w:lineRule="auto"/>
        <w:ind w:left="720" w:hanging="720"/>
      </w:pPr>
      <w:r>
        <w:t xml:space="preserve">Cohere Health. (2026). </w:t>
      </w:r>
      <w:r>
        <w:rPr>
          <w:i/>
          <w:iCs/>
        </w:rPr>
        <w:t>Agentic AI for health plans: Key Gartner 2026 insights</w:t>
      </w:r>
      <w:r>
        <w:t xml:space="preserve">. </w:t>
      </w:r>
      <w:hyperlink r:id="rId6" w:history="1">
        <w:r>
          <w:rPr>
            <w:color w:val="1155CC"/>
            <w:u w:val="single"/>
          </w:rPr>
          <w:t>https://www.coherehealth.com/blog/agentic-ai-health-plans-gartner-2026-insights</w:t>
        </w:r>
      </w:hyperlink>
    </w:p>
    <w:p w14:paraId="0B2DA2C4" w14:textId="77777777" w:rsidR="005045AB" w:rsidRDefault="00000000" w:rsidP="00C63AD5">
      <w:pPr>
        <w:spacing w:after="120" w:line="276" w:lineRule="auto"/>
        <w:ind w:left="720" w:hanging="720"/>
      </w:pPr>
      <w:r>
        <w:t xml:space="preserve">Cotiviti. (n.d.-a). </w:t>
      </w:r>
      <w:r>
        <w:rPr>
          <w:i/>
          <w:iCs/>
        </w:rPr>
        <w:t>Payment Policy Management</w:t>
      </w:r>
      <w:r>
        <w:t xml:space="preserve">. Retrieved June 2026, from </w:t>
      </w:r>
      <w:hyperlink r:id="rId7" w:history="1">
        <w:r>
          <w:rPr>
            <w:color w:val="1155CC"/>
            <w:u w:val="single"/>
          </w:rPr>
          <w:t>https://www.cotiviti.com/solutions/payment-accuracy/payment-policy-management</w:t>
        </w:r>
      </w:hyperlink>
    </w:p>
    <w:p w14:paraId="70C9F6DE" w14:textId="77777777" w:rsidR="005045AB" w:rsidRDefault="00000000" w:rsidP="00C63AD5">
      <w:pPr>
        <w:spacing w:after="120" w:line="276" w:lineRule="auto"/>
        <w:ind w:left="720" w:hanging="720"/>
      </w:pPr>
      <w:r>
        <w:t xml:space="preserve">Cotiviti. (n.d.-b). </w:t>
      </w:r>
      <w:r>
        <w:rPr>
          <w:i/>
          <w:iCs/>
        </w:rPr>
        <w:t>Healthcare claim payment accuracy solutions</w:t>
      </w:r>
      <w:r>
        <w:t xml:space="preserve">. Retrieved June 2026, from </w:t>
      </w:r>
      <w:hyperlink r:id="rId8" w:history="1">
        <w:r>
          <w:rPr>
            <w:color w:val="1155CC"/>
            <w:u w:val="single"/>
          </w:rPr>
          <w:t>https://www.cotiviti.com/solutions/payment-accuracy</w:t>
        </w:r>
      </w:hyperlink>
    </w:p>
    <w:p w14:paraId="0F108F4C" w14:textId="77777777" w:rsidR="005045AB" w:rsidRDefault="00000000" w:rsidP="00C63AD5">
      <w:pPr>
        <w:spacing w:after="120" w:line="276" w:lineRule="auto"/>
        <w:ind w:left="720" w:hanging="720"/>
      </w:pPr>
      <w:r>
        <w:t xml:space="preserve">Cotiviti. (n.d.-c). </w:t>
      </w:r>
      <w:r>
        <w:rPr>
          <w:i/>
          <w:iCs/>
        </w:rPr>
        <w:t>The payment integrity guide for health plans</w:t>
      </w:r>
      <w:r>
        <w:t xml:space="preserve">. Retrieved June 2026, from </w:t>
      </w:r>
      <w:hyperlink r:id="rId9" w:history="1">
        <w:r>
          <w:rPr>
            <w:color w:val="1155CC"/>
            <w:u w:val="single"/>
          </w:rPr>
          <w:t>https://resources.cotiviti.com/payment-integrity/the-health-plan-guide-to-claims-payment-integrity</w:t>
        </w:r>
      </w:hyperlink>
    </w:p>
    <w:p w14:paraId="095618A0" w14:textId="77777777" w:rsidR="005045AB" w:rsidRDefault="00000000" w:rsidP="00C63AD5">
      <w:pPr>
        <w:spacing w:after="120" w:line="276" w:lineRule="auto"/>
        <w:ind w:left="720" w:hanging="720"/>
      </w:pPr>
      <w:r>
        <w:t xml:space="preserve">CVS Health. (2026, May 26). </w:t>
      </w:r>
      <w:r>
        <w:rPr>
          <w:i/>
          <w:iCs/>
        </w:rPr>
        <w:t>Aetna reduces claims processing time by more than 20% with AI to improve care experience</w:t>
      </w:r>
      <w:r>
        <w:t xml:space="preserve">. </w:t>
      </w:r>
      <w:hyperlink r:id="rId10" w:history="1">
        <w:r>
          <w:rPr>
            <w:color w:val="1155CC"/>
            <w:u w:val="single"/>
          </w:rPr>
          <w:t>https://www.cvshealth.com/news/innovation/aetna-reduces-claims-processing-time-by-more-than-20-percent-with-ai-to-improve-care-experience.html</w:t>
        </w:r>
      </w:hyperlink>
    </w:p>
    <w:p w14:paraId="46FB6693" w14:textId="77777777" w:rsidR="005045AB" w:rsidRDefault="00000000" w:rsidP="00C63AD5">
      <w:pPr>
        <w:spacing w:after="120" w:line="276" w:lineRule="auto"/>
        <w:ind w:left="720" w:hanging="720"/>
      </w:pPr>
      <w:proofErr w:type="spellStart"/>
      <w:r>
        <w:t>HealthVerity</w:t>
      </w:r>
      <w:proofErr w:type="spellEnd"/>
      <w:r>
        <w:t xml:space="preserve">. (2025, December 29). </w:t>
      </w:r>
      <w:r>
        <w:rPr>
          <w:i/>
          <w:iCs/>
        </w:rPr>
        <w:t>AI trends shaping healthcare in 2026: Agentic, physical &amp; sovereign AI</w:t>
      </w:r>
      <w:r>
        <w:t xml:space="preserve">. </w:t>
      </w:r>
      <w:hyperlink r:id="rId11" w:history="1">
        <w:r>
          <w:rPr>
            <w:color w:val="1155CC"/>
            <w:u w:val="single"/>
          </w:rPr>
          <w:t>https://blog.healthverity.com/ai-trends-shaping-healthcare-in-2026-agentic-physical-sovereign-ai</w:t>
        </w:r>
      </w:hyperlink>
    </w:p>
    <w:sectPr w:rsidR="005045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C24C9"/>
    <w:multiLevelType w:val="hybridMultilevel"/>
    <w:tmpl w:val="FE06CFF4"/>
    <w:lvl w:ilvl="0" w:tplc="3ED02D9C">
      <w:start w:val="1"/>
      <w:numFmt w:val="bullet"/>
      <w:lvlText w:val="●"/>
      <w:lvlJc w:val="left"/>
      <w:pPr>
        <w:ind w:left="720" w:hanging="360"/>
      </w:pPr>
    </w:lvl>
    <w:lvl w:ilvl="1" w:tplc="3D9E64C4">
      <w:start w:val="1"/>
      <w:numFmt w:val="bullet"/>
      <w:lvlText w:val="○"/>
      <w:lvlJc w:val="left"/>
      <w:pPr>
        <w:ind w:left="1440" w:hanging="360"/>
      </w:pPr>
    </w:lvl>
    <w:lvl w:ilvl="2" w:tplc="3A9E1164">
      <w:start w:val="1"/>
      <w:numFmt w:val="bullet"/>
      <w:lvlText w:val="■"/>
      <w:lvlJc w:val="left"/>
      <w:pPr>
        <w:ind w:left="2160" w:hanging="360"/>
      </w:pPr>
    </w:lvl>
    <w:lvl w:ilvl="3" w:tplc="9ECEC854">
      <w:start w:val="1"/>
      <w:numFmt w:val="bullet"/>
      <w:lvlText w:val="●"/>
      <w:lvlJc w:val="left"/>
      <w:pPr>
        <w:ind w:left="2880" w:hanging="360"/>
      </w:pPr>
    </w:lvl>
    <w:lvl w:ilvl="4" w:tplc="DC04049A">
      <w:start w:val="1"/>
      <w:numFmt w:val="bullet"/>
      <w:lvlText w:val="○"/>
      <w:lvlJc w:val="left"/>
      <w:pPr>
        <w:ind w:left="3600" w:hanging="360"/>
      </w:pPr>
    </w:lvl>
    <w:lvl w:ilvl="5" w:tplc="04C076D6">
      <w:start w:val="1"/>
      <w:numFmt w:val="bullet"/>
      <w:lvlText w:val="■"/>
      <w:lvlJc w:val="left"/>
      <w:pPr>
        <w:ind w:left="4320" w:hanging="360"/>
      </w:pPr>
    </w:lvl>
    <w:lvl w:ilvl="6" w:tplc="94EEF442">
      <w:start w:val="1"/>
      <w:numFmt w:val="bullet"/>
      <w:lvlText w:val="●"/>
      <w:lvlJc w:val="left"/>
      <w:pPr>
        <w:ind w:left="5040" w:hanging="360"/>
      </w:pPr>
    </w:lvl>
    <w:lvl w:ilvl="7" w:tplc="24B6D73C">
      <w:start w:val="1"/>
      <w:numFmt w:val="bullet"/>
      <w:lvlText w:val="●"/>
      <w:lvlJc w:val="left"/>
      <w:pPr>
        <w:ind w:left="5760" w:hanging="360"/>
      </w:pPr>
    </w:lvl>
    <w:lvl w:ilvl="8" w:tplc="D45C7B70">
      <w:start w:val="1"/>
      <w:numFmt w:val="bullet"/>
      <w:lvlText w:val="●"/>
      <w:lvlJc w:val="left"/>
      <w:pPr>
        <w:ind w:left="6480" w:hanging="360"/>
      </w:pPr>
    </w:lvl>
  </w:abstractNum>
  <w:num w:numId="1" w16cid:durableId="7833092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AB"/>
    <w:rsid w:val="005045AB"/>
    <w:rsid w:val="00816522"/>
    <w:rsid w:val="00C63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DE2738"/>
  <w15:docId w15:val="{C7AF87D9-36B0-9D41-8B81-10CCF2D8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tiviti.com/solutions/payment-accura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tiviti.com/solutions/payment-accuracy/payment-policy-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herehealth.com/blog/agentic-ai-health-plans-gartner-2026-insights" TargetMode="External"/><Relationship Id="rId11" Type="http://schemas.openxmlformats.org/officeDocument/2006/relationships/hyperlink" Target="https://blog.healthverity.com/ai-trends-shaping-healthcare-in-2026-agentic-physical-sovereign-ai" TargetMode="External"/><Relationship Id="rId5" Type="http://schemas.openxmlformats.org/officeDocument/2006/relationships/hyperlink" Target="https://www.cms.gov/medicare/coding-billing/national-correct-coding-initiative-ncci-edits/medicare-ncci-policy-manual" TargetMode="External"/><Relationship Id="rId10" Type="http://schemas.openxmlformats.org/officeDocument/2006/relationships/hyperlink" Target="https://www.cvshealth.com/news/innovation/aetna-reduces-claims-processing-time-by-more-than-20-percent-with-ai-to-improve-care-experience.html" TargetMode="External"/><Relationship Id="rId4" Type="http://schemas.openxmlformats.org/officeDocument/2006/relationships/webSettings" Target="webSettings.xml"/><Relationship Id="rId9" Type="http://schemas.openxmlformats.org/officeDocument/2006/relationships/hyperlink" Target="https://resources.cotiviti.com/payment-integrity/the-health-plan-guide-to-claims-payment-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Balaji</cp:lastModifiedBy>
  <cp:revision>2</cp:revision>
  <dcterms:created xsi:type="dcterms:W3CDTF">2026-06-29T02:42:00Z</dcterms:created>
  <dcterms:modified xsi:type="dcterms:W3CDTF">2026-06-29T02:49:00Z</dcterms:modified>
</cp:coreProperties>
</file>