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864"/>
          <w:sz w:val="24"/>
          <w:szCs w:val="24"/>
        </w:rPr>
        <w:t xml:space="preserve">L J INSTITUTE OF COMPUTER APPLICATIONS</w:t>
      </w:r>
    </w:p>
    <w:p>
      <w:pPr>
        <w:spacing w:before="120"/>
        <w:jc w:val="center"/>
      </w:pPr>
      <w:r>
        <w:rPr>
          <w:color w:val="222222"/>
          <w:sz w:val="22"/>
          <w:szCs w:val="22"/>
        </w:rPr>
        <w:t xml:space="preserve">Master of Computer Applications (MCA) — Semester III</w:t>
      </w:r>
    </w:p>
    <w:p>
      <w:pPr>
        <w:spacing w:before="600"/>
        <w:jc w:val="center"/>
      </w:pPr>
      <w:r>
        <w:rPr>
          <w:b/>
          <w:bCs/>
          <w:color w:val="1F3864"/>
          <w:sz w:val="48"/>
          <w:szCs w:val="48"/>
        </w:rPr>
        <w:t xml:space="preserve">ETHICAL HACKING &amp;</w:t>
      </w:r>
    </w:p>
    <w:p>
      <w:pPr>
        <w:jc w:val="center"/>
      </w:pPr>
      <w:r>
        <w:rPr>
          <w:b/>
          <w:bCs/>
          <w:color w:val="1F3864"/>
          <w:sz w:val="48"/>
          <w:szCs w:val="48"/>
        </w:rPr>
        <w:t xml:space="preserve">PENETRATION TESTING</w:t>
      </w:r>
    </w:p>
    <w:p>
      <w:pPr>
        <w:spacing w:before="160"/>
        <w:jc w:val="center"/>
      </w:pPr>
      <w:r>
        <w:rPr>
          <w:i/>
          <w:iCs/>
          <w:color w:val="0E7C7B"/>
          <w:sz w:val="26"/>
          <w:szCs w:val="26"/>
        </w:rPr>
        <w:t xml:space="preserve">Complete Student Study Notes</w:t>
      </w:r>
    </w:p>
    <w:p>
      <w:pPr>
        <w:spacing w:before="900"/>
        <w:jc w:val="center"/>
      </w:pPr>
      <w:r>
        <w:rPr>
          <w:color w:val="222222"/>
          <w:sz w:val="20"/>
          <w:szCs w:val="20"/>
        </w:rPr>
        <w:t xml:space="preserve">Covers Units I – V  ·  Based on the Official LJ University Syllabus (Batch 2025)</w:t>
      </w:r>
    </w:p>
    <w:p>
      <w:pPr>
        <w:spacing w:before="60"/>
        <w:jc w:val="center"/>
      </w:pPr>
      <w:r>
        <w:rPr>
          <w:color w:val="555555"/>
          <w:sz w:val="20"/>
          <w:szCs w:val="20"/>
        </w:rPr>
        <w:t xml:space="preserve">Prepared for exam preparation and quick revision</w:t>
      </w:r>
    </w:p>
    <w:p>
      <w:pPr>
        <w:spacing w:before="2200"/>
        <w:jc w:val="center"/>
      </w:pPr>
      <w:r>
        <w:rPr>
          <w:b/>
          <w:bCs/>
          <w:color w:val="1F3864"/>
          <w:sz w:val="22"/>
          <w:szCs w:val="22"/>
        </w:rPr>
        <w:t xml:space="preserve">Vishal Chudasama</w:t>
      </w:r>
    </w:p>
    <w:p>
      <w:pPr>
        <w:sectPr>
          <w:pgSz w:w="11906" w:h="16838" w:orient="portrait"/>
          <w:pgMar w:top="1080" w:right="1080" w:bottom="1080" w:left="1080" w:header="708" w:footer="708" w:gutter="0"/>
          <w:pgNumType/>
          <w:docGrid w:linePitch="360"/>
        </w:sectPr>
      </w:pPr>
    </w:p>
    <w:p>
      <w:pPr>
        <w:pStyle w:val="Heading1"/>
        <w:pageBreakBefore/>
        <w:pBdr>
          <w:bottom w:val="single" w:color="1F3864" w:sz="12" w:space="4"/>
        </w:pBdr>
        <w:spacing w:after="240" w:before="0"/>
      </w:pPr>
      <w:r>
        <w:rPr>
          <w:b/>
          <w:bCs/>
          <w:color w:val="1F3864"/>
          <w:sz w:val="36"/>
          <w:szCs w:val="36"/>
        </w:rPr>
        <w:t xml:space="preserve">Table of Contents</w:t>
      </w:r>
    </w:p>
    <w:p>
      <w:pPr>
        <w:spacing w:after="140"/>
        <w:ind w:left="0"/>
      </w:pPr>
      <w:r>
        <w:rPr>
          <w:rFonts w:ascii="Calibri" w:cs="Calibri" w:eastAsia="Calibri" w:hAnsi="Calibri"/>
          <w:b/>
          <w:bCs/>
          <w:color w:val="1F3864"/>
          <w:sz w:val="22"/>
          <w:szCs w:val="22"/>
        </w:rPr>
        <w:t xml:space="preserve">Unit I — Foundations of Ethical Hacking</w:t>
      </w:r>
    </w:p>
    <w:p>
      <w:pPr>
        <w:spacing w:after="60"/>
        <w:ind w:left="300"/>
      </w:pPr>
      <w:r>
        <w:rPr>
          <w:rFonts w:ascii="Calibri" w:cs="Calibri" w:eastAsia="Calibri" w:hAnsi="Calibri"/>
          <w:b w:val="false"/>
          <w:bCs w:val="false"/>
          <w:color w:val="222222"/>
          <w:sz w:val="20"/>
          <w:szCs w:val="20"/>
        </w:rPr>
        <w:t xml:space="preserve">Hacking &amp; hacker types · Legal framework (IT Act 2000) · RoE, NDA &amp; scope · 5 Phases of Ethical Hacking · Cyber Kill Chain · Red/Blue/Purple Teams · VAPT vs PT vs VA · PTES &amp; OWASP WSTG · Lab setup</w:t>
      </w:r>
    </w:p>
    <w:p>
      <w:pPr>
        <w:spacing w:after="140"/>
        <w:ind w:left="0"/>
      </w:pPr>
      <w:r>
        <w:rPr>
          <w:rFonts w:ascii="Calibri" w:cs="Calibri" w:eastAsia="Calibri" w:hAnsi="Calibri"/>
          <w:b/>
          <w:bCs/>
          <w:color w:val="1F3864"/>
          <w:sz w:val="22"/>
          <w:szCs w:val="22"/>
        </w:rPr>
        <w:t xml:space="preserve">Unit II — Reconnaissance, Scanning &amp; Enumeration</w:t>
      </w:r>
    </w:p>
    <w:p>
      <w:pPr>
        <w:spacing w:after="60"/>
        <w:ind w:left="300"/>
      </w:pPr>
      <w:r>
        <w:rPr>
          <w:rFonts w:ascii="Calibri" w:cs="Calibri" w:eastAsia="Calibri" w:hAnsi="Calibri"/>
          <w:b w:val="false"/>
          <w:bCs w:val="false"/>
          <w:color w:val="222222"/>
          <w:sz w:val="20"/>
          <w:szCs w:val="20"/>
        </w:rPr>
        <w:t xml:space="preserve">Passive OSINT (Google dorking, WHOIS, DNS, Shodan, theHarvester, Maltego, LinkedIn) · Active recon (Nmap, NSE) · SMB/SNMP/SMTP enumeration · CVSS v3.1 · CVE lookup · False positives</w:t>
      </w:r>
    </w:p>
    <w:p>
      <w:pPr>
        <w:spacing w:after="140"/>
        <w:ind w:left="0"/>
      </w:pPr>
      <w:r>
        <w:rPr>
          <w:rFonts w:ascii="Calibri" w:cs="Calibri" w:eastAsia="Calibri" w:hAnsi="Calibri"/>
          <w:b/>
          <w:bCs/>
          <w:color w:val="1F3864"/>
          <w:sz w:val="22"/>
          <w:szCs w:val="22"/>
        </w:rPr>
        <w:t xml:space="preserve">Unit III — Exploitation &amp; Post-Exploitation</w:t>
      </w:r>
    </w:p>
    <w:p>
      <w:pPr>
        <w:spacing w:after="60"/>
        <w:ind w:left="300"/>
      </w:pPr>
      <w:r>
        <w:rPr>
          <w:rFonts w:ascii="Calibri" w:cs="Calibri" w:eastAsia="Calibri" w:hAnsi="Calibri"/>
          <w:b w:val="false"/>
          <w:bCs w:val="false"/>
          <w:color w:val="222222"/>
          <w:sz w:val="20"/>
          <w:szCs w:val="20"/>
        </w:rPr>
        <w:t xml:space="preserve">Metasploit architecture · msfconsole &amp; core variables · Payloads &amp; MSFvenom · Meterpreter · Linux &amp; Windows privilege escalation · Password attacks (John, Hashcat, Hydra)</w:t>
      </w:r>
    </w:p>
    <w:p>
      <w:pPr>
        <w:spacing w:after="140"/>
        <w:ind w:left="0"/>
      </w:pPr>
      <w:r>
        <w:rPr>
          <w:rFonts w:ascii="Calibri" w:cs="Calibri" w:eastAsia="Calibri" w:hAnsi="Calibri"/>
          <w:b/>
          <w:bCs/>
          <w:color w:val="1F3864"/>
          <w:sz w:val="22"/>
          <w:szCs w:val="22"/>
        </w:rPr>
        <w:t xml:space="preserve">Unit IV — Web Application Penetration Testing</w:t>
      </w:r>
    </w:p>
    <w:p>
      <w:pPr>
        <w:spacing w:after="60"/>
        <w:ind w:left="300"/>
      </w:pPr>
      <w:r>
        <w:rPr>
          <w:rFonts w:ascii="Calibri" w:cs="Calibri" w:eastAsia="Calibri" w:hAnsi="Calibri"/>
          <w:b w:val="false"/>
          <w:bCs w:val="false"/>
          <w:color w:val="222222"/>
          <w:sz w:val="20"/>
          <w:szCs w:val="20"/>
        </w:rPr>
        <w:t xml:space="preserve">OWASP Top 10 · Burp Suite · SQL Injection · XSS (Reflected/Stored/DOM) · File upload vulnerabilities · CSRF · Broken authentication</w:t>
      </w:r>
    </w:p>
    <w:p>
      <w:pPr>
        <w:spacing w:after="140"/>
        <w:ind w:left="0"/>
      </w:pPr>
      <w:r>
        <w:rPr>
          <w:rFonts w:ascii="Calibri" w:cs="Calibri" w:eastAsia="Calibri" w:hAnsi="Calibri"/>
          <w:b/>
          <w:bCs/>
          <w:color w:val="1F3864"/>
          <w:sz w:val="22"/>
          <w:szCs w:val="22"/>
        </w:rPr>
        <w:t xml:space="preserve">Unit V — Reporting, Risk &amp; Professional Ethics</w:t>
      </w:r>
    </w:p>
    <w:p>
      <w:pPr>
        <w:spacing w:after="60"/>
        <w:ind w:left="300"/>
      </w:pPr>
      <w:r>
        <w:rPr>
          <w:rFonts w:ascii="Calibri" w:cs="Calibri" w:eastAsia="Calibri" w:hAnsi="Calibri"/>
          <w:b w:val="false"/>
          <w:bCs w:val="false"/>
          <w:color w:val="222222"/>
          <w:sz w:val="20"/>
          <w:szCs w:val="20"/>
        </w:rPr>
        <w:t xml:space="preserve">Penetration test report structure · CVSS worked examples · Remediation strategies · Professional ethics &amp; responsible disclosure · Certification pathways · Quick revision summary</w:t>
      </w:r>
    </w:p>
    <w:p>
      <w:pPr>
        <w:pStyle w:val="Heading1"/>
        <w:pageBreakBefore/>
        <w:pBdr>
          <w:bottom w:val="single" w:color="1F3864" w:sz="12" w:space="4"/>
        </w:pBdr>
        <w:spacing w:after="240" w:before="0"/>
      </w:pPr>
      <w:r>
        <w:rPr>
          <w:b/>
          <w:bCs/>
          <w:color w:val="1F3864"/>
          <w:sz w:val="36"/>
          <w:szCs w:val="36"/>
        </w:rPr>
        <w:t xml:space="preserve">Unit I — Foundations of Ethical Hacking</w:t>
      </w:r>
    </w:p>
    <w:p>
      <w:pPr>
        <w:pStyle w:val="Heading2"/>
        <w:spacing w:after="160" w:before="320"/>
      </w:pPr>
      <w:r>
        <w:rPr>
          <w:b/>
          <w:bCs/>
          <w:color w:val="1F3864"/>
          <w:sz w:val="28"/>
          <w:szCs w:val="28"/>
        </w:rPr>
        <w:t xml:space="preserve">1.1 What Is Hacking?</w:t>
      </w:r>
    </w:p>
    <w:p>
      <w:pPr>
        <w:spacing w:after="160" w:line="300"/>
      </w:pPr>
      <w:r>
        <w:rPr>
          <w:rFonts w:ascii="Calibri" w:cs="Calibri" w:eastAsia="Calibri" w:hAnsi="Calibri"/>
          <w:color w:val="222222"/>
          <w:sz w:val="22"/>
          <w:szCs w:val="22"/>
        </w:rPr>
        <w:t xml:space="preserve">Hacking means finding and using weaknesses in a computer system, network, application, or even in people (through social engineering) to get access, control, or information that you are not normally allowed to have.</w:t>
      </w:r>
    </w:p>
    <w:p>
      <w:pPr>
        <w:spacing w:after="160" w:line="300"/>
      </w:pPr>
      <w:r>
        <w:rPr>
          <w:rFonts w:ascii="Calibri" w:cs="Calibri" w:eastAsia="Calibri" w:hAnsi="Calibri"/>
          <w:color w:val="222222"/>
          <w:sz w:val="22"/>
          <w:szCs w:val="22"/>
        </w:rPr>
        <w:t xml:space="preserve">Here is the most important idea in this whole subject: hacking itself is a neutral skill. The same tools (Nmap, Metasploit, Burp Suite), the same knowledge of networking and programming, and the same techniques can be used by a security professional to protect a company, or by a criminal to steal from it. What makes the difference is not the tool — it is permission and intent.</w:t>
      </w:r>
    </w:p>
    <w:p>
      <w:pPr>
        <w:pStyle w:val="ListParagraph"/>
        <w:numPr>
          <w:ilvl w:val="0"/>
          <w:numId w:val="2"/>
        </w:numPr>
        <w:spacing w:after="90" w:line="290"/>
      </w:pPr>
      <w:r>
        <w:rPr>
          <w:rFonts w:ascii="Calibri" w:cs="Calibri" w:eastAsia="Calibri" w:hAnsi="Calibri"/>
          <w:color w:val="222222"/>
          <w:sz w:val="22"/>
          <w:szCs w:val="22"/>
        </w:rPr>
        <w:t xml:space="preserve">Network Hacking — attacking routers, firewalls, and network protocols.</w:t>
      </w:r>
    </w:p>
    <w:p>
      <w:pPr>
        <w:pStyle w:val="ListParagraph"/>
        <w:numPr>
          <w:ilvl w:val="0"/>
          <w:numId w:val="2"/>
        </w:numPr>
        <w:spacing w:after="90" w:line="290"/>
      </w:pPr>
      <w:r>
        <w:rPr>
          <w:rFonts w:ascii="Calibri" w:cs="Calibri" w:eastAsia="Calibri" w:hAnsi="Calibri"/>
          <w:color w:val="222222"/>
          <w:sz w:val="22"/>
          <w:szCs w:val="22"/>
        </w:rPr>
        <w:t xml:space="preserve">Web Application Hacking — attacks like SQL Injection and Cross-Site Scripting (XSS) on websites.</w:t>
      </w:r>
    </w:p>
    <w:p>
      <w:pPr>
        <w:pStyle w:val="ListParagraph"/>
        <w:numPr>
          <w:ilvl w:val="0"/>
          <w:numId w:val="2"/>
        </w:numPr>
        <w:spacing w:after="90" w:line="290"/>
      </w:pPr>
      <w:r>
        <w:rPr>
          <w:rFonts w:ascii="Calibri" w:cs="Calibri" w:eastAsia="Calibri" w:hAnsi="Calibri"/>
          <w:color w:val="222222"/>
          <w:sz w:val="22"/>
          <w:szCs w:val="22"/>
        </w:rPr>
        <w:t xml:space="preserve">Wireless Hacking — capturing Wi-Fi handshakes, setting up fake access points.</w:t>
      </w:r>
    </w:p>
    <w:p>
      <w:pPr>
        <w:pStyle w:val="ListParagraph"/>
        <w:numPr>
          <w:ilvl w:val="0"/>
          <w:numId w:val="2"/>
        </w:numPr>
        <w:spacing w:after="90" w:line="290"/>
      </w:pPr>
      <w:r>
        <w:rPr>
          <w:rFonts w:ascii="Calibri" w:cs="Calibri" w:eastAsia="Calibri" w:hAnsi="Calibri"/>
          <w:color w:val="222222"/>
          <w:sz w:val="22"/>
          <w:szCs w:val="22"/>
        </w:rPr>
        <w:t xml:space="preserve">Social Engineering — tricking people through phishing emails or fake phone calls.</w:t>
      </w:r>
    </w:p>
    <w:p>
      <w:pPr>
        <w:pStyle w:val="ListParagraph"/>
        <w:numPr>
          <w:ilvl w:val="0"/>
          <w:numId w:val="2"/>
        </w:numPr>
        <w:spacing w:after="90" w:line="290"/>
      </w:pPr>
      <w:r>
        <w:rPr>
          <w:rFonts w:ascii="Calibri" w:cs="Calibri" w:eastAsia="Calibri" w:hAnsi="Calibri"/>
          <w:color w:val="222222"/>
          <w:sz w:val="22"/>
          <w:szCs w:val="22"/>
        </w:rPr>
        <w:t xml:space="preserve">System/OS Hacking — privilege escalation, exploits, malware.</w:t>
      </w:r>
    </w:p>
    <w:p>
      <w:pPr>
        <w:pStyle w:val="ListParagraph"/>
        <w:numPr>
          <w:ilvl w:val="0"/>
          <w:numId w:val="2"/>
        </w:numPr>
        <w:spacing w:after="90" w:line="290"/>
      </w:pPr>
      <w:r>
        <w:rPr>
          <w:rFonts w:ascii="Calibri" w:cs="Calibri" w:eastAsia="Calibri" w:hAnsi="Calibri"/>
          <w:color w:val="222222"/>
          <w:sz w:val="22"/>
          <w:szCs w:val="22"/>
        </w:rPr>
        <w:t xml:space="preserve">Password Hacking — cracking, brute-forcing, or stealing passwords.</w:t>
      </w:r>
    </w:p>
    <w:p>
      <w:pPr>
        <w:spacing w:after="100"/>
      </w:pPr>
    </w:p>
    <w:tbl>
      <w:tblPr>
        <w:tblW w:type="pct" w:w="100%"/>
        <w:tblBorders>
          <w:top w:val="single" w:color="B8860B" w:sz="4"/>
          <w:left w:val="single" w:color="B8860B" w:sz="4"/>
          <w:bottom w:val="single" w:color="B8860B" w:sz="4"/>
          <w:right w:val="single" w:color="B8860B" w:sz="4"/>
          <w:insideH w:val="none" w:color="FFFFFF" w:sz="0"/>
          <w:insideV w:val="none" w:color="FFFFFF" w:sz="0"/>
        </w:tblBorders>
      </w:tblPr>
      <w:tblGrid>
        <w:gridCol w:w="100"/>
      </w:tblGrid>
      <w:tr>
        <w:tc>
          <w:tcPr>
            <w:shd w:fill="FFF6E5" w:val="clear"/>
            <w:tcMar>
              <w:top w:type="dxa" w:w="160"/>
              <w:left w:type="dxa" w:w="200"/>
              <w:bottom w:type="dxa" w:w="160"/>
              <w:right w:type="dxa" w:w="200"/>
            </w:tcMar>
          </w:tcPr>
          <w:p>
            <w:pPr>
              <w:spacing w:after="80"/>
            </w:pPr>
            <w:r>
              <w:rPr>
                <w:rFonts w:ascii="Calibri" w:cs="Calibri" w:eastAsia="Calibri" w:hAnsi="Calibri"/>
                <w:b/>
                <w:bCs/>
                <w:color w:val="B8860B"/>
                <w:sz w:val="21"/>
                <w:szCs w:val="21"/>
              </w:rPr>
              <w:t xml:space="preserve">✎ Example — Why intent matters</w:t>
            </w:r>
          </w:p>
          <w:p>
            <w:pPr>
              <w:spacing w:after="0"/>
            </w:pPr>
            <w:r>
              <w:rPr>
                <w:rFonts w:ascii="Calibri" w:cs="Calibri" w:eastAsia="Calibri" w:hAnsi="Calibri"/>
                <w:color w:val="222222"/>
                <w:sz w:val="21"/>
                <w:szCs w:val="21"/>
              </w:rPr>
              <w:t xml:space="preserve">A security consultant scans a bank's servers with Nmap under a signed contract and reports the open ports she finds — this is ethical hacking. A stranger scans the same bank's servers without permission and sells the open-port list on a hacking forum — this is a crime, even though the tool and technique were identical.</w:t>
            </w:r>
          </w:p>
        </w:tc>
      </w:tr>
    </w:tbl>
    <w:p>
      <w:pPr>
        <w:spacing w:after="180"/>
      </w:pPr>
    </w:p>
    <w:p>
      <w:pPr>
        <w:pStyle w:val="Heading2"/>
        <w:spacing w:after="160" w:before="320"/>
      </w:pPr>
      <w:r>
        <w:rPr>
          <w:b/>
          <w:bCs/>
          <w:color w:val="1F3864"/>
          <w:sz w:val="28"/>
          <w:szCs w:val="28"/>
        </w:rPr>
        <w:t xml:space="preserve">1.2 Types of Hackers</w:t>
      </w:r>
    </w:p>
    <w:p>
      <w:pPr>
        <w:spacing w:after="160" w:line="300"/>
      </w:pPr>
      <w:r>
        <w:rPr>
          <w:rFonts w:ascii="Calibri" w:cs="Calibri" w:eastAsia="Calibri" w:hAnsi="Calibri"/>
          <w:color w:val="222222"/>
          <w:sz w:val="22"/>
          <w:szCs w:val="22"/>
        </w:rPr>
        <w:t xml:space="preserve">Hackers are usually grouped by their intent and authorization, not by their technical skill.</w:t>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4680"/>
        <w:gridCol w:w="4680"/>
      </w:tblGrid>
      <w:tr>
        <w:trPr>
          <w:cantSplit/>
          <w:tblHeader/>
        </w:trPr>
        <w:tc>
          <w:tcPr>
            <w:tcW w:type="dxa" w:w="468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Type</w:t>
            </w:r>
          </w:p>
        </w:tc>
        <w:tc>
          <w:tcPr>
            <w:tcW w:type="dxa" w:w="468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r>
      <w:tr>
        <w:trPr>
          <w:cantSplit/>
        </w:trPr>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White Hat</w:t>
            </w:r>
          </w:p>
        </w:tc>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Authorised security professionals who test systems with permission and report findings responsibly.</w:t>
            </w:r>
          </w:p>
        </w:tc>
      </w:tr>
      <w:tr>
        <w:trPr>
          <w:cantSplit/>
        </w:trPr>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Black Hat</w:t>
            </w:r>
          </w:p>
        </w:tc>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Malicious attackers who break into systems illegally for profit, theft, or damage.</w:t>
            </w:r>
          </w:p>
        </w:tc>
      </w:tr>
      <w:tr>
        <w:trPr>
          <w:cantSplit/>
        </w:trPr>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Grey Hat</w:t>
            </w:r>
          </w:p>
        </w:tc>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Test systems without authorisation, but without malicious intent — they often report flaws unasked. Still illegal, because there is no written permission.</w:t>
            </w:r>
          </w:p>
        </w:tc>
      </w:tr>
      <w:tr>
        <w:trPr>
          <w:cantSplit/>
        </w:trPr>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Hacktivists</w:t>
            </w:r>
          </w:p>
        </w:tc>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Motivated by political or social causes; deface websites or leak data to make a statement.</w:t>
            </w:r>
          </w:p>
        </w:tc>
      </w:tr>
      <w:tr>
        <w:trPr>
          <w:cantSplit/>
        </w:trPr>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Script Kiddies</w:t>
            </w:r>
          </w:p>
        </w:tc>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Inexperienced attackers who use ready-made tools and scripts without understanding how they work.</w:t>
            </w:r>
          </w:p>
        </w:tc>
      </w:tr>
      <w:tr>
        <w:trPr>
          <w:cantSplit/>
        </w:trPr>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Nation-State Actors</w:t>
            </w:r>
          </w:p>
        </w:tc>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Highly resourced, government-backed groups carrying out espionage, sabotage, or cyber warfare.</w:t>
            </w:r>
          </w:p>
        </w:tc>
      </w:tr>
    </w:tbl>
    <w:p>
      <w:pPr>
        <w:spacing w:after="180"/>
      </w:pPr>
    </w:p>
    <w:p>
      <w:pPr>
        <w:pStyle w:val="Heading2"/>
        <w:spacing w:after="160" w:before="320"/>
      </w:pPr>
      <w:r>
        <w:rPr>
          <w:b/>
          <w:bCs/>
          <w:color w:val="1F3864"/>
          <w:sz w:val="28"/>
          <w:szCs w:val="28"/>
        </w:rPr>
        <w:t xml:space="preserve">1.3 Ethical Hacking vs. Malicious Hacking</w:t>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3120"/>
        <w:gridCol w:w="3120"/>
        <w:gridCol w:w="3120"/>
      </w:tblGrid>
      <w:tr>
        <w:trPr>
          <w:cantSplit/>
          <w:tblHeader/>
        </w:trPr>
        <w:tc>
          <w:tcPr>
            <w:tcW w:type="dxa" w:w="312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Aspect</w:t>
            </w:r>
          </w:p>
        </w:tc>
        <w:tc>
          <w:tcPr>
            <w:tcW w:type="dxa" w:w="312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Ethical Hacking</w:t>
            </w:r>
          </w:p>
        </w:tc>
        <w:tc>
          <w:tcPr>
            <w:tcW w:type="dxa" w:w="312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Malicious Hacking</w:t>
            </w:r>
          </w:p>
        </w:tc>
      </w:tr>
      <w:tr>
        <w:trPr>
          <w:cantSplit/>
        </w:trPr>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Authorisation</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Written permission obtained before testing</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No authorisation — access is illegal from the start</w:t>
            </w:r>
          </w:p>
        </w:tc>
      </w:tr>
      <w:tr>
        <w:trPr>
          <w:cantSplit/>
        </w:trPr>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Scope</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Scope, timeline and rules agreed in advance</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No defined scope; anything is a target</w:t>
            </w:r>
          </w:p>
        </w:tc>
      </w:tr>
      <w:tr>
        <w:trPr>
          <w:cantSplit/>
        </w:trPr>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Reporting</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Findings reported confidentially to the client</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Exploits used for theft, ransom, or sabotage</w:t>
            </w:r>
          </w:p>
        </w:tc>
      </w:tr>
      <w:tr>
        <w:trPr>
          <w:cantSplit/>
        </w:trPr>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Goal</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Strengthen defences</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Personal, financial, or political gain</w:t>
            </w:r>
          </w:p>
        </w:tc>
      </w:tr>
      <w:tr>
        <w:trPr>
          <w:cantSplit/>
        </w:trPr>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Legal status</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Governed by NDA and legal contracts</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Punishable under the IT Act 2000 and the Indian Penal Code</w:t>
            </w:r>
          </w:p>
        </w:tc>
      </w:tr>
    </w:tbl>
    <w:p>
      <w:pPr>
        <w:spacing w:after="180"/>
      </w:pPr>
    </w:p>
    <w:p>
      <w:pPr>
        <w:pStyle w:val="Heading2"/>
        <w:spacing w:after="160" w:before="320"/>
      </w:pPr>
      <w:r>
        <w:rPr>
          <w:b/>
          <w:bCs/>
          <w:color w:val="1F3864"/>
          <w:sz w:val="28"/>
          <w:szCs w:val="28"/>
        </w:rPr>
        <w:t xml:space="preserve">1.4 How Ethical Hacking Strengthens Security</w:t>
      </w:r>
    </w:p>
    <w:p>
      <w:pPr>
        <w:pStyle w:val="ListParagraph"/>
        <w:numPr>
          <w:ilvl w:val="0"/>
          <w:numId w:val="2"/>
        </w:numPr>
        <w:spacing w:after="90" w:line="290"/>
      </w:pPr>
      <w:r>
        <w:rPr>
          <w:rFonts w:ascii="Calibri" w:cs="Calibri" w:eastAsia="Calibri" w:hAnsi="Calibri"/>
          <w:color w:val="222222"/>
          <w:sz w:val="22"/>
          <w:szCs w:val="22"/>
        </w:rPr>
        <w:t xml:space="preserve">Simulates real attacks, so organisations see their genuine exposure instead of only theoretical risk.</w:t>
      </w:r>
    </w:p>
    <w:p>
      <w:pPr>
        <w:pStyle w:val="ListParagraph"/>
        <w:numPr>
          <w:ilvl w:val="0"/>
          <w:numId w:val="2"/>
        </w:numPr>
        <w:spacing w:after="90" w:line="290"/>
      </w:pPr>
      <w:r>
        <w:rPr>
          <w:rFonts w:ascii="Calibri" w:cs="Calibri" w:eastAsia="Calibri" w:hAnsi="Calibri"/>
          <w:color w:val="222222"/>
          <w:sz w:val="22"/>
          <w:szCs w:val="22"/>
        </w:rPr>
        <w:t xml:space="preserve">Finds gaps before attackers do — misconfigurations, weak passwords, unpatched software.</w:t>
      </w:r>
    </w:p>
    <w:p>
      <w:pPr>
        <w:pStyle w:val="ListParagraph"/>
        <w:numPr>
          <w:ilvl w:val="0"/>
          <w:numId w:val="2"/>
        </w:numPr>
        <w:spacing w:after="90" w:line="290"/>
      </w:pPr>
      <w:r>
        <w:rPr>
          <w:rFonts w:ascii="Calibri" w:cs="Calibri" w:eastAsia="Calibri" w:hAnsi="Calibri"/>
          <w:color w:val="222222"/>
          <w:sz w:val="22"/>
          <w:szCs w:val="22"/>
        </w:rPr>
        <w:t xml:space="preserve">Validates whether existing controls like firewalls and monitoring actually detect and stop an intrusion.</w:t>
      </w:r>
    </w:p>
    <w:p>
      <w:pPr>
        <w:pStyle w:val="ListParagraph"/>
        <w:numPr>
          <w:ilvl w:val="0"/>
          <w:numId w:val="2"/>
        </w:numPr>
        <w:spacing w:after="90" w:line="290"/>
      </w:pPr>
      <w:r>
        <w:rPr>
          <w:rFonts w:ascii="Calibri" w:cs="Calibri" w:eastAsia="Calibri" w:hAnsi="Calibri"/>
          <w:color w:val="222222"/>
          <w:sz w:val="22"/>
          <w:szCs w:val="22"/>
        </w:rPr>
        <w:t xml:space="preserve">Produces a risk-ranked report so teams fix the most dangerous issues first, instead of guessing.</w:t>
      </w:r>
    </w:p>
    <w:p>
      <w:pPr>
        <w:pStyle w:val="ListParagraph"/>
        <w:numPr>
          <w:ilvl w:val="0"/>
          <w:numId w:val="2"/>
        </w:numPr>
        <w:spacing w:after="90" w:line="290"/>
      </w:pPr>
      <w:r>
        <w:rPr>
          <w:rFonts w:ascii="Calibri" w:cs="Calibri" w:eastAsia="Calibri" w:hAnsi="Calibri"/>
          <w:color w:val="222222"/>
          <w:sz w:val="22"/>
          <w:szCs w:val="22"/>
        </w:rPr>
        <w:t xml:space="preserve">Supports compliance with standards like ISO 27001, PCI-DSS, and the IT Act 2000.</w:t>
      </w:r>
    </w:p>
    <w:p>
      <w:pPr>
        <w:spacing w:after="100"/>
      </w:pPr>
    </w:p>
    <w:p>
      <w:pPr>
        <w:pStyle w:val="Heading2"/>
        <w:spacing w:after="160" w:before="320"/>
      </w:pPr>
      <w:r>
        <w:rPr>
          <w:b/>
          <w:bCs/>
          <w:color w:val="1F3864"/>
          <w:sz w:val="28"/>
          <w:szCs w:val="28"/>
        </w:rPr>
        <w:t xml:space="preserve">1.5 Why Companies Pay for Penetration Tests</w:t>
      </w:r>
    </w:p>
    <w:p>
      <w:pPr>
        <w:pStyle w:val="ListParagraph"/>
        <w:numPr>
          <w:ilvl w:val="0"/>
          <w:numId w:val="2"/>
        </w:numPr>
        <w:spacing w:after="90" w:line="290"/>
      </w:pPr>
      <w:r>
        <w:rPr>
          <w:rFonts w:ascii="Calibri" w:cs="Calibri" w:eastAsia="Calibri" w:hAnsi="Calibri"/>
          <w:color w:val="222222"/>
          <w:sz w:val="22"/>
          <w:szCs w:val="22"/>
        </w:rPr>
        <w:t xml:space="preserve">Cost of a breach — recovering from a real breach is usually far more expensive than paying for a planned test.</w:t>
      </w:r>
    </w:p>
    <w:p>
      <w:pPr>
        <w:pStyle w:val="ListParagraph"/>
        <w:numPr>
          <w:ilvl w:val="0"/>
          <w:numId w:val="2"/>
        </w:numPr>
        <w:spacing w:after="90" w:line="290"/>
      </w:pPr>
      <w:r>
        <w:rPr>
          <w:rFonts w:ascii="Calibri" w:cs="Calibri" w:eastAsia="Calibri" w:hAnsi="Calibri"/>
          <w:color w:val="222222"/>
          <w:sz w:val="22"/>
          <w:szCs w:val="22"/>
        </w:rPr>
        <w:t xml:space="preserve">Regulatory mandate — standards like PCI-DSS and regulators like RBI/SEBI often require periodic third-party testing.</w:t>
      </w:r>
    </w:p>
    <w:p>
      <w:pPr>
        <w:pStyle w:val="ListParagraph"/>
        <w:numPr>
          <w:ilvl w:val="0"/>
          <w:numId w:val="2"/>
        </w:numPr>
        <w:spacing w:after="90" w:line="290"/>
      </w:pPr>
      <w:r>
        <w:rPr>
          <w:rFonts w:ascii="Calibri" w:cs="Calibri" w:eastAsia="Calibri" w:hAnsi="Calibri"/>
          <w:color w:val="222222"/>
          <w:sz w:val="22"/>
          <w:szCs w:val="22"/>
        </w:rPr>
        <w:t xml:space="preserve">Reputation protection — a clean security audit reassures customers and partners.</w:t>
      </w:r>
    </w:p>
    <w:p>
      <w:pPr>
        <w:pStyle w:val="ListParagraph"/>
        <w:numPr>
          <w:ilvl w:val="0"/>
          <w:numId w:val="2"/>
        </w:numPr>
        <w:spacing w:after="90" w:line="290"/>
      </w:pPr>
      <w:r>
        <w:rPr>
          <w:rFonts w:ascii="Calibri" w:cs="Calibri" w:eastAsia="Calibri" w:hAnsi="Calibri"/>
          <w:color w:val="222222"/>
          <w:sz w:val="22"/>
          <w:szCs w:val="22"/>
        </w:rPr>
        <w:t xml:space="preserve">Independent assurance — outside testers have no internal bias, so they often find what an in-house team overlooks.</w:t>
      </w:r>
    </w:p>
    <w:p>
      <w:pPr>
        <w:spacing w:after="100"/>
      </w:pPr>
    </w:p>
    <w:p>
      <w:pPr>
        <w:pStyle w:val="Heading2"/>
        <w:spacing w:after="160" w:before="320"/>
      </w:pPr>
      <w:r>
        <w:rPr>
          <w:b/>
          <w:bCs/>
          <w:color w:val="1F3864"/>
          <w:sz w:val="28"/>
          <w:szCs w:val="28"/>
        </w:rPr>
        <w:t xml:space="preserve">1.6 Legal Framework — The IT Act, 2000</w:t>
      </w:r>
    </w:p>
    <w:p>
      <w:pPr>
        <w:spacing w:after="160" w:line="300"/>
      </w:pPr>
      <w:r>
        <w:rPr>
          <w:rFonts w:ascii="Calibri" w:cs="Calibri" w:eastAsia="Calibri" w:hAnsi="Calibri"/>
          <w:color w:val="222222"/>
          <w:sz w:val="22"/>
          <w:szCs w:val="22"/>
        </w:rPr>
        <w:t xml:space="preserve">The Information Technology Act, 2000 is India's main cyber law. It gives legal recognition to electronic records and digital signatures, and it defines cyber offences and their punishments. It was significantly amended in 2008 to cover newer threats. As a future ethical hacker working in India, every action you take during a test must stay inside the boundaries set by this Act.</w:t>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3120"/>
        <w:gridCol w:w="3120"/>
        <w:gridCol w:w="3120"/>
      </w:tblGrid>
      <w:tr>
        <w:trPr>
          <w:cantSplit/>
          <w:tblHeader/>
        </w:trPr>
        <w:tc>
          <w:tcPr>
            <w:tcW w:type="dxa" w:w="312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Section</w:t>
            </w:r>
          </w:p>
        </w:tc>
        <w:tc>
          <w:tcPr>
            <w:tcW w:type="dxa" w:w="312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What It Covers</w:t>
            </w:r>
          </w:p>
        </w:tc>
        <w:tc>
          <w:tcPr>
            <w:tcW w:type="dxa" w:w="312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Punishment</w:t>
            </w:r>
          </w:p>
        </w:tc>
      </w:tr>
      <w:tr>
        <w:trPr>
          <w:cantSplit/>
        </w:trPr>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Section 43</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Civil liability for unauthorised access, data theft, introducing viruses, or disrupting a computer system (even without criminal intent).</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Compensation to the victim</w:t>
            </w:r>
          </w:p>
        </w:tc>
      </w:tr>
      <w:tr>
        <w:trPr>
          <w:cantSplit/>
        </w:trPr>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Section 43A</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Makes a company liable if it fails to implement reasonable security practices and this causes loss to a person's data.</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Compensation to affected individuals</w:t>
            </w:r>
          </w:p>
        </w:tc>
      </w:tr>
      <w:tr>
        <w:trPr>
          <w:cantSplit/>
        </w:trPr>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Section 65</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Tampering with computer source code that is legally required to be kept (e.g. deleting source code, altering logs).</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Up to 3 years jail, fine up to ₹2 lakh</w:t>
            </w:r>
          </w:p>
        </w:tc>
      </w:tr>
      <w:tr>
        <w:trPr>
          <w:cantSplit/>
        </w:trPr>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Section 66</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Turns Section 43 acts into a crime when done "dishonestly or fraudulently" — covers hacking, data theft, defacement.</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Up to 3 years jail, fine up to ₹5 lakh</w:t>
            </w:r>
          </w:p>
        </w:tc>
      </w:tr>
      <w:tr>
        <w:trPr>
          <w:cantSplit/>
        </w:trPr>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Section 66B</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Dishonestly receiving or keeping a stolen computer resource (laptop, password, database) while knowing it was stolen.</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Up to 3 years jail, fine up to ₹1 lakh</w:t>
            </w:r>
          </w:p>
        </w:tc>
      </w:tr>
      <w:tr>
        <w:trPr>
          <w:cantSplit/>
        </w:trPr>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Section 66C</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Identity theft — fraudulent use of someone else's password, digital signature, or other unique identifier (e.g. stealing an OTP).</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Up to 3 years jail, fine up to ₹1 lakh</w:t>
            </w:r>
          </w:p>
        </w:tc>
      </w:tr>
      <w:tr>
        <w:trPr>
          <w:cantSplit/>
        </w:trPr>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Section 66F</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Cyber terrorism — attacks that threaten India's sovereignty, security, or critical infrastructure (power grid, defence networks).</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Imprisonment for life</w:t>
            </w:r>
          </w:p>
        </w:tc>
      </w:tr>
      <w:tr>
        <w:trPr>
          <w:cantSplit/>
        </w:trPr>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Section 72A</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service provider disclosing a client's personal information without consent, under a lawful contract, causing wrongful loss or gain.</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Up to 3 years jail, fine up to ₹5 lakh</w:t>
            </w:r>
          </w:p>
        </w:tc>
      </w:tr>
    </w:tbl>
    <w:p>
      <w:pPr>
        <w:spacing w:after="180"/>
      </w:pPr>
    </w:p>
    <w:p>
      <w:pPr>
        <w:spacing w:after="160" w:line="300"/>
      </w:pPr>
      <w:r>
        <w:rPr>
          <w:rFonts w:ascii="Calibri" w:cs="Calibri" w:eastAsia="Calibri" w:hAnsi="Calibri"/>
          <w:color w:val="222222"/>
          <w:sz w:val="22"/>
          <w:szCs w:val="22"/>
        </w:rPr>
        <w:t xml:space="preserve">Note for pentesters: Section 72A is especially relevant — as a tester you will routinely access confidential client data. Disclosing it without authorisation is itself a punishable offence, which is exactly why a Non-Disclosure Agreement (NDA) is mandatory on every engagement.</w:t>
      </w:r>
    </w:p>
    <w:p>
      <w:pPr>
        <w:pStyle w:val="Heading2"/>
        <w:spacing w:after="160" w:before="320"/>
      </w:pPr>
      <w:r>
        <w:rPr>
          <w:b/>
          <w:bCs/>
          <w:color w:val="1F3864"/>
          <w:sz w:val="28"/>
          <w:szCs w:val="28"/>
        </w:rPr>
        <w:t xml:space="preserve">1.7 Before You Ever Touch a System</w:t>
      </w:r>
    </w:p>
    <w:p>
      <w:pPr>
        <w:spacing w:after="160" w:line="300"/>
      </w:pPr>
      <w:r>
        <w:rPr>
          <w:rFonts w:ascii="Calibri" w:cs="Calibri" w:eastAsia="Calibri" w:hAnsi="Calibri"/>
          <w:color w:val="222222"/>
          <w:sz w:val="22"/>
          <w:szCs w:val="22"/>
        </w:rPr>
        <w:t xml:space="preserve">A professional penetration test always begins with paperwork, not with a scan. Four documents make the difference between a legal engagement and a crime:</w:t>
      </w:r>
    </w:p>
    <w:p>
      <w:pPr>
        <w:pStyle w:val="ListParagraph"/>
        <w:numPr>
          <w:ilvl w:val="0"/>
          <w:numId w:val="2"/>
        </w:numPr>
        <w:spacing w:after="90" w:line="290"/>
      </w:pPr>
      <w:r>
        <w:rPr>
          <w:rFonts w:ascii="Calibri" w:cs="Calibri" w:eastAsia="Calibri" w:hAnsi="Calibri"/>
          <w:color w:val="222222"/>
          <w:sz w:val="22"/>
          <w:szCs w:val="22"/>
        </w:rPr>
        <w:t xml:space="preserve">Written Authorisation — a signed document that explicitly permits testing. This is the single legal line between ethical hacking and an offence under Sections 43/66.</w:t>
      </w:r>
    </w:p>
    <w:p>
      <w:pPr>
        <w:pStyle w:val="ListParagraph"/>
        <w:numPr>
          <w:ilvl w:val="0"/>
          <w:numId w:val="2"/>
        </w:numPr>
        <w:spacing w:after="90" w:line="290"/>
      </w:pPr>
      <w:r>
        <w:rPr>
          <w:rFonts w:ascii="Calibri" w:cs="Calibri" w:eastAsia="Calibri" w:hAnsi="Calibri"/>
          <w:color w:val="222222"/>
          <w:sz w:val="22"/>
          <w:szCs w:val="22"/>
        </w:rPr>
        <w:t xml:space="preserve">Rules of Engagement (RoE) — defines the testing window, allowed techniques, emergency contacts, and escalation steps if something goes wrong.</w:t>
      </w:r>
    </w:p>
    <w:p>
      <w:pPr>
        <w:pStyle w:val="ListParagraph"/>
        <w:numPr>
          <w:ilvl w:val="0"/>
          <w:numId w:val="2"/>
        </w:numPr>
        <w:spacing w:after="90" w:line="290"/>
      </w:pPr>
      <w:r>
        <w:rPr>
          <w:rFonts w:ascii="Calibri" w:cs="Calibri" w:eastAsia="Calibri" w:hAnsi="Calibri"/>
          <w:color w:val="222222"/>
          <w:sz w:val="22"/>
          <w:szCs w:val="22"/>
        </w:rPr>
        <w:t xml:space="preserve">Non-Disclosure Agreement (NDA) — legally binds the tester to keep any data, vulnerability, or credential found during the test confidential.</w:t>
      </w:r>
    </w:p>
    <w:p>
      <w:pPr>
        <w:pStyle w:val="ListParagraph"/>
        <w:numPr>
          <w:ilvl w:val="0"/>
          <w:numId w:val="2"/>
        </w:numPr>
        <w:spacing w:after="90" w:line="290"/>
      </w:pPr>
      <w:r>
        <w:rPr>
          <w:rFonts w:ascii="Calibri" w:cs="Calibri" w:eastAsia="Calibri" w:hAnsi="Calibri"/>
          <w:color w:val="222222"/>
          <w:sz w:val="22"/>
          <w:szCs w:val="22"/>
        </w:rPr>
        <w:t xml:space="preserve">Scope Definition — a precise list of in-scope IPs, domains, and applications, and an explicit list of what is off-limits.</w:t>
      </w:r>
    </w:p>
    <w:p>
      <w:pPr>
        <w:spacing w:after="100"/>
      </w:pPr>
    </w:p>
    <w:tbl>
      <w:tblPr>
        <w:tblW w:type="pct" w:w="100%"/>
        <w:tblBorders>
          <w:top w:val="single" w:color="0E7C7B" w:sz="4"/>
          <w:left w:val="single" w:color="0E7C7B" w:sz="4"/>
          <w:bottom w:val="single" w:color="0E7C7B" w:sz="4"/>
          <w:right w:val="single" w:color="0E7C7B" w:sz="4"/>
          <w:insideH w:val="none" w:color="FFFFFF" w:sz="0"/>
          <w:insideV w:val="none" w:color="FFFFFF" w:sz="0"/>
        </w:tblBorders>
      </w:tblPr>
      <w:tblGrid>
        <w:gridCol w:w="100"/>
      </w:tblGrid>
      <w:tr>
        <w:tc>
          <w:tcPr>
            <w:shd w:fill="EEF3F7" w:val="clear"/>
            <w:tcMar>
              <w:top w:type="dxa" w:w="160"/>
              <w:left w:type="dxa" w:w="200"/>
              <w:bottom w:type="dxa" w:w="160"/>
              <w:right w:type="dxa" w:w="200"/>
            </w:tcMar>
          </w:tcPr>
          <w:p>
            <w:pPr>
              <w:spacing w:after="80"/>
            </w:pPr>
            <w:r>
              <w:rPr>
                <w:rFonts w:ascii="Calibri" w:cs="Calibri" w:eastAsia="Calibri" w:hAnsi="Calibri"/>
                <w:b/>
                <w:bCs/>
                <w:color w:val="0E7C7B"/>
                <w:sz w:val="21"/>
                <w:szCs w:val="21"/>
              </w:rPr>
              <w:t xml:space="preserve">■ Authorisation flow before testing</w:t>
            </w:r>
          </w:p>
          <w:p>
            <w:pPr>
              <w:spacing w:after="0"/>
            </w:pPr>
            <w:r>
              <w:rPr>
                <w:rFonts w:ascii="Consolas" w:cs="Consolas" w:eastAsia="Consolas" w:hAnsi="Consolas"/>
                <w:color w:val="222222"/>
                <w:sz w:val="21"/>
                <w:szCs w:val="21"/>
              </w:rPr>
              <w:t xml:space="preserve">Client Request  →  Scope Agreed  →  RoE + NDA Signed  →  Written Authorisation  →  Testing Begins</w:t>
            </w:r>
          </w:p>
        </w:tc>
      </w:tr>
    </w:tbl>
    <w:p>
      <w:pPr>
        <w:spacing w:after="180"/>
      </w:pPr>
    </w:p>
    <w:p>
      <w:pPr>
        <w:pStyle w:val="Heading2"/>
        <w:spacing w:after="160" w:before="320"/>
      </w:pPr>
      <w:r>
        <w:rPr>
          <w:b/>
          <w:bCs/>
          <w:color w:val="1F3864"/>
          <w:sz w:val="28"/>
          <w:szCs w:val="28"/>
        </w:rPr>
        <w:t xml:space="preserve">1.8 Testing Without Permission: The Consequences</w:t>
      </w:r>
    </w:p>
    <w:p>
      <w:pPr>
        <w:spacing w:after="160" w:line="300"/>
      </w:pPr>
      <w:r>
        <w:rPr>
          <w:rFonts w:ascii="Calibri" w:cs="Calibri" w:eastAsia="Calibri" w:hAnsi="Calibri"/>
          <w:color w:val="222222"/>
          <w:sz w:val="22"/>
          <w:szCs w:val="22"/>
        </w:rPr>
        <w:t xml:space="preserve">Even a single, seemingly harmless scan of a system you do not own and have no written permission for is a criminal offence in India. Good intentions do not matter under the law.</w:t>
      </w:r>
    </w:p>
    <w:p>
      <w:pPr>
        <w:pStyle w:val="ListParagraph"/>
        <w:numPr>
          <w:ilvl w:val="0"/>
          <w:numId w:val="2"/>
        </w:numPr>
        <w:spacing w:after="90" w:line="290"/>
      </w:pPr>
      <w:r>
        <w:rPr>
          <w:rFonts w:ascii="Calibri" w:cs="Calibri" w:eastAsia="Calibri" w:hAnsi="Calibri"/>
          <w:color w:val="222222"/>
          <w:sz w:val="22"/>
          <w:szCs w:val="22"/>
        </w:rPr>
        <w:t xml:space="preserve">Criminal liability — prosecution under Sections 43/66/66B/66C, with jail time and fines.</w:t>
      </w:r>
    </w:p>
    <w:p>
      <w:pPr>
        <w:pStyle w:val="ListParagraph"/>
        <w:numPr>
          <w:ilvl w:val="0"/>
          <w:numId w:val="2"/>
        </w:numPr>
        <w:spacing w:after="90" w:line="290"/>
      </w:pPr>
      <w:r>
        <w:rPr>
          <w:rFonts w:ascii="Calibri" w:cs="Calibri" w:eastAsia="Calibri" w:hAnsi="Calibri"/>
          <w:color w:val="222222"/>
          <w:sz w:val="22"/>
          <w:szCs w:val="22"/>
        </w:rPr>
        <w:t xml:space="preserve">Civil compensation — the victim organisation can claim damages for downtime or data loss.</w:t>
      </w:r>
    </w:p>
    <w:p>
      <w:pPr>
        <w:pStyle w:val="ListParagraph"/>
        <w:numPr>
          <w:ilvl w:val="0"/>
          <w:numId w:val="2"/>
        </w:numPr>
        <w:spacing w:after="90" w:line="290"/>
      </w:pPr>
      <w:r>
        <w:rPr>
          <w:rFonts w:ascii="Calibri" w:cs="Calibri" w:eastAsia="Calibri" w:hAnsi="Calibri"/>
          <w:color w:val="222222"/>
          <w:sz w:val="22"/>
          <w:szCs w:val="22"/>
        </w:rPr>
        <w:t xml:space="preserve">Career and reputation loss — a conviction can bar you from future security, government, or regulated jobs.</w:t>
      </w:r>
    </w:p>
    <w:p>
      <w:pPr>
        <w:pStyle w:val="ListParagraph"/>
        <w:numPr>
          <w:ilvl w:val="0"/>
          <w:numId w:val="2"/>
        </w:numPr>
        <w:spacing w:after="90" w:line="290"/>
      </w:pPr>
      <w:r>
        <w:rPr>
          <w:rFonts w:ascii="Calibri" w:cs="Calibri" w:eastAsia="Calibri" w:hAnsi="Calibri"/>
          <w:color w:val="222222"/>
          <w:sz w:val="22"/>
          <w:szCs w:val="22"/>
        </w:rPr>
        <w:t xml:space="preserve">No "good intent" defence — a grey-hat excuse like "I was just trying to help" carries no legal weight without written authorisation.</w:t>
      </w:r>
    </w:p>
    <w:p>
      <w:pPr>
        <w:spacing w:after="100"/>
      </w:pPr>
    </w:p>
    <w:p>
      <w:pPr>
        <w:pStyle w:val="Heading2"/>
        <w:spacing w:after="160" w:before="320"/>
      </w:pPr>
      <w:r>
        <w:rPr>
          <w:b/>
          <w:bCs/>
          <w:color w:val="1F3864"/>
          <w:sz w:val="28"/>
          <w:szCs w:val="28"/>
        </w:rPr>
        <w:t xml:space="preserve">1.9 The 5 Phases of Ethical Hacking</w:t>
      </w:r>
    </w:p>
    <w:p>
      <w:pPr>
        <w:spacing w:after="160" w:line="300"/>
      </w:pPr>
      <w:r>
        <w:rPr>
          <w:rFonts w:ascii="Calibri" w:cs="Calibri" w:eastAsia="Calibri" w:hAnsi="Calibri"/>
          <w:color w:val="222222"/>
          <w:sz w:val="22"/>
          <w:szCs w:val="22"/>
        </w:rPr>
        <w:t xml:space="preserve">Every intrusion — real or simulated — generally follows the same five-step sequence. The difference between an attacker and an ethical hacker is authorisation and intent at every step, not the steps themselves.</w:t>
      </w:r>
    </w:p>
    <w:tbl>
      <w:tblPr>
        <w:tblW w:type="pct" w:w="100%"/>
        <w:tblBorders>
          <w:top w:val="single" w:color="0E7C7B" w:sz="4"/>
          <w:left w:val="single" w:color="0E7C7B" w:sz="4"/>
          <w:bottom w:val="single" w:color="0E7C7B" w:sz="4"/>
          <w:right w:val="single" w:color="0E7C7B" w:sz="4"/>
          <w:insideH w:val="none" w:color="FFFFFF" w:sz="0"/>
          <w:insideV w:val="none" w:color="FFFFFF" w:sz="0"/>
        </w:tblBorders>
      </w:tblPr>
      <w:tblGrid>
        <w:gridCol w:w="100"/>
      </w:tblGrid>
      <w:tr>
        <w:tc>
          <w:tcPr>
            <w:shd w:fill="EEF3F7" w:val="clear"/>
            <w:tcMar>
              <w:top w:type="dxa" w:w="160"/>
              <w:left w:type="dxa" w:w="200"/>
              <w:bottom w:type="dxa" w:w="160"/>
              <w:right w:type="dxa" w:w="200"/>
            </w:tcMar>
          </w:tcPr>
          <w:p>
            <w:pPr>
              <w:spacing w:after="80"/>
            </w:pPr>
            <w:r>
              <w:rPr>
                <w:rFonts w:ascii="Calibri" w:cs="Calibri" w:eastAsia="Calibri" w:hAnsi="Calibri"/>
                <w:b/>
                <w:bCs/>
                <w:color w:val="0E7C7B"/>
                <w:sz w:val="21"/>
                <w:szCs w:val="21"/>
              </w:rPr>
              <w:t xml:space="preserve">■ The 5 phases</w:t>
            </w:r>
          </w:p>
          <w:p>
            <w:pPr>
              <w:spacing w:after="0"/>
            </w:pPr>
            <w:r>
              <w:rPr>
                <w:rFonts w:ascii="Consolas" w:cs="Consolas" w:eastAsia="Consolas" w:hAnsi="Consolas"/>
                <w:color w:val="222222"/>
                <w:sz w:val="21"/>
                <w:szCs w:val="21"/>
              </w:rPr>
              <w:t xml:space="preserve">1. Reconnaissance  →  2. Scanning &amp; Enumeration  →  3. Gaining Access  →  4. Maintaining Access  →  5. Covering Tracks</w:t>
            </w:r>
          </w:p>
        </w:tc>
      </w:tr>
    </w:tbl>
    <w:p>
      <w:pPr>
        <w:spacing w:after="180"/>
      </w:pP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3120"/>
        <w:gridCol w:w="3120"/>
        <w:gridCol w:w="3120"/>
      </w:tblGrid>
      <w:tr>
        <w:trPr>
          <w:cantSplit/>
          <w:tblHeader/>
        </w:trPr>
        <w:tc>
          <w:tcPr>
            <w:tcW w:type="dxa" w:w="312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Phase</w:t>
            </w:r>
          </w:p>
        </w:tc>
        <w:tc>
          <w:tcPr>
            <w:tcW w:type="dxa" w:w="312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What Happens</w:t>
            </w:r>
          </w:p>
        </w:tc>
        <w:tc>
          <w:tcPr>
            <w:tcW w:type="dxa" w:w="312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Real-World Example</w:t>
            </w:r>
          </w:p>
        </w:tc>
      </w:tr>
      <w:tr>
        <w:trPr>
          <w:cantSplit/>
        </w:trPr>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1. Reconnaissance</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Gathering information about the target passively (OSINT, WHOIS, LinkedIn) and actively (ping sweeps), without yet attacking anything.</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In the 2013 Target breach, attackers first harvested credentials from a third-party HVAC vendor through OSINT and phishing — recon that made the later breach possible.</w:t>
            </w:r>
          </w:p>
        </w:tc>
      </w:tr>
      <w:tr>
        <w:trPr>
          <w:cantSplit/>
        </w:trPr>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2. Scanning &amp; Enumeration</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Actively probing live systems to find open ports, running services, and known vulnerabilities.</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In the WannaCry outbreak, attackers scanned the internet for hosts with the SMBv1 port open, identifying hundreds of thousands of vulnerable machines at once.</w:t>
            </w:r>
          </w:p>
        </w:tc>
      </w:tr>
      <w:tr>
        <w:trPr>
          <w:cantSplit/>
        </w:trPr>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3. Gaining Access</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Exploiting a found weakness — an unpatched service, a weak password, a vulnerable web form — to get an initial foothold.</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Equifax breach (2017) began when attackers exploited an unpatched Apache Struts vulnerability (CVE-2017-5638) in a public web application.</w:t>
            </w:r>
          </w:p>
        </w:tc>
      </w:tr>
      <w:tr>
        <w:trPr>
          <w:cantSplit/>
        </w:trPr>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4. Maintaining Access</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Installing backdoors or creating new accounts so the attacker can come back later without repeating the earlier steps.</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APT groups such as APT29 ("Cozy Bear") install custom malware with several persistence methods, staying hidden inside networks for months.</w:t>
            </w:r>
          </w:p>
        </w:tc>
      </w:tr>
      <w:tr>
        <w:trPr>
          <w:cantSplit/>
        </w:trPr>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5. Covering Tracks</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Erasing or editing logs to hide evidence of the activity. Ethical hackers only report this phase in writing — they never actually destroy client evidence.</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In the 2014 Sony Pictures hack, attackers used wiping malware to destroy logs and disk data after stealing information, making forensic investigation harder.</w:t>
            </w:r>
          </w:p>
        </w:tc>
      </w:tr>
    </w:tbl>
    <w:p>
      <w:pPr>
        <w:spacing w:after="180"/>
      </w:pPr>
    </w:p>
    <w:p>
      <w:pPr>
        <w:pStyle w:val="Heading2"/>
        <w:spacing w:after="160" w:before="320"/>
      </w:pPr>
      <w:r>
        <w:rPr>
          <w:b/>
          <w:bCs/>
          <w:color w:val="1F3864"/>
          <w:sz w:val="28"/>
          <w:szCs w:val="28"/>
        </w:rPr>
        <w:t xml:space="preserve">1.10 The Cyber Kill Chain</w:t>
      </w:r>
    </w:p>
    <w:p>
      <w:pPr>
        <w:spacing w:after="160" w:line="300"/>
      </w:pPr>
      <w:r>
        <w:rPr>
          <w:rFonts w:ascii="Calibri" w:cs="Calibri" w:eastAsia="Calibri" w:hAnsi="Calibri"/>
          <w:color w:val="222222"/>
          <w:sz w:val="22"/>
          <w:szCs w:val="22"/>
        </w:rPr>
        <w:t xml:space="preserve">The Cyber Kill Chain, developed by Lockheed Martin, breaks an intrusion into seven stages. The key defensive idea is this: an attacker must succeed at every stage, but a defender only needs to break one link to stop the whole attack.</w:t>
      </w:r>
    </w:p>
    <w:tbl>
      <w:tblPr>
        <w:tblW w:type="pct" w:w="100%"/>
        <w:tblBorders>
          <w:top w:val="single" w:color="0E7C7B" w:sz="4"/>
          <w:left w:val="single" w:color="0E7C7B" w:sz="4"/>
          <w:bottom w:val="single" w:color="0E7C7B" w:sz="4"/>
          <w:right w:val="single" w:color="0E7C7B" w:sz="4"/>
          <w:insideH w:val="none" w:color="FFFFFF" w:sz="0"/>
          <w:insideV w:val="none" w:color="FFFFFF" w:sz="0"/>
        </w:tblBorders>
      </w:tblPr>
      <w:tblGrid>
        <w:gridCol w:w="100"/>
      </w:tblGrid>
      <w:tr>
        <w:tc>
          <w:tcPr>
            <w:shd w:fill="EEF3F7" w:val="clear"/>
            <w:tcMar>
              <w:top w:type="dxa" w:w="160"/>
              <w:left w:type="dxa" w:w="200"/>
              <w:bottom w:type="dxa" w:w="160"/>
              <w:right w:type="dxa" w:w="200"/>
            </w:tcMar>
          </w:tcPr>
          <w:p>
            <w:pPr>
              <w:spacing w:after="80"/>
            </w:pPr>
            <w:r>
              <w:rPr>
                <w:rFonts w:ascii="Calibri" w:cs="Calibri" w:eastAsia="Calibri" w:hAnsi="Calibri"/>
                <w:b/>
                <w:bCs/>
                <w:color w:val="0E7C7B"/>
                <w:sz w:val="21"/>
                <w:szCs w:val="21"/>
              </w:rPr>
              <w:t xml:space="preserve">■ 7 stages of the Cyber Kill Chain</w:t>
            </w:r>
          </w:p>
          <w:p>
            <w:pPr>
              <w:spacing w:after="0"/>
            </w:pPr>
            <w:r>
              <w:rPr>
                <w:rFonts w:ascii="Consolas" w:cs="Consolas" w:eastAsia="Consolas" w:hAnsi="Consolas"/>
                <w:color w:val="222222"/>
                <w:sz w:val="21"/>
                <w:szCs w:val="21"/>
              </w:rPr>
              <w:t xml:space="preserve">Reconnaissance → Weaponization → Delivery → Exploitation → Installation → Command &amp; Control → Actions on Objectives</w:t>
            </w:r>
          </w:p>
        </w:tc>
      </w:tr>
    </w:tbl>
    <w:p>
      <w:pPr>
        <w:spacing w:after="180"/>
      </w:pP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3120"/>
        <w:gridCol w:w="3120"/>
        <w:gridCol w:w="3120"/>
      </w:tblGrid>
      <w:tr>
        <w:trPr>
          <w:cantSplit/>
          <w:tblHeader/>
        </w:trPr>
        <w:tc>
          <w:tcPr>
            <w:tcW w:type="dxa" w:w="312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Kill Chain Stage</w:t>
            </w:r>
          </w:p>
        </w:tc>
        <w:tc>
          <w:tcPr>
            <w:tcW w:type="dxa" w:w="312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Matching Pentest Phase</w:t>
            </w:r>
          </w:p>
        </w:tc>
        <w:tc>
          <w:tcPr>
            <w:tcW w:type="dxa" w:w="312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How Defenders Respond</w:t>
            </w:r>
          </w:p>
        </w:tc>
      </w:tr>
      <w:tr>
        <w:trPr>
          <w:cantSplit/>
        </w:trPr>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Reconnaissance</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Reconnaissance</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Monitor OSINT exposure, limit public data leakage</w:t>
            </w:r>
          </w:p>
        </w:tc>
      </w:tr>
      <w:tr>
        <w:trPr>
          <w:cantSplit/>
        </w:trPr>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Weaponization</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Scanning &amp; Enumeration (prep)</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Threat intelligence on exploit kits, patch known CVEs</w:t>
            </w:r>
          </w:p>
        </w:tc>
      </w:tr>
      <w:tr>
        <w:trPr>
          <w:cantSplit/>
        </w:trPr>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Delivery</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Gaining Access (initial vector)</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Email filtering, web application firewalls</w:t>
            </w:r>
          </w:p>
        </w:tc>
      </w:tr>
      <w:tr>
        <w:trPr>
          <w:cantSplit/>
        </w:trPr>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Exploitation</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Gaining Access</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Intrusion detection/prevention, endpoint detection</w:t>
            </w:r>
          </w:p>
        </w:tc>
      </w:tr>
      <w:tr>
        <w:trPr>
          <w:cantSplit/>
        </w:trPr>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Installation</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Maintaining Access</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Antivirus/EDR, application allow-listing</w:t>
            </w:r>
          </w:p>
        </w:tc>
      </w:tr>
      <w:tr>
        <w:trPr>
          <w:cantSplit/>
        </w:trPr>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Command &amp; Control</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Maintaining Access</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Network egress filtering, DNS monitoring</w:t>
            </w:r>
          </w:p>
        </w:tc>
      </w:tr>
      <w:tr>
        <w:trPr>
          <w:cantSplit/>
        </w:trPr>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Actions on Objectives</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Covering Tracks (post-objective)</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Data loss prevention, log integrity monitoring</w:t>
            </w:r>
          </w:p>
        </w:tc>
      </w:tr>
    </w:tbl>
    <w:p>
      <w:pPr>
        <w:spacing w:after="180"/>
      </w:pPr>
    </w:p>
    <w:p>
      <w:pPr>
        <w:pStyle w:val="Heading2"/>
        <w:spacing w:after="160" w:before="320"/>
      </w:pPr>
      <w:r>
        <w:rPr>
          <w:b/>
          <w:bCs/>
          <w:color w:val="1F3864"/>
          <w:sz w:val="28"/>
          <w:szCs w:val="28"/>
        </w:rPr>
        <w:t xml:space="preserve">1.11 Red Team vs. Blue Team vs. Purple Team</w:t>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3120"/>
        <w:gridCol w:w="3120"/>
        <w:gridCol w:w="3120"/>
      </w:tblGrid>
      <w:tr>
        <w:trPr>
          <w:cantSplit/>
          <w:tblHeader/>
        </w:trPr>
        <w:tc>
          <w:tcPr>
            <w:tcW w:type="dxa" w:w="312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Team</w:t>
            </w:r>
          </w:p>
        </w:tc>
        <w:tc>
          <w:tcPr>
            <w:tcW w:type="dxa" w:w="312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Role</w:t>
            </w:r>
          </w:p>
        </w:tc>
        <w:tc>
          <w:tcPr>
            <w:tcW w:type="dxa" w:w="312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r>
      <w:tr>
        <w:trPr>
          <w:cantSplit/>
        </w:trPr>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Red Team</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Offensive</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Simulates a real adversary with stealthy, objective-driven attacks, to test how well detection and response work — often without the defenders knowing in advance.</w:t>
            </w:r>
          </w:p>
        </w:tc>
      </w:tr>
      <w:tr>
        <w:trPr>
          <w:cantSplit/>
        </w:trPr>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Blue Team</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Defensive</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Monitors, detects, and responds to intrusions. Owns the Security Operations Centre (SOC), incident response, and system hardening.</w:t>
            </w:r>
          </w:p>
        </w:tc>
      </w:tr>
      <w:tr>
        <w:trPr>
          <w:cantSplit/>
        </w:trPr>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Purple Team</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Collaborative</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bridge between red and blue: attack techniques are shared in real time so any detection gap is closed immediately, instead of only reported later.</w:t>
            </w:r>
          </w:p>
        </w:tc>
      </w:tr>
    </w:tbl>
    <w:p>
      <w:pPr>
        <w:spacing w:after="180"/>
      </w:pPr>
    </w:p>
    <w:p>
      <w:pPr>
        <w:pStyle w:val="Heading2"/>
        <w:spacing w:after="160" w:before="320"/>
      </w:pPr>
      <w:r>
        <w:rPr>
          <w:b/>
          <w:bCs/>
          <w:color w:val="1F3864"/>
          <w:sz w:val="28"/>
          <w:szCs w:val="28"/>
        </w:rPr>
        <w:t xml:space="preserve">1.12 VAPT vs. Penetration Test vs. Vulnerability Assessment</w:t>
      </w:r>
    </w:p>
    <w:p>
      <w:pPr>
        <w:spacing w:after="160" w:line="300"/>
      </w:pPr>
      <w:r>
        <w:rPr>
          <w:rFonts w:ascii="Calibri" w:cs="Calibri" w:eastAsia="Calibri" w:hAnsi="Calibri"/>
          <w:color w:val="222222"/>
          <w:sz w:val="22"/>
          <w:szCs w:val="22"/>
        </w:rPr>
        <w:t xml:space="preserve">These three terms are often confused. The table below shows how they differ.</w:t>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2340"/>
        <w:gridCol w:w="2340"/>
        <w:gridCol w:w="2340"/>
        <w:gridCol w:w="2340"/>
      </w:tblGrid>
      <w:tr>
        <w:trPr>
          <w:cantSplit/>
          <w:tblHeader/>
        </w:trPr>
        <w:tc>
          <w:tcPr>
            <w:tcW w:type="dxa" w:w="234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Aspect</w:t>
            </w:r>
          </w:p>
        </w:tc>
        <w:tc>
          <w:tcPr>
            <w:tcW w:type="dxa" w:w="234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Vulnerability Assessment</w:t>
            </w:r>
          </w:p>
        </w:tc>
        <w:tc>
          <w:tcPr>
            <w:tcW w:type="dxa" w:w="234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Penetration Test</w:t>
            </w:r>
          </w:p>
        </w:tc>
        <w:tc>
          <w:tcPr>
            <w:tcW w:type="dxa" w:w="234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VAPT (Combined)</w:t>
            </w:r>
          </w:p>
        </w:tc>
      </w:tr>
      <w:tr>
        <w:trPr>
          <w:cantSplit/>
        </w:trPr>
        <w:tc>
          <w:tcPr>
            <w:tcW w:type="dxa" w:w="234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Goal</w:t>
            </w:r>
          </w:p>
        </w:tc>
        <w:tc>
          <w:tcPr>
            <w:tcW w:type="dxa" w:w="234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Identify and list weaknesses</w:t>
            </w:r>
          </w:p>
        </w:tc>
        <w:tc>
          <w:tcPr>
            <w:tcW w:type="dxa" w:w="234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Exploit weaknesses to prove real impact</w:t>
            </w:r>
          </w:p>
        </w:tc>
        <w:tc>
          <w:tcPr>
            <w:tcW w:type="dxa" w:w="234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Both — identify and exploit</w:t>
            </w:r>
          </w:p>
        </w:tc>
      </w:tr>
      <w:tr>
        <w:trPr>
          <w:cantSplit/>
        </w:trPr>
        <w:tc>
          <w:tcPr>
            <w:tcW w:type="dxa" w:w="234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Depth</w:t>
            </w:r>
          </w:p>
        </w:tc>
        <w:tc>
          <w:tcPr>
            <w:tcW w:type="dxa" w:w="234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Automated scanning, broad coverage</w:t>
            </w:r>
          </w:p>
        </w:tc>
        <w:tc>
          <w:tcPr>
            <w:tcW w:type="dxa" w:w="234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Manual, targeted, deep testing</w:t>
            </w:r>
          </w:p>
        </w:tc>
        <w:tc>
          <w:tcPr>
            <w:tcW w:type="dxa" w:w="234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Breadth plus depth</w:t>
            </w:r>
          </w:p>
        </w:tc>
      </w:tr>
      <w:tr>
        <w:trPr>
          <w:cantSplit/>
        </w:trPr>
        <w:tc>
          <w:tcPr>
            <w:tcW w:type="dxa" w:w="234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Exploitation</w:t>
            </w:r>
          </w:p>
        </w:tc>
        <w:tc>
          <w:tcPr>
            <w:tcW w:type="dxa" w:w="234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None attempted</w:t>
            </w:r>
          </w:p>
        </w:tc>
        <w:tc>
          <w:tcPr>
            <w:tcW w:type="dxa" w:w="234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Active exploitation of findings</w:t>
            </w:r>
          </w:p>
        </w:tc>
        <w:tc>
          <w:tcPr>
            <w:tcW w:type="dxa" w:w="234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Exploitation of the most important findings</w:t>
            </w:r>
          </w:p>
        </w:tc>
      </w:tr>
      <w:tr>
        <w:trPr>
          <w:cantSplit/>
        </w:trPr>
        <w:tc>
          <w:tcPr>
            <w:tcW w:type="dxa" w:w="234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Output</w:t>
            </w:r>
          </w:p>
        </w:tc>
        <w:tc>
          <w:tcPr>
            <w:tcW w:type="dxa" w:w="234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List of CVEs / risk scores</w:t>
            </w:r>
          </w:p>
        </w:tc>
        <w:tc>
          <w:tcPr>
            <w:tcW w:type="dxa" w:w="234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Proof-of-concept plus business impact</w:t>
            </w:r>
          </w:p>
        </w:tc>
        <w:tc>
          <w:tcPr>
            <w:tcW w:type="dxa" w:w="234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comprehensive risk and exploit report</w:t>
            </w:r>
          </w:p>
        </w:tc>
      </w:tr>
      <w:tr>
        <w:trPr>
          <w:cantSplit/>
        </w:trPr>
        <w:tc>
          <w:tcPr>
            <w:tcW w:type="dxa" w:w="234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Typical duration</w:t>
            </w:r>
          </w:p>
        </w:tc>
        <w:tc>
          <w:tcPr>
            <w:tcW w:type="dxa" w:w="234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Hours to a day</w:t>
            </w:r>
          </w:p>
        </w:tc>
        <w:tc>
          <w:tcPr>
            <w:tcW w:type="dxa" w:w="234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1–4 weeks</w:t>
            </w:r>
          </w:p>
        </w:tc>
        <w:tc>
          <w:tcPr>
            <w:tcW w:type="dxa" w:w="234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2–4 weeks</w:t>
            </w:r>
          </w:p>
        </w:tc>
      </w:tr>
    </w:tbl>
    <w:p>
      <w:pPr>
        <w:spacing w:after="180"/>
      </w:pPr>
    </w:p>
    <w:p>
      <w:pPr>
        <w:pStyle w:val="Heading2"/>
        <w:spacing w:after="160" w:before="320"/>
      </w:pPr>
      <w:r>
        <w:rPr>
          <w:b/>
          <w:bCs/>
          <w:color w:val="1F3864"/>
          <w:sz w:val="28"/>
          <w:szCs w:val="28"/>
        </w:rPr>
        <w:t xml:space="preserve">1.13 Introduction to PTES and the OWASP Testing Guide</w:t>
      </w:r>
    </w:p>
    <w:p>
      <w:pPr>
        <w:spacing w:after="160" w:line="300"/>
      </w:pPr>
      <w:r>
        <w:rPr>
          <w:rFonts w:ascii="Calibri" w:cs="Calibri" w:eastAsia="Calibri" w:hAnsi="Calibri"/>
          <w:color w:val="222222"/>
          <w:sz w:val="22"/>
          <w:szCs w:val="22"/>
        </w:rPr>
        <w:t xml:space="preserve">Professional testers do not work randomly — they follow a recognised methodology so nothing important gets missed, and so the client can trust the process.</w:t>
      </w:r>
    </w:p>
    <w:p>
      <w:pPr>
        <w:pStyle w:val="Heading3"/>
        <w:spacing w:after="120" w:before="240"/>
      </w:pPr>
      <w:r>
        <w:rPr>
          <w:b/>
          <w:bCs/>
          <w:color w:val="0E7C7B"/>
          <w:sz w:val="24"/>
          <w:szCs w:val="24"/>
        </w:rPr>
        <w:t xml:space="preserve">Penetration Testing Execution Standard (PTES)</w:t>
      </w:r>
    </w:p>
    <w:p>
      <w:pPr>
        <w:spacing w:after="160" w:line="300"/>
      </w:pPr>
      <w:r>
        <w:rPr>
          <w:rFonts w:ascii="Calibri" w:cs="Calibri" w:eastAsia="Calibri" w:hAnsi="Calibri"/>
          <w:color w:val="222222"/>
          <w:sz w:val="22"/>
          <w:szCs w:val="22"/>
        </w:rPr>
        <w:t xml:space="preserve">PTES defines what a professional penetration test should include, end to end, in seven stages:</w:t>
      </w:r>
    </w:p>
    <w:p>
      <w:pPr>
        <w:pStyle w:val="ListParagraph"/>
        <w:numPr>
          <w:ilvl w:val="0"/>
          <w:numId w:val="2"/>
        </w:numPr>
        <w:spacing w:after="90" w:line="290"/>
      </w:pPr>
      <w:r>
        <w:rPr>
          <w:rFonts w:ascii="Calibri" w:cs="Calibri" w:eastAsia="Calibri" w:hAnsi="Calibri"/>
          <w:color w:val="222222"/>
          <w:sz w:val="22"/>
          <w:szCs w:val="22"/>
        </w:rPr>
        <w:t xml:space="preserve">1. Pre-engagement interactions (scoping, authorisation)</w:t>
      </w:r>
    </w:p>
    <w:p>
      <w:pPr>
        <w:pStyle w:val="ListParagraph"/>
        <w:numPr>
          <w:ilvl w:val="0"/>
          <w:numId w:val="2"/>
        </w:numPr>
        <w:spacing w:after="90" w:line="290"/>
      </w:pPr>
      <w:r>
        <w:rPr>
          <w:rFonts w:ascii="Calibri" w:cs="Calibri" w:eastAsia="Calibri" w:hAnsi="Calibri"/>
          <w:color w:val="222222"/>
          <w:sz w:val="22"/>
          <w:szCs w:val="22"/>
        </w:rPr>
        <w:t xml:space="preserve">2. Intelligence gathering (reconnaissance)</w:t>
      </w:r>
    </w:p>
    <w:p>
      <w:pPr>
        <w:pStyle w:val="ListParagraph"/>
        <w:numPr>
          <w:ilvl w:val="0"/>
          <w:numId w:val="2"/>
        </w:numPr>
        <w:spacing w:after="90" w:line="290"/>
      </w:pPr>
      <w:r>
        <w:rPr>
          <w:rFonts w:ascii="Calibri" w:cs="Calibri" w:eastAsia="Calibri" w:hAnsi="Calibri"/>
          <w:color w:val="222222"/>
          <w:sz w:val="22"/>
          <w:szCs w:val="22"/>
        </w:rPr>
        <w:t xml:space="preserve">3. Threat modelling</w:t>
      </w:r>
    </w:p>
    <w:p>
      <w:pPr>
        <w:pStyle w:val="ListParagraph"/>
        <w:numPr>
          <w:ilvl w:val="0"/>
          <w:numId w:val="2"/>
        </w:numPr>
        <w:spacing w:after="90" w:line="290"/>
      </w:pPr>
      <w:r>
        <w:rPr>
          <w:rFonts w:ascii="Calibri" w:cs="Calibri" w:eastAsia="Calibri" w:hAnsi="Calibri"/>
          <w:color w:val="222222"/>
          <w:sz w:val="22"/>
          <w:szCs w:val="22"/>
        </w:rPr>
        <w:t xml:space="preserve">4. Vulnerability analysis</w:t>
      </w:r>
    </w:p>
    <w:p>
      <w:pPr>
        <w:pStyle w:val="ListParagraph"/>
        <w:numPr>
          <w:ilvl w:val="0"/>
          <w:numId w:val="2"/>
        </w:numPr>
        <w:spacing w:after="90" w:line="290"/>
      </w:pPr>
      <w:r>
        <w:rPr>
          <w:rFonts w:ascii="Calibri" w:cs="Calibri" w:eastAsia="Calibri" w:hAnsi="Calibri"/>
          <w:color w:val="222222"/>
          <w:sz w:val="22"/>
          <w:szCs w:val="22"/>
        </w:rPr>
        <w:t xml:space="preserve">5. Exploitation</w:t>
      </w:r>
    </w:p>
    <w:p>
      <w:pPr>
        <w:pStyle w:val="ListParagraph"/>
        <w:numPr>
          <w:ilvl w:val="0"/>
          <w:numId w:val="2"/>
        </w:numPr>
        <w:spacing w:after="90" w:line="290"/>
      </w:pPr>
      <w:r>
        <w:rPr>
          <w:rFonts w:ascii="Calibri" w:cs="Calibri" w:eastAsia="Calibri" w:hAnsi="Calibri"/>
          <w:color w:val="222222"/>
          <w:sz w:val="22"/>
          <w:szCs w:val="22"/>
        </w:rPr>
        <w:t xml:space="preserve">6. Post-exploitation</w:t>
      </w:r>
    </w:p>
    <w:p>
      <w:pPr>
        <w:pStyle w:val="ListParagraph"/>
        <w:numPr>
          <w:ilvl w:val="0"/>
          <w:numId w:val="2"/>
        </w:numPr>
        <w:spacing w:after="90" w:line="290"/>
      </w:pPr>
      <w:r>
        <w:rPr>
          <w:rFonts w:ascii="Calibri" w:cs="Calibri" w:eastAsia="Calibri" w:hAnsi="Calibri"/>
          <w:color w:val="222222"/>
          <w:sz w:val="22"/>
          <w:szCs w:val="22"/>
        </w:rPr>
        <w:t xml:space="preserve">7. Reporting</w:t>
      </w:r>
    </w:p>
    <w:p>
      <w:pPr>
        <w:spacing w:after="100"/>
      </w:pPr>
    </w:p>
    <w:p>
      <w:pPr>
        <w:pStyle w:val="Heading3"/>
        <w:spacing w:after="120" w:before="240"/>
      </w:pPr>
      <w:r>
        <w:rPr>
          <w:b/>
          <w:bCs/>
          <w:color w:val="0E7C7B"/>
          <w:sz w:val="24"/>
          <w:szCs w:val="24"/>
        </w:rPr>
        <w:t xml:space="preserve">OWASP Testing Guide v4.2</w:t>
      </w:r>
    </w:p>
    <w:p>
      <w:pPr>
        <w:spacing w:after="160" w:line="300"/>
      </w:pPr>
      <w:r>
        <w:rPr>
          <w:rFonts w:ascii="Calibri" w:cs="Calibri" w:eastAsia="Calibri" w:hAnsi="Calibri"/>
          <w:color w:val="222222"/>
          <w:sz w:val="22"/>
          <w:szCs w:val="22"/>
        </w:rPr>
        <w:t xml:space="preserve">The OWASP Web Security Testing Guide (WSTG) is the industry-standard reference for testing web applications in a structured way. It is organised into categories such as information gathering, configuration and deployment management, identity management, authentication testing, authorisation testing, session management, input validation testing, error handling and cryptography, business logic testing, and client-side testing. You will use parts of this guide heavily in Unit IV.</w:t>
      </w:r>
    </w:p>
    <w:p>
      <w:pPr>
        <w:pStyle w:val="Heading2"/>
        <w:spacing w:after="160" w:before="320"/>
      </w:pPr>
      <w:r>
        <w:rPr>
          <w:b/>
          <w:bCs/>
          <w:color w:val="1F3864"/>
          <w:sz w:val="28"/>
          <w:szCs w:val="28"/>
        </w:rPr>
        <w:t xml:space="preserve">1.14 Virtual Lab Setup Overview</w:t>
      </w:r>
    </w:p>
    <w:p>
      <w:pPr>
        <w:spacing w:after="160" w:line="300"/>
      </w:pPr>
      <w:r>
        <w:rPr>
          <w:rFonts w:ascii="Calibri" w:cs="Calibri" w:eastAsia="Calibri" w:hAnsi="Calibri"/>
          <w:color w:val="222222"/>
          <w:sz w:val="22"/>
          <w:szCs w:val="22"/>
        </w:rPr>
        <w:t xml:space="preserve">Before any hands-on module begins, your lab environment must be correctly configured and, most importantly, isolated from any real network.</w:t>
      </w:r>
    </w:p>
    <w:p>
      <w:pPr>
        <w:pStyle w:val="ListParagraph"/>
        <w:numPr>
          <w:ilvl w:val="0"/>
          <w:numId w:val="2"/>
        </w:numPr>
        <w:spacing w:after="90" w:line="290"/>
      </w:pPr>
      <w:r>
        <w:rPr>
          <w:rFonts w:ascii="Calibri" w:cs="Calibri" w:eastAsia="Calibri" w:hAnsi="Calibri"/>
          <w:color w:val="222222"/>
          <w:sz w:val="22"/>
          <w:szCs w:val="22"/>
        </w:rPr>
        <w:t xml:space="preserve">A hypervisor (VirtualBox or VMware Workstation) is installed, with virtualization enabled in the BIOS.</w:t>
      </w:r>
    </w:p>
    <w:p>
      <w:pPr>
        <w:pStyle w:val="ListParagraph"/>
        <w:numPr>
          <w:ilvl w:val="0"/>
          <w:numId w:val="2"/>
        </w:numPr>
        <w:spacing w:after="90" w:line="290"/>
      </w:pPr>
      <w:r>
        <w:rPr>
          <w:rFonts w:ascii="Calibri" w:cs="Calibri" w:eastAsia="Calibri" w:hAnsi="Calibri"/>
          <w:color w:val="222222"/>
          <w:sz w:val="22"/>
          <w:szCs w:val="22"/>
        </w:rPr>
        <w:t xml:space="preserve">Kali Linux is imported as the attacker machine and boots successfully.</w:t>
      </w:r>
    </w:p>
    <w:p>
      <w:pPr>
        <w:pStyle w:val="ListParagraph"/>
        <w:numPr>
          <w:ilvl w:val="0"/>
          <w:numId w:val="2"/>
        </w:numPr>
        <w:spacing w:after="90" w:line="290"/>
      </w:pPr>
      <w:r>
        <w:rPr>
          <w:rFonts w:ascii="Calibri" w:cs="Calibri" w:eastAsia="Calibri" w:hAnsi="Calibri"/>
          <w:color w:val="222222"/>
          <w:sz w:val="22"/>
          <w:szCs w:val="22"/>
        </w:rPr>
        <w:t xml:space="preserve">A vulnerable target machine — Metasploitable 2 and/or DVWA — is imported and running.</w:t>
      </w:r>
    </w:p>
    <w:p>
      <w:pPr>
        <w:pStyle w:val="ListParagraph"/>
        <w:numPr>
          <w:ilvl w:val="0"/>
          <w:numId w:val="2"/>
        </w:numPr>
        <w:spacing w:after="90" w:line="290"/>
      </w:pPr>
      <w:r>
        <w:rPr>
          <w:rFonts w:ascii="Calibri" w:cs="Calibri" w:eastAsia="Calibri" w:hAnsi="Calibri"/>
          <w:color w:val="222222"/>
          <w:sz w:val="22"/>
          <w:szCs w:val="22"/>
        </w:rPr>
        <w:t xml:space="preserve">The network mode is set to Host-Only or Internal Network — never Bridged — so nothing leaks onto a real network.</w:t>
      </w:r>
    </w:p>
    <w:p>
      <w:pPr>
        <w:pStyle w:val="ListParagraph"/>
        <w:numPr>
          <w:ilvl w:val="0"/>
          <w:numId w:val="2"/>
        </w:numPr>
        <w:spacing w:after="90" w:line="290"/>
      </w:pPr>
      <w:r>
        <w:rPr>
          <w:rFonts w:ascii="Calibri" w:cs="Calibri" w:eastAsia="Calibri" w:hAnsi="Calibri"/>
          <w:color w:val="222222"/>
          <w:sz w:val="22"/>
          <w:szCs w:val="22"/>
        </w:rPr>
        <w:t xml:space="preserve">The attacker and target machines can ping each other, and internet access on the target is disabled or restricted.</w:t>
      </w:r>
    </w:p>
    <w:p>
      <w:pPr>
        <w:pStyle w:val="ListParagraph"/>
        <w:numPr>
          <w:ilvl w:val="0"/>
          <w:numId w:val="2"/>
        </w:numPr>
        <w:spacing w:after="90" w:line="290"/>
      </w:pPr>
      <w:r>
        <w:rPr>
          <w:rFonts w:ascii="Calibri" w:cs="Calibri" w:eastAsia="Calibri" w:hAnsi="Calibri"/>
          <w:color w:val="222222"/>
          <w:sz w:val="22"/>
          <w:szCs w:val="22"/>
        </w:rPr>
        <w:t xml:space="preserve">A clean snapshot is taken before beginning any exercise, so you can always reset after practising an attack.</w:t>
      </w:r>
    </w:p>
    <w:p>
      <w:pPr>
        <w:spacing w:after="100"/>
      </w:pPr>
    </w:p>
    <w:tbl>
      <w:tblPr>
        <w:tblW w:type="pct" w:w="100%"/>
        <w:tblBorders>
          <w:top w:val="single" w:color="1E7B45" w:sz="4"/>
          <w:left w:val="single" w:color="1E7B45" w:sz="4"/>
          <w:bottom w:val="single" w:color="1E7B45" w:sz="4"/>
          <w:right w:val="single" w:color="1E7B45" w:sz="4"/>
          <w:insideH w:val="none" w:color="FFFFFF" w:sz="0"/>
          <w:insideV w:val="none" w:color="FFFFFF" w:sz="0"/>
        </w:tblBorders>
      </w:tblPr>
      <w:tblGrid>
        <w:gridCol w:w="100"/>
      </w:tblGrid>
      <w:tr>
        <w:tc>
          <w:tcPr>
            <w:shd w:fill="E9F7EF" w:val="clear"/>
            <w:tcMar>
              <w:top w:type="dxa" w:w="160"/>
              <w:left w:type="dxa" w:w="200"/>
              <w:bottom w:type="dxa" w:w="160"/>
              <w:right w:type="dxa" w:w="200"/>
            </w:tcMar>
          </w:tcPr>
          <w:p>
            <w:pPr>
              <w:spacing w:after="80"/>
            </w:pPr>
            <w:r>
              <w:rPr>
                <w:rFonts w:ascii="Calibri" w:cs="Calibri" w:eastAsia="Calibri" w:hAnsi="Calibri"/>
                <w:b/>
                <w:bCs/>
                <w:color w:val="1E7B45"/>
                <w:sz w:val="21"/>
                <w:szCs w:val="21"/>
              </w:rPr>
              <w:t xml:space="preserve">⚠ Remember</w:t>
            </w:r>
          </w:p>
          <w:p>
            <w:pPr>
              <w:spacing w:after="0"/>
            </w:pPr>
            <w:r>
              <w:rPr>
                <w:rFonts w:ascii="Calibri" w:cs="Calibri" w:eastAsia="Calibri" w:hAnsi="Calibri"/>
                <w:color w:val="222222"/>
                <w:sz w:val="21"/>
                <w:szCs w:val="21"/>
              </w:rPr>
              <w:t xml:space="preserve">Every technique in this subject is taught so you can defend systems, not attack them without permission. Always test only inside your own isolated lab or against a target you are explicitly, legally authorised to test.</w:t>
            </w:r>
          </w:p>
        </w:tc>
      </w:tr>
    </w:tbl>
    <w:p>
      <w:pPr>
        <w:spacing w:after="180"/>
      </w:pPr>
    </w:p>
    <w:p>
      <w:pPr>
        <w:pStyle w:val="Heading1"/>
        <w:pageBreakBefore/>
        <w:pBdr>
          <w:bottom w:val="single" w:color="1F3864" w:sz="12" w:space="4"/>
        </w:pBdr>
        <w:spacing w:after="240" w:before="0"/>
      </w:pPr>
      <w:r>
        <w:rPr>
          <w:b/>
          <w:bCs/>
          <w:color w:val="1F3864"/>
          <w:sz w:val="36"/>
          <w:szCs w:val="36"/>
        </w:rPr>
        <w:t xml:space="preserve">Unit II — Reconnaissance, Scanning &amp; Enumeration</w:t>
      </w:r>
    </w:p>
    <w:p>
      <w:pPr>
        <w:pStyle w:val="Heading2"/>
        <w:spacing w:after="160" w:before="320"/>
      </w:pPr>
      <w:r>
        <w:rPr>
          <w:b/>
          <w:bCs/>
          <w:color w:val="1F3864"/>
          <w:sz w:val="28"/>
          <w:szCs w:val="28"/>
        </w:rPr>
        <w:t xml:space="preserve">2.1 Passive Reconnaissance</w:t>
      </w:r>
    </w:p>
    <w:p>
      <w:pPr>
        <w:spacing w:after="160" w:line="300"/>
      </w:pPr>
      <w:r>
        <w:rPr>
          <w:rFonts w:ascii="Calibri" w:cs="Calibri" w:eastAsia="Calibri" w:hAnsi="Calibri"/>
          <w:color w:val="222222"/>
          <w:sz w:val="22"/>
          <w:szCs w:val="22"/>
        </w:rPr>
        <w:t xml:space="preserve">Passive reconnaissance means gathering information about a target without ever touching its systems directly. No packet is sent to the target, so nothing is logged on their side — you are only reading information that is already public.</w:t>
      </w:r>
    </w:p>
    <w:p>
      <w:pPr>
        <w:pStyle w:val="Heading3"/>
        <w:spacing w:after="120" w:before="240"/>
      </w:pPr>
      <w:r>
        <w:rPr>
          <w:b/>
          <w:bCs/>
          <w:color w:val="0E7C7B"/>
          <w:sz w:val="24"/>
          <w:szCs w:val="24"/>
        </w:rPr>
        <w:t xml:space="preserve">Google Dorking</w:t>
      </w:r>
    </w:p>
    <w:p>
      <w:pPr>
        <w:spacing w:after="160" w:line="300"/>
      </w:pPr>
      <w:r>
        <w:rPr>
          <w:rFonts w:ascii="Calibri" w:cs="Calibri" w:eastAsia="Calibri" w:hAnsi="Calibri"/>
          <w:color w:val="222222"/>
          <w:sz w:val="22"/>
          <w:szCs w:val="22"/>
        </w:rPr>
        <w:t xml:space="preserve">Google dorking means using advanced search operators to find information that is indexed by Google but not meant to be easily found.</w:t>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3120"/>
        <w:gridCol w:w="3120"/>
        <w:gridCol w:w="3120"/>
      </w:tblGrid>
      <w:tr>
        <w:trPr>
          <w:cantSplit/>
          <w:tblHeader/>
        </w:trPr>
        <w:tc>
          <w:tcPr>
            <w:tcW w:type="dxa" w:w="312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Operator</w:t>
            </w:r>
          </w:p>
        </w:tc>
        <w:tc>
          <w:tcPr>
            <w:tcW w:type="dxa" w:w="312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What It Does</w:t>
            </w:r>
          </w:p>
        </w:tc>
        <w:tc>
          <w:tcPr>
            <w:tcW w:type="dxa" w:w="312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Example</w:t>
            </w:r>
          </w:p>
        </w:tc>
      </w:tr>
      <w:tr>
        <w:trPr>
          <w:cantSplit/>
        </w:trPr>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site:</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Restricts results to one domain</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site:target.com inurl:login</w:t>
            </w:r>
          </w:p>
        </w:tc>
      </w:tr>
      <w:tr>
        <w:trPr>
          <w:cantSplit/>
        </w:trPr>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filetype:</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Searches for a specific file extension — often surfaces leaked configs or reports</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site:target.com filetype:xlsx</w:t>
            </w:r>
          </w:p>
        </w:tc>
      </w:tr>
      <w:tr>
        <w:trPr>
          <w:cantSplit/>
        </w:trPr>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intitle:</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Finds pages whose title contains a term</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intitle:"index of" "parent directory"</w:t>
            </w:r>
          </w:p>
        </w:tc>
      </w:tr>
      <w:tr>
        <w:trPr>
          <w:cantSplit/>
        </w:trPr>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inurl:</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Filters by keywords in the URL — useful for finding login or admin pages</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inurl:admin site:target.com</w:t>
            </w:r>
          </w:p>
        </w:tc>
      </w:tr>
      <w:tr>
        <w:trPr>
          <w:cantSplit/>
        </w:trPr>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cache:</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Shows Google's stored snapshot of a page — may reveal removed content</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cache:target.com/old-page.html</w:t>
            </w:r>
          </w:p>
        </w:tc>
      </w:tr>
    </w:tbl>
    <w:p>
      <w:pPr>
        <w:spacing w:after="180"/>
      </w:pPr>
    </w:p>
    <w:p>
      <w:pPr>
        <w:pStyle w:val="Heading3"/>
        <w:spacing w:after="120" w:before="240"/>
      </w:pPr>
      <w:r>
        <w:rPr>
          <w:b/>
          <w:bCs/>
          <w:color w:val="0E7C7B"/>
          <w:sz w:val="24"/>
          <w:szCs w:val="24"/>
        </w:rPr>
        <w:t xml:space="preserve">WHOIS Lookup</w:t>
      </w:r>
    </w:p>
    <w:p>
      <w:pPr>
        <w:spacing w:after="160" w:line="300"/>
      </w:pPr>
      <w:r>
        <w:rPr>
          <w:rFonts w:ascii="Calibri" w:cs="Calibri" w:eastAsia="Calibri" w:hAnsi="Calibri"/>
          <w:color w:val="222222"/>
          <w:sz w:val="22"/>
          <w:szCs w:val="22"/>
        </w:rPr>
        <w:t xml:space="preserve">A WHOIS lookup reveals a domain's registrar, creation and expiry dates, name servers, and — unless privacy-protected — the registrant's contact details. Registrant names and emails can feed into a social-engineering profile, and name servers reveal the hosting/DNS provider. Note that most registrars now mask personal details behind a privacy proxy, so you will often see the proxy's details instead of the real owner.</w:t>
      </w:r>
    </w:p>
    <w:tbl>
      <w:tblPr>
        <w:tblW w:type="pct" w:w="100%"/>
        <w:tblBorders>
          <w:top w:val="single" w:color="888888" w:sz="4"/>
          <w:left w:val="single" w:color="888888" w:sz="4"/>
          <w:bottom w:val="single" w:color="888888" w:sz="4"/>
          <w:right w:val="single" w:color="888888" w:sz="4"/>
          <w:insideH w:val="none" w:color="FFFFFF" w:sz="0"/>
          <w:insideV w:val="none" w:color="FFFFFF" w:sz="0"/>
        </w:tblBorders>
      </w:tblPr>
      <w:tblGrid>
        <w:gridCol w:w="100"/>
      </w:tblGrid>
      <w:tr>
        <w:tc>
          <w:tcPr>
            <w:shd w:fill="F5F5F0" w:val="clear"/>
            <w:tcMar>
              <w:top w:type="dxa" w:w="160"/>
              <w:left w:type="dxa" w:w="200"/>
              <w:bottom w:type="dxa" w:w="160"/>
              <w:right w:type="dxa" w:w="200"/>
            </w:tcMar>
          </w:tcPr>
          <w:p>
            <w:pPr>
              <w:spacing w:after="60"/>
            </w:pPr>
            <w:r>
              <w:rPr>
                <w:rFonts w:ascii="Consolas" w:cs="Consolas" w:eastAsia="Consolas" w:hAnsi="Consolas"/>
                <w:color w:val="222222"/>
                <w:sz w:val="21"/>
                <w:szCs w:val="21"/>
              </w:rPr>
              <w:t xml:space="preserve">whois target.com</w:t>
            </w:r>
          </w:p>
          <w:p>
            <w:pPr>
              <w:spacing w:after="0"/>
            </w:pPr>
            <w:r>
              <w:rPr>
                <w:rFonts w:ascii="Consolas" w:cs="Consolas" w:eastAsia="Consolas" w:hAnsi="Consolas"/>
                <w:color w:val="222222"/>
                <w:sz w:val="21"/>
                <w:szCs w:val="21"/>
              </w:rPr>
              <w:t xml:space="preserve">whois target.com | grep -i "registrar"</w:t>
            </w:r>
          </w:p>
        </w:tc>
      </w:tr>
    </w:tbl>
    <w:p>
      <w:pPr>
        <w:spacing w:after="180"/>
      </w:pPr>
    </w:p>
    <w:p>
      <w:pPr>
        <w:pStyle w:val="Heading3"/>
        <w:spacing w:after="120" w:before="240"/>
      </w:pPr>
      <w:r>
        <w:rPr>
          <w:b/>
          <w:bCs/>
          <w:color w:val="0E7C7B"/>
          <w:sz w:val="24"/>
          <w:szCs w:val="24"/>
        </w:rPr>
        <w:t xml:space="preserve">DNS Record Types and Querying</w:t>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4680"/>
        <w:gridCol w:w="4680"/>
      </w:tblGrid>
      <w:tr>
        <w:trPr>
          <w:cantSplit/>
          <w:tblHeader/>
        </w:trPr>
        <w:tc>
          <w:tcPr>
            <w:tcW w:type="dxa" w:w="468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Record</w:t>
            </w:r>
          </w:p>
        </w:tc>
        <w:tc>
          <w:tcPr>
            <w:tcW w:type="dxa" w:w="468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Reveals</w:t>
            </w:r>
          </w:p>
        </w:tc>
      </w:tr>
      <w:tr>
        <w:trPr>
          <w:cantSplit/>
        </w:trPr>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w:t>
            </w:r>
          </w:p>
        </w:tc>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Maps a hostname to an IPv4 address — the core building block for finding live hosts</w:t>
            </w:r>
          </w:p>
        </w:tc>
      </w:tr>
      <w:tr>
        <w:trPr>
          <w:cantSplit/>
        </w:trPr>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MX</w:t>
            </w:r>
          </w:p>
        </w:tc>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Identifies the mail servers for a domain, revealing email infrastructure</w:t>
            </w:r>
          </w:p>
        </w:tc>
      </w:tr>
      <w:tr>
        <w:trPr>
          <w:cantSplit/>
        </w:trPr>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NS</w:t>
            </w:r>
          </w:p>
        </w:tc>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Lists the authoritative name servers — tells you who manages DNS resolution</w:t>
            </w:r>
          </w:p>
        </w:tc>
      </w:tr>
      <w:tr>
        <w:trPr>
          <w:cantSplit/>
        </w:trPr>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TXT</w:t>
            </w:r>
          </w:p>
        </w:tc>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Free-form text used for SPF/DKIM/DMARC policies and domain verification tokens</w:t>
            </w:r>
          </w:p>
        </w:tc>
      </w:tr>
      <w:tr>
        <w:trPr>
          <w:cantSplit/>
        </w:trPr>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AXFR (zone transfer)</w:t>
            </w:r>
          </w:p>
        </w:tc>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If misconfigured, a DNS server will hand over its entire zone — every subdomain and internal record it holds</w:t>
            </w:r>
          </w:p>
        </w:tc>
      </w:tr>
    </w:tbl>
    <w:p>
      <w:pPr>
        <w:spacing w:after="180"/>
      </w:pPr>
    </w:p>
    <w:tbl>
      <w:tblPr>
        <w:tblW w:type="pct" w:w="100%"/>
        <w:tblBorders>
          <w:top w:val="single" w:color="888888" w:sz="4"/>
          <w:left w:val="single" w:color="888888" w:sz="4"/>
          <w:bottom w:val="single" w:color="888888" w:sz="4"/>
          <w:right w:val="single" w:color="888888" w:sz="4"/>
          <w:insideH w:val="none" w:color="FFFFFF" w:sz="0"/>
          <w:insideV w:val="none" w:color="FFFFFF" w:sz="0"/>
        </w:tblBorders>
      </w:tblPr>
      <w:tblGrid>
        <w:gridCol w:w="100"/>
      </w:tblGrid>
      <w:tr>
        <w:tc>
          <w:tcPr>
            <w:shd w:fill="F5F5F0" w:val="clear"/>
            <w:tcMar>
              <w:top w:type="dxa" w:w="160"/>
              <w:left w:type="dxa" w:w="200"/>
              <w:bottom w:type="dxa" w:w="160"/>
              <w:right w:type="dxa" w:w="200"/>
            </w:tcMar>
          </w:tcPr>
          <w:p>
            <w:pPr>
              <w:spacing w:after="60"/>
            </w:pPr>
            <w:r>
              <w:rPr>
                <w:rFonts w:ascii="Consolas" w:cs="Consolas" w:eastAsia="Consolas" w:hAnsi="Consolas"/>
                <w:color w:val="222222"/>
                <w:sz w:val="21"/>
                <w:szCs w:val="21"/>
              </w:rPr>
              <w:t xml:space="preserve">dig target.com A</w:t>
            </w:r>
          </w:p>
          <w:p>
            <w:pPr>
              <w:spacing w:after="60"/>
            </w:pPr>
            <w:r>
              <w:rPr>
                <w:rFonts w:ascii="Consolas" w:cs="Consolas" w:eastAsia="Consolas" w:hAnsi="Consolas"/>
                <w:color w:val="222222"/>
                <w:sz w:val="21"/>
                <w:szCs w:val="21"/>
              </w:rPr>
              <w:t xml:space="preserve">dig target.com MX</w:t>
            </w:r>
          </w:p>
          <w:p>
            <w:pPr>
              <w:spacing w:after="60"/>
            </w:pPr>
            <w:r>
              <w:rPr>
                <w:rFonts w:ascii="Consolas" w:cs="Consolas" w:eastAsia="Consolas" w:hAnsi="Consolas"/>
                <w:color w:val="222222"/>
                <w:sz w:val="21"/>
                <w:szCs w:val="21"/>
              </w:rPr>
              <w:t xml:space="preserve">dig target.com NS</w:t>
            </w:r>
          </w:p>
          <w:p>
            <w:pPr>
              <w:spacing w:after="60"/>
            </w:pPr>
            <w:r>
              <w:rPr>
                <w:rFonts w:ascii="Consolas" w:cs="Consolas" w:eastAsia="Consolas" w:hAnsi="Consolas"/>
                <w:color w:val="222222"/>
                <w:sz w:val="21"/>
                <w:szCs w:val="21"/>
              </w:rPr>
              <w:t xml:space="preserve">dig target.com TXT</w:t>
            </w:r>
          </w:p>
          <w:p>
            <w:pPr>
              <w:spacing w:after="0"/>
            </w:pPr>
            <w:r>
              <w:rPr>
                <w:rFonts w:ascii="Consolas" w:cs="Consolas" w:eastAsia="Consolas" w:hAnsi="Consolas"/>
                <w:color w:val="222222"/>
                <w:sz w:val="21"/>
                <w:szCs w:val="21"/>
              </w:rPr>
              <w:t xml:space="preserve">dig axfr target.com @ns1.target.com</w:t>
            </w:r>
          </w:p>
        </w:tc>
      </w:tr>
    </w:tbl>
    <w:p>
      <w:pPr>
        <w:spacing w:after="180"/>
      </w:pPr>
    </w:p>
    <w:tbl>
      <w:tblPr>
        <w:tblW w:type="pct" w:w="100%"/>
        <w:tblBorders>
          <w:top w:val="single" w:color="B8860B" w:sz="4"/>
          <w:left w:val="single" w:color="B8860B" w:sz="4"/>
          <w:bottom w:val="single" w:color="B8860B" w:sz="4"/>
          <w:right w:val="single" w:color="B8860B" w:sz="4"/>
          <w:insideH w:val="none" w:color="FFFFFF" w:sz="0"/>
          <w:insideV w:val="none" w:color="FFFFFF" w:sz="0"/>
        </w:tblBorders>
      </w:tblPr>
      <w:tblGrid>
        <w:gridCol w:w="100"/>
      </w:tblGrid>
      <w:tr>
        <w:tc>
          <w:tcPr>
            <w:shd w:fill="FFF6E5" w:val="clear"/>
            <w:tcMar>
              <w:top w:type="dxa" w:w="160"/>
              <w:left w:type="dxa" w:w="200"/>
              <w:bottom w:type="dxa" w:w="160"/>
              <w:right w:type="dxa" w:w="200"/>
            </w:tcMar>
          </w:tcPr>
          <w:p>
            <w:pPr>
              <w:spacing w:after="80"/>
            </w:pPr>
            <w:r>
              <w:rPr>
                <w:rFonts w:ascii="Calibri" w:cs="Calibri" w:eastAsia="Calibri" w:hAnsi="Calibri"/>
                <w:b/>
                <w:bCs/>
                <w:color w:val="B8860B"/>
                <w:sz w:val="21"/>
                <w:szCs w:val="21"/>
              </w:rPr>
              <w:t xml:space="preserve">✎ Example — Why a zone transfer is risky</w:t>
            </w:r>
          </w:p>
          <w:p>
            <w:pPr>
              <w:spacing w:after="0"/>
            </w:pPr>
            <w:r>
              <w:rPr>
                <w:rFonts w:ascii="Calibri" w:cs="Calibri" w:eastAsia="Calibri" w:hAnsi="Calibri"/>
                <w:color w:val="222222"/>
                <w:sz w:val="21"/>
                <w:szCs w:val="21"/>
              </w:rPr>
              <w:t xml:space="preserve">A successful AXFR response hands the attacker a complete map of every internal and external hostname in the domain in one request — information that would otherwise take dozens of guesses to collect. This is why production DNS servers must restrict zone transfers to trusted secondary servers only.</w:t>
            </w:r>
          </w:p>
        </w:tc>
      </w:tr>
    </w:tbl>
    <w:p>
      <w:pPr>
        <w:spacing w:after="180"/>
      </w:pPr>
    </w:p>
    <w:p>
      <w:pPr>
        <w:pStyle w:val="Heading3"/>
        <w:spacing w:after="120" w:before="240"/>
      </w:pPr>
      <w:r>
        <w:rPr>
          <w:b/>
          <w:bCs/>
          <w:color w:val="0E7C7B"/>
          <w:sz w:val="24"/>
          <w:szCs w:val="24"/>
        </w:rPr>
        <w:t xml:space="preserve">Shodan</w:t>
      </w:r>
    </w:p>
    <w:p>
      <w:pPr>
        <w:spacing w:after="160" w:line="300"/>
      </w:pPr>
      <w:r>
        <w:rPr>
          <w:rFonts w:ascii="Calibri" w:cs="Calibri" w:eastAsia="Calibri" w:hAnsi="Calibri"/>
          <w:color w:val="222222"/>
          <w:sz w:val="22"/>
          <w:szCs w:val="22"/>
        </w:rPr>
        <w:t xml:space="preserve">Shodan is a search engine that continuously scans the internet and stores banners from open ports — web servers, webcams, industrial control systems, databases, routers, and more. Because you are querying Shodan's existing database instead of scanning the target yourself, no traffic ever reaches the target's network, which is why it counts as passive recon.</w:t>
      </w:r>
    </w:p>
    <w:tbl>
      <w:tblPr>
        <w:tblW w:type="pct" w:w="100%"/>
        <w:tblBorders>
          <w:top w:val="single" w:color="888888" w:sz="4"/>
          <w:left w:val="single" w:color="888888" w:sz="4"/>
          <w:bottom w:val="single" w:color="888888" w:sz="4"/>
          <w:right w:val="single" w:color="888888" w:sz="4"/>
          <w:insideH w:val="none" w:color="FFFFFF" w:sz="0"/>
          <w:insideV w:val="none" w:color="FFFFFF" w:sz="0"/>
        </w:tblBorders>
      </w:tblPr>
      <w:tblGrid>
        <w:gridCol w:w="100"/>
      </w:tblGrid>
      <w:tr>
        <w:tc>
          <w:tcPr>
            <w:shd w:fill="F5F5F0" w:val="clear"/>
            <w:tcMar>
              <w:top w:type="dxa" w:w="160"/>
              <w:left w:type="dxa" w:w="200"/>
              <w:bottom w:type="dxa" w:w="160"/>
              <w:right w:type="dxa" w:w="200"/>
            </w:tcMar>
          </w:tcPr>
          <w:p>
            <w:pPr>
              <w:spacing w:after="60"/>
            </w:pPr>
            <w:r>
              <w:rPr>
                <w:rFonts w:ascii="Consolas" w:cs="Consolas" w:eastAsia="Consolas" w:hAnsi="Consolas"/>
                <w:color w:val="222222"/>
                <w:sz w:val="21"/>
                <w:szCs w:val="21"/>
              </w:rPr>
              <w:t xml:space="preserve">org:"Target Corp"</w:t>
            </w:r>
          </w:p>
          <w:p>
            <w:pPr>
              <w:spacing w:after="60"/>
            </w:pPr>
            <w:r>
              <w:rPr>
                <w:rFonts w:ascii="Consolas" w:cs="Consolas" w:eastAsia="Consolas" w:hAnsi="Consolas"/>
                <w:color w:val="222222"/>
                <w:sz w:val="21"/>
                <w:szCs w:val="21"/>
              </w:rPr>
              <w:t xml:space="preserve">hostname:target.com port:3389</w:t>
            </w:r>
          </w:p>
          <w:p>
            <w:pPr>
              <w:spacing w:after="0"/>
            </w:pPr>
            <w:r>
              <w:rPr>
                <w:rFonts w:ascii="Consolas" w:cs="Consolas" w:eastAsia="Consolas" w:hAnsi="Consolas"/>
                <w:color w:val="222222"/>
                <w:sz w:val="21"/>
                <w:szCs w:val="21"/>
              </w:rPr>
              <w:t xml:space="preserve">product:"Apache httpd" org:"Target Corp"</w:t>
            </w:r>
          </w:p>
        </w:tc>
      </w:tr>
    </w:tbl>
    <w:p>
      <w:pPr>
        <w:spacing w:after="180"/>
      </w:pPr>
    </w:p>
    <w:p>
      <w:pPr>
        <w:pStyle w:val="Heading3"/>
        <w:spacing w:after="120" w:before="240"/>
      </w:pPr>
      <w:r>
        <w:rPr>
          <w:b/>
          <w:bCs/>
          <w:color w:val="0E7C7B"/>
          <w:sz w:val="24"/>
          <w:szCs w:val="24"/>
        </w:rPr>
        <w:t xml:space="preserve">theHarvester</w:t>
      </w:r>
    </w:p>
    <w:p>
      <w:pPr>
        <w:spacing w:after="160" w:line="300"/>
      </w:pPr>
      <w:r>
        <w:rPr>
          <w:rFonts w:ascii="Calibri" w:cs="Calibri" w:eastAsia="Calibri" w:hAnsi="Calibri"/>
          <w:color w:val="222222"/>
          <w:sz w:val="22"/>
          <w:szCs w:val="22"/>
        </w:rPr>
        <w:t xml:space="preserve">theHarvester automates the collection of emails, subdomains, hostnames, open ports, and employee names from public sources — search engines, certificate transparency logs, Shodan, and LinkedIn — in a single pass. The output builds an initial attack-surface map and a phishing target list without sending a single packet to the target.</w:t>
      </w:r>
    </w:p>
    <w:tbl>
      <w:tblPr>
        <w:tblW w:type="pct" w:w="100%"/>
        <w:tblBorders>
          <w:top w:val="single" w:color="888888" w:sz="4"/>
          <w:left w:val="single" w:color="888888" w:sz="4"/>
          <w:bottom w:val="single" w:color="888888" w:sz="4"/>
          <w:right w:val="single" w:color="888888" w:sz="4"/>
          <w:insideH w:val="none" w:color="FFFFFF" w:sz="0"/>
          <w:insideV w:val="none" w:color="FFFFFF" w:sz="0"/>
        </w:tblBorders>
      </w:tblPr>
      <w:tblGrid>
        <w:gridCol w:w="100"/>
      </w:tblGrid>
      <w:tr>
        <w:tc>
          <w:tcPr>
            <w:shd w:fill="F5F5F0" w:val="clear"/>
            <w:tcMar>
              <w:top w:type="dxa" w:w="160"/>
              <w:left w:type="dxa" w:w="200"/>
              <w:bottom w:type="dxa" w:w="160"/>
              <w:right w:type="dxa" w:w="200"/>
            </w:tcMar>
          </w:tcPr>
          <w:p>
            <w:pPr>
              <w:spacing w:after="60"/>
            </w:pPr>
            <w:r>
              <w:rPr>
                <w:rFonts w:ascii="Consolas" w:cs="Consolas" w:eastAsia="Consolas" w:hAnsi="Consolas"/>
                <w:color w:val="222222"/>
                <w:sz w:val="21"/>
                <w:szCs w:val="21"/>
              </w:rPr>
              <w:t xml:space="preserve">theHarvester -d target.com -b all</w:t>
            </w:r>
          </w:p>
          <w:p>
            <w:pPr>
              <w:spacing w:after="60"/>
            </w:pPr>
            <w:r>
              <w:rPr>
                <w:rFonts w:ascii="Consolas" w:cs="Consolas" w:eastAsia="Consolas" w:hAnsi="Consolas"/>
                <w:color w:val="222222"/>
                <w:sz w:val="21"/>
                <w:szCs w:val="21"/>
              </w:rPr>
              <w:t xml:space="preserve">theHarvester -d target.com -b google,crtsh</w:t>
            </w:r>
          </w:p>
          <w:p>
            <w:pPr>
              <w:spacing w:after="0"/>
            </w:pPr>
            <w:r>
              <w:rPr>
                <w:rFonts w:ascii="Consolas" w:cs="Consolas" w:eastAsia="Consolas" w:hAnsi="Consolas"/>
                <w:color w:val="222222"/>
                <w:sz w:val="21"/>
                <w:szCs w:val="21"/>
              </w:rPr>
              <w:t xml:space="preserve">theHarvester -d target.com -b all -f report.html</w:t>
            </w:r>
          </w:p>
        </w:tc>
      </w:tr>
    </w:tbl>
    <w:p>
      <w:pPr>
        <w:spacing w:after="180"/>
      </w:pPr>
    </w:p>
    <w:p>
      <w:pPr>
        <w:spacing w:after="160" w:line="300"/>
      </w:pPr>
      <w:r>
        <w:rPr>
          <w:rFonts w:ascii="Calibri" w:cs="Calibri" w:eastAsia="Calibri" w:hAnsi="Calibri"/>
          <w:color w:val="222222"/>
          <w:sz w:val="22"/>
          <w:szCs w:val="22"/>
        </w:rPr>
        <w:t xml:space="preserve">Key options: -d sets the domain, -b chooses the data source (or "all"), -l limits the number of results, -f saves output to a file, and -n/-t add DNS enumeration or TLD expansion.</w:t>
      </w:r>
    </w:p>
    <w:p>
      <w:pPr>
        <w:pStyle w:val="Heading3"/>
        <w:spacing w:after="120" w:before="240"/>
      </w:pPr>
      <w:r>
        <w:rPr>
          <w:b/>
          <w:bCs/>
          <w:color w:val="0E7C7B"/>
          <w:sz w:val="24"/>
          <w:szCs w:val="24"/>
        </w:rPr>
        <w:t xml:space="preserve">Maltego Community Edition</w:t>
      </w:r>
    </w:p>
    <w:p>
      <w:pPr>
        <w:spacing w:after="160" w:line="300"/>
      </w:pPr>
      <w:r>
        <w:rPr>
          <w:rFonts w:ascii="Calibri" w:cs="Calibri" w:eastAsia="Calibri" w:hAnsi="Calibri"/>
          <w:color w:val="222222"/>
          <w:sz w:val="22"/>
          <w:szCs w:val="22"/>
        </w:rPr>
        <w:t xml:space="preserve">Maltego is a graph-based OSINT tool that visually links entities — domains, IPs, emails, people, organisations — using automated queries called "transforms". Each transform pulls from a data source (DNS, WHOIS, search engines) and adds newly found entities as connected nodes, turning scattered data points into one visual relationship map. The free Community Edition limits results per transform.</w:t>
      </w:r>
    </w:p>
    <w:p>
      <w:pPr>
        <w:pStyle w:val="Heading3"/>
        <w:spacing w:after="120" w:before="240"/>
      </w:pPr>
      <w:r>
        <w:rPr>
          <w:b/>
          <w:bCs/>
          <w:color w:val="0E7C7B"/>
          <w:sz w:val="24"/>
          <w:szCs w:val="24"/>
        </w:rPr>
        <w:t xml:space="preserve">LinkedIn OSINT</w:t>
      </w:r>
    </w:p>
    <w:p>
      <w:pPr>
        <w:spacing w:after="160" w:line="300"/>
      </w:pPr>
      <w:r>
        <w:rPr>
          <w:rFonts w:ascii="Calibri" w:cs="Calibri" w:eastAsia="Calibri" w:hAnsi="Calibri"/>
          <w:color w:val="222222"/>
          <w:sz w:val="22"/>
          <w:szCs w:val="22"/>
        </w:rPr>
        <w:t xml:space="preserve">LinkedIn profiles reveal employee names, job titles, department structure, and even the technology stack a company uses — all useful for building a phishing simulation target list during an authorised social-engineering assessment. Combine it with Google dorking when direct search access is limited, e.g. site:linkedin.com/in "Target Corp". Only ever collect information that is already publicly visible, and stay inside the agreed scope.</w:t>
      </w:r>
    </w:p>
    <w:p>
      <w:pPr>
        <w:pStyle w:val="Heading3"/>
        <w:spacing w:after="120" w:before="240"/>
      </w:pPr>
      <w:r>
        <w:rPr>
          <w:b/>
          <w:bCs/>
          <w:color w:val="0E7C7B"/>
          <w:sz w:val="24"/>
          <w:szCs w:val="24"/>
        </w:rPr>
        <w:t xml:space="preserve">Recon-NG</w:t>
      </w:r>
    </w:p>
    <w:p>
      <w:pPr>
        <w:spacing w:after="160" w:line="300"/>
      </w:pPr>
      <w:r>
        <w:rPr>
          <w:rFonts w:ascii="Calibri" w:cs="Calibri" w:eastAsia="Calibri" w:hAnsi="Calibri"/>
          <w:color w:val="222222"/>
          <w:sz w:val="22"/>
          <w:szCs w:val="22"/>
        </w:rPr>
        <w:t xml:space="preserve">Recon-ng is a web reconnaissance framework, similar in spirit to Metasploit but focused on OSINT. It organises reconnaissance into modules (so you can run a specific source, like a subdomain-brute-force module) inside workspaces that keep each engagement's collected data separate.</w:t>
      </w:r>
    </w:p>
    <w:p>
      <w:pPr>
        <w:pStyle w:val="Heading2"/>
        <w:spacing w:after="160" w:before="320"/>
      </w:pPr>
      <w:r>
        <w:rPr>
          <w:b/>
          <w:bCs/>
          <w:color w:val="1F3864"/>
          <w:sz w:val="28"/>
          <w:szCs w:val="28"/>
        </w:rPr>
        <w:t xml:space="preserve">2.2 Active Reconnaissance</w:t>
      </w:r>
    </w:p>
    <w:p>
      <w:pPr>
        <w:spacing w:after="160" w:line="300"/>
      </w:pPr>
      <w:r>
        <w:rPr>
          <w:rFonts w:ascii="Calibri" w:cs="Calibri" w:eastAsia="Calibri" w:hAnsi="Calibri"/>
          <w:color w:val="222222"/>
          <w:sz w:val="22"/>
          <w:szCs w:val="22"/>
        </w:rPr>
        <w:t xml:space="preserve">Active reconnaissance means directly interacting with the target's systems. Packets are sent, connections are attempted, and the activity can be logged or detected on the target's side.</w:t>
      </w:r>
    </w:p>
    <w:p>
      <w:pPr>
        <w:pStyle w:val="Heading3"/>
        <w:spacing w:after="120" w:before="240"/>
      </w:pPr>
      <w:r>
        <w:rPr>
          <w:b/>
          <w:bCs/>
          <w:color w:val="0E7C7B"/>
          <w:sz w:val="24"/>
          <w:szCs w:val="24"/>
        </w:rPr>
        <w:t xml:space="preserve">Nmap Scan Types</w:t>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3120"/>
        <w:gridCol w:w="3120"/>
        <w:gridCol w:w="3120"/>
      </w:tblGrid>
      <w:tr>
        <w:trPr>
          <w:cantSplit/>
          <w:tblHeader/>
        </w:trPr>
        <w:tc>
          <w:tcPr>
            <w:tcW w:type="dxa" w:w="312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Flag</w:t>
            </w:r>
          </w:p>
        </w:tc>
        <w:tc>
          <w:tcPr>
            <w:tcW w:type="dxa" w:w="312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Scan Type</w:t>
            </w:r>
          </w:p>
        </w:tc>
        <w:tc>
          <w:tcPr>
            <w:tcW w:type="dxa" w:w="312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How It Works</w:t>
            </w:r>
          </w:p>
        </w:tc>
      </w:tr>
      <w:tr>
        <w:trPr>
          <w:cantSplit/>
        </w:trPr>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-sS</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TCP SYN ("half-open")</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Sends only a SYN packet; a SYN/ACK reply means open, RST means closed. Never completes the handshake — fast and comparatively stealthy, but needs raw-socket (root) access.</w:t>
            </w:r>
          </w:p>
        </w:tc>
      </w:tr>
      <w:tr>
        <w:trPr>
          <w:cantSplit/>
        </w:trPr>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-sT</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TCP Connect</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Completes the full three-way handshake through the OS socket API. Slower and more visible in logs, but does not need special privileges.</w:t>
            </w:r>
          </w:p>
        </w:tc>
      </w:tr>
      <w:tr>
        <w:trPr>
          <w:cantSplit/>
        </w:trPr>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-sU</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UDP Scan</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Sends UDP packets and waits for an ICMP "port unreachable" reply to mark a port closed; no reply often means open or filtered. Much slower than TCP scans.</w:t>
            </w:r>
          </w:p>
        </w:tc>
      </w:tr>
      <w:tr>
        <w:trPr>
          <w:cantSplit/>
        </w:trPr>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-sN / -sF / -sX</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Stealth scans (Null, FIN, Xmas)</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Send unusual TCP flag combinations that some firewalls or older systems do not log as a normal connection attempt.</w:t>
            </w:r>
          </w:p>
        </w:tc>
      </w:tr>
      <w:tr>
        <w:trPr>
          <w:cantSplit/>
        </w:trPr>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Aggressive</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Bundles OS detection, version detection, script scanning, and traceroute into one flag — thorough, but noisy and slow.</w:t>
            </w:r>
          </w:p>
        </w:tc>
      </w:tr>
      <w:tr>
        <w:trPr>
          <w:cantSplit/>
        </w:trPr>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-sV</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Version detection</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Probes open ports to identify the exact service and version running (e.g. Apache 2.4.41), which lets you map it to known CVEs.</w:t>
            </w:r>
          </w:p>
        </w:tc>
      </w:tr>
      <w:tr>
        <w:trPr>
          <w:cantSplit/>
        </w:trPr>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OS fingerprinting</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Studies subtle differences in how the target's TCP/IP stack behaves to guess its operating system.</w:t>
            </w:r>
          </w:p>
        </w:tc>
      </w:tr>
    </w:tbl>
    <w:p>
      <w:pPr>
        <w:spacing w:after="180"/>
      </w:pPr>
    </w:p>
    <w:p>
      <w:pPr>
        <w:spacing w:after="160" w:line="300"/>
      </w:pPr>
      <w:r>
        <w:rPr>
          <w:rFonts w:ascii="Calibri" w:cs="Calibri" w:eastAsia="Calibri" w:hAnsi="Calibri"/>
          <w:color w:val="222222"/>
          <w:sz w:val="22"/>
          <w:szCs w:val="22"/>
        </w:rPr>
        <w:t xml:space="preserve">Choosing a scan type is a trade-off between speed, stealth, accuracy, and the privileges you have.</w:t>
      </w:r>
    </w:p>
    <w:p>
      <w:pPr>
        <w:pStyle w:val="Heading3"/>
        <w:spacing w:after="120" w:before="240"/>
      </w:pPr>
      <w:r>
        <w:rPr>
          <w:b/>
          <w:bCs/>
          <w:color w:val="0E7C7B"/>
          <w:sz w:val="24"/>
          <w:szCs w:val="24"/>
        </w:rPr>
        <w:t xml:space="preserve">NSE Scripts and Timing Templates</w:t>
      </w:r>
    </w:p>
    <w:p>
      <w:pPr>
        <w:spacing w:after="160" w:line="300"/>
      </w:pPr>
      <w:r>
        <w:rPr>
          <w:rFonts w:ascii="Calibri" w:cs="Calibri" w:eastAsia="Calibri" w:hAnsi="Calibri"/>
          <w:color w:val="222222"/>
          <w:sz w:val="22"/>
          <w:szCs w:val="22"/>
        </w:rPr>
        <w:t xml:space="preserve">The Nmap Scripting Engine (NSE) is a Lua-based framework that extends Nmap beyond plain port scanning, automating tasks like vulnerability checks and service enumeration.</w:t>
      </w:r>
    </w:p>
    <w:p>
      <w:pPr>
        <w:pStyle w:val="ListParagraph"/>
        <w:numPr>
          <w:ilvl w:val="0"/>
          <w:numId w:val="2"/>
        </w:numPr>
        <w:spacing w:after="90" w:line="290"/>
      </w:pPr>
      <w:r>
        <w:rPr>
          <w:rFonts w:ascii="Calibri" w:cs="Calibri" w:eastAsia="Calibri" w:hAnsi="Calibri"/>
          <w:color w:val="222222"/>
          <w:sz w:val="22"/>
          <w:szCs w:val="22"/>
        </w:rPr>
        <w:t xml:space="preserve">--script=default — a safe, curated set of scripts (banner grabbing, basic enumeration), automatically included with -A.</w:t>
      </w:r>
    </w:p>
    <w:p>
      <w:pPr>
        <w:pStyle w:val="ListParagraph"/>
        <w:numPr>
          <w:ilvl w:val="0"/>
          <w:numId w:val="2"/>
        </w:numPr>
        <w:spacing w:after="90" w:line="290"/>
      </w:pPr>
      <w:r>
        <w:rPr>
          <w:rFonts w:ascii="Calibri" w:cs="Calibri" w:eastAsia="Calibri" w:hAnsi="Calibri"/>
          <w:color w:val="222222"/>
          <w:sz w:val="22"/>
          <w:szCs w:val="22"/>
        </w:rPr>
        <w:t xml:space="preserve">--script=vuln — actively checks discovered services against known vulnerability signatures; more intrusive, useful for a first-pass vulnerability sweep.</w:t>
      </w:r>
    </w:p>
    <w:p>
      <w:pPr>
        <w:pStyle w:val="ListParagraph"/>
        <w:numPr>
          <w:ilvl w:val="0"/>
          <w:numId w:val="2"/>
        </w:numPr>
        <w:spacing w:after="90" w:line="290"/>
      </w:pPr>
      <w:r>
        <w:rPr>
          <w:rFonts w:ascii="Calibri" w:cs="Calibri" w:eastAsia="Calibri" w:hAnsi="Calibri"/>
          <w:color w:val="222222"/>
          <w:sz w:val="22"/>
          <w:szCs w:val="22"/>
        </w:rPr>
        <w:t xml:space="preserve">Timing templates -T0 to -T5 control scan speed: T0 is paranoid and slow (good for evading detection), T5 is the fastest and most detectable. T3 is the default.</w:t>
      </w:r>
    </w:p>
    <w:p>
      <w:pPr>
        <w:spacing w:after="100"/>
      </w:pPr>
    </w:p>
    <w:p>
      <w:pPr>
        <w:pStyle w:val="Heading3"/>
        <w:spacing w:after="120" w:before="240"/>
      </w:pPr>
      <w:r>
        <w:rPr>
          <w:b/>
          <w:bCs/>
          <w:color w:val="0E7C7B"/>
          <w:sz w:val="24"/>
          <w:szCs w:val="24"/>
        </w:rPr>
        <w:t xml:space="preserve">Banner Grabbing with Netcat</w:t>
      </w:r>
    </w:p>
    <w:p>
      <w:pPr>
        <w:spacing w:after="160" w:line="300"/>
      </w:pPr>
      <w:r>
        <w:rPr>
          <w:rFonts w:ascii="Calibri" w:cs="Calibri" w:eastAsia="Calibri" w:hAnsi="Calibri"/>
          <w:color w:val="222222"/>
          <w:sz w:val="22"/>
          <w:szCs w:val="22"/>
        </w:rPr>
        <w:t xml:space="preserve">Banner grabbing means manually connecting to an open port to read the service's own greeting message, confirming what Nmap reported in a lightweight, low-noise way.</w:t>
      </w:r>
    </w:p>
    <w:tbl>
      <w:tblPr>
        <w:tblW w:type="pct" w:w="100%"/>
        <w:tblBorders>
          <w:top w:val="single" w:color="888888" w:sz="4"/>
          <w:left w:val="single" w:color="888888" w:sz="4"/>
          <w:bottom w:val="single" w:color="888888" w:sz="4"/>
          <w:right w:val="single" w:color="888888" w:sz="4"/>
          <w:insideH w:val="none" w:color="FFFFFF" w:sz="0"/>
          <w:insideV w:val="none" w:color="FFFFFF" w:sz="0"/>
        </w:tblBorders>
      </w:tblPr>
      <w:tblGrid>
        <w:gridCol w:w="100"/>
      </w:tblGrid>
      <w:tr>
        <w:tc>
          <w:tcPr>
            <w:shd w:fill="F5F5F0" w:val="clear"/>
            <w:tcMar>
              <w:top w:type="dxa" w:w="160"/>
              <w:left w:type="dxa" w:w="200"/>
              <w:bottom w:type="dxa" w:w="160"/>
              <w:right w:type="dxa" w:w="200"/>
            </w:tcMar>
          </w:tcPr>
          <w:p>
            <w:pPr>
              <w:spacing w:after="60"/>
            </w:pPr>
            <w:r>
              <w:rPr>
                <w:rFonts w:ascii="Consolas" w:cs="Consolas" w:eastAsia="Consolas" w:hAnsi="Consolas"/>
                <w:color w:val="222222"/>
                <w:sz w:val="21"/>
                <w:szCs w:val="21"/>
              </w:rPr>
              <w:t xml:space="preserve">nc -nv target.com 80</w:t>
            </w:r>
          </w:p>
          <w:p>
            <w:pPr>
              <w:spacing w:after="60"/>
            </w:pPr>
            <w:r>
              <w:rPr>
                <w:rFonts w:ascii="Consolas" w:cs="Consolas" w:eastAsia="Consolas" w:hAnsi="Consolas"/>
                <w:color w:val="222222"/>
                <w:sz w:val="21"/>
                <w:szCs w:val="21"/>
              </w:rPr>
              <w:t xml:space="preserve">HEAD / HTTP/1.0</w:t>
            </w:r>
          </w:p>
          <w:p>
            <w:pPr>
              <w:spacing w:after="0"/>
            </w:pPr>
            <w:r>
              <w:rPr>
                <w:rFonts w:ascii="Consolas" w:cs="Consolas" w:eastAsia="Consolas" w:hAnsi="Consolas"/>
                <w:color w:val="222222"/>
                <w:sz w:val="21"/>
                <w:szCs w:val="21"/>
              </w:rPr>
              <w:t xml:space="preserve">[press Enter twice]</w:t>
            </w:r>
          </w:p>
        </w:tc>
      </w:tr>
    </w:tbl>
    <w:p>
      <w:pPr>
        <w:spacing w:after="180"/>
      </w:pPr>
    </w:p>
    <w:p>
      <w:pPr>
        <w:pStyle w:val="Heading2"/>
        <w:spacing w:after="160" w:before="320"/>
      </w:pPr>
      <w:r>
        <w:rPr>
          <w:b/>
          <w:bCs/>
          <w:color w:val="1F3864"/>
          <w:sz w:val="28"/>
          <w:szCs w:val="28"/>
        </w:rPr>
        <w:t xml:space="preserve">2.3 Network Enumeration</w:t>
      </w:r>
    </w:p>
    <w:p>
      <w:pPr>
        <w:spacing w:after="160" w:line="300"/>
      </w:pPr>
      <w:r>
        <w:rPr>
          <w:rFonts w:ascii="Calibri" w:cs="Calibri" w:eastAsia="Calibri" w:hAnsi="Calibri"/>
          <w:color w:val="222222"/>
          <w:sz w:val="22"/>
          <w:szCs w:val="22"/>
        </w:rPr>
        <w:t xml:space="preserve">Scanning tells you what is exposed. Enumeration tells you what exists behind what is exposed — usernames, shares, records, and directories.</w:t>
      </w:r>
    </w:p>
    <w:p>
      <w:pPr>
        <w:pStyle w:val="Heading3"/>
        <w:spacing w:after="120" w:before="240"/>
      </w:pPr>
      <w:r>
        <w:rPr>
          <w:b/>
          <w:bCs/>
          <w:color w:val="0E7C7B"/>
          <w:sz w:val="24"/>
          <w:szCs w:val="24"/>
        </w:rPr>
        <w:t xml:space="preserve">SMB Enumeration with enum4linux</w:t>
      </w:r>
    </w:p>
    <w:p>
      <w:pPr>
        <w:spacing w:after="160" w:line="300"/>
      </w:pPr>
      <w:r>
        <w:rPr>
          <w:rFonts w:ascii="Calibri" w:cs="Calibri" w:eastAsia="Calibri" w:hAnsi="Calibri"/>
          <w:color w:val="222222"/>
          <w:sz w:val="22"/>
          <w:szCs w:val="22"/>
        </w:rPr>
        <w:t xml:space="preserve">SMB (Server Message Block) is the Windows protocol used for file and printer sharing, authentication, and inter-process communication. It typically runs on ports 139 (NetBIOS over TCP) and 445 (SMB directly over TCP). enum4linux is a wrapper around classic Samba/Windows enumeration tools (smbclient, rpcclient, net, nmblookup) that automates the whole SMB recon workflow.</w:t>
      </w:r>
    </w:p>
    <w:tbl>
      <w:tblPr>
        <w:tblW w:type="pct" w:w="100%"/>
        <w:tblBorders>
          <w:top w:val="single" w:color="888888" w:sz="4"/>
          <w:left w:val="single" w:color="888888" w:sz="4"/>
          <w:bottom w:val="single" w:color="888888" w:sz="4"/>
          <w:right w:val="single" w:color="888888" w:sz="4"/>
          <w:insideH w:val="none" w:color="FFFFFF" w:sz="0"/>
          <w:insideV w:val="none" w:color="FFFFFF" w:sz="0"/>
        </w:tblBorders>
      </w:tblPr>
      <w:tblGrid>
        <w:gridCol w:w="100"/>
      </w:tblGrid>
      <w:tr>
        <w:tc>
          <w:tcPr>
            <w:shd w:fill="F5F5F0" w:val="clear"/>
            <w:tcMar>
              <w:top w:type="dxa" w:w="160"/>
              <w:left w:type="dxa" w:w="200"/>
              <w:bottom w:type="dxa" w:w="160"/>
              <w:right w:type="dxa" w:w="200"/>
            </w:tcMar>
          </w:tcPr>
          <w:p>
            <w:pPr>
              <w:spacing w:after="0"/>
            </w:pPr>
            <w:r>
              <w:rPr>
                <w:rFonts w:ascii="Consolas" w:cs="Consolas" w:eastAsia="Consolas" w:hAnsi="Consolas"/>
                <w:color w:val="222222"/>
                <w:sz w:val="21"/>
                <w:szCs w:val="21"/>
              </w:rPr>
              <w:t xml:space="preserve">enum4linux -a 192.168.56.10</w:t>
            </w:r>
          </w:p>
        </w:tc>
      </w:tr>
    </w:tbl>
    <w:p>
      <w:pPr>
        <w:spacing w:after="180"/>
      </w:pPr>
    </w:p>
    <w:p>
      <w:pPr>
        <w:spacing w:after="160" w:line="300"/>
      </w:pPr>
      <w:r>
        <w:rPr>
          <w:rFonts w:ascii="Calibri" w:cs="Calibri" w:eastAsia="Calibri" w:hAnsi="Calibri"/>
          <w:color w:val="222222"/>
          <w:sz w:val="22"/>
          <w:szCs w:val="22"/>
        </w:rPr>
        <w:t xml:space="preserve">The -a ("all") flag runs a complete sweep in one pass, attempting to pull:</w:t>
      </w:r>
    </w:p>
    <w:p>
      <w:pPr>
        <w:pStyle w:val="ListParagraph"/>
        <w:numPr>
          <w:ilvl w:val="0"/>
          <w:numId w:val="2"/>
        </w:numPr>
        <w:spacing w:after="90" w:line="290"/>
      </w:pPr>
      <w:r>
        <w:rPr>
          <w:rFonts w:ascii="Calibri" w:cs="Calibri" w:eastAsia="Calibri" w:hAnsi="Calibri"/>
          <w:color w:val="222222"/>
          <w:sz w:val="22"/>
          <w:szCs w:val="22"/>
        </w:rPr>
        <w:t xml:space="preserve">Workgroup/domain information — hostname, domain SID, NetBIOS name</w:t>
      </w:r>
    </w:p>
    <w:p>
      <w:pPr>
        <w:pStyle w:val="ListParagraph"/>
        <w:numPr>
          <w:ilvl w:val="0"/>
          <w:numId w:val="2"/>
        </w:numPr>
        <w:spacing w:after="90" w:line="290"/>
      </w:pPr>
      <w:r>
        <w:rPr>
          <w:rFonts w:ascii="Calibri" w:cs="Calibri" w:eastAsia="Calibri" w:hAnsi="Calibri"/>
          <w:color w:val="222222"/>
          <w:sz w:val="22"/>
          <w:szCs w:val="22"/>
        </w:rPr>
        <w:t xml:space="preserve">User enumeration — usernames, user RIDs, account descriptions</w:t>
      </w:r>
    </w:p>
    <w:p>
      <w:pPr>
        <w:pStyle w:val="ListParagraph"/>
        <w:numPr>
          <w:ilvl w:val="0"/>
          <w:numId w:val="2"/>
        </w:numPr>
        <w:spacing w:after="90" w:line="290"/>
      </w:pPr>
      <w:r>
        <w:rPr>
          <w:rFonts w:ascii="Calibri" w:cs="Calibri" w:eastAsia="Calibri" w:hAnsi="Calibri"/>
          <w:color w:val="222222"/>
          <w:sz w:val="22"/>
          <w:szCs w:val="22"/>
        </w:rPr>
        <w:t xml:space="preserve">Group enumeration — local and domain groups, group membership</w:t>
      </w:r>
    </w:p>
    <w:p>
      <w:pPr>
        <w:pStyle w:val="ListParagraph"/>
        <w:numPr>
          <w:ilvl w:val="0"/>
          <w:numId w:val="2"/>
        </w:numPr>
        <w:spacing w:after="90" w:line="290"/>
      </w:pPr>
      <w:r>
        <w:rPr>
          <w:rFonts w:ascii="Calibri" w:cs="Calibri" w:eastAsia="Calibri" w:hAnsi="Calibri"/>
          <w:color w:val="222222"/>
          <w:sz w:val="22"/>
          <w:szCs w:val="22"/>
        </w:rPr>
        <w:t xml:space="preserve">Share enumeration — e.g. ADMIN$, C$, IPC$, and any custom shares like Public or Backup</w:t>
      </w:r>
    </w:p>
    <w:p>
      <w:pPr>
        <w:pStyle w:val="ListParagraph"/>
        <w:numPr>
          <w:ilvl w:val="0"/>
          <w:numId w:val="2"/>
        </w:numPr>
        <w:spacing w:after="90" w:line="290"/>
      </w:pPr>
      <w:r>
        <w:rPr>
          <w:rFonts w:ascii="Calibri" w:cs="Calibri" w:eastAsia="Calibri" w:hAnsi="Calibri"/>
          <w:color w:val="222222"/>
          <w:sz w:val="22"/>
          <w:szCs w:val="22"/>
        </w:rPr>
        <w:t xml:space="preserve">Password policy — minimum length, complexity requirement, account lockout settings</w:t>
      </w:r>
    </w:p>
    <w:p>
      <w:pPr>
        <w:pStyle w:val="ListParagraph"/>
        <w:numPr>
          <w:ilvl w:val="0"/>
          <w:numId w:val="2"/>
        </w:numPr>
        <w:spacing w:after="90" w:line="290"/>
      </w:pPr>
      <w:r>
        <w:rPr>
          <w:rFonts w:ascii="Calibri" w:cs="Calibri" w:eastAsia="Calibri" w:hAnsi="Calibri"/>
          <w:color w:val="222222"/>
          <w:sz w:val="22"/>
          <w:szCs w:val="22"/>
        </w:rPr>
        <w:t xml:space="preserve">OS information</w:t>
      </w:r>
    </w:p>
    <w:p>
      <w:pPr>
        <w:spacing w:after="100"/>
      </w:pPr>
    </w:p>
    <w:p>
      <w:pPr>
        <w:spacing w:after="160" w:line="300"/>
      </w:pPr>
      <w:r>
        <w:rPr>
          <w:rFonts w:ascii="Calibri" w:cs="Calibri" w:eastAsia="Calibri" w:hAnsi="Calibri"/>
          <w:color w:val="222222"/>
          <w:sz w:val="22"/>
          <w:szCs w:val="22"/>
        </w:rPr>
        <w:t xml:space="preserve">This is high value because an anonymous or "null session" on a poorly hardened SMB server can leak a full username list — directly fuelling a later password-spraying or brute-force attack. Individual options like -U (users only), -S (shares only), -G (groups only), and -P (password policy only) narrow the enumeration to one category.</w:t>
      </w:r>
    </w:p>
    <w:tbl>
      <w:tblPr>
        <w:tblW w:type="pct" w:w="100%"/>
        <w:tblBorders>
          <w:top w:val="single" w:color="1E7B45" w:sz="4"/>
          <w:left w:val="single" w:color="1E7B45" w:sz="4"/>
          <w:bottom w:val="single" w:color="1E7B45" w:sz="4"/>
          <w:right w:val="single" w:color="1E7B45" w:sz="4"/>
          <w:insideH w:val="none" w:color="FFFFFF" w:sz="0"/>
          <w:insideV w:val="none" w:color="FFFFFF" w:sz="0"/>
        </w:tblBorders>
      </w:tblPr>
      <w:tblGrid>
        <w:gridCol w:w="100"/>
      </w:tblGrid>
      <w:tr>
        <w:tc>
          <w:tcPr>
            <w:shd w:fill="E9F7EF" w:val="clear"/>
            <w:tcMar>
              <w:top w:type="dxa" w:w="160"/>
              <w:left w:type="dxa" w:w="200"/>
              <w:bottom w:type="dxa" w:w="160"/>
              <w:right w:type="dxa" w:w="200"/>
            </w:tcMar>
          </w:tcPr>
          <w:p>
            <w:pPr>
              <w:spacing w:after="80"/>
            </w:pPr>
            <w:r>
              <w:rPr>
                <w:rFonts w:ascii="Calibri" w:cs="Calibri" w:eastAsia="Calibri" w:hAnsi="Calibri"/>
                <w:b/>
                <w:bCs/>
                <w:color w:val="1E7B45"/>
                <w:sz w:val="21"/>
                <w:szCs w:val="21"/>
              </w:rPr>
              <w:t xml:space="preserve">⚠ RID cycling</w:t>
            </w:r>
          </w:p>
          <w:p>
            <w:pPr>
              <w:spacing w:after="0"/>
            </w:pPr>
            <w:r>
              <w:rPr>
                <w:rFonts w:ascii="Calibri" w:cs="Calibri" w:eastAsia="Calibri" w:hAnsi="Calibri"/>
                <w:color w:val="222222"/>
                <w:sz w:val="21"/>
                <w:szCs w:val="21"/>
              </w:rPr>
              <w:t xml:space="preserve">Windows assigns each user or group a Relative Identifier (RID), the last part of its Security Identifier (SID) — for example, RID 500 is always the built-in Administrator account. RID cycling queries a sequence of RIDs to discover accounts even when normal username listing is restricted.</w:t>
            </w:r>
          </w:p>
        </w:tc>
      </w:tr>
    </w:tbl>
    <w:p>
      <w:pPr>
        <w:spacing w:after="180"/>
      </w:pPr>
    </w:p>
    <w:p>
      <w:pPr>
        <w:pStyle w:val="Heading3"/>
        <w:spacing w:after="120" w:before="240"/>
      </w:pPr>
      <w:r>
        <w:rPr>
          <w:b/>
          <w:bCs/>
          <w:color w:val="0E7C7B"/>
          <w:sz w:val="24"/>
          <w:szCs w:val="24"/>
        </w:rPr>
        <w:t xml:space="preserve">SNMP Walking</w:t>
      </w:r>
    </w:p>
    <w:p>
      <w:pPr>
        <w:spacing w:after="160" w:line="300"/>
      </w:pPr>
      <w:r>
        <w:rPr>
          <w:rFonts w:ascii="Calibri" w:cs="Calibri" w:eastAsia="Calibri" w:hAnsi="Calibri"/>
          <w:color w:val="222222"/>
          <w:sz w:val="22"/>
          <w:szCs w:val="22"/>
        </w:rPr>
        <w:t xml:space="preserve">SNMP (Simple Network Management Protocol, UDP port 161) lets network devices report status and configuration data to a management system, gated by a "community string" — which is very often left at its default value of "public". SNMP walking means querying an SNMP agent through its entire management information base (MIB) tree, which can dump interface lists, routing tables, and installed software.</w:t>
      </w:r>
    </w:p>
    <w:tbl>
      <w:tblPr>
        <w:tblW w:type="pct" w:w="100%"/>
        <w:tblBorders>
          <w:top w:val="single" w:color="888888" w:sz="4"/>
          <w:left w:val="single" w:color="888888" w:sz="4"/>
          <w:bottom w:val="single" w:color="888888" w:sz="4"/>
          <w:right w:val="single" w:color="888888" w:sz="4"/>
          <w:insideH w:val="none" w:color="FFFFFF" w:sz="0"/>
          <w:insideV w:val="none" w:color="FFFFFF" w:sz="0"/>
        </w:tblBorders>
      </w:tblPr>
      <w:tblGrid>
        <w:gridCol w:w="100"/>
      </w:tblGrid>
      <w:tr>
        <w:tc>
          <w:tcPr>
            <w:shd w:fill="F5F5F0" w:val="clear"/>
            <w:tcMar>
              <w:top w:type="dxa" w:w="160"/>
              <w:left w:type="dxa" w:w="200"/>
              <w:bottom w:type="dxa" w:w="160"/>
              <w:right w:type="dxa" w:w="200"/>
            </w:tcMar>
          </w:tcPr>
          <w:p>
            <w:pPr>
              <w:spacing w:after="0"/>
            </w:pPr>
            <w:r>
              <w:rPr>
                <w:rFonts w:ascii="Consolas" w:cs="Consolas" w:eastAsia="Consolas" w:hAnsi="Consolas"/>
                <w:color w:val="222222"/>
                <w:sz w:val="21"/>
                <w:szCs w:val="21"/>
              </w:rPr>
              <w:t xml:space="preserve">snmpwalk -v2c -c public target.com</w:t>
            </w:r>
          </w:p>
        </w:tc>
      </w:tr>
    </w:tbl>
    <w:p>
      <w:pPr>
        <w:spacing w:after="180"/>
      </w:pPr>
    </w:p>
    <w:p>
      <w:pPr>
        <w:pStyle w:val="Heading3"/>
        <w:spacing w:after="120" w:before="240"/>
      </w:pPr>
      <w:r>
        <w:rPr>
          <w:b/>
          <w:bCs/>
          <w:color w:val="0E7C7B"/>
          <w:sz w:val="24"/>
          <w:szCs w:val="24"/>
        </w:rPr>
        <w:t xml:space="preserve">SMTP User Enumeration</w:t>
      </w:r>
    </w:p>
    <w:p>
      <w:pPr>
        <w:spacing w:after="160" w:line="300"/>
      </w:pPr>
      <w:r>
        <w:rPr>
          <w:rFonts w:ascii="Calibri" w:cs="Calibri" w:eastAsia="Calibri" w:hAnsi="Calibri"/>
          <w:color w:val="222222"/>
          <w:sz w:val="22"/>
          <w:szCs w:val="22"/>
        </w:rPr>
        <w:t xml:space="preserve">Some mail servers respond differently to the SMTP commands VRFY (verify a username exists) and EXPN (expand a mailing list) depending on whether the username is valid. An attacker can abuse this difference to build a list of valid email accounts to target, which is why modern mail servers typically disable or restrict these commands.</w:t>
      </w:r>
    </w:p>
    <w:p>
      <w:pPr>
        <w:pStyle w:val="Heading3"/>
        <w:spacing w:after="120" w:before="240"/>
      </w:pPr>
      <w:r>
        <w:rPr>
          <w:b/>
          <w:bCs/>
          <w:color w:val="0E7C7B"/>
          <w:sz w:val="24"/>
          <w:szCs w:val="24"/>
        </w:rPr>
        <w:t xml:space="preserve">NetBIOS</w:t>
      </w:r>
    </w:p>
    <w:p>
      <w:pPr>
        <w:spacing w:after="160" w:line="300"/>
      </w:pPr>
      <w:r>
        <w:rPr>
          <w:rFonts w:ascii="Calibri" w:cs="Calibri" w:eastAsia="Calibri" w:hAnsi="Calibri"/>
          <w:color w:val="222222"/>
          <w:sz w:val="22"/>
          <w:szCs w:val="22"/>
        </w:rPr>
        <w:t xml:space="preserve">NetBIOS provides name resolution and session services on older Windows networks. Enumerating it can reveal a machine's NetBIOS name, workgroup, and MAC address, helping correlate an IP address to a hostname and domain.</w:t>
      </w:r>
    </w:p>
    <w:p>
      <w:pPr>
        <w:pStyle w:val="Heading2"/>
        <w:spacing w:after="160" w:before="320"/>
      </w:pPr>
      <w:r>
        <w:rPr>
          <w:b/>
          <w:bCs/>
          <w:color w:val="1F3864"/>
          <w:sz w:val="28"/>
          <w:szCs w:val="28"/>
        </w:rPr>
        <w:t xml:space="preserve">2.4 Vulnerability Scanning</w:t>
      </w:r>
    </w:p>
    <w:p>
      <w:pPr>
        <w:spacing w:after="160" w:line="300"/>
      </w:pPr>
      <w:r>
        <w:rPr>
          <w:rFonts w:ascii="Calibri" w:cs="Calibri" w:eastAsia="Calibri" w:hAnsi="Calibri"/>
          <w:color w:val="222222"/>
          <w:sz w:val="22"/>
          <w:szCs w:val="22"/>
        </w:rPr>
        <w:t xml:space="preserve">Vulnerability scanning moves from manual enumeration to automated, database-driven assessment, matching the services you found against a database of known weaknesses.</w:t>
      </w:r>
    </w:p>
    <w:p>
      <w:pPr>
        <w:pStyle w:val="Heading3"/>
        <w:spacing w:after="120" w:before="240"/>
      </w:pPr>
      <w:r>
        <w:rPr>
          <w:b/>
          <w:bCs/>
          <w:color w:val="0E7C7B"/>
          <w:sz w:val="24"/>
          <w:szCs w:val="24"/>
        </w:rPr>
        <w:t xml:space="preserve">Reading a Vulnerability Scan Report</w:t>
      </w:r>
    </w:p>
    <w:p>
      <w:pPr>
        <w:spacing w:after="160" w:line="300"/>
      </w:pPr>
      <w:r>
        <w:rPr>
          <w:rFonts w:ascii="Calibri" w:cs="Calibri" w:eastAsia="Calibri" w:hAnsi="Calibri"/>
          <w:color w:val="222222"/>
          <w:sz w:val="22"/>
          <w:szCs w:val="22"/>
        </w:rPr>
        <w:t xml:space="preserve">A scan report typically gives an executive summary (total hosts scanned and a severity breakdown), then per-host findings, each listing the triggered check, the related CVE(s), its CVSS score, a description, and a recommended fix. Reports should be triaged by severity and real-world exploitability, not fixed in a strict top-to-bottom order.</w:t>
      </w:r>
    </w:p>
    <w:p>
      <w:pPr>
        <w:pStyle w:val="Heading3"/>
        <w:spacing w:after="120" w:before="240"/>
      </w:pPr>
      <w:r>
        <w:rPr>
          <w:b/>
          <w:bCs/>
          <w:color w:val="0E7C7B"/>
          <w:sz w:val="24"/>
          <w:szCs w:val="24"/>
        </w:rPr>
        <w:t xml:space="preserve">CVSS v3.1 Score Components</w:t>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4680"/>
        <w:gridCol w:w="4680"/>
      </w:tblGrid>
      <w:tr>
        <w:trPr>
          <w:cantSplit/>
          <w:tblHeader/>
        </w:trPr>
        <w:tc>
          <w:tcPr>
            <w:tcW w:type="dxa" w:w="468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Metric</w:t>
            </w:r>
          </w:p>
        </w:tc>
        <w:tc>
          <w:tcPr>
            <w:tcW w:type="dxa" w:w="468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Meaning</w:t>
            </w:r>
          </w:p>
        </w:tc>
      </w:tr>
      <w:tr>
        <w:trPr>
          <w:cantSplit/>
        </w:trPr>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Attack Vector (AV)</w:t>
            </w:r>
          </w:p>
        </w:tc>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How the vulnerability is reached: Network, Adjacent, Local, or Physical. Network-reachable issues score highest.</w:t>
            </w:r>
          </w:p>
        </w:tc>
      </w:tr>
      <w:tr>
        <w:trPr>
          <w:cantSplit/>
        </w:trPr>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Attack Complexity (AC)</w:t>
            </w:r>
          </w:p>
        </w:tc>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Whether exploitation needs special conditions. Low = reliably exploitable; High = depends on factors outside the attacker's control.</w:t>
            </w:r>
          </w:p>
        </w:tc>
      </w:tr>
      <w:tr>
        <w:trPr>
          <w:cantSplit/>
        </w:trPr>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Privileges Required (PR)</w:t>
            </w:r>
          </w:p>
        </w:tc>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Access level the attacker needs before the attack: None, Low, or High.</w:t>
            </w:r>
          </w:p>
        </w:tc>
      </w:tr>
      <w:tr>
        <w:trPr>
          <w:cantSplit/>
        </w:trPr>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User Interaction (UI)</w:t>
            </w:r>
          </w:p>
        </w:tc>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Whether a victim must act (e.g. click a link) for the attack to succeed: None or Required.</w:t>
            </w:r>
          </w:p>
        </w:tc>
      </w:tr>
      <w:tr>
        <w:trPr>
          <w:cantSplit/>
        </w:trPr>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Scope (S)</w:t>
            </w:r>
          </w:p>
        </w:tc>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Whether the vulnerability can affect resources beyond its own security scope: Unchanged or Changed.</w:t>
            </w:r>
          </w:p>
        </w:tc>
      </w:tr>
      <w:tr>
        <w:trPr>
          <w:cantSplit/>
        </w:trPr>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CIA Impact</w:t>
            </w:r>
          </w:p>
        </w:tc>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Separate Confidentiality, Integrity, and Availability impact ratings, capturing what the exploit actually costs.</w:t>
            </w:r>
          </w:p>
        </w:tc>
      </w:tr>
    </w:tbl>
    <w:p>
      <w:pPr>
        <w:spacing w:after="180"/>
      </w:pPr>
    </w:p>
    <w:p>
      <w:pPr>
        <w:spacing w:after="160" w:line="300"/>
      </w:pPr>
      <w:r>
        <w:rPr>
          <w:rFonts w:ascii="Calibri" w:cs="Calibri" w:eastAsia="Calibri" w:hAnsi="Calibri"/>
          <w:color w:val="222222"/>
          <w:sz w:val="22"/>
          <w:szCs w:val="22"/>
        </w:rPr>
        <w:t xml:space="preserve">These metrics combine into a base score from 0.0 to 10.0, shown alongside every finding on both Nessus and the National Vulnerability Database (NVD).</w:t>
      </w:r>
    </w:p>
    <w:p>
      <w:pPr>
        <w:pStyle w:val="Heading3"/>
        <w:spacing w:after="120" w:before="240"/>
      </w:pPr>
      <w:r>
        <w:rPr>
          <w:b/>
          <w:bCs/>
          <w:color w:val="0E7C7B"/>
          <w:sz w:val="24"/>
          <w:szCs w:val="24"/>
        </w:rPr>
        <w:t xml:space="preserve">CVE Lookup on nvd.nist.gov</w:t>
      </w:r>
    </w:p>
    <w:p>
      <w:pPr>
        <w:spacing w:after="160" w:line="300"/>
      </w:pPr>
      <w:r>
        <w:rPr>
          <w:rFonts w:ascii="Calibri" w:cs="Calibri" w:eastAsia="Calibri" w:hAnsi="Calibri"/>
          <w:color w:val="222222"/>
          <w:sz w:val="22"/>
          <w:szCs w:val="22"/>
        </w:rPr>
        <w:t xml:space="preserve">The National Vulnerability Database (NVD) is the authoritative, freely searchable source of CVE records. A typical workflow is: take a CVE ID or a product/version from a scan finding, search it on nvd.nist.gov, and review the full description, the CVSS vector string, the affected version range, and any linked public exploit code. This step confirms that a finding is accurately scoped before it goes into a final report.</w:t>
      </w:r>
    </w:p>
    <w:p>
      <w:pPr>
        <w:pStyle w:val="Heading3"/>
        <w:spacing w:after="120" w:before="240"/>
      </w:pPr>
      <w:r>
        <w:rPr>
          <w:b/>
          <w:bCs/>
          <w:color w:val="0E7C7B"/>
          <w:sz w:val="24"/>
          <w:szCs w:val="24"/>
        </w:rPr>
        <w:t xml:space="preserve">Differentiating Severity Levels</w:t>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3120"/>
        <w:gridCol w:w="3120"/>
        <w:gridCol w:w="3120"/>
      </w:tblGrid>
      <w:tr>
        <w:trPr>
          <w:cantSplit/>
          <w:tblHeader/>
        </w:trPr>
        <w:tc>
          <w:tcPr>
            <w:tcW w:type="dxa" w:w="312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Severity</w:t>
            </w:r>
          </w:p>
        </w:tc>
        <w:tc>
          <w:tcPr>
            <w:tcW w:type="dxa" w:w="312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CVSS v3.1 Range</w:t>
            </w:r>
          </w:p>
        </w:tc>
        <w:tc>
          <w:tcPr>
            <w:tcW w:type="dxa" w:w="312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Typical Response</w:t>
            </w:r>
          </w:p>
        </w:tc>
      </w:tr>
      <w:tr>
        <w:trPr>
          <w:cantSplit/>
        </w:trPr>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Critical</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9.0 – 10.0</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Remediate immediately — often remotely exploitable with no authentication needed.</w:t>
            </w:r>
          </w:p>
        </w:tc>
      </w:tr>
      <w:tr>
        <w:trPr>
          <w:cantSplit/>
        </w:trPr>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High</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7.0 – 8.9</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Prioritise in the current patch cycle; significant impact or fairly easy exploitation.</w:t>
            </w:r>
          </w:p>
        </w:tc>
      </w:tr>
      <w:tr>
        <w:trPr>
          <w:cantSplit/>
        </w:trPr>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Medium</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4.0 – 6.9</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Schedule remediation; usually needs specific conditions or has limited impact.</w:t>
            </w:r>
          </w:p>
        </w:tc>
      </w:tr>
      <w:tr>
        <w:trPr>
          <w:cantSplit/>
        </w:trPr>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Low</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0.1 – 3.9</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Track and fix opportunistically; minimal standalone impact.</w:t>
            </w:r>
          </w:p>
        </w:tc>
      </w:tr>
    </w:tbl>
    <w:p>
      <w:pPr>
        <w:spacing w:after="180"/>
      </w:pPr>
    </w:p>
    <w:p>
      <w:pPr>
        <w:pStyle w:val="Heading3"/>
        <w:spacing w:after="120" w:before="240"/>
      </w:pPr>
      <w:r>
        <w:rPr>
          <w:b/>
          <w:bCs/>
          <w:color w:val="0E7C7B"/>
          <w:sz w:val="24"/>
          <w:szCs w:val="24"/>
        </w:rPr>
        <w:t xml:space="preserve">False Positives</w:t>
      </w:r>
    </w:p>
    <w:p>
      <w:pPr>
        <w:spacing w:after="160" w:line="300"/>
      </w:pPr>
      <w:r>
        <w:rPr>
          <w:rFonts w:ascii="Calibri" w:cs="Calibri" w:eastAsia="Calibri" w:hAnsi="Calibri"/>
          <w:color w:val="222222"/>
          <w:sz w:val="22"/>
          <w:szCs w:val="22"/>
        </w:rPr>
        <w:t xml:space="preserve">A false positive is a finding the scanner reports, but which does not actually exist or cannot be exploited on the real target — for example, a banner-based version match against a product whose vendor backported a security fix without changing the version number. Common causes include version-string spoofing, WAFs altering responses, and outdated scanner plugin logic. Every critical or high finding should be manually verified — by banner grabbing, changelog review, or a safe manual test — before it is included in a final report, because reporting unverified findings wastes the client's remediation effort and damages trust.</w:t>
      </w:r>
    </w:p>
    <w:p>
      <w:pPr>
        <w:pStyle w:val="Heading1"/>
        <w:pageBreakBefore/>
        <w:pBdr>
          <w:bottom w:val="single" w:color="1F3864" w:sz="12" w:space="4"/>
        </w:pBdr>
        <w:spacing w:after="240" w:before="0"/>
      </w:pPr>
      <w:r>
        <w:rPr>
          <w:b/>
          <w:bCs/>
          <w:color w:val="1F3864"/>
          <w:sz w:val="36"/>
          <w:szCs w:val="36"/>
        </w:rPr>
        <w:t xml:space="preserve">Unit III — Exploitation &amp; Post-Exploitation</w:t>
      </w:r>
    </w:p>
    <w:p>
      <w:pPr>
        <w:pStyle w:val="Heading2"/>
        <w:spacing w:after="160" w:before="320"/>
      </w:pPr>
      <w:r>
        <w:rPr>
          <w:b/>
          <w:bCs/>
          <w:color w:val="1F3864"/>
          <w:sz w:val="28"/>
          <w:szCs w:val="28"/>
        </w:rPr>
        <w:t xml:space="preserve">3.1 Metasploit Framework Architecture</w:t>
      </w:r>
    </w:p>
    <w:p>
      <w:pPr>
        <w:spacing w:after="160" w:line="300"/>
      </w:pPr>
      <w:r>
        <w:rPr>
          <w:rFonts w:ascii="Calibri" w:cs="Calibri" w:eastAsia="Calibri" w:hAnsi="Calibri"/>
          <w:color w:val="222222"/>
          <w:sz w:val="22"/>
          <w:szCs w:val="22"/>
        </w:rPr>
        <w:t xml:space="preserve">The Metasploit Framework is the most widely used platform for developing, testing, and running exploits in a controlled way. It organises its functionality into modules, so a tester combines ready-made building blocks instead of writing an attack from scratch each time.</w:t>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4680"/>
        <w:gridCol w:w="4680"/>
      </w:tblGrid>
      <w:tr>
        <w:trPr>
          <w:cantSplit/>
          <w:tblHeader/>
        </w:trPr>
        <w:tc>
          <w:tcPr>
            <w:tcW w:type="dxa" w:w="468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Module Type</w:t>
            </w:r>
          </w:p>
        </w:tc>
        <w:tc>
          <w:tcPr>
            <w:tcW w:type="dxa" w:w="468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Purpose</w:t>
            </w:r>
          </w:p>
        </w:tc>
      </w:tr>
      <w:tr>
        <w:trPr>
          <w:cantSplit/>
        </w:trPr>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Auxiliary</w:t>
            </w:r>
          </w:p>
        </w:tc>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Supporting actions that are not exploits themselves — scanners, fuzzers, login brute-forcers.</w:t>
            </w:r>
          </w:p>
        </w:tc>
      </w:tr>
      <w:tr>
        <w:trPr>
          <w:cantSplit/>
        </w:trPr>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Exploit</w:t>
            </w:r>
          </w:p>
        </w:tc>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Code that takes advantage of a specific vulnerability to execute attacker-supplied code on the target.</w:t>
            </w:r>
          </w:p>
        </w:tc>
      </w:tr>
      <w:tr>
        <w:trPr>
          <w:cantSplit/>
        </w:trPr>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Payload</w:t>
            </w:r>
          </w:p>
        </w:tc>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actual code that runs after an exploit succeeds — e.g. opening a shell or a Meterpreter session.</w:t>
            </w:r>
          </w:p>
        </w:tc>
      </w:tr>
      <w:tr>
        <w:trPr>
          <w:cantSplit/>
        </w:trPr>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Encoder</w:t>
            </w:r>
          </w:p>
        </w:tc>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Reshapes a payload's bytes to avoid bad characters or basic signature-based detection.</w:t>
            </w:r>
          </w:p>
        </w:tc>
      </w:tr>
      <w:tr>
        <w:trPr>
          <w:cantSplit/>
        </w:trPr>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NOP</w:t>
            </w:r>
          </w:p>
        </w:tc>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"No operation" padding used to keep a payload's memory alignment stable during an exploit.</w:t>
            </w:r>
          </w:p>
        </w:tc>
      </w:tr>
      <w:tr>
        <w:trPr>
          <w:cantSplit/>
        </w:trPr>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Post</w:t>
            </w:r>
          </w:p>
        </w:tc>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Modules that run after a session is already established — gathering data, escalating privileges, pivoting.</w:t>
            </w:r>
          </w:p>
        </w:tc>
      </w:tr>
    </w:tbl>
    <w:p>
      <w:pPr>
        <w:spacing w:after="180"/>
      </w:pPr>
    </w:p>
    <w:p>
      <w:pPr>
        <w:pStyle w:val="Heading2"/>
        <w:spacing w:after="160" w:before="320"/>
      </w:pPr>
      <w:r>
        <w:rPr>
          <w:b/>
          <w:bCs/>
          <w:color w:val="1F3864"/>
          <w:sz w:val="28"/>
          <w:szCs w:val="28"/>
        </w:rPr>
        <w:t xml:space="preserve">3.2 msfconsole Commands and Core Variables</w:t>
      </w:r>
    </w:p>
    <w:p>
      <w:pPr>
        <w:spacing w:after="160" w:line="300"/>
      </w:pPr>
      <w:r>
        <w:rPr>
          <w:rFonts w:ascii="Calibri" w:cs="Calibri" w:eastAsia="Calibri" w:hAnsi="Calibri"/>
          <w:color w:val="222222"/>
          <w:sz w:val="22"/>
          <w:szCs w:val="22"/>
        </w:rPr>
        <w:t xml:space="preserve">msfconsole is Metasploit's main interactive interface. A typical exploitation session uses a small, repeatable set of commands:</w:t>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4680"/>
        <w:gridCol w:w="4680"/>
      </w:tblGrid>
      <w:tr>
        <w:trPr>
          <w:cantSplit/>
          <w:tblHeader/>
        </w:trPr>
        <w:tc>
          <w:tcPr>
            <w:tcW w:type="dxa" w:w="468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Command</w:t>
            </w:r>
          </w:p>
        </w:tc>
        <w:tc>
          <w:tcPr>
            <w:tcW w:type="dxa" w:w="468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Purpose</w:t>
            </w:r>
          </w:p>
        </w:tc>
      </w:tr>
      <w:tr>
        <w:trPr>
          <w:cantSplit/>
        </w:trPr>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search</w:t>
            </w:r>
          </w:p>
        </w:tc>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Finds a module by name, CVE, or platform</w:t>
            </w:r>
          </w:p>
        </w:tc>
      </w:tr>
      <w:tr>
        <w:trPr>
          <w:cantSplit/>
        </w:trPr>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use</w:t>
            </w:r>
          </w:p>
        </w:tc>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Loads a chosen module to work with</w:t>
            </w:r>
          </w:p>
        </w:tc>
      </w:tr>
      <w:tr>
        <w:trPr>
          <w:cantSplit/>
        </w:trPr>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show options</w:t>
            </w:r>
          </w:p>
        </w:tc>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Lists the settings a module needs (target IP, port, payload, etc.)</w:t>
            </w:r>
          </w:p>
        </w:tc>
      </w:tr>
      <w:tr>
        <w:trPr>
          <w:cantSplit/>
        </w:trPr>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set</w:t>
            </w:r>
          </w:p>
        </w:tc>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Assigns a value to one of those options</w:t>
            </w:r>
          </w:p>
        </w:tc>
      </w:tr>
      <w:tr>
        <w:trPr>
          <w:cantSplit/>
        </w:trPr>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run / exploit</w:t>
            </w:r>
          </w:p>
        </w:tc>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Executes the loaded module</w:t>
            </w:r>
          </w:p>
        </w:tc>
      </w:tr>
      <w:tr>
        <w:trPr>
          <w:cantSplit/>
        </w:trPr>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back</w:t>
            </w:r>
          </w:p>
        </w:tc>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Unloads the current module without closing msfconsole</w:t>
            </w:r>
          </w:p>
        </w:tc>
      </w:tr>
      <w:tr>
        <w:trPr>
          <w:cantSplit/>
        </w:trPr>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sessions</w:t>
            </w:r>
          </w:p>
        </w:tc>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Lists and interacts with active sessions opened on compromised targets</w:t>
            </w:r>
          </w:p>
        </w:tc>
      </w:tr>
    </w:tbl>
    <w:p>
      <w:pPr>
        <w:spacing w:after="180"/>
      </w:pPr>
    </w:p>
    <w:p>
      <w:pPr>
        <w:spacing w:after="160" w:line="300"/>
      </w:pPr>
      <w:r>
        <w:rPr>
          <w:rFonts w:ascii="Calibri" w:cs="Calibri" w:eastAsia="Calibri" w:hAnsi="Calibri"/>
          <w:color w:val="222222"/>
          <w:sz w:val="22"/>
          <w:szCs w:val="22"/>
        </w:rPr>
        <w:t xml:space="preserve">Every exploit and payload needs to know where to connect, using four standard variables:</w:t>
      </w:r>
    </w:p>
    <w:p>
      <w:pPr>
        <w:pStyle w:val="ListParagraph"/>
        <w:numPr>
          <w:ilvl w:val="0"/>
          <w:numId w:val="2"/>
        </w:numPr>
        <w:spacing w:after="90" w:line="290"/>
      </w:pPr>
      <w:r>
        <w:rPr>
          <w:rFonts w:ascii="Calibri" w:cs="Calibri" w:eastAsia="Calibri" w:hAnsi="Calibri"/>
          <w:color w:val="222222"/>
          <w:sz w:val="22"/>
          <w:szCs w:val="22"/>
        </w:rPr>
        <w:t xml:space="preserve">RHOST / RPORT — the remote (target) host and port being attacked.</w:t>
      </w:r>
    </w:p>
    <w:p>
      <w:pPr>
        <w:pStyle w:val="ListParagraph"/>
        <w:numPr>
          <w:ilvl w:val="0"/>
          <w:numId w:val="2"/>
        </w:numPr>
        <w:spacing w:after="90" w:line="290"/>
      </w:pPr>
      <w:r>
        <w:rPr>
          <w:rFonts w:ascii="Calibri" w:cs="Calibri" w:eastAsia="Calibri" w:hAnsi="Calibri"/>
          <w:color w:val="222222"/>
          <w:sz w:val="22"/>
          <w:szCs w:val="22"/>
        </w:rPr>
        <w:t xml:space="preserve">LHOST / LPORT — the local (attacker) host and port that a reverse payload should "call back" to.</w:t>
      </w:r>
    </w:p>
    <w:p>
      <w:pPr>
        <w:spacing w:after="100"/>
      </w:pPr>
    </w:p>
    <w:p>
      <w:pPr>
        <w:pStyle w:val="Heading2"/>
        <w:spacing w:after="160" w:before="320"/>
      </w:pPr>
      <w:r>
        <w:rPr>
          <w:b/>
          <w:bCs/>
          <w:color w:val="1F3864"/>
          <w:sz w:val="28"/>
          <w:szCs w:val="28"/>
        </w:rPr>
        <w:t xml:space="preserve">3.3 Payloads: Staged vs. Stageless</w:t>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3120"/>
        <w:gridCol w:w="3120"/>
        <w:gridCol w:w="3120"/>
      </w:tblGrid>
      <w:tr>
        <w:trPr>
          <w:cantSplit/>
          <w:tblHeader/>
        </w:trPr>
        <w:tc>
          <w:tcPr>
            <w:tcW w:type="dxa" w:w="312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Type</w:t>
            </w:r>
          </w:p>
        </w:tc>
        <w:tc>
          <w:tcPr>
            <w:tcW w:type="dxa" w:w="312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Example</w:t>
            </w:r>
          </w:p>
        </w:tc>
        <w:tc>
          <w:tcPr>
            <w:tcW w:type="dxa" w:w="312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How It Works</w:t>
            </w:r>
          </w:p>
        </w:tc>
      </w:tr>
      <w:tr>
        <w:trPr>
          <w:cantSplit/>
        </w:trPr>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Staged</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windows/meterpreter/reverse_tcp</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Sends a tiny first-stage payload that then downloads and loads the full, larger payload (like Meterpreter) over the connection. Smaller initial footprint.</w:t>
            </w:r>
          </w:p>
        </w:tc>
      </w:tr>
      <w:tr>
        <w:trPr>
          <w:cantSplit/>
        </w:trPr>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Stageless</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windows/shell_reverse_tcp</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complete payload is sent in one piece — a single, self-contained package. Simpler, but larger.</w:t>
            </w:r>
          </w:p>
        </w:tc>
      </w:tr>
    </w:tbl>
    <w:p>
      <w:pPr>
        <w:spacing w:after="180"/>
      </w:pPr>
    </w:p>
    <w:p>
      <w:pPr>
        <w:spacing w:after="160" w:line="300"/>
      </w:pPr>
      <w:r>
        <w:rPr>
          <w:rFonts w:ascii="Calibri" w:cs="Calibri" w:eastAsia="Calibri" w:hAnsi="Calibri"/>
          <w:color w:val="222222"/>
          <w:sz w:val="22"/>
          <w:szCs w:val="22"/>
        </w:rPr>
        <w:t xml:space="preserve">MSFvenom is Metasploit's standalone tool for generating a payload file in the exact format needed (an .exe, an .elf, a web shell, etc.), independent of msfconsole — useful when you need to hand a crafted payload to another step of an engagement.</w:t>
      </w:r>
    </w:p>
    <w:p>
      <w:pPr>
        <w:pStyle w:val="Heading2"/>
        <w:spacing w:after="160" w:before="320"/>
      </w:pPr>
      <w:r>
        <w:rPr>
          <w:b/>
          <w:bCs/>
          <w:color w:val="1F3864"/>
          <w:sz w:val="28"/>
          <w:szCs w:val="28"/>
        </w:rPr>
        <w:t xml:space="preserve">3.4 Listener Setup and Meterpreter Commands</w:t>
      </w:r>
    </w:p>
    <w:p>
      <w:pPr>
        <w:spacing w:after="160" w:line="300"/>
      </w:pPr>
      <w:r>
        <w:rPr>
          <w:rFonts w:ascii="Calibri" w:cs="Calibri" w:eastAsia="Calibri" w:hAnsi="Calibri"/>
          <w:color w:val="222222"/>
          <w:sz w:val="22"/>
          <w:szCs w:val="22"/>
        </w:rPr>
        <w:t xml:space="preserve">A reverse payload needs something on the attacker side waiting for the connection — this is the listener, usually set up with Metasploit's multi/handler module matching the same payload type, LHOST, and LPORT used when the payload was generated.</w:t>
      </w:r>
    </w:p>
    <w:p>
      <w:pPr>
        <w:spacing w:after="160" w:line="300"/>
      </w:pPr>
      <w:r>
        <w:rPr>
          <w:rFonts w:ascii="Calibri" w:cs="Calibri" w:eastAsia="Calibri" w:hAnsi="Calibri"/>
          <w:color w:val="222222"/>
          <w:sz w:val="22"/>
          <w:szCs w:val="22"/>
        </w:rPr>
        <w:t xml:space="preserve">Once a Meterpreter session is open, a small set of commands covers most post-exploitation needs:</w:t>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4680"/>
        <w:gridCol w:w="4680"/>
      </w:tblGrid>
      <w:tr>
        <w:trPr>
          <w:cantSplit/>
          <w:tblHeader/>
        </w:trPr>
        <w:tc>
          <w:tcPr>
            <w:tcW w:type="dxa" w:w="468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Command</w:t>
            </w:r>
          </w:p>
        </w:tc>
        <w:tc>
          <w:tcPr>
            <w:tcW w:type="dxa" w:w="468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Purpose</w:t>
            </w:r>
          </w:p>
        </w:tc>
      </w:tr>
      <w:tr>
        <w:trPr>
          <w:cantSplit/>
        </w:trPr>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sysinfo</w:t>
            </w:r>
          </w:p>
        </w:tc>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Shows the target's OS and architecture</w:t>
            </w:r>
          </w:p>
        </w:tc>
      </w:tr>
      <w:tr>
        <w:trPr>
          <w:cantSplit/>
        </w:trPr>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getuid</w:t>
            </w:r>
          </w:p>
        </w:tc>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Shows which user account the session is running as</w:t>
            </w:r>
          </w:p>
        </w:tc>
      </w:tr>
      <w:tr>
        <w:trPr>
          <w:cantSplit/>
        </w:trPr>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ps</w:t>
            </w:r>
          </w:p>
        </w:tc>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Lists running processes on the target</w:t>
            </w:r>
          </w:p>
        </w:tc>
      </w:tr>
      <w:tr>
        <w:trPr>
          <w:cantSplit/>
        </w:trPr>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download / upload</w:t>
            </w:r>
          </w:p>
        </w:tc>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Transfers files between attacker and target</w:t>
            </w:r>
          </w:p>
        </w:tc>
      </w:tr>
      <w:tr>
        <w:trPr>
          <w:cantSplit/>
        </w:trPr>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shell</w:t>
            </w:r>
          </w:p>
        </w:tc>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Drops into a native command shell on the target</w:t>
            </w:r>
          </w:p>
        </w:tc>
      </w:tr>
      <w:tr>
        <w:trPr>
          <w:cantSplit/>
        </w:trPr>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migrate</w:t>
            </w:r>
          </w:p>
        </w:tc>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Moves the session into a different, more stable process</w:t>
            </w:r>
          </w:p>
        </w:tc>
      </w:tr>
      <w:tr>
        <w:trPr>
          <w:cantSplit/>
        </w:trPr>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hashdump</w:t>
            </w:r>
          </w:p>
        </w:tc>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Dumps password hashes from the target (after sufficient privileges are gained)</w:t>
            </w:r>
          </w:p>
        </w:tc>
      </w:tr>
      <w:tr>
        <w:trPr>
          <w:cantSplit/>
        </w:trPr>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run post/multi/recon/local_exploit_suggester</w:t>
            </w:r>
          </w:p>
        </w:tc>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Automatically checks the target for known local privilege-escalation exploits</w:t>
            </w:r>
          </w:p>
        </w:tc>
      </w:tr>
    </w:tbl>
    <w:p>
      <w:pPr>
        <w:spacing w:after="180"/>
      </w:pPr>
    </w:p>
    <w:p>
      <w:pPr>
        <w:pStyle w:val="Heading2"/>
        <w:spacing w:after="160" w:before="320"/>
      </w:pPr>
      <w:r>
        <w:rPr>
          <w:b/>
          <w:bCs/>
          <w:color w:val="1F3864"/>
          <w:sz w:val="28"/>
          <w:szCs w:val="28"/>
        </w:rPr>
        <w:t xml:space="preserve">3.5 Privilege Escalation — Linux</w:t>
      </w:r>
    </w:p>
    <w:p>
      <w:pPr>
        <w:spacing w:after="160" w:line="300"/>
      </w:pPr>
      <w:r>
        <w:rPr>
          <w:rFonts w:ascii="Calibri" w:cs="Calibri" w:eastAsia="Calibri" w:hAnsi="Calibri"/>
          <w:color w:val="222222"/>
          <w:sz w:val="22"/>
          <w:szCs w:val="22"/>
        </w:rPr>
        <w:t xml:space="preserve">A foothold from an exploit is often a low-privilege shell (for example, running as the daemon user). Privilege escalation is the process of turning that into root access.</w:t>
      </w:r>
    </w:p>
    <w:p>
      <w:pPr>
        <w:pStyle w:val="ListParagraph"/>
        <w:numPr>
          <w:ilvl w:val="0"/>
          <w:numId w:val="2"/>
        </w:numPr>
        <w:spacing w:after="90" w:line="290"/>
      </w:pPr>
      <w:r>
        <w:rPr>
          <w:rFonts w:ascii="Calibri" w:cs="Calibri" w:eastAsia="Calibri" w:hAnsi="Calibri"/>
          <w:color w:val="222222"/>
          <w:sz w:val="22"/>
          <w:szCs w:val="22"/>
        </w:rPr>
        <w:t xml:space="preserve">sudo -l — lists commands the current user is allowed to run with sudo. If a user can run a text editor or scripting tool as root, that is often a direct path to full root access.</w:t>
      </w:r>
    </w:p>
    <w:p>
      <w:pPr>
        <w:pStyle w:val="ListParagraph"/>
        <w:numPr>
          <w:ilvl w:val="0"/>
          <w:numId w:val="2"/>
        </w:numPr>
        <w:spacing w:after="90" w:line="290"/>
      </w:pPr>
      <w:r>
        <w:rPr>
          <w:rFonts w:ascii="Calibri" w:cs="Calibri" w:eastAsia="Calibri" w:hAnsi="Calibri"/>
          <w:color w:val="222222"/>
          <w:sz w:val="22"/>
          <w:szCs w:val="22"/>
        </w:rPr>
        <w:t xml:space="preserve">Finding SUID binaries — find / -perm -4000 -type f 2&gt;/dev/null lists files that always run with their owner's privileges, regardless of who executes them. If one of these is owned by root and misconfigured, it can be abused to get a root shell.</w:t>
      </w:r>
    </w:p>
    <w:p>
      <w:pPr>
        <w:pStyle w:val="ListParagraph"/>
        <w:numPr>
          <w:ilvl w:val="0"/>
          <w:numId w:val="2"/>
        </w:numPr>
        <w:spacing w:after="90" w:line="290"/>
      </w:pPr>
      <w:r>
        <w:rPr>
          <w:rFonts w:ascii="Calibri" w:cs="Calibri" w:eastAsia="Calibri" w:hAnsi="Calibri"/>
          <w:color w:val="222222"/>
          <w:sz w:val="22"/>
          <w:szCs w:val="22"/>
        </w:rPr>
        <w:t xml:space="preserve">GTFOBins — a curated, public list of standard Unix binaries (like vim, find, or cp) and the exact commands to abuse each one for privilege escalation once it is runnable as root through sudo or as SUID.</w:t>
      </w:r>
    </w:p>
    <w:p>
      <w:pPr>
        <w:pStyle w:val="ListParagraph"/>
        <w:numPr>
          <w:ilvl w:val="0"/>
          <w:numId w:val="2"/>
        </w:numPr>
        <w:spacing w:after="90" w:line="290"/>
      </w:pPr>
      <w:r>
        <w:rPr>
          <w:rFonts w:ascii="Calibri" w:cs="Calibri" w:eastAsia="Calibri" w:hAnsi="Calibri"/>
          <w:color w:val="222222"/>
          <w:sz w:val="22"/>
          <w:szCs w:val="22"/>
        </w:rPr>
        <w:t xml:space="preserve">After reaching root, reading /etc/shadow (which only root can read) confirms privilege escalation succeeded, since it holds every local user's password hash.</w:t>
      </w:r>
    </w:p>
    <w:p>
      <w:pPr>
        <w:spacing w:after="100"/>
      </w:pPr>
    </w:p>
    <w:tbl>
      <w:tblPr>
        <w:tblW w:type="pct" w:w="100%"/>
        <w:tblBorders>
          <w:top w:val="single" w:color="B8860B" w:sz="4"/>
          <w:left w:val="single" w:color="B8860B" w:sz="4"/>
          <w:bottom w:val="single" w:color="B8860B" w:sz="4"/>
          <w:right w:val="single" w:color="B8860B" w:sz="4"/>
          <w:insideH w:val="none" w:color="FFFFFF" w:sz="0"/>
          <w:insideV w:val="none" w:color="FFFFFF" w:sz="0"/>
        </w:tblBorders>
      </w:tblPr>
      <w:tblGrid>
        <w:gridCol w:w="100"/>
      </w:tblGrid>
      <w:tr>
        <w:tc>
          <w:tcPr>
            <w:shd w:fill="FFF6E5" w:val="clear"/>
            <w:tcMar>
              <w:top w:type="dxa" w:w="160"/>
              <w:left w:type="dxa" w:w="200"/>
              <w:bottom w:type="dxa" w:w="160"/>
              <w:right w:type="dxa" w:w="200"/>
            </w:tcMar>
          </w:tcPr>
          <w:p>
            <w:pPr>
              <w:spacing w:after="80"/>
            </w:pPr>
            <w:r>
              <w:rPr>
                <w:rFonts w:ascii="Calibri" w:cs="Calibri" w:eastAsia="Calibri" w:hAnsi="Calibri"/>
                <w:b/>
                <w:bCs/>
                <w:color w:val="B8860B"/>
                <w:sz w:val="21"/>
                <w:szCs w:val="21"/>
              </w:rPr>
              <w:t xml:space="preserve">✎ Example — A SUID walkthrough (conceptual)</w:t>
            </w:r>
          </w:p>
          <w:p>
            <w:pPr>
              <w:spacing w:after="0"/>
            </w:pPr>
            <w:r>
              <w:rPr>
                <w:rFonts w:ascii="Calibri" w:cs="Calibri" w:eastAsia="Calibri" w:hAnsi="Calibri"/>
                <w:color w:val="222222"/>
                <w:sz w:val="21"/>
                <w:szCs w:val="21"/>
              </w:rPr>
              <w:t xml:space="preserve">Suppose find is marked SUID-root on a lab machine. Because find can spawn other programs, running find . -exec /bin/sh -p \; executes a shell that inherits find's root privileges — turning a low-privilege shell into a root shell. This exact technique, and many others like it, are documented for a wide range of binaries on GTFOBins.</w:t>
            </w:r>
          </w:p>
        </w:tc>
      </w:tr>
    </w:tbl>
    <w:p>
      <w:pPr>
        <w:spacing w:after="180"/>
      </w:pPr>
    </w:p>
    <w:p>
      <w:pPr>
        <w:pStyle w:val="Heading2"/>
        <w:spacing w:after="160" w:before="320"/>
      </w:pPr>
      <w:r>
        <w:rPr>
          <w:b/>
          <w:bCs/>
          <w:color w:val="1F3864"/>
          <w:sz w:val="28"/>
          <w:szCs w:val="28"/>
        </w:rPr>
        <w:t xml:space="preserve">3.6 Privilege Escalation — Windows</w:t>
      </w:r>
    </w:p>
    <w:p>
      <w:pPr>
        <w:pStyle w:val="ListParagraph"/>
        <w:numPr>
          <w:ilvl w:val="0"/>
          <w:numId w:val="2"/>
        </w:numPr>
        <w:spacing w:after="90" w:line="290"/>
      </w:pPr>
      <w:r>
        <w:rPr>
          <w:rFonts w:ascii="Calibri" w:cs="Calibri" w:eastAsia="Calibri" w:hAnsi="Calibri"/>
          <w:color w:val="222222"/>
          <w:sz w:val="22"/>
          <w:szCs w:val="22"/>
        </w:rPr>
        <w:t xml:space="preserve">Unquoted service paths — if a Windows service's executable path contains spaces and is not wrapped in quotes, Windows will try several shorter paths in sequence before the real one. Placing a malicious executable at one of those earlier paths can make Windows run it with the service's (often SYSTEM) privileges.</w:t>
      </w:r>
    </w:p>
    <w:p>
      <w:pPr>
        <w:pStyle w:val="ListParagraph"/>
        <w:numPr>
          <w:ilvl w:val="0"/>
          <w:numId w:val="2"/>
        </w:numPr>
        <w:spacing w:after="90" w:line="290"/>
      </w:pPr>
      <w:r>
        <w:rPr>
          <w:rFonts w:ascii="Calibri" w:cs="Calibri" w:eastAsia="Calibri" w:hAnsi="Calibri"/>
          <w:color w:val="222222"/>
          <w:sz w:val="22"/>
          <w:szCs w:val="22"/>
        </w:rPr>
        <w:t xml:space="preserve">Weak registry permissions — if a low-privilege user can modify the registry key that defines how a privileged service starts, they can point it at their own malicious program.</w:t>
      </w:r>
    </w:p>
    <w:p>
      <w:pPr>
        <w:pStyle w:val="ListParagraph"/>
        <w:numPr>
          <w:ilvl w:val="0"/>
          <w:numId w:val="2"/>
        </w:numPr>
        <w:spacing w:after="90" w:line="290"/>
      </w:pPr>
      <w:r>
        <w:rPr>
          <w:rFonts w:ascii="Calibri" w:cs="Calibri" w:eastAsia="Calibri" w:hAnsi="Calibri"/>
          <w:color w:val="222222"/>
          <w:sz w:val="22"/>
          <w:szCs w:val="22"/>
        </w:rPr>
        <w:t xml:space="preserve">Token impersonation (getsystem) — Meterpreter's getsystem command tries several known Windows token-impersonation techniques to escalate an administrator-level session to full SYSTEM privileges.</w:t>
      </w:r>
    </w:p>
    <w:p>
      <w:pPr>
        <w:spacing w:after="100"/>
      </w:pPr>
    </w:p>
    <w:p>
      <w:pPr>
        <w:pStyle w:val="Heading2"/>
        <w:spacing w:after="160" w:before="320"/>
      </w:pPr>
      <w:r>
        <w:rPr>
          <w:b/>
          <w:bCs/>
          <w:color w:val="1F3864"/>
          <w:sz w:val="28"/>
          <w:szCs w:val="28"/>
        </w:rPr>
        <w:t xml:space="preserve">3.7 Password Attacks</w:t>
      </w:r>
    </w:p>
    <w:p>
      <w:pPr>
        <w:spacing w:after="160" w:line="300"/>
      </w:pPr>
      <w:r>
        <w:rPr>
          <w:rFonts w:ascii="Calibri" w:cs="Calibri" w:eastAsia="Calibri" w:hAnsi="Calibri"/>
          <w:color w:val="222222"/>
          <w:sz w:val="22"/>
          <w:szCs w:val="22"/>
        </w:rPr>
        <w:t xml:space="preserve">Once password hashes or login forms are reachable, several tools help test how strong the organisation's passwords really are.</w:t>
      </w:r>
    </w:p>
    <w:p>
      <w:pPr>
        <w:pStyle w:val="Heading3"/>
        <w:spacing w:after="120" w:before="240"/>
      </w:pPr>
      <w:r>
        <w:rPr>
          <w:b/>
          <w:bCs/>
          <w:color w:val="0E7C7B"/>
          <w:sz w:val="24"/>
          <w:szCs w:val="24"/>
        </w:rPr>
        <w:t xml:space="preserve">Identifying Hash Types</w:t>
      </w:r>
    </w:p>
    <w:p>
      <w:pPr>
        <w:spacing w:after="160" w:line="300"/>
      </w:pPr>
      <w:r>
        <w:rPr>
          <w:rFonts w:ascii="Calibri" w:cs="Calibri" w:eastAsia="Calibri" w:hAnsi="Calibri"/>
          <w:color w:val="222222"/>
          <w:sz w:val="22"/>
          <w:szCs w:val="22"/>
        </w:rPr>
        <w:t xml:space="preserve">Different hashing algorithms (MD5, SHA-1, NTLM, bcrypt) produce hashes of different lengths and formats. Correctly identifying the hash type is the first step, because cracking tools need to know which algorithm to attempt.</w:t>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4680"/>
        <w:gridCol w:w="4680"/>
      </w:tblGrid>
      <w:tr>
        <w:trPr>
          <w:cantSplit/>
          <w:tblHeader/>
        </w:trPr>
        <w:tc>
          <w:tcPr>
            <w:tcW w:type="dxa" w:w="468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Tool</w:t>
            </w:r>
          </w:p>
        </w:tc>
        <w:tc>
          <w:tcPr>
            <w:tcW w:type="dxa" w:w="468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Primary Use</w:t>
            </w:r>
          </w:p>
        </w:tc>
      </w:tr>
      <w:tr>
        <w:trPr>
          <w:cantSplit/>
        </w:trPr>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John the Ripper</w:t>
            </w:r>
          </w:p>
        </w:tc>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Dictionary attack against a hash file — tries every word in a wordlist like rockyou.txt against the given hash.</w:t>
            </w:r>
          </w:p>
        </w:tc>
      </w:tr>
      <w:tr>
        <w:trPr>
          <w:cantSplit/>
        </w:trPr>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Hashcat</w:t>
            </w:r>
          </w:p>
        </w:tc>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GPU-accelerated cracker that supports many hash types, selected with a mode number, and is much faster than CPU-based cracking for large wordlists.</w:t>
            </w:r>
          </w:p>
        </w:tc>
      </w:tr>
      <w:tr>
        <w:trPr>
          <w:cantSplit/>
        </w:trPr>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Hydra</w:t>
            </w:r>
          </w:p>
        </w:tc>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Online brute-force against live login services — such as SSH or an HTTP login form — by trying many username/password combinations directly against the service.</w:t>
            </w:r>
          </w:p>
        </w:tc>
      </w:tr>
    </w:tbl>
    <w:p>
      <w:pPr>
        <w:spacing w:after="180"/>
      </w:pPr>
    </w:p>
    <w:p>
      <w:pPr>
        <w:spacing w:after="160" w:line="300"/>
      </w:pPr>
      <w:r>
        <w:rPr>
          <w:rFonts w:ascii="Calibri" w:cs="Calibri" w:eastAsia="Calibri" w:hAnsi="Calibri"/>
          <w:color w:val="222222"/>
          <w:sz w:val="22"/>
          <w:szCs w:val="22"/>
        </w:rPr>
        <w:t xml:space="preserve">Rockyou.txt is a very large, commonly used wordlist of real passwords leaked from a past breach, making it effective for finding weak, reused, or predictable passwords in a lab exercise.</w:t>
      </w:r>
    </w:p>
    <w:tbl>
      <w:tblPr>
        <w:tblW w:type="pct" w:w="100%"/>
        <w:tblBorders>
          <w:top w:val="single" w:color="1E7B45" w:sz="4"/>
          <w:left w:val="single" w:color="1E7B45" w:sz="4"/>
          <w:bottom w:val="single" w:color="1E7B45" w:sz="4"/>
          <w:right w:val="single" w:color="1E7B45" w:sz="4"/>
          <w:insideH w:val="none" w:color="FFFFFF" w:sz="0"/>
          <w:insideV w:val="none" w:color="FFFFFF" w:sz="0"/>
        </w:tblBorders>
      </w:tblPr>
      <w:tblGrid>
        <w:gridCol w:w="100"/>
      </w:tblGrid>
      <w:tr>
        <w:tc>
          <w:tcPr>
            <w:shd w:fill="E9F7EF" w:val="clear"/>
            <w:tcMar>
              <w:top w:type="dxa" w:w="160"/>
              <w:left w:type="dxa" w:w="200"/>
              <w:bottom w:type="dxa" w:w="160"/>
              <w:right w:type="dxa" w:w="200"/>
            </w:tcMar>
          </w:tcPr>
          <w:p>
            <w:pPr>
              <w:spacing w:after="80"/>
            </w:pPr>
            <w:r>
              <w:rPr>
                <w:rFonts w:ascii="Calibri" w:cs="Calibri" w:eastAsia="Calibri" w:hAnsi="Calibri"/>
                <w:b/>
                <w:bCs/>
                <w:color w:val="1E7B45"/>
                <w:sz w:val="21"/>
                <w:szCs w:val="21"/>
              </w:rPr>
              <w:t xml:space="preserve">⚠ Why salting matters</w:t>
            </w:r>
          </w:p>
          <w:p>
            <w:pPr>
              <w:spacing w:after="0"/>
            </w:pPr>
            <w:r>
              <w:rPr>
                <w:rFonts w:ascii="Calibri" w:cs="Calibri" w:eastAsia="Calibri" w:hAnsi="Calibri"/>
                <w:color w:val="222222"/>
                <w:sz w:val="21"/>
                <w:szCs w:val="21"/>
              </w:rPr>
              <w:t xml:space="preserve">A salt is random data added to a password before hashing, so that two users with the same password get different hashes, and a pre-computed table of common hashes (like rockyou.txt hashes) becomes useless against a salted hash — each password must now be cracked individually, massively increasing the time required.</w:t>
            </w:r>
          </w:p>
        </w:tc>
      </w:tr>
    </w:tbl>
    <w:p>
      <w:pPr>
        <w:spacing w:after="180"/>
      </w:pPr>
    </w:p>
    <w:p>
      <w:pPr>
        <w:pStyle w:val="Heading1"/>
        <w:pageBreakBefore/>
        <w:pBdr>
          <w:bottom w:val="single" w:color="1F3864" w:sz="12" w:space="4"/>
        </w:pBdr>
        <w:spacing w:after="240" w:before="0"/>
      </w:pPr>
      <w:r>
        <w:rPr>
          <w:b/>
          <w:bCs/>
          <w:color w:val="1F3864"/>
          <w:sz w:val="36"/>
          <w:szCs w:val="36"/>
        </w:rPr>
        <w:t xml:space="preserve">Unit IV — Web Application Penetration Testing</w:t>
      </w:r>
    </w:p>
    <w:p>
      <w:pPr>
        <w:pStyle w:val="Heading2"/>
        <w:spacing w:after="160" w:before="320"/>
      </w:pPr>
      <w:r>
        <w:rPr>
          <w:b/>
          <w:bCs/>
          <w:color w:val="1F3864"/>
          <w:sz w:val="28"/>
          <w:szCs w:val="28"/>
        </w:rPr>
        <w:t xml:space="preserve">4.1 OWASP Top 10 — Walkthrough</w:t>
      </w:r>
    </w:p>
    <w:p>
      <w:pPr>
        <w:spacing w:after="160" w:line="300"/>
      </w:pPr>
      <w:r>
        <w:rPr>
          <w:rFonts w:ascii="Calibri" w:cs="Calibri" w:eastAsia="Calibri" w:hAnsi="Calibri"/>
          <w:color w:val="222222"/>
          <w:sz w:val="22"/>
          <w:szCs w:val="22"/>
        </w:rPr>
        <w:t xml:space="preserve">The OWASP Top 10 is the most widely referenced list of web application security risks, updated periodically by the Open Web Application Security Project. It is not a rulebook — it is a ranked list of the most common and impactful mistakes found in real applications.</w:t>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3120"/>
        <w:gridCol w:w="3120"/>
        <w:gridCol w:w="3120"/>
      </w:tblGrid>
      <w:tr>
        <w:trPr>
          <w:cantSplit/>
          <w:tblHeader/>
        </w:trPr>
        <w:tc>
          <w:tcPr>
            <w:tcW w:type="dxa" w:w="312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Risk</w:t>
            </w:r>
          </w:p>
        </w:tc>
        <w:tc>
          <w:tcPr>
            <w:tcW w:type="dxa" w:w="312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What Goes Wrong</w:t>
            </w:r>
          </w:p>
        </w:tc>
        <w:tc>
          <w:tcPr>
            <w:tcW w:type="dxa" w:w="312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Typical Defence</w:t>
            </w:r>
          </w:p>
        </w:tc>
      </w:tr>
      <w:tr>
        <w:trPr>
          <w:cantSplit/>
        </w:trPr>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A01 — Broken Access Control</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user can act outside their intended permissions — e.g. an IDOR (Insecure Direct Object Reference), where changing an ID in a URL like ?invoice=1002 to ?invoice=1003 shows someone else's invoice.</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Enforce access checks on the server for every request, never trust a client-supplied ID alone.</w:t>
            </w:r>
          </w:p>
        </w:tc>
      </w:tr>
      <w:tr>
        <w:trPr>
          <w:cantSplit/>
        </w:trPr>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A02 — Cryptographic Failures</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Sensitive data (passwords, card numbers) is stored or transmitted in cleartext, or with weak/outdated cryptography.</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Encrypt sensitive data at rest and in transit (TLS); use strong, modern hashing for passwords.</w:t>
            </w:r>
          </w:p>
        </w:tc>
      </w:tr>
      <w:tr>
        <w:trPr>
          <w:cantSplit/>
        </w:trPr>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A03 — Injection</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Untrusted input is passed directly into a command interpreter — most commonly SQL Injection, but also OS Command Injection.</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Use parameterised queries / prepared statements; never build queries by concatenating user input.</w:t>
            </w:r>
          </w:p>
        </w:tc>
      </w:tr>
      <w:tr>
        <w:trPr>
          <w:cantSplit/>
        </w:trPr>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A04 — Insecure Design</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security flaw baked into the application's design itself, not just a coding bug — e.g. no rate-limit on a password reset feature.</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Threat-model features during design, before any code is written.</w:t>
            </w:r>
          </w:p>
        </w:tc>
      </w:tr>
      <w:tr>
        <w:trPr>
          <w:cantSplit/>
        </w:trPr>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A05 — Security Misconfiguration</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Default credentials left unchanged, unnecessary features enabled, directory listing left on, verbose error messages exposed.</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Harden configurations, remove default accounts, disable unneeded features.</w:t>
            </w:r>
          </w:p>
        </w:tc>
      </w:tr>
      <w:tr>
        <w:trPr>
          <w:cantSplit/>
        </w:trPr>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A06 — Vulnerable Components</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application uses outdated libraries or frameworks with publicly known CVEs.</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Keep an inventory of dependencies and patch them on a schedule.</w:t>
            </w:r>
          </w:p>
        </w:tc>
      </w:tr>
      <w:tr>
        <w:trPr>
          <w:cantSplit/>
        </w:trPr>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A07 — Identification &amp; Authentication Failures</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Weak session handling, predictable session tokens, or login flows that allow credential stuffing.</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Strong session management, multi-factor authentication, account lockout.</w:t>
            </w:r>
          </w:p>
        </w:tc>
      </w:tr>
      <w:tr>
        <w:trPr>
          <w:cantSplit/>
        </w:trPr>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A08 — Server-Side Request Forgery (SSRF)</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server can be tricked into making a request to an internal address on the attacker's behalf (e.g. fetching a URL the attacker supplies).</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Validate and restrict what addresses a server-side request is allowed to reach.</w:t>
            </w:r>
          </w:p>
        </w:tc>
      </w:tr>
    </w:tbl>
    <w:p>
      <w:pPr>
        <w:spacing w:after="180"/>
      </w:pPr>
    </w:p>
    <w:p>
      <w:pPr>
        <w:pStyle w:val="Heading2"/>
        <w:spacing w:after="160" w:before="320"/>
      </w:pPr>
      <w:r>
        <w:rPr>
          <w:b/>
          <w:bCs/>
          <w:color w:val="1F3864"/>
          <w:sz w:val="28"/>
          <w:szCs w:val="28"/>
        </w:rPr>
        <w:t xml:space="preserve">4.2 Burp Suite Community Edition</w:t>
      </w:r>
    </w:p>
    <w:p>
      <w:pPr>
        <w:spacing w:after="160" w:line="300"/>
      </w:pPr>
      <w:r>
        <w:rPr>
          <w:rFonts w:ascii="Calibri" w:cs="Calibri" w:eastAsia="Calibri" w:hAnsi="Calibri"/>
          <w:color w:val="222222"/>
          <w:sz w:val="22"/>
          <w:szCs w:val="22"/>
        </w:rPr>
        <w:t xml:space="preserve">Burp Suite is the standard tool for manual web application testing. It works by sitting as a proxy between your browser and the target website, so every request and response passes through it and can be inspected or modified.</w:t>
      </w:r>
    </w:p>
    <w:p>
      <w:pPr>
        <w:pStyle w:val="ListParagraph"/>
        <w:numPr>
          <w:ilvl w:val="0"/>
          <w:numId w:val="2"/>
        </w:numPr>
        <w:spacing w:after="90" w:line="290"/>
      </w:pPr>
      <w:r>
        <w:rPr>
          <w:rFonts w:ascii="Calibri" w:cs="Calibri" w:eastAsia="Calibri" w:hAnsi="Calibri"/>
          <w:color w:val="222222"/>
          <w:sz w:val="22"/>
          <w:szCs w:val="22"/>
        </w:rPr>
        <w:t xml:space="preserve">Configuring the browser proxy (FoxyProxy) — a browser extension that lets you quickly switch your browser's traffic to route through Burp's local proxy listener (usually 127.0.0.1:8080).</w:t>
      </w:r>
    </w:p>
    <w:p>
      <w:pPr>
        <w:pStyle w:val="ListParagraph"/>
        <w:numPr>
          <w:ilvl w:val="0"/>
          <w:numId w:val="2"/>
        </w:numPr>
        <w:spacing w:after="90" w:line="290"/>
      </w:pPr>
      <w:r>
        <w:rPr>
          <w:rFonts w:ascii="Calibri" w:cs="Calibri" w:eastAsia="Calibri" w:hAnsi="Calibri"/>
          <w:color w:val="222222"/>
          <w:sz w:val="22"/>
          <w:szCs w:val="22"/>
        </w:rPr>
        <w:t xml:space="preserve">Proxy intercept — when intercept is turned on, Burp pauses each request so you can view or edit it before choosing to forward or drop it.</w:t>
      </w:r>
    </w:p>
    <w:p>
      <w:pPr>
        <w:pStyle w:val="ListParagraph"/>
        <w:numPr>
          <w:ilvl w:val="0"/>
          <w:numId w:val="2"/>
        </w:numPr>
        <w:spacing w:after="90" w:line="290"/>
      </w:pPr>
      <w:r>
        <w:rPr>
          <w:rFonts w:ascii="Calibri" w:cs="Calibri" w:eastAsia="Calibri" w:hAnsi="Calibri"/>
          <w:color w:val="222222"/>
          <w:sz w:val="22"/>
          <w:szCs w:val="22"/>
        </w:rPr>
        <w:t xml:space="preserve">Repeater — lets you resend a single captured request over and over with small modifications, which is ideal for manually testing an injection point.</w:t>
      </w:r>
    </w:p>
    <w:p>
      <w:pPr>
        <w:pStyle w:val="ListParagraph"/>
        <w:numPr>
          <w:ilvl w:val="0"/>
          <w:numId w:val="2"/>
        </w:numPr>
        <w:spacing w:after="90" w:line="290"/>
      </w:pPr>
      <w:r>
        <w:rPr>
          <w:rFonts w:ascii="Calibri" w:cs="Calibri" w:eastAsia="Calibri" w:hAnsi="Calibri"/>
          <w:color w:val="222222"/>
          <w:sz w:val="22"/>
          <w:szCs w:val="22"/>
        </w:rPr>
        <w:t xml:space="preserve">Intruder — automates sending many variations of a request, for example a Sniper attack that cycles a wordlist of passwords through a login form (credential stuffing tests).</w:t>
      </w:r>
    </w:p>
    <w:p>
      <w:pPr>
        <w:pStyle w:val="ListParagraph"/>
        <w:numPr>
          <w:ilvl w:val="0"/>
          <w:numId w:val="2"/>
        </w:numPr>
        <w:spacing w:after="90" w:line="290"/>
      </w:pPr>
      <w:r>
        <w:rPr>
          <w:rFonts w:ascii="Calibri" w:cs="Calibri" w:eastAsia="Calibri" w:hAnsi="Calibri"/>
          <w:color w:val="222222"/>
          <w:sz w:val="22"/>
          <w:szCs w:val="22"/>
        </w:rPr>
        <w:t xml:space="preserve">Decoder — quickly encodes or decodes data (Base64, URL encoding, hashing) found in requests.</w:t>
      </w:r>
    </w:p>
    <w:p>
      <w:pPr>
        <w:pStyle w:val="ListParagraph"/>
        <w:numPr>
          <w:ilvl w:val="0"/>
          <w:numId w:val="2"/>
        </w:numPr>
        <w:spacing w:after="90" w:line="290"/>
      </w:pPr>
      <w:r>
        <w:rPr>
          <w:rFonts w:ascii="Calibri" w:cs="Calibri" w:eastAsia="Calibri" w:hAnsi="Calibri"/>
          <w:color w:val="222222"/>
          <w:sz w:val="22"/>
          <w:szCs w:val="22"/>
        </w:rPr>
        <w:t xml:space="preserve">Target scope — restricts Burp's tools to only the domains you are authorised to test, so you don't accidentally send traffic elsewhere.</w:t>
      </w:r>
    </w:p>
    <w:p>
      <w:pPr>
        <w:spacing w:after="100"/>
      </w:pPr>
    </w:p>
    <w:p>
      <w:pPr>
        <w:pStyle w:val="Heading2"/>
        <w:spacing w:after="160" w:before="320"/>
      </w:pPr>
      <w:r>
        <w:rPr>
          <w:b/>
          <w:bCs/>
          <w:color w:val="1F3864"/>
          <w:sz w:val="28"/>
          <w:szCs w:val="28"/>
        </w:rPr>
        <w:t xml:space="preserve">4.3 SQL Injection (on DVWA)</w:t>
      </w:r>
    </w:p>
    <w:p>
      <w:pPr>
        <w:spacing w:after="160" w:line="300"/>
      </w:pPr>
      <w:r>
        <w:rPr>
          <w:rFonts w:ascii="Calibri" w:cs="Calibri" w:eastAsia="Calibri" w:hAnsi="Calibri"/>
          <w:color w:val="222222"/>
          <w:sz w:val="22"/>
          <w:szCs w:val="22"/>
        </w:rPr>
        <w:t xml:space="preserve">SQL Injection happens when user input is inserted directly into a database query without proper handling, letting an attacker change the query's logic.</w:t>
      </w:r>
    </w:p>
    <w:tbl>
      <w:tblPr>
        <w:tblW w:type="pct" w:w="100%"/>
        <w:tblBorders>
          <w:top w:val="single" w:color="B8860B" w:sz="4"/>
          <w:left w:val="single" w:color="B8860B" w:sz="4"/>
          <w:bottom w:val="single" w:color="B8860B" w:sz="4"/>
          <w:right w:val="single" w:color="B8860B" w:sz="4"/>
          <w:insideH w:val="none" w:color="FFFFFF" w:sz="0"/>
          <w:insideV w:val="none" w:color="FFFFFF" w:sz="0"/>
        </w:tblBorders>
      </w:tblPr>
      <w:tblGrid>
        <w:gridCol w:w="100"/>
      </w:tblGrid>
      <w:tr>
        <w:tc>
          <w:tcPr>
            <w:shd w:fill="FFF6E5" w:val="clear"/>
            <w:tcMar>
              <w:top w:type="dxa" w:w="160"/>
              <w:left w:type="dxa" w:w="200"/>
              <w:bottom w:type="dxa" w:w="160"/>
              <w:right w:type="dxa" w:w="200"/>
            </w:tcMar>
          </w:tcPr>
          <w:p>
            <w:pPr>
              <w:spacing w:after="80"/>
            </w:pPr>
            <w:r>
              <w:rPr>
                <w:rFonts w:ascii="Calibri" w:cs="Calibri" w:eastAsia="Calibri" w:hAnsi="Calibri"/>
                <w:b/>
                <w:bCs/>
                <w:color w:val="B8860B"/>
                <w:sz w:val="21"/>
                <w:szCs w:val="21"/>
              </w:rPr>
              <w:t xml:space="preserve">✎ Example — Manual error-based SQLi</w:t>
            </w:r>
          </w:p>
          <w:p>
            <w:pPr>
              <w:spacing w:after="0"/>
            </w:pPr>
            <w:r>
              <w:rPr>
                <w:rFonts w:ascii="Calibri" w:cs="Calibri" w:eastAsia="Calibri" w:hAnsi="Calibri"/>
                <w:color w:val="222222"/>
                <w:sz w:val="21"/>
                <w:szCs w:val="21"/>
              </w:rPr>
              <w:t xml:space="preserve">A login form builds a query like SELECT * FROM users WHERE id = '$input'. If the application inserts the input without sanitising it, entering ' OR '1'='1 as the input changes the query's logic so the condition is always true, potentially returning data for every user instead of just one.</w:t>
            </w:r>
          </w:p>
        </w:tc>
      </w:tr>
    </w:tbl>
    <w:p>
      <w:pPr>
        <w:spacing w:after="180"/>
      </w:pPr>
    </w:p>
    <w:p>
      <w:pPr>
        <w:spacing w:after="160" w:line="300"/>
      </w:pPr>
      <w:r>
        <w:rPr>
          <w:rFonts w:ascii="Calibri" w:cs="Calibri" w:eastAsia="Calibri" w:hAnsi="Calibri"/>
          <w:color w:val="222222"/>
          <w:sz w:val="22"/>
          <w:szCs w:val="22"/>
        </w:rPr>
        <w:t xml:space="preserve">UNION-based extraction goes further: once an injection point is confirmed, an attacker can append a UNION SELECT statement to pull data from other tables entirely. A typical manual process is:</w:t>
      </w:r>
    </w:p>
    <w:p>
      <w:pPr>
        <w:pStyle w:val="ListParagraph"/>
        <w:numPr>
          <w:ilvl w:val="0"/>
          <w:numId w:val="2"/>
        </w:numPr>
        <w:spacing w:after="90" w:line="290"/>
      </w:pPr>
      <w:r>
        <w:rPr>
          <w:rFonts w:ascii="Calibri" w:cs="Calibri" w:eastAsia="Calibri" w:hAnsi="Calibri"/>
          <w:color w:val="222222"/>
          <w:sz w:val="22"/>
          <w:szCs w:val="22"/>
        </w:rPr>
        <w:t xml:space="preserve">Use ORDER BY with increasing numbers until an error reveals how many columns the original query has.</w:t>
      </w:r>
    </w:p>
    <w:p>
      <w:pPr>
        <w:pStyle w:val="ListParagraph"/>
        <w:numPr>
          <w:ilvl w:val="0"/>
          <w:numId w:val="2"/>
        </w:numPr>
        <w:spacing w:after="90" w:line="290"/>
      </w:pPr>
      <w:r>
        <w:rPr>
          <w:rFonts w:ascii="Calibri" w:cs="Calibri" w:eastAsia="Calibri" w:hAnsi="Calibri"/>
          <w:color w:val="222222"/>
          <w:sz w:val="22"/>
          <w:szCs w:val="22"/>
        </w:rPr>
        <w:t xml:space="preserve">Use UNION SELECT null, null, ... (matching that column count) to confirm which columns are visible on the page.</w:t>
      </w:r>
    </w:p>
    <w:p>
      <w:pPr>
        <w:pStyle w:val="ListParagraph"/>
        <w:numPr>
          <w:ilvl w:val="0"/>
          <w:numId w:val="2"/>
        </w:numPr>
        <w:spacing w:after="90" w:line="290"/>
      </w:pPr>
      <w:r>
        <w:rPr>
          <w:rFonts w:ascii="Calibri" w:cs="Calibri" w:eastAsia="Calibri" w:hAnsi="Calibri"/>
          <w:color w:val="222222"/>
          <w:sz w:val="22"/>
          <w:szCs w:val="22"/>
        </w:rPr>
        <w:t xml:space="preserve">Replace the null placeholders with database functions or column names to extract the database name, then table names, then the actual data (such as a users table with password hashes).</w:t>
      </w:r>
    </w:p>
    <w:p>
      <w:pPr>
        <w:spacing w:after="100"/>
      </w:pPr>
    </w:p>
    <w:p>
      <w:pPr>
        <w:spacing w:after="160" w:line="300"/>
      </w:pPr>
      <w:r>
        <w:rPr>
          <w:rFonts w:ascii="Calibri" w:cs="Calibri" w:eastAsia="Calibri" w:hAnsi="Calibri"/>
          <w:color w:val="222222"/>
          <w:sz w:val="22"/>
          <w:szCs w:val="22"/>
        </w:rPr>
        <w:t xml:space="preserve">On DVWA's Medium security level, simple quote-based input is filtered, but the same injection often still works by modifying the request in Burp Repeater — for example adjusting how the input is submitted (through a POST request) to bypass the client-side filtering.</w:t>
      </w:r>
    </w:p>
    <w:p>
      <w:pPr>
        <w:pStyle w:val="Heading2"/>
        <w:spacing w:after="160" w:before="320"/>
      </w:pPr>
      <w:r>
        <w:rPr>
          <w:b/>
          <w:bCs/>
          <w:color w:val="1F3864"/>
          <w:sz w:val="28"/>
          <w:szCs w:val="28"/>
        </w:rPr>
        <w:t xml:space="preserve">4.4 Cross-Site Scripting (XSS)</w:t>
      </w:r>
    </w:p>
    <w:p>
      <w:pPr>
        <w:spacing w:after="160" w:line="300"/>
      </w:pPr>
      <w:r>
        <w:rPr>
          <w:rFonts w:ascii="Calibri" w:cs="Calibri" w:eastAsia="Calibri" w:hAnsi="Calibri"/>
          <w:color w:val="222222"/>
          <w:sz w:val="22"/>
          <w:szCs w:val="22"/>
        </w:rPr>
        <w:t xml:space="preserve">XSS happens when an application includes untrusted input in a page without properly encoding it, letting a browser treat attacker-supplied text as executable script.</w:t>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4680"/>
        <w:gridCol w:w="4680"/>
      </w:tblGrid>
      <w:tr>
        <w:trPr>
          <w:cantSplit/>
          <w:tblHeader/>
        </w:trPr>
        <w:tc>
          <w:tcPr>
            <w:tcW w:type="dxa" w:w="468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Type</w:t>
            </w:r>
          </w:p>
        </w:tc>
        <w:tc>
          <w:tcPr>
            <w:tcW w:type="dxa" w:w="468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r>
      <w:tr>
        <w:trPr>
          <w:cantSplit/>
        </w:trPr>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Reflected XSS</w:t>
            </w:r>
          </w:p>
        </w:tc>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malicious script is part of the request (e.g. a URL parameter) and is immediately reflected back in the response — it only affects the one victim who clicks a crafted link.</w:t>
            </w:r>
          </w:p>
        </w:tc>
      </w:tr>
      <w:tr>
        <w:trPr>
          <w:cantSplit/>
        </w:trPr>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Stored XSS</w:t>
            </w:r>
          </w:p>
        </w:tc>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malicious script is saved on the server (e.g. in a comment or a guestbook entry) and runs for every visitor who later views that stored content — more dangerous because it is persistent.</w:t>
            </w:r>
          </w:p>
        </w:tc>
      </w:tr>
      <w:tr>
        <w:trPr>
          <w:cantSplit/>
        </w:trPr>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DOM-based XSS</w:t>
            </w:r>
          </w:p>
        </w:tc>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vulnerability exists entirely in client-side JavaScript that writes untrusted data into the page, without the payload ever being sent to the server at all.</w:t>
            </w:r>
          </w:p>
        </w:tc>
      </w:tr>
    </w:tbl>
    <w:p>
      <w:pPr>
        <w:spacing w:after="180"/>
      </w:pPr>
    </w:p>
    <w:tbl>
      <w:tblPr>
        <w:tblW w:type="pct" w:w="100%"/>
        <w:tblBorders>
          <w:top w:val="single" w:color="B8860B" w:sz="4"/>
          <w:left w:val="single" w:color="B8860B" w:sz="4"/>
          <w:bottom w:val="single" w:color="B8860B" w:sz="4"/>
          <w:right w:val="single" w:color="B8860B" w:sz="4"/>
          <w:insideH w:val="none" w:color="FFFFFF" w:sz="0"/>
          <w:insideV w:val="none" w:color="FFFFFF" w:sz="0"/>
        </w:tblBorders>
      </w:tblPr>
      <w:tblGrid>
        <w:gridCol w:w="100"/>
      </w:tblGrid>
      <w:tr>
        <w:tc>
          <w:tcPr>
            <w:shd w:fill="FFF6E5" w:val="clear"/>
            <w:tcMar>
              <w:top w:type="dxa" w:w="160"/>
              <w:left w:type="dxa" w:w="200"/>
              <w:bottom w:type="dxa" w:w="160"/>
              <w:right w:type="dxa" w:w="200"/>
            </w:tcMar>
          </w:tcPr>
          <w:p>
            <w:pPr>
              <w:spacing w:after="80"/>
            </w:pPr>
            <w:r>
              <w:rPr>
                <w:rFonts w:ascii="Calibri" w:cs="Calibri" w:eastAsia="Calibri" w:hAnsi="Calibri"/>
                <w:b/>
                <w:bCs/>
                <w:color w:val="B8860B"/>
                <w:sz w:val="21"/>
                <w:szCs w:val="21"/>
              </w:rPr>
              <w:t xml:space="preserve">✎ Example — DVWA Reflected XSS (Low security)</w:t>
            </w:r>
          </w:p>
          <w:p>
            <w:pPr>
              <w:spacing w:after="0"/>
            </w:pPr>
            <w:r>
              <w:rPr>
                <w:rFonts w:ascii="Calibri" w:cs="Calibri" w:eastAsia="Calibri" w:hAnsi="Calibri"/>
                <w:color w:val="222222"/>
                <w:sz w:val="21"/>
                <w:szCs w:val="21"/>
              </w:rPr>
              <w:t xml:space="preserve">Submitting a basic &lt;script&gt;alert('XSS')&lt;/script&gt; payload into a name field that echoes input back unescaped causes the browser to execute the script and pop up an alert box — proving the input was not sanitised. On Medium security, a simple filter removing the literal string &lt;script&gt; can often be bypassed with mixed-case variations like &lt;ScRiPt&gt;.</w:t>
            </w:r>
          </w:p>
        </w:tc>
      </w:tr>
    </w:tbl>
    <w:p>
      <w:pPr>
        <w:spacing w:after="180"/>
      </w:pPr>
    </w:p>
    <w:p>
      <w:pPr>
        <w:spacing w:after="160" w:line="300"/>
      </w:pPr>
      <w:r>
        <w:rPr>
          <w:rFonts w:ascii="Calibri" w:cs="Calibri" w:eastAsia="Calibri" w:hAnsi="Calibri"/>
          <w:color w:val="222222"/>
          <w:sz w:val="22"/>
          <w:szCs w:val="22"/>
        </w:rPr>
        <w:t xml:space="preserve">Stored XSS is more serious in practice — a script posted once (for example as a "comment") fires automatically for every visitor afterwards, which is what makes a cookie-theft demonstration (stealing a victim's session cookie through the injected script) possible without tricking each victim individually.</w:t>
      </w:r>
    </w:p>
    <w:p>
      <w:pPr>
        <w:pStyle w:val="Heading2"/>
        <w:spacing w:after="160" w:before="320"/>
      </w:pPr>
      <w:r>
        <w:rPr>
          <w:b/>
          <w:bCs/>
          <w:color w:val="1F3864"/>
          <w:sz w:val="28"/>
          <w:szCs w:val="28"/>
        </w:rPr>
        <w:t xml:space="preserve">4.5 File Upload Vulnerabilities</w:t>
      </w:r>
    </w:p>
    <w:p>
      <w:pPr>
        <w:spacing w:after="160" w:line="300"/>
      </w:pPr>
      <w:r>
        <w:rPr>
          <w:rFonts w:ascii="Calibri" w:cs="Calibri" w:eastAsia="Calibri" w:hAnsi="Calibri"/>
          <w:color w:val="222222"/>
          <w:sz w:val="22"/>
          <w:szCs w:val="22"/>
        </w:rPr>
        <w:t xml:space="preserve">A file upload feature becomes dangerous when the server does not properly validate what type of file was actually uploaded — trusting only the file extension or a value the browser sent, both of which an attacker can freely change.</w:t>
      </w:r>
    </w:p>
    <w:p>
      <w:pPr>
        <w:spacing w:after="160" w:line="300"/>
      </w:pPr>
      <w:r>
        <w:rPr>
          <w:rFonts w:ascii="Calibri" w:cs="Calibri" w:eastAsia="Calibri" w:hAnsi="Calibri"/>
          <w:color w:val="222222"/>
          <w:sz w:val="22"/>
          <w:szCs w:val="22"/>
        </w:rPr>
        <w:t xml:space="preserve">On DVWA's Low security level, a PHP web shell (a small script that lets the attacker run operating-system commands through the website) can be uploaded directly because the server performs no meaningful check on the file's content. Once uploaded, visiting the file's URL executes it on the server.</w:t>
      </w:r>
    </w:p>
    <w:p>
      <w:pPr>
        <w:pStyle w:val="ListParagraph"/>
        <w:numPr>
          <w:ilvl w:val="0"/>
          <w:numId w:val="2"/>
        </w:numPr>
        <w:spacing w:after="90" w:line="290"/>
      </w:pPr>
      <w:r>
        <w:rPr>
          <w:rFonts w:ascii="Calibri" w:cs="Calibri" w:eastAsia="Calibri" w:hAnsi="Calibri"/>
          <w:color w:val="222222"/>
          <w:sz w:val="22"/>
          <w:szCs w:val="22"/>
        </w:rPr>
        <w:t xml:space="preserve">Validate file type by inspecting the actual file content (magic bytes), not just the extension or the browser-supplied MIME type.</w:t>
      </w:r>
    </w:p>
    <w:p>
      <w:pPr>
        <w:pStyle w:val="ListParagraph"/>
        <w:numPr>
          <w:ilvl w:val="0"/>
          <w:numId w:val="2"/>
        </w:numPr>
        <w:spacing w:after="90" w:line="290"/>
      </w:pPr>
      <w:r>
        <w:rPr>
          <w:rFonts w:ascii="Calibri" w:cs="Calibri" w:eastAsia="Calibri" w:hAnsi="Calibri"/>
          <w:color w:val="222222"/>
          <w:sz w:val="22"/>
          <w:szCs w:val="22"/>
        </w:rPr>
        <w:t xml:space="preserve">Store uploaded files outside the web root, or rename them so they cannot be executed as a script.</w:t>
      </w:r>
    </w:p>
    <w:p>
      <w:pPr>
        <w:pStyle w:val="ListParagraph"/>
        <w:numPr>
          <w:ilvl w:val="0"/>
          <w:numId w:val="2"/>
        </w:numPr>
        <w:spacing w:after="90" w:line="290"/>
      </w:pPr>
      <w:r>
        <w:rPr>
          <w:rFonts w:ascii="Calibri" w:cs="Calibri" w:eastAsia="Calibri" w:hAnsi="Calibri"/>
          <w:color w:val="222222"/>
          <w:sz w:val="22"/>
          <w:szCs w:val="22"/>
        </w:rPr>
        <w:t xml:space="preserve">Restrict the web server so uploaded-file directories can never execute scripts, regardless of their extension.</w:t>
      </w:r>
    </w:p>
    <w:p>
      <w:pPr>
        <w:spacing w:after="100"/>
      </w:pPr>
    </w:p>
    <w:p>
      <w:pPr>
        <w:spacing w:after="160" w:line="300"/>
      </w:pPr>
      <w:r>
        <w:rPr>
          <w:rFonts w:ascii="Calibri" w:cs="Calibri" w:eastAsia="Calibri" w:hAnsi="Calibri"/>
          <w:color w:val="222222"/>
          <w:sz w:val="22"/>
          <w:szCs w:val="22"/>
        </w:rPr>
        <w:t xml:space="preserve">DVWA's Medium security level typically blocks obvious extensions like .php, but this can often be bypassed with alternate extensions the server still executes (like .phtml), which is why server-side validation of content, not filenames, is the real fix.</w:t>
      </w:r>
    </w:p>
    <w:p>
      <w:pPr>
        <w:pStyle w:val="Heading2"/>
        <w:spacing w:after="160" w:before="320"/>
      </w:pPr>
      <w:r>
        <w:rPr>
          <w:b/>
          <w:bCs/>
          <w:color w:val="1F3864"/>
          <w:sz w:val="28"/>
          <w:szCs w:val="28"/>
        </w:rPr>
        <w:t xml:space="preserve">4.6 CSRF (Cross-Site Request Forgery)</w:t>
      </w:r>
    </w:p>
    <w:p>
      <w:pPr>
        <w:spacing w:after="160" w:line="300"/>
      </w:pPr>
      <w:r>
        <w:rPr>
          <w:rFonts w:ascii="Calibri" w:cs="Calibri" w:eastAsia="Calibri" w:hAnsi="Calibri"/>
          <w:color w:val="222222"/>
          <w:sz w:val="22"/>
          <w:szCs w:val="22"/>
        </w:rPr>
        <w:t xml:space="preserve">CSRF tricks a logged-in victim's browser into submitting a request to a website without the victim's knowledge — for example, a hidden form on a malicious page that automatically submits a "change password" request to a site the victim happens to be logged into. Because the browser automatically attaches the victim's session cookie, the website cannot tell the request apart from one the victim intended to make.</w:t>
      </w:r>
    </w:p>
    <w:p>
      <w:pPr>
        <w:spacing w:after="160" w:line="300"/>
      </w:pPr>
      <w:r>
        <w:rPr>
          <w:rFonts w:ascii="Calibri" w:cs="Calibri" w:eastAsia="Calibri" w:hAnsi="Calibri"/>
          <w:color w:val="222222"/>
          <w:sz w:val="22"/>
          <w:szCs w:val="22"/>
        </w:rPr>
        <w:t xml:space="preserve">The standard defence is a CSRF token: a random, unique value the server embeds in every legitimate form and checks on submission. An attacker's forged request cannot know or guess this token, so the server rejects it.</w:t>
      </w:r>
    </w:p>
    <w:p>
      <w:pPr>
        <w:pStyle w:val="Heading2"/>
        <w:spacing w:after="160" w:before="320"/>
      </w:pPr>
      <w:r>
        <w:rPr>
          <w:b/>
          <w:bCs/>
          <w:color w:val="1F3864"/>
          <w:sz w:val="28"/>
          <w:szCs w:val="28"/>
        </w:rPr>
        <w:t xml:space="preserve">4.7 Broken Authentication</w:t>
      </w:r>
    </w:p>
    <w:p>
      <w:pPr>
        <w:spacing w:after="160" w:line="300"/>
      </w:pPr>
      <w:r>
        <w:rPr>
          <w:rFonts w:ascii="Calibri" w:cs="Calibri" w:eastAsia="Calibri" w:hAnsi="Calibri"/>
          <w:color w:val="222222"/>
          <w:sz w:val="22"/>
          <w:szCs w:val="22"/>
        </w:rPr>
        <w:t xml:space="preserve">DVWA's brute-force module demonstrates weak login protection: using Burp Intruder's Sniper attack with a password wordlist against the login form reveals whether the application has any rate-limiting or account-lockout mechanism. If none exists, an attacker can try thousands of password guesses with no restriction, which is the core weakness behind credential-stuffing attacks at scale.</w:t>
      </w:r>
    </w:p>
    <w:p>
      <w:pPr>
        <w:pStyle w:val="Heading1"/>
        <w:pageBreakBefore/>
        <w:pBdr>
          <w:bottom w:val="single" w:color="1F3864" w:sz="12" w:space="4"/>
        </w:pBdr>
        <w:spacing w:after="240" w:before="0"/>
      </w:pPr>
      <w:r>
        <w:rPr>
          <w:b/>
          <w:bCs/>
          <w:color w:val="1F3864"/>
          <w:sz w:val="36"/>
          <w:szCs w:val="36"/>
        </w:rPr>
        <w:t xml:space="preserve">Unit V — Reporting, Risk &amp; Professional Ethics</w:t>
      </w:r>
    </w:p>
    <w:p>
      <w:pPr>
        <w:pStyle w:val="Heading2"/>
        <w:spacing w:after="160" w:before="320"/>
      </w:pPr>
      <w:r>
        <w:rPr>
          <w:b/>
          <w:bCs/>
          <w:color w:val="1F3864"/>
          <w:sz w:val="28"/>
          <w:szCs w:val="28"/>
        </w:rPr>
        <w:t xml:space="preserve">5.1 Penetration Test Report Structure</w:t>
      </w:r>
    </w:p>
    <w:p>
      <w:pPr>
        <w:spacing w:after="160" w:line="300"/>
      </w:pPr>
      <w:r>
        <w:rPr>
          <w:rFonts w:ascii="Calibri" w:cs="Calibri" w:eastAsia="Calibri" w:hAnsi="Calibri"/>
          <w:color w:val="222222"/>
          <w:sz w:val="22"/>
          <w:szCs w:val="22"/>
        </w:rPr>
        <w:t xml:space="preserve">A penetration test is only as useful as its final report. Even a brilliant exploit chain is wasted if the client cannot understand what was found and what to fix. A professional report follows a consistent structure:</w:t>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4680"/>
        <w:gridCol w:w="4680"/>
      </w:tblGrid>
      <w:tr>
        <w:trPr>
          <w:cantSplit/>
          <w:tblHeader/>
        </w:trPr>
        <w:tc>
          <w:tcPr>
            <w:tcW w:type="dxa" w:w="468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Section</w:t>
            </w:r>
          </w:p>
        </w:tc>
        <w:tc>
          <w:tcPr>
            <w:tcW w:type="dxa" w:w="468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Contents</w:t>
            </w:r>
          </w:p>
        </w:tc>
      </w:tr>
      <w:tr>
        <w:trPr>
          <w:cantSplit/>
        </w:trPr>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Cover Page</w:t>
            </w:r>
          </w:p>
        </w:tc>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Tester name, date, target, scope, and classification (e.g. Confidential).</w:t>
            </w:r>
          </w:p>
        </w:tc>
      </w:tr>
      <w:tr>
        <w:trPr>
          <w:cantSplit/>
        </w:trPr>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Executive Summary</w:t>
            </w:r>
          </w:p>
        </w:tc>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one-page, non-technical overview for managers: what was found, the overall risk level, and the top 3 recommendations.</w:t>
            </w:r>
          </w:p>
        </w:tc>
      </w:tr>
      <w:tr>
        <w:trPr>
          <w:cantSplit/>
        </w:trPr>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Scope &amp; Methodology</w:t>
            </w:r>
          </w:p>
        </w:tc>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Tools used, testing approach, and timeframe — so the client knows exactly what was and was not tested.</w:t>
            </w:r>
          </w:p>
        </w:tc>
      </w:tr>
      <w:tr>
        <w:trPr>
          <w:cantSplit/>
        </w:trPr>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Technical Findings</w:t>
            </w:r>
          </w:p>
        </w:tc>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One entry per vulnerability, each with: a title, severity (CVSS score plus a Critical/High/Medium/Low/Informational rating), the affected system, a description, proof-of-concept evidence (e.g. a screenshot), business impact, a remediation recommendation, and a CVE/CWE reference where applicable.</w:t>
            </w:r>
          </w:p>
        </w:tc>
      </w:tr>
      <w:tr>
        <w:trPr>
          <w:cantSplit/>
        </w:trPr>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Risk Heat Map</w:t>
            </w:r>
          </w:p>
        </w:tc>
        <w:tc>
          <w:tcPr>
            <w:tcW w:type="dxa" w:w="468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visual plot of findings by likelihood versus impact, helping the client see priorities at a glance.</w:t>
            </w:r>
          </w:p>
        </w:tc>
      </w:tr>
      <w:tr>
        <w:trPr>
          <w:cantSplit/>
        </w:trPr>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Remediation Priority / Conclusion</w:t>
            </w:r>
          </w:p>
        </w:tc>
        <w:tc>
          <w:tcPr>
            <w:tcW w:type="dxa" w:w="468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prioritised plan for fixing findings, often grouped by how quickly each should be addressed.</w:t>
            </w:r>
          </w:p>
        </w:tc>
      </w:tr>
    </w:tbl>
    <w:p>
      <w:pPr>
        <w:spacing w:after="180"/>
      </w:pPr>
    </w:p>
    <w:p>
      <w:pPr>
        <w:pStyle w:val="Heading2"/>
        <w:spacing w:after="160" w:before="320"/>
      </w:pPr>
      <w:r>
        <w:rPr>
          <w:b/>
          <w:bCs/>
          <w:color w:val="1F3864"/>
          <w:sz w:val="28"/>
          <w:szCs w:val="28"/>
        </w:rPr>
        <w:t xml:space="preserve">5.2 CVSS v3.1 Base Score — Worked Examples</w:t>
      </w:r>
    </w:p>
    <w:p>
      <w:pPr>
        <w:spacing w:after="160" w:line="300"/>
      </w:pPr>
      <w:r>
        <w:rPr>
          <w:rFonts w:ascii="Calibri" w:cs="Calibri" w:eastAsia="Calibri" w:hAnsi="Calibri"/>
          <w:color w:val="222222"/>
          <w:sz w:val="22"/>
          <w:szCs w:val="22"/>
        </w:rPr>
        <w:t xml:space="preserve">Calculating a CVSS base score means rating each metric from Unit II (Attack Vector, Attack Complexity, Privileges Required, User Interaction, Scope, and the CIA impacts) and combining them using the official CVSS formula, which weighs network-reachable, low-effort, high-impact issues the highest.</w:t>
      </w:r>
    </w:p>
    <w:tbl>
      <w:tblPr>
        <w:tblW w:type="pct" w:w="100%"/>
        <w:tblBorders>
          <w:top w:val="single" w:color="B8860B" w:sz="4"/>
          <w:left w:val="single" w:color="B8860B" w:sz="4"/>
          <w:bottom w:val="single" w:color="B8860B" w:sz="4"/>
          <w:right w:val="single" w:color="B8860B" w:sz="4"/>
          <w:insideH w:val="none" w:color="FFFFFF" w:sz="0"/>
          <w:insideV w:val="none" w:color="FFFFFF" w:sz="0"/>
        </w:tblBorders>
      </w:tblPr>
      <w:tblGrid>
        <w:gridCol w:w="100"/>
      </w:tblGrid>
      <w:tr>
        <w:tc>
          <w:tcPr>
            <w:shd w:fill="FFF6E5" w:val="clear"/>
            <w:tcMar>
              <w:top w:type="dxa" w:w="160"/>
              <w:left w:type="dxa" w:w="200"/>
              <w:bottom w:type="dxa" w:w="160"/>
              <w:right w:type="dxa" w:w="200"/>
            </w:tcMar>
          </w:tcPr>
          <w:p>
            <w:pPr>
              <w:spacing w:after="80"/>
            </w:pPr>
            <w:r>
              <w:rPr>
                <w:rFonts w:ascii="Calibri" w:cs="Calibri" w:eastAsia="Calibri" w:hAnsi="Calibri"/>
                <w:b/>
                <w:bCs/>
                <w:color w:val="B8860B"/>
                <w:sz w:val="21"/>
                <w:szCs w:val="21"/>
              </w:rPr>
              <w:t xml:space="preserve">✎ Example — Example 1 — A network-exploitable backdoor</w:t>
            </w:r>
          </w:p>
          <w:p>
            <w:pPr>
              <w:spacing w:after="0"/>
            </w:pPr>
            <w:r>
              <w:rPr>
                <w:rFonts w:ascii="Calibri" w:cs="Calibri" w:eastAsia="Calibri" w:hAnsi="Calibri"/>
                <w:color w:val="222222"/>
                <w:sz w:val="21"/>
                <w:szCs w:val="21"/>
              </w:rPr>
              <w:t xml:space="preserve">A backdoor that is reachable over the network, needs no authentication, needs no user interaction, and gives full control over confidentiality, integrity, and availability scores at the very top of the scale — typically in the Critical band (9.0–10.0), because every factor that makes exploitation easy and damaging is present at once.</w:t>
            </w:r>
          </w:p>
        </w:tc>
      </w:tr>
    </w:tbl>
    <w:p>
      <w:pPr>
        <w:spacing w:after="180"/>
      </w:pPr>
    </w:p>
    <w:tbl>
      <w:tblPr>
        <w:tblW w:type="pct" w:w="100%"/>
        <w:tblBorders>
          <w:top w:val="single" w:color="B8860B" w:sz="4"/>
          <w:left w:val="single" w:color="B8860B" w:sz="4"/>
          <w:bottom w:val="single" w:color="B8860B" w:sz="4"/>
          <w:right w:val="single" w:color="B8860B" w:sz="4"/>
          <w:insideH w:val="none" w:color="FFFFFF" w:sz="0"/>
          <w:insideV w:val="none" w:color="FFFFFF" w:sz="0"/>
        </w:tblBorders>
      </w:tblPr>
      <w:tblGrid>
        <w:gridCol w:w="100"/>
      </w:tblGrid>
      <w:tr>
        <w:tc>
          <w:tcPr>
            <w:shd w:fill="FFF6E5" w:val="clear"/>
            <w:tcMar>
              <w:top w:type="dxa" w:w="160"/>
              <w:left w:type="dxa" w:w="200"/>
              <w:bottom w:type="dxa" w:w="160"/>
              <w:right w:type="dxa" w:w="200"/>
            </w:tcMar>
          </w:tcPr>
          <w:p>
            <w:pPr>
              <w:spacing w:after="80"/>
            </w:pPr>
            <w:r>
              <w:rPr>
                <w:rFonts w:ascii="Calibri" w:cs="Calibri" w:eastAsia="Calibri" w:hAnsi="Calibri"/>
                <w:b/>
                <w:bCs/>
                <w:color w:val="B8860B"/>
                <w:sz w:val="21"/>
                <w:szCs w:val="21"/>
              </w:rPr>
              <w:t xml:space="preserve">✎ Example — Example 2 — A stored XSS</w:t>
            </w:r>
          </w:p>
          <w:p>
            <w:pPr>
              <w:spacing w:after="0"/>
            </w:pPr>
            <w:r>
              <w:rPr>
                <w:rFonts w:ascii="Calibri" w:cs="Calibri" w:eastAsia="Calibri" w:hAnsi="Calibri"/>
                <w:color w:val="222222"/>
                <w:sz w:val="21"/>
                <w:szCs w:val="21"/>
              </w:rPr>
              <w:t xml:space="preserve">A stored XSS is reachable over the network and has low attack complexity, but it requires user interaction (the victim must view the page) and its impact is usually partial, not total (commonly session/cookie theft rather than full system compromise). This combination typically lands in the Medium band, clearly lower than the backdoor above, even though both are "network" issues — which is exactly why comparing only the Attack Vector would be misleading.</w:t>
            </w:r>
          </w:p>
        </w:tc>
      </w:tr>
    </w:tbl>
    <w:p>
      <w:pPr>
        <w:spacing w:after="180"/>
      </w:pPr>
    </w:p>
    <w:p>
      <w:pPr>
        <w:spacing w:after="160" w:line="300"/>
      </w:pPr>
      <w:r>
        <w:rPr>
          <w:rFonts w:ascii="Calibri" w:cs="Calibri" w:eastAsia="Calibri" w:hAnsi="Calibri"/>
          <w:color w:val="222222"/>
          <w:sz w:val="22"/>
          <w:szCs w:val="22"/>
        </w:rPr>
        <w:t xml:space="preserve">Comparing these two examples is a good way to remember that CVSS severity is a combination of several independent factors, not a single property of the bug.</w:t>
      </w:r>
    </w:p>
    <w:p>
      <w:pPr>
        <w:pStyle w:val="Heading2"/>
        <w:spacing w:after="160" w:before="320"/>
      </w:pPr>
      <w:r>
        <w:rPr>
          <w:b/>
          <w:bCs/>
          <w:color w:val="1F3864"/>
          <w:sz w:val="28"/>
          <w:szCs w:val="28"/>
        </w:rPr>
        <w:t xml:space="preserve">5.3 Remediation Strategies</w:t>
      </w:r>
    </w:p>
    <w:p>
      <w:pPr>
        <w:pStyle w:val="ListParagraph"/>
        <w:numPr>
          <w:ilvl w:val="0"/>
          <w:numId w:val="2"/>
        </w:numPr>
        <w:spacing w:after="90" w:line="290"/>
      </w:pPr>
      <w:r>
        <w:rPr>
          <w:rFonts w:ascii="Calibri" w:cs="Calibri" w:eastAsia="Calibri" w:hAnsi="Calibri"/>
          <w:color w:val="222222"/>
          <w:sz w:val="22"/>
          <w:szCs w:val="22"/>
        </w:rPr>
        <w:t xml:space="preserve">Patching — applying vendor security updates promptly, especially for actively exploited CVEs.</w:t>
      </w:r>
    </w:p>
    <w:p>
      <w:pPr>
        <w:pStyle w:val="ListParagraph"/>
        <w:numPr>
          <w:ilvl w:val="0"/>
          <w:numId w:val="2"/>
        </w:numPr>
        <w:spacing w:after="90" w:line="290"/>
      </w:pPr>
      <w:r>
        <w:rPr>
          <w:rFonts w:ascii="Calibri" w:cs="Calibri" w:eastAsia="Calibri" w:hAnsi="Calibri"/>
          <w:color w:val="222222"/>
          <w:sz w:val="22"/>
          <w:szCs w:val="22"/>
        </w:rPr>
        <w:t xml:space="preserve">Secure configuration — removing default credentials, disabling unused services, and hardening settings.</w:t>
      </w:r>
    </w:p>
    <w:p>
      <w:pPr>
        <w:pStyle w:val="ListParagraph"/>
        <w:numPr>
          <w:ilvl w:val="0"/>
          <w:numId w:val="2"/>
        </w:numPr>
        <w:spacing w:after="90" w:line="290"/>
      </w:pPr>
      <w:r>
        <w:rPr>
          <w:rFonts w:ascii="Calibri" w:cs="Calibri" w:eastAsia="Calibri" w:hAnsi="Calibri"/>
          <w:color w:val="222222"/>
          <w:sz w:val="22"/>
          <w:szCs w:val="22"/>
        </w:rPr>
        <w:t xml:space="preserve">Principle of least privilege — giving every account and service only the access it actually needs, nothing more.</w:t>
      </w:r>
    </w:p>
    <w:p>
      <w:pPr>
        <w:pStyle w:val="ListParagraph"/>
        <w:numPr>
          <w:ilvl w:val="0"/>
          <w:numId w:val="2"/>
        </w:numPr>
        <w:spacing w:after="90" w:line="290"/>
      </w:pPr>
      <w:r>
        <w:rPr>
          <w:rFonts w:ascii="Calibri" w:cs="Calibri" w:eastAsia="Calibri" w:hAnsi="Calibri"/>
          <w:color w:val="222222"/>
          <w:sz w:val="22"/>
          <w:szCs w:val="22"/>
        </w:rPr>
        <w:t xml:space="preserve">Input validation — checking and sanitising all untrusted input before it reaches a database query, a command, or the page.</w:t>
      </w:r>
    </w:p>
    <w:p>
      <w:pPr>
        <w:pStyle w:val="ListParagraph"/>
        <w:numPr>
          <w:ilvl w:val="0"/>
          <w:numId w:val="2"/>
        </w:numPr>
        <w:spacing w:after="90" w:line="290"/>
      </w:pPr>
      <w:r>
        <w:rPr>
          <w:rFonts w:ascii="Calibri" w:cs="Calibri" w:eastAsia="Calibri" w:hAnsi="Calibri"/>
          <w:color w:val="222222"/>
          <w:sz w:val="22"/>
          <w:szCs w:val="22"/>
        </w:rPr>
        <w:t xml:space="preserve">Output encoding — encoding data before displaying it in a web page, which is the core defence against XSS.</w:t>
      </w:r>
    </w:p>
    <w:p>
      <w:pPr>
        <w:spacing w:after="100"/>
      </w:pPr>
    </w:p>
    <w:p>
      <w:pPr>
        <w:pStyle w:val="Heading2"/>
        <w:spacing w:after="160" w:before="320"/>
      </w:pPr>
      <w:r>
        <w:rPr>
          <w:b/>
          <w:bCs/>
          <w:color w:val="1F3864"/>
          <w:sz w:val="28"/>
          <w:szCs w:val="28"/>
        </w:rPr>
        <w:t xml:space="preserve">5.4 Professional Ethics</w:t>
      </w:r>
    </w:p>
    <w:p>
      <w:pPr>
        <w:spacing w:after="160" w:line="300"/>
      </w:pPr>
      <w:r>
        <w:rPr>
          <w:rFonts w:ascii="Calibri" w:cs="Calibri" w:eastAsia="Calibri" w:hAnsi="Calibri"/>
          <w:color w:val="222222"/>
          <w:sz w:val="22"/>
          <w:szCs w:val="22"/>
        </w:rPr>
        <w:t xml:space="preserve">Technical skill alone does not make someone an ethical hacker — professional conduct does.</w:t>
      </w:r>
    </w:p>
    <w:p>
      <w:pPr>
        <w:pStyle w:val="ListParagraph"/>
        <w:numPr>
          <w:ilvl w:val="0"/>
          <w:numId w:val="2"/>
        </w:numPr>
        <w:spacing w:after="90" w:line="290"/>
      </w:pPr>
      <w:r>
        <w:rPr>
          <w:rFonts w:ascii="Calibri" w:cs="Calibri" w:eastAsia="Calibri" w:hAnsi="Calibri"/>
          <w:color w:val="222222"/>
          <w:sz w:val="22"/>
          <w:szCs w:val="22"/>
        </w:rPr>
        <w:t xml:space="preserve">Responsible disclosure — if a vulnerability is found outside the agreed scope, or after an engagement ends, it should be reported privately to the affected organisation, giving them reasonable time to fix it before any public disclosure.</w:t>
      </w:r>
    </w:p>
    <w:p>
      <w:pPr>
        <w:pStyle w:val="ListParagraph"/>
        <w:numPr>
          <w:ilvl w:val="0"/>
          <w:numId w:val="2"/>
        </w:numPr>
        <w:spacing w:after="90" w:line="290"/>
      </w:pPr>
      <w:r>
        <w:rPr>
          <w:rFonts w:ascii="Calibri" w:cs="Calibri" w:eastAsia="Calibri" w:hAnsi="Calibri"/>
          <w:color w:val="222222"/>
          <w:sz w:val="22"/>
          <w:szCs w:val="22"/>
        </w:rPr>
        <w:t xml:space="preserve">Bug bounty platforms — services like HackerOne and Bugcrowd formally connect organisations with researchers, defining scope and reward for responsibly reported vulnerabilities.</w:t>
      </w:r>
    </w:p>
    <w:p>
      <w:pPr>
        <w:pStyle w:val="ListParagraph"/>
        <w:numPr>
          <w:ilvl w:val="0"/>
          <w:numId w:val="2"/>
        </w:numPr>
        <w:spacing w:after="90" w:line="290"/>
      </w:pPr>
      <w:r>
        <w:rPr>
          <w:rFonts w:ascii="Calibri" w:cs="Calibri" w:eastAsia="Calibri" w:hAnsi="Calibri"/>
          <w:color w:val="222222"/>
          <w:sz w:val="22"/>
          <w:szCs w:val="22"/>
        </w:rPr>
        <w:t xml:space="preserve">Never test without written permission — this is the single rule that separates every technique in this subject from a criminal offence under the IT Act 2000.</w:t>
      </w:r>
    </w:p>
    <w:p>
      <w:pPr>
        <w:pStyle w:val="ListParagraph"/>
        <w:numPr>
          <w:ilvl w:val="0"/>
          <w:numId w:val="2"/>
        </w:numPr>
        <w:spacing w:after="90" w:line="290"/>
      </w:pPr>
      <w:r>
        <w:rPr>
          <w:rFonts w:ascii="Calibri" w:cs="Calibri" w:eastAsia="Calibri" w:hAnsi="Calibri"/>
          <w:color w:val="222222"/>
          <w:sz w:val="22"/>
          <w:szCs w:val="22"/>
        </w:rPr>
        <w:t xml:space="preserve">Protecting client data — every credential, document, or vulnerability encountered during a test is confidential and covered by the engagement's NDA.</w:t>
      </w:r>
    </w:p>
    <w:p>
      <w:pPr>
        <w:spacing w:after="100"/>
      </w:pPr>
    </w:p>
    <w:p>
      <w:pPr>
        <w:pStyle w:val="Heading2"/>
        <w:spacing w:after="160" w:before="320"/>
      </w:pPr>
      <w:r>
        <w:rPr>
          <w:b/>
          <w:bCs/>
          <w:color w:val="1F3864"/>
          <w:sz w:val="28"/>
          <w:szCs w:val="28"/>
        </w:rPr>
        <w:t xml:space="preserve">5.5 Certification Pathways</w:t>
      </w:r>
    </w:p>
    <w:p>
      <w:pPr>
        <w:spacing w:after="160" w:line="300"/>
      </w:pPr>
      <w:r>
        <w:rPr>
          <w:rFonts w:ascii="Calibri" w:cs="Calibri" w:eastAsia="Calibri" w:hAnsi="Calibri"/>
          <w:color w:val="222222"/>
          <w:sz w:val="22"/>
          <w:szCs w:val="22"/>
        </w:rPr>
        <w:t xml:space="preserve">This subject maps onto an industry certification path, from entry-level to advanced:</w:t>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3120"/>
        <w:gridCol w:w="3120"/>
        <w:gridCol w:w="3120"/>
      </w:tblGrid>
      <w:tr>
        <w:trPr>
          <w:cantSplit/>
          <w:tblHeader/>
        </w:trPr>
        <w:tc>
          <w:tcPr>
            <w:tcW w:type="dxa" w:w="312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Certification</w:t>
            </w:r>
          </w:p>
        </w:tc>
        <w:tc>
          <w:tcPr>
            <w:tcW w:type="dxa" w:w="312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Level</w:t>
            </w:r>
          </w:p>
        </w:tc>
        <w:tc>
          <w:tcPr>
            <w:tcW w:type="dxa" w:w="312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Focus</w:t>
            </w:r>
          </w:p>
        </w:tc>
      </w:tr>
      <w:tr>
        <w:trPr>
          <w:cantSplit/>
        </w:trPr>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CompTIA Security+</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Entry</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Broad, foundational security concepts across networking, threats, and controls.</w:t>
            </w:r>
          </w:p>
        </w:tc>
      </w:tr>
      <w:tr>
        <w:trPr>
          <w:cantSplit/>
        </w:trPr>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CEH (EC-Council)</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Intermediate</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Certified Ethical Hacker — covers the tools and phases taught across this entire subject, conceptually.</w:t>
            </w:r>
          </w:p>
        </w:tc>
      </w:tr>
      <w:tr>
        <w:trPr>
          <w:cantSplit/>
        </w:trPr>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eJPT (eLearnSecurity)</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Beginner, practical</w:t>
            </w:r>
          </w:p>
        </w:tc>
        <w:tc>
          <w:tcPr>
            <w:tcW w:type="dxa" w:w="312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hands-on, junior-level penetration testing certification focused on real lab exercises.</w:t>
            </w:r>
          </w:p>
        </w:tc>
      </w:tr>
      <w:tr>
        <w:trPr>
          <w:cantSplit/>
        </w:trPr>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OSCP (OffSec)</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Advanced, practical</w:t>
            </w:r>
          </w:p>
        </w:tc>
        <w:tc>
          <w:tcPr>
            <w:tcW w:type="dxa" w:w="312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rigorous, fully hands-on exam requiring candidates to compromise real lab machines and document findings professionally — widely respected in the industry.</w:t>
            </w:r>
          </w:p>
        </w:tc>
      </w:tr>
    </w:tbl>
    <w:p>
      <w:pPr>
        <w:spacing w:after="180"/>
      </w:pPr>
    </w:p>
    <w:p>
      <w:pPr>
        <w:spacing w:after="160" w:line="300"/>
      </w:pPr>
      <w:r>
        <w:rPr>
          <w:rFonts w:ascii="Calibri" w:cs="Calibri" w:eastAsia="Calibri" w:hAnsi="Calibri"/>
          <w:color w:val="222222"/>
          <w:sz w:val="22"/>
          <w:szCs w:val="22"/>
        </w:rPr>
        <w:t xml:space="preserve">The practical skills built in this course — reconnaissance, Metasploit usage, privilege escalation, and manual web application testing — form a direct foundation for all four of these certifications.</w:t>
      </w:r>
    </w:p>
    <w:p>
      <w:pPr>
        <w:pStyle w:val="Heading2"/>
        <w:spacing w:after="160" w:before="320"/>
      </w:pPr>
      <w:r>
        <w:rPr>
          <w:b/>
          <w:bCs/>
          <w:color w:val="1F3864"/>
          <w:sz w:val="28"/>
          <w:szCs w:val="28"/>
        </w:rPr>
        <w:t xml:space="preserve">Quick Revision Summary</w:t>
      </w:r>
    </w:p>
    <w:p>
      <w:pPr>
        <w:pStyle w:val="ListParagraph"/>
        <w:numPr>
          <w:ilvl w:val="0"/>
          <w:numId w:val="2"/>
        </w:numPr>
        <w:spacing w:after="90" w:line="290"/>
      </w:pPr>
      <w:r>
        <w:rPr>
          <w:rFonts w:ascii="Calibri" w:cs="Calibri" w:eastAsia="Calibri" w:hAnsi="Calibri"/>
          <w:color w:val="222222"/>
          <w:sz w:val="22"/>
          <w:szCs w:val="22"/>
        </w:rPr>
        <w:t xml:space="preserve">Unit I: Hacking is neutral; authorisation and the IT Act 2000 define legality. Learn the 5 phases and the Cyber Kill Chain.</w:t>
      </w:r>
    </w:p>
    <w:p>
      <w:pPr>
        <w:pStyle w:val="ListParagraph"/>
        <w:numPr>
          <w:ilvl w:val="0"/>
          <w:numId w:val="2"/>
        </w:numPr>
        <w:spacing w:after="90" w:line="290"/>
      </w:pPr>
      <w:r>
        <w:rPr>
          <w:rFonts w:ascii="Calibri" w:cs="Calibri" w:eastAsia="Calibri" w:hAnsi="Calibri"/>
          <w:color w:val="222222"/>
          <w:sz w:val="22"/>
          <w:szCs w:val="22"/>
        </w:rPr>
        <w:t xml:space="preserve">Unit II: Passive recon (OSINT, WHOIS, DNS, Shodan, theHarvester) gathers without touching the target; active recon (Nmap) and enumeration (enum4linux) do. CVSS scores severity.</w:t>
      </w:r>
    </w:p>
    <w:p>
      <w:pPr>
        <w:pStyle w:val="ListParagraph"/>
        <w:numPr>
          <w:ilvl w:val="0"/>
          <w:numId w:val="2"/>
        </w:numPr>
        <w:spacing w:after="90" w:line="290"/>
      </w:pPr>
      <w:r>
        <w:rPr>
          <w:rFonts w:ascii="Calibri" w:cs="Calibri" w:eastAsia="Calibri" w:hAnsi="Calibri"/>
          <w:color w:val="222222"/>
          <w:sz w:val="22"/>
          <w:szCs w:val="22"/>
        </w:rPr>
        <w:t xml:space="preserve">Unit III: Metasploit exploits a vulnerability to gain a foothold; privilege escalation turns that into full control; password attacks test credential strength.</w:t>
      </w:r>
    </w:p>
    <w:p>
      <w:pPr>
        <w:pStyle w:val="ListParagraph"/>
        <w:numPr>
          <w:ilvl w:val="0"/>
          <w:numId w:val="2"/>
        </w:numPr>
        <w:spacing w:after="90" w:line="290"/>
      </w:pPr>
      <w:r>
        <w:rPr>
          <w:rFonts w:ascii="Calibri" w:cs="Calibri" w:eastAsia="Calibri" w:hAnsi="Calibri"/>
          <w:color w:val="222222"/>
          <w:sz w:val="22"/>
          <w:szCs w:val="22"/>
        </w:rPr>
        <w:t xml:space="preserve">Unit IV: The OWASP Top 10 names the common web risks; Burp Suite is the tool used to manually find and prove SQLi, XSS, file upload, and CSRF issues on DVWA.</w:t>
      </w:r>
    </w:p>
    <w:p>
      <w:pPr>
        <w:pStyle w:val="ListParagraph"/>
        <w:numPr>
          <w:ilvl w:val="0"/>
          <w:numId w:val="2"/>
        </w:numPr>
        <w:spacing w:after="90" w:line="290"/>
      </w:pPr>
      <w:r>
        <w:rPr>
          <w:rFonts w:ascii="Calibri" w:cs="Calibri" w:eastAsia="Calibri" w:hAnsi="Calibri"/>
          <w:color w:val="222222"/>
          <w:sz w:val="22"/>
          <w:szCs w:val="22"/>
        </w:rPr>
        <w:t xml:space="preserve">Unit V: A finding is worthless until it is reported clearly, scored accurately with CVSS, and remediated — all done within a strict code of professional ethics.</w:t>
      </w:r>
    </w:p>
    <w:p>
      <w:pPr>
        <w:spacing w:after="100"/>
      </w:pP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2026-10-07T18:52:06.605Z</dcterms:created>
  <dcterms:modified xsi:type="dcterms:W3CDTF">2026-10-07T18:52:06.606Z</dcterms:modified>
</cp:coreProperties>
</file>

<file path=docProps/custom.xml><?xml version="1.0" encoding="utf-8"?>
<Properties xmlns="http://schemas.openxmlformats.org/officeDocument/2006/custom-properties" xmlns:vt="http://schemas.openxmlformats.org/officeDocument/2006/docPropsVTypes"/>
</file>