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6AA20" w14:textId="77777777" w:rsidR="00F578FE" w:rsidRPr="00ED67C1" w:rsidRDefault="00F578FE" w:rsidP="00ED67C1">
      <w:pPr>
        <w:spacing w:before="120" w:after="120" w:line="360" w:lineRule="auto"/>
        <w:jc w:val="center"/>
        <w:outlineLvl w:val="3"/>
        <w:rPr>
          <w:rFonts w:ascii="Cambria" w:eastAsia="Times New Roman" w:hAnsi="Cambria" w:cs="Times New Roman"/>
          <w:b/>
          <w:bCs/>
          <w:color w:val="262626"/>
          <w:sz w:val="32"/>
          <w:szCs w:val="32"/>
          <w:lang w:eastAsia="en-IN"/>
        </w:rPr>
      </w:pPr>
      <w:r w:rsidRPr="00ED67C1">
        <w:rPr>
          <w:rFonts w:ascii="Cambria" w:eastAsia="Times New Roman" w:hAnsi="Cambria" w:cs="Times New Roman"/>
          <w:b/>
          <w:bCs/>
          <w:color w:val="262626"/>
          <w:sz w:val="32"/>
          <w:szCs w:val="32"/>
          <w:lang w:eastAsia="en-IN"/>
        </w:rPr>
        <w:t>UNIT-2</w:t>
      </w:r>
    </w:p>
    <w:p w14:paraId="73A6AA21" w14:textId="77777777" w:rsidR="00F578FE" w:rsidRPr="00ED67C1" w:rsidRDefault="00F578FE" w:rsidP="00ED67C1">
      <w:pPr>
        <w:spacing w:before="120" w:after="120" w:line="360" w:lineRule="auto"/>
        <w:jc w:val="center"/>
        <w:outlineLvl w:val="3"/>
        <w:rPr>
          <w:rFonts w:ascii="Cambria" w:eastAsia="Times New Roman" w:hAnsi="Cambria" w:cs="Times New Roman"/>
          <w:b/>
          <w:bCs/>
          <w:color w:val="262626"/>
          <w:sz w:val="32"/>
          <w:szCs w:val="32"/>
          <w:lang w:eastAsia="en-IN"/>
        </w:rPr>
      </w:pPr>
      <w:r w:rsidRPr="00ED67C1">
        <w:rPr>
          <w:rFonts w:ascii="Cambria" w:eastAsia="Times New Roman" w:hAnsi="Cambria" w:cs="Times New Roman"/>
          <w:b/>
          <w:bCs/>
          <w:color w:val="262626"/>
          <w:sz w:val="32"/>
          <w:szCs w:val="32"/>
          <w:lang w:eastAsia="en-IN"/>
        </w:rPr>
        <w:t>CHAPTER 2.2</w:t>
      </w:r>
    </w:p>
    <w:p w14:paraId="73A6AA22" w14:textId="77777777" w:rsidR="00F578FE" w:rsidRPr="00ED67C1" w:rsidRDefault="00F578FE" w:rsidP="00ED67C1">
      <w:pPr>
        <w:spacing w:before="120" w:after="120" w:line="360" w:lineRule="auto"/>
        <w:jc w:val="center"/>
        <w:outlineLvl w:val="3"/>
        <w:rPr>
          <w:rFonts w:ascii="Cambria" w:eastAsia="Times New Roman" w:hAnsi="Cambria" w:cs="Times New Roman"/>
          <w:b/>
          <w:bCs/>
          <w:color w:val="262626"/>
          <w:sz w:val="32"/>
          <w:szCs w:val="32"/>
          <w:lang w:eastAsia="en-IN"/>
        </w:rPr>
      </w:pPr>
      <w:r w:rsidRPr="00ED67C1">
        <w:rPr>
          <w:rFonts w:ascii="Cambria" w:eastAsia="Times New Roman" w:hAnsi="Cambria" w:cs="Times New Roman"/>
          <w:b/>
          <w:bCs/>
          <w:color w:val="262626"/>
          <w:sz w:val="32"/>
          <w:szCs w:val="32"/>
          <w:lang w:eastAsia="en-IN"/>
        </w:rPr>
        <w:t>LECTURE-2.2(Database Security Threats)</w:t>
      </w:r>
    </w:p>
    <w:p w14:paraId="73A6AA24" w14:textId="77777777" w:rsidR="00F578FE" w:rsidRPr="00ED67C1" w:rsidRDefault="00F578FE" w:rsidP="00ED67C1">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ED67C1">
        <w:rPr>
          <w:rFonts w:ascii="Times New Roman" w:eastAsia="Times New Roman" w:hAnsi="Times New Roman" w:cs="Times New Roman"/>
          <w:b/>
          <w:bCs/>
          <w:color w:val="262626"/>
          <w:sz w:val="28"/>
          <w:szCs w:val="28"/>
          <w:lang w:eastAsia="en-IN"/>
        </w:rPr>
        <w:t>Threats</w:t>
      </w:r>
    </w:p>
    <w:p w14:paraId="73A6AA25"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sz w:val="24"/>
          <w:szCs w:val="24"/>
          <w:lang w:eastAsia="en-IN"/>
        </w:rPr>
        <w:t>Any situation or event, whether intentionally or incidentally, can cause damage, which can reflect an adverse effect on the database structure and, consequently, the organization. A threat may occur by a situation or event involving a person or the action or situations that are probably to bring harm to an organization and its database.</w:t>
      </w:r>
    </w:p>
    <w:p w14:paraId="73A6AA26"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sz w:val="24"/>
          <w:szCs w:val="24"/>
          <w:lang w:eastAsia="en-IN"/>
        </w:rPr>
        <w:t>The degree that an organization undergoes as a result of a threat's following which depends upon some aspects, such as the existence of countermeasures and contingency plans. Let us take an example where you have a hardware failure that occurs corrupting secondary storage; all processing activity must cease until the problem is resolved.</w:t>
      </w:r>
    </w:p>
    <w:p w14:paraId="6B5A1804" w14:textId="77777777" w:rsidR="004B1397" w:rsidRPr="004B1397" w:rsidRDefault="00F578FE" w:rsidP="00ED67C1">
      <w:pPr>
        <w:spacing w:before="120" w:after="120" w:line="360" w:lineRule="auto"/>
        <w:jc w:val="both"/>
        <w:rPr>
          <w:rFonts w:ascii="Times New Roman" w:eastAsia="Times New Roman" w:hAnsi="Times New Roman" w:cs="Times New Roman"/>
          <w:b/>
          <w:bCs/>
          <w:color w:val="000000"/>
          <w:sz w:val="28"/>
          <w:szCs w:val="28"/>
          <w:lang w:eastAsia="en-IN"/>
        </w:rPr>
      </w:pPr>
      <w:r w:rsidRPr="004B1397">
        <w:rPr>
          <w:rFonts w:ascii="Times New Roman" w:eastAsia="Times New Roman" w:hAnsi="Times New Roman" w:cs="Times New Roman"/>
          <w:b/>
          <w:bCs/>
          <w:color w:val="000000"/>
          <w:sz w:val="28"/>
          <w:szCs w:val="28"/>
          <w:lang w:eastAsia="en-IN"/>
        </w:rPr>
        <w:t>Threats to Databases</w:t>
      </w:r>
    </w:p>
    <w:p w14:paraId="73A6AA27" w14:textId="3809CF15"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color w:val="000000"/>
          <w:sz w:val="24"/>
          <w:szCs w:val="24"/>
          <w:lang w:eastAsia="en-IN"/>
        </w:rPr>
        <w:t>Threats to databases can result in the loss or degradation of some or all of the following commonly accepted security goals: integrity, availability, and confidentiality.</w:t>
      </w:r>
    </w:p>
    <w:p w14:paraId="73A6AA28" w14:textId="55057C8E" w:rsidR="00F578FE" w:rsidRPr="004B1397" w:rsidRDefault="00F578FE" w:rsidP="004B1397">
      <w:pPr>
        <w:pStyle w:val="ListParagraph"/>
        <w:numPr>
          <w:ilvl w:val="0"/>
          <w:numId w:val="3"/>
        </w:numPr>
        <w:spacing w:before="120" w:after="120" w:line="360" w:lineRule="auto"/>
        <w:ind w:left="360"/>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b/>
          <w:bCs/>
          <w:color w:val="000000"/>
          <w:sz w:val="24"/>
          <w:szCs w:val="24"/>
          <w:lang w:eastAsia="en-IN"/>
        </w:rPr>
        <w:t xml:space="preserve">Loss of integrity. </w:t>
      </w:r>
      <w:r w:rsidRPr="004B1397">
        <w:rPr>
          <w:rFonts w:ascii="Times New Roman" w:eastAsia="Times New Roman" w:hAnsi="Times New Roman" w:cs="Times New Roman"/>
          <w:color w:val="000000"/>
          <w:sz w:val="24"/>
          <w:szCs w:val="24"/>
          <w:lang w:eastAsia="en-IN"/>
        </w:rPr>
        <w:t>Database integrity refers to the requirement that information be protected from improper modification. Modification of data includes creation, insertion, updating, changing the status of data, and deletion.</w:t>
      </w:r>
    </w:p>
    <w:p w14:paraId="73A6AA29"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color w:val="000000"/>
          <w:sz w:val="24"/>
          <w:szCs w:val="24"/>
          <w:lang w:eastAsia="en-IN"/>
        </w:rPr>
        <w:t>Integrity is lost if unauthorized changes are made to the data by either intentional or accidental acts. If the loss of system or data integrity is not corrected, continued use of the contaminated system or corrupted data could result in inaccuracy, fraud, or erroneous decisions.</w:t>
      </w:r>
    </w:p>
    <w:p w14:paraId="73A6AA2A" w14:textId="3A5416C8"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Loss of availability. Database availability refers to making objects available to a human user or a program to which they have a legitimate right.</w:t>
      </w:r>
    </w:p>
    <w:p w14:paraId="73A6AA2C" w14:textId="038EFF1C" w:rsidR="00F578FE" w:rsidRPr="004B1397" w:rsidRDefault="00F578FE" w:rsidP="0075631A">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Loss of confidentiality. Database confidentiality refers to the protection of data from unauthorized disclosure. The impact of unauthorized disclosure of confidential information can range from violation of the Data Privacy Act</w:t>
      </w:r>
      <w:r w:rsidR="004B1397">
        <w:rPr>
          <w:rFonts w:ascii="Times New Roman" w:eastAsia="Times New Roman" w:hAnsi="Times New Roman" w:cs="Times New Roman"/>
          <w:sz w:val="24"/>
          <w:szCs w:val="24"/>
          <w:lang w:eastAsia="en-IN"/>
        </w:rPr>
        <w:t xml:space="preserve"> </w:t>
      </w:r>
      <w:r w:rsidRPr="004B1397">
        <w:rPr>
          <w:rFonts w:ascii="Times New Roman" w:eastAsia="Times New Roman" w:hAnsi="Times New Roman" w:cs="Times New Roman"/>
          <w:sz w:val="24"/>
          <w:szCs w:val="24"/>
          <w:lang w:eastAsia="en-IN"/>
        </w:rPr>
        <w:t>to the jeopardization of national security. Unauthorized, unanticipated, or unintentional disclosure could result in loss of public confidence, embarrassment, or legal action against the organization.</w:t>
      </w:r>
    </w:p>
    <w:p w14:paraId="73A6AA2D" w14:textId="1FDD7A0A"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lastRenderedPageBreak/>
        <w:t>Integrity: Database integrity refers that information be protected from improper modification. Modification includes creation, insertion, modification, changing the status of data, and deletion. Integrity is lost if unauthorized changes are made intentionally or through accidental acts. For example, Students cannot be allowed to modify their grades.</w:t>
      </w:r>
    </w:p>
    <w:p w14:paraId="73A6AA2E" w14:textId="6DF37F4D"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Availability: Authorized user or program should not be denied access. For example, an instructor who wishes to change a student grade should be allowed to do so.</w:t>
      </w:r>
    </w:p>
    <w:p w14:paraId="73A6AA2F" w14:textId="4CEBE256"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Secrecy: Data should not be disclosed to unauthorized users. For example, a student should not be allowed to see and change other student grades.</w:t>
      </w:r>
    </w:p>
    <w:p w14:paraId="73A6AA30" w14:textId="242EB0CF"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Denial of service attack: This attack makes a database server greatly slower or even not available to user at all. DoS attack does not result in the disclosure or loss of the database information; it can cost the victims much time and money.</w:t>
      </w:r>
    </w:p>
    <w:p w14:paraId="73A6AA31" w14:textId="625A0BBF"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Sniff attack: To accommodate the e-commerce and advantage of distributed systems, database is designed in a client-server mode. Attackers can use sniffer software to monitor data streams, and acquire some confidential information. For example, the credit card number of a customer.</w:t>
      </w:r>
    </w:p>
    <w:p w14:paraId="73A6AA32" w14:textId="780DC587"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Spoofing attack: Attackers forge a legal web application to access the database, and then retrieve data from the database and use it for bad transactions. The most common spoofing attacks are TCP used to get the IP addresses and DNS spoofing used to get the mapping between IP address and DNS name.</w:t>
      </w:r>
    </w:p>
    <w:p w14:paraId="73A6AA33" w14:textId="163DA5B4"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Trojan Horse: it is a malicious program that embeds into the system. It can modify the database and reside in operating system.</w:t>
      </w:r>
    </w:p>
    <w:p w14:paraId="73A6AA34" w14:textId="16029BA8"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Excessive privileges. When workers are granted default database privileges that exceed the requirements of their job functions, these privileges can be abused, Gerhart said. “For example, a bank employee whose job requires the ability to change only account holder contact information may take advantage of excessive database privileges and increase the account balance of a colleague’s savings account.” Further, some companies fail to update access privileges for employees who change roles within an organization or leave altogether.</w:t>
      </w:r>
    </w:p>
    <w:p w14:paraId="73A6AA35" w14:textId="2C93644C"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Legitimate privilege abuse. Users may abuse legitimate database privileges for unauthorized purposes, Gerhart said.</w:t>
      </w:r>
    </w:p>
    <w:p w14:paraId="73A6AA36" w14:textId="1C1F9499"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 xml:space="preserve">Database injection attacks. The two major types of database injection attacks are SQL injections that target traditional database systems and NoSQL injections that target “big data” platforms. “A crucial point to realize here is that, although it is technically true </w:t>
      </w:r>
      <w:r w:rsidRPr="004B1397">
        <w:rPr>
          <w:rFonts w:ascii="Times New Roman" w:eastAsia="Times New Roman" w:hAnsi="Times New Roman" w:cs="Times New Roman"/>
          <w:sz w:val="24"/>
          <w:szCs w:val="24"/>
          <w:lang w:eastAsia="en-IN"/>
        </w:rPr>
        <w:lastRenderedPageBreak/>
        <w:t>that big data solutions are impervious to SQL injection attacks because they don’t actually use any SQL-based technology, they are, in fact, still susceptible to the same fundamental class of attack,” Gerhart said. “In both types, a successful input injection attack can give an attacker unrestricted access to an entire database.”</w:t>
      </w:r>
    </w:p>
    <w:p w14:paraId="73A6AA37" w14:textId="46B740B3"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Malware. A perennial threat, malware is used to steal sensitive data via legitimate users using infected devices.</w:t>
      </w:r>
    </w:p>
    <w:p w14:paraId="73A6AA38" w14:textId="7F39F568"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Storage media exposure. Backup storage media is often completely unprotected from attack, Gerhart said. “As a result, numerous security breaches have involved the theft of database backup disks and tapes. Furthermore, failure to audit and monitor the activities of administrators who have low-level access to sensitive information can put your data at risk. Taking the appropriate measures to protect backup copies of sensitive data and monitor your most highly privileged users is not only a data security best practice, but also mandated by many regulations,” he said.</w:t>
      </w:r>
    </w:p>
    <w:p w14:paraId="73A6AA39" w14:textId="2E520321"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Exploitation of vulnerable databases. It generally takes organizations months to patch databases, during which time they remain vulnerable. Attackers know how to exploit unpatched databases or databases that still have default accounts and configuration parameters. “Unfortunately, organizations often struggle to stay on top of maintaining database configurations even when patches are available. Typical issues include high workloads and mounting backlogs for the associated database administrators, complex and time-consuming requirements for testing patches, and the challenge of finding a maintenance window to take down and work on what is often classified as a business-critical system,” Gerhart said.</w:t>
      </w:r>
    </w:p>
    <w:p w14:paraId="73A6AA3A" w14:textId="72CF6BBC"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Unmanaged sensitive data. Many companies struggle to maintain an accurate inventory of their databases and the critical data objects contained within them. “Forgotten databases may contain sensitive information, and new databases can emerge without visibility to the security team. Sensitive data in these databases will be exposed to threats if the required controls and permissions are not implemented,” he said.</w:t>
      </w:r>
    </w:p>
    <w:p w14:paraId="73A6AA3B" w14:textId="670D7B4B" w:rsidR="00F578FE" w:rsidRPr="004B1397" w:rsidRDefault="00F578FE" w:rsidP="004B1397">
      <w:pPr>
        <w:pStyle w:val="ListParagraph"/>
        <w:numPr>
          <w:ilvl w:val="0"/>
          <w:numId w:val="4"/>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sz w:val="24"/>
          <w:szCs w:val="24"/>
          <w:lang w:eastAsia="en-IN"/>
        </w:rPr>
        <w:t>The human factor. The root cause for 30 percent of data breach incidents is human negligence, according to the </w:t>
      </w:r>
      <w:proofErr w:type="spellStart"/>
      <w:r w:rsidRPr="004B1397">
        <w:rPr>
          <w:rFonts w:ascii="Times New Roman" w:eastAsia="Times New Roman" w:hAnsi="Times New Roman" w:cs="Times New Roman"/>
          <w:sz w:val="24"/>
          <w:szCs w:val="24"/>
          <w:lang w:eastAsia="en-IN"/>
        </w:rPr>
        <w:fldChar w:fldCharType="begin"/>
      </w:r>
      <w:r w:rsidRPr="004B1397">
        <w:rPr>
          <w:rFonts w:ascii="Times New Roman" w:eastAsia="Times New Roman" w:hAnsi="Times New Roman" w:cs="Times New Roman"/>
          <w:sz w:val="24"/>
          <w:szCs w:val="24"/>
          <w:lang w:eastAsia="en-IN"/>
        </w:rPr>
        <w:instrText>HYPERLINK "http://www-03.ibm.com/security/data-breach/" \t "_blank"</w:instrText>
      </w:r>
      <w:r w:rsidRPr="004B1397">
        <w:rPr>
          <w:lang w:eastAsia="en-IN"/>
        </w:rPr>
      </w:r>
      <w:r w:rsidRPr="004B1397">
        <w:rPr>
          <w:rFonts w:ascii="Times New Roman" w:eastAsia="Times New Roman" w:hAnsi="Times New Roman" w:cs="Times New Roman"/>
          <w:sz w:val="24"/>
          <w:szCs w:val="24"/>
          <w:lang w:eastAsia="en-IN"/>
        </w:rPr>
        <w:fldChar w:fldCharType="separate"/>
      </w:r>
      <w:r w:rsidRPr="004B1397">
        <w:rPr>
          <w:rFonts w:ascii="Times New Roman" w:eastAsia="Times New Roman" w:hAnsi="Times New Roman" w:cs="Times New Roman"/>
          <w:sz w:val="24"/>
          <w:szCs w:val="24"/>
          <w:lang w:eastAsia="en-IN"/>
        </w:rPr>
        <w:t>Ponemon</w:t>
      </w:r>
      <w:proofErr w:type="spellEnd"/>
      <w:r w:rsidRPr="004B1397">
        <w:rPr>
          <w:rFonts w:ascii="Times New Roman" w:eastAsia="Times New Roman" w:hAnsi="Times New Roman" w:cs="Times New Roman"/>
          <w:sz w:val="24"/>
          <w:szCs w:val="24"/>
          <w:lang w:eastAsia="en-IN"/>
        </w:rPr>
        <w:t xml:space="preserve"> Institute Cost of Data Breach Study</w:t>
      </w:r>
      <w:r w:rsidRPr="004B1397">
        <w:rPr>
          <w:rFonts w:ascii="Times New Roman" w:eastAsia="Times New Roman" w:hAnsi="Times New Roman" w:cs="Times New Roman"/>
          <w:sz w:val="24"/>
          <w:szCs w:val="24"/>
          <w:lang w:eastAsia="en-IN"/>
        </w:rPr>
        <w:fldChar w:fldCharType="end"/>
      </w:r>
      <w:r w:rsidRPr="004B1397">
        <w:rPr>
          <w:rFonts w:ascii="Times New Roman" w:eastAsia="Times New Roman" w:hAnsi="Times New Roman" w:cs="Times New Roman"/>
          <w:sz w:val="24"/>
          <w:szCs w:val="24"/>
          <w:lang w:eastAsia="en-IN"/>
        </w:rPr>
        <w:t>. “Often this is due to the lack of expertise required to implement security controls, enforce policies or conduct incident response processes,” Gerhart said.</w:t>
      </w:r>
    </w:p>
    <w:p w14:paraId="73A6AA3C"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color w:val="000000"/>
          <w:sz w:val="24"/>
          <w:szCs w:val="24"/>
          <w:lang w:eastAsia="en-IN"/>
        </w:rPr>
        <w:t xml:space="preserve">To protect databases against these types of threats, it is common to implement </w:t>
      </w:r>
      <w:r w:rsidRPr="00ED67C1">
        <w:rPr>
          <w:rFonts w:ascii="Times New Roman" w:eastAsia="Times New Roman" w:hAnsi="Times New Roman" w:cs="Times New Roman"/>
          <w:i/>
          <w:iCs/>
          <w:color w:val="000000"/>
          <w:sz w:val="24"/>
          <w:szCs w:val="24"/>
          <w:lang w:eastAsia="en-IN"/>
        </w:rPr>
        <w:t>four kinds of control measures</w:t>
      </w:r>
      <w:r w:rsidRPr="00ED67C1">
        <w:rPr>
          <w:rFonts w:ascii="Times New Roman" w:eastAsia="Times New Roman" w:hAnsi="Times New Roman" w:cs="Times New Roman"/>
          <w:color w:val="000000"/>
          <w:sz w:val="24"/>
          <w:szCs w:val="24"/>
          <w:lang w:eastAsia="en-IN"/>
        </w:rPr>
        <w:t xml:space="preserve">: </w:t>
      </w:r>
      <w:r w:rsidRPr="00ED67C1">
        <w:rPr>
          <w:rFonts w:ascii="Times New Roman" w:eastAsia="Times New Roman" w:hAnsi="Times New Roman" w:cs="Times New Roman"/>
          <w:b/>
          <w:bCs/>
          <w:color w:val="000000"/>
          <w:sz w:val="24"/>
          <w:szCs w:val="24"/>
          <w:lang w:eastAsia="en-IN"/>
        </w:rPr>
        <w:t>access control, inference control, flow control, and encryption.</w:t>
      </w:r>
    </w:p>
    <w:p w14:paraId="73A6AA3D"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p>
    <w:p w14:paraId="73A6AA3E"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color w:val="000000"/>
          <w:sz w:val="24"/>
          <w:szCs w:val="24"/>
          <w:lang w:eastAsia="en-IN"/>
        </w:rPr>
        <w:t>In a multiuser database system, the DBMS must provide techniques to enable certain users or user groups to access selected portions of a database without gaining access to the rest of the database. This is particularly important when a large integrated database is to be used by many different users within the same organization.</w:t>
      </w:r>
    </w:p>
    <w:p w14:paraId="73A6AA3F" w14:textId="77777777" w:rsidR="00F578FE" w:rsidRPr="00ED67C1" w:rsidRDefault="00F578FE" w:rsidP="00ED67C1">
      <w:p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color w:val="000000"/>
          <w:sz w:val="24"/>
          <w:szCs w:val="24"/>
          <w:lang w:eastAsia="en-IN"/>
        </w:rPr>
        <w:t xml:space="preserve">For example, sensitive information such as employee salaries or performance reviews should be kept confidential from most of the database system’s users. A DBMS typically includes a </w:t>
      </w:r>
      <w:r w:rsidRPr="00ED67C1">
        <w:rPr>
          <w:rFonts w:ascii="Times New Roman" w:eastAsia="Times New Roman" w:hAnsi="Times New Roman" w:cs="Times New Roman"/>
          <w:b/>
          <w:bCs/>
          <w:color w:val="000000"/>
          <w:sz w:val="24"/>
          <w:szCs w:val="24"/>
          <w:lang w:eastAsia="en-IN"/>
        </w:rPr>
        <w:t xml:space="preserve">database security and authorization subsystem </w:t>
      </w:r>
      <w:r w:rsidRPr="00ED67C1">
        <w:rPr>
          <w:rFonts w:ascii="Times New Roman" w:eastAsia="Times New Roman" w:hAnsi="Times New Roman" w:cs="Times New Roman"/>
          <w:color w:val="000000"/>
          <w:sz w:val="24"/>
          <w:szCs w:val="24"/>
          <w:lang w:eastAsia="en-IN"/>
        </w:rPr>
        <w:t>that is responsible for ensuring the security of portions of a database against unauthorized access. It is now customary to refer to two types of database security mechanisms:</w:t>
      </w:r>
    </w:p>
    <w:p w14:paraId="73A6AA41" w14:textId="07883873" w:rsidR="00F578FE" w:rsidRPr="004B1397" w:rsidRDefault="00F578FE" w:rsidP="004B1397">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b/>
          <w:bCs/>
          <w:color w:val="000000"/>
          <w:sz w:val="24"/>
          <w:szCs w:val="24"/>
          <w:lang w:eastAsia="en-IN"/>
        </w:rPr>
        <w:t xml:space="preserve">Discretionary security mechanisms. </w:t>
      </w:r>
      <w:r w:rsidRPr="004B1397">
        <w:rPr>
          <w:rFonts w:ascii="Times New Roman" w:eastAsia="Times New Roman" w:hAnsi="Times New Roman" w:cs="Times New Roman"/>
          <w:color w:val="000000"/>
          <w:sz w:val="24"/>
          <w:szCs w:val="24"/>
          <w:lang w:eastAsia="en-IN"/>
        </w:rPr>
        <w:t>These are used to grant privileges to users, including the capability to access specific data files, records, or fields in a specified mode (such as read, insert, delete, or update).</w:t>
      </w:r>
    </w:p>
    <w:p w14:paraId="73A6AA43" w14:textId="0CCBBE44" w:rsidR="00F578FE" w:rsidRPr="004B1397" w:rsidRDefault="00F578FE" w:rsidP="004B1397">
      <w:pPr>
        <w:pStyle w:val="ListParagraph"/>
        <w:numPr>
          <w:ilvl w:val="0"/>
          <w:numId w:val="5"/>
        </w:numPr>
        <w:spacing w:before="120" w:after="120" w:line="360" w:lineRule="auto"/>
        <w:jc w:val="both"/>
        <w:rPr>
          <w:rFonts w:ascii="Times New Roman" w:eastAsia="Times New Roman" w:hAnsi="Times New Roman" w:cs="Times New Roman"/>
          <w:sz w:val="24"/>
          <w:szCs w:val="24"/>
          <w:lang w:eastAsia="en-IN"/>
        </w:rPr>
      </w:pPr>
      <w:r w:rsidRPr="004B1397">
        <w:rPr>
          <w:rFonts w:ascii="Times New Roman" w:eastAsia="Times New Roman" w:hAnsi="Times New Roman" w:cs="Times New Roman"/>
          <w:b/>
          <w:bCs/>
          <w:color w:val="000000"/>
          <w:sz w:val="24"/>
          <w:szCs w:val="24"/>
          <w:lang w:eastAsia="en-IN"/>
        </w:rPr>
        <w:t xml:space="preserve">Mandatory security mechanisms. </w:t>
      </w:r>
      <w:r w:rsidRPr="004B1397">
        <w:rPr>
          <w:rFonts w:ascii="Times New Roman" w:eastAsia="Times New Roman" w:hAnsi="Times New Roman" w:cs="Times New Roman"/>
          <w:color w:val="000000"/>
          <w:sz w:val="24"/>
          <w:szCs w:val="24"/>
          <w:lang w:eastAsia="en-IN"/>
        </w:rPr>
        <w:t xml:space="preserve">These are used to enforce multilevel security by classifying the data and users into various security classes (or levels) and then implementing the appropriate security policy of the organization. For example, a typical security policy is to permit users at a certain classification (or clearance) level to see only the data items classified at the user’s own (or lower) classification level. An extension of this is </w:t>
      </w:r>
      <w:r w:rsidRPr="004B1397">
        <w:rPr>
          <w:rFonts w:ascii="Times New Roman" w:eastAsia="Times New Roman" w:hAnsi="Times New Roman" w:cs="Times New Roman"/>
          <w:i/>
          <w:iCs/>
          <w:color w:val="000000"/>
          <w:sz w:val="24"/>
          <w:szCs w:val="24"/>
          <w:lang w:eastAsia="en-IN"/>
        </w:rPr>
        <w:t xml:space="preserve">role-based security, </w:t>
      </w:r>
      <w:r w:rsidRPr="004B1397">
        <w:rPr>
          <w:rFonts w:ascii="Times New Roman" w:eastAsia="Times New Roman" w:hAnsi="Times New Roman" w:cs="Times New Roman"/>
          <w:color w:val="000000"/>
          <w:sz w:val="24"/>
          <w:szCs w:val="24"/>
          <w:lang w:eastAsia="en-IN"/>
        </w:rPr>
        <w:t>which enforces policies and privileges based on the concept of organizational roles.</w:t>
      </w:r>
    </w:p>
    <w:p w14:paraId="73A6AA45" w14:textId="77777777" w:rsidR="00F578FE" w:rsidRPr="004B1397" w:rsidRDefault="00F578FE" w:rsidP="00ED67C1">
      <w:pPr>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B1397">
        <w:rPr>
          <w:rFonts w:ascii="Times New Roman" w:eastAsia="Times New Roman" w:hAnsi="Times New Roman" w:cs="Times New Roman"/>
          <w:b/>
          <w:bCs/>
          <w:color w:val="000000"/>
          <w:sz w:val="28"/>
          <w:szCs w:val="28"/>
          <w:u w:val="single"/>
          <w:lang w:eastAsia="en-IN"/>
        </w:rPr>
        <w:t>Other References</w:t>
      </w:r>
    </w:p>
    <w:p w14:paraId="73A6AA46" w14:textId="77777777" w:rsidR="00F578FE" w:rsidRPr="00ED67C1" w:rsidRDefault="00F578FE" w:rsidP="00ED67C1">
      <w:pPr>
        <w:numPr>
          <w:ilvl w:val="0"/>
          <w:numId w:val="1"/>
        </w:numPr>
        <w:spacing w:before="120" w:after="120" w:line="360" w:lineRule="auto"/>
        <w:jc w:val="both"/>
        <w:rPr>
          <w:rFonts w:ascii="Times New Roman" w:eastAsia="Times New Roman" w:hAnsi="Times New Roman" w:cs="Times New Roman"/>
          <w:sz w:val="24"/>
          <w:szCs w:val="24"/>
          <w:lang w:eastAsia="en-IN"/>
        </w:rPr>
      </w:pPr>
      <w:hyperlink r:id="rId5" w:anchor=":~:text=%20Top%20Database%20Security%20Threats%20and%20How%20to,data%20via%20legitimate%20users%20using%20infected...%20More%20" w:tgtFrame="_blank" w:history="1">
        <w:r w:rsidRPr="00ED67C1">
          <w:rPr>
            <w:rFonts w:ascii="Times New Roman" w:eastAsia="Times New Roman" w:hAnsi="Times New Roman" w:cs="Times New Roman"/>
            <w:color w:val="000000"/>
            <w:sz w:val="24"/>
            <w:szCs w:val="24"/>
            <w:u w:val="single"/>
            <w:lang w:eastAsia="en-IN"/>
          </w:rPr>
          <w:t>Top Database Security Threats and How to Mitigate Them (shrm.org)</w:t>
        </w:r>
      </w:hyperlink>
    </w:p>
    <w:p w14:paraId="73A6AA47" w14:textId="77777777" w:rsidR="00F578FE" w:rsidRPr="00ED67C1" w:rsidRDefault="00F578FE" w:rsidP="00ED67C1">
      <w:pPr>
        <w:numPr>
          <w:ilvl w:val="0"/>
          <w:numId w:val="1"/>
        </w:numPr>
        <w:spacing w:before="120" w:after="120" w:line="360" w:lineRule="auto"/>
        <w:jc w:val="both"/>
        <w:rPr>
          <w:rFonts w:ascii="Times New Roman" w:eastAsia="Times New Roman" w:hAnsi="Times New Roman" w:cs="Times New Roman"/>
          <w:sz w:val="24"/>
          <w:szCs w:val="24"/>
          <w:lang w:eastAsia="en-IN"/>
        </w:rPr>
      </w:pPr>
      <w:hyperlink r:id="rId6" w:tgtFrame="_blank" w:history="1">
        <w:r w:rsidRPr="00ED67C1">
          <w:rPr>
            <w:rFonts w:ascii="Times New Roman" w:eastAsia="Times New Roman" w:hAnsi="Times New Roman" w:cs="Times New Roman"/>
            <w:color w:val="000000"/>
            <w:sz w:val="24"/>
            <w:szCs w:val="24"/>
            <w:u w:val="single"/>
            <w:lang w:eastAsia="en-IN"/>
          </w:rPr>
          <w:t xml:space="preserve">Database Security Threats </w:t>
        </w:r>
        <w:proofErr w:type="gramStart"/>
        <w:r w:rsidRPr="00ED67C1">
          <w:rPr>
            <w:rFonts w:ascii="Times New Roman" w:eastAsia="Times New Roman" w:hAnsi="Times New Roman" w:cs="Times New Roman"/>
            <w:color w:val="000000"/>
            <w:sz w:val="24"/>
            <w:szCs w:val="24"/>
            <w:u w:val="single"/>
            <w:lang w:eastAsia="en-IN"/>
          </w:rPr>
          <w:t>And</w:t>
        </w:r>
        <w:proofErr w:type="gramEnd"/>
        <w:r w:rsidRPr="00ED67C1">
          <w:rPr>
            <w:rFonts w:ascii="Times New Roman" w:eastAsia="Times New Roman" w:hAnsi="Times New Roman" w:cs="Times New Roman"/>
            <w:color w:val="000000"/>
            <w:sz w:val="24"/>
            <w:szCs w:val="24"/>
            <w:u w:val="single"/>
            <w:lang w:eastAsia="en-IN"/>
          </w:rPr>
          <w:t xml:space="preserve"> Countermeasures Computer Science Essay (ukessays.com)</w:t>
        </w:r>
      </w:hyperlink>
    </w:p>
    <w:p w14:paraId="73A6AA48" w14:textId="77777777" w:rsidR="00F578FE" w:rsidRPr="00ED67C1" w:rsidRDefault="00F578FE" w:rsidP="00ED67C1">
      <w:pPr>
        <w:numPr>
          <w:ilvl w:val="0"/>
          <w:numId w:val="1"/>
        </w:numPr>
        <w:spacing w:before="120" w:after="120" w:line="360" w:lineRule="auto"/>
        <w:jc w:val="both"/>
        <w:rPr>
          <w:rFonts w:ascii="Times New Roman" w:eastAsia="Times New Roman" w:hAnsi="Times New Roman" w:cs="Times New Roman"/>
          <w:sz w:val="24"/>
          <w:szCs w:val="24"/>
          <w:lang w:eastAsia="en-IN"/>
        </w:rPr>
      </w:pPr>
      <w:hyperlink r:id="rId7" w:tgtFrame="_blank" w:history="1">
        <w:r w:rsidRPr="00ED67C1">
          <w:rPr>
            <w:rFonts w:ascii="Times New Roman" w:eastAsia="Times New Roman" w:hAnsi="Times New Roman" w:cs="Times New Roman"/>
            <w:color w:val="000000"/>
            <w:sz w:val="24"/>
            <w:szCs w:val="24"/>
            <w:u w:val="single"/>
            <w:lang w:eastAsia="en-IN"/>
          </w:rPr>
          <w:t>Database Security (oracle.com)</w:t>
        </w:r>
      </w:hyperlink>
    </w:p>
    <w:p w14:paraId="73A6AA4A" w14:textId="77777777" w:rsidR="00F578FE" w:rsidRPr="004B1397" w:rsidRDefault="00F578FE" w:rsidP="00ED67C1">
      <w:pPr>
        <w:spacing w:before="120" w:after="120" w:line="360" w:lineRule="auto"/>
        <w:jc w:val="both"/>
        <w:outlineLvl w:val="3"/>
        <w:rPr>
          <w:rFonts w:ascii="Times New Roman" w:eastAsia="Times New Roman" w:hAnsi="Times New Roman" w:cs="Times New Roman"/>
          <w:b/>
          <w:bCs/>
          <w:color w:val="000000"/>
          <w:sz w:val="28"/>
          <w:szCs w:val="28"/>
          <w:u w:val="single"/>
          <w:lang w:eastAsia="en-IN"/>
        </w:rPr>
      </w:pPr>
      <w:r w:rsidRPr="004B1397">
        <w:rPr>
          <w:rFonts w:ascii="Times New Roman" w:eastAsia="Times New Roman" w:hAnsi="Times New Roman" w:cs="Times New Roman"/>
          <w:b/>
          <w:bCs/>
          <w:color w:val="000000"/>
          <w:sz w:val="28"/>
          <w:szCs w:val="28"/>
          <w:u w:val="single"/>
          <w:lang w:eastAsia="en-IN"/>
        </w:rPr>
        <w:t>Suggested Book References</w:t>
      </w:r>
    </w:p>
    <w:p w14:paraId="73A6AA4B" w14:textId="77777777" w:rsidR="00F578FE" w:rsidRPr="00ED67C1" w:rsidRDefault="00F578FE" w:rsidP="00ED67C1">
      <w:pPr>
        <w:numPr>
          <w:ilvl w:val="0"/>
          <w:numId w:val="2"/>
        </w:num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sz w:val="24"/>
          <w:szCs w:val="24"/>
          <w:lang w:eastAsia="en-IN"/>
        </w:rPr>
        <w:t xml:space="preserve">Ramez Elmasri and Shamkant B. </w:t>
      </w:r>
      <w:proofErr w:type="spellStart"/>
      <w:proofErr w:type="gramStart"/>
      <w:r w:rsidRPr="00ED67C1">
        <w:rPr>
          <w:rFonts w:ascii="Times New Roman" w:eastAsia="Times New Roman" w:hAnsi="Times New Roman" w:cs="Times New Roman"/>
          <w:sz w:val="24"/>
          <w:szCs w:val="24"/>
          <w:lang w:eastAsia="en-IN"/>
        </w:rPr>
        <w:t>Navathe,“</w:t>
      </w:r>
      <w:proofErr w:type="gramEnd"/>
      <w:r w:rsidRPr="00ED67C1">
        <w:rPr>
          <w:rFonts w:ascii="Times New Roman" w:eastAsia="Times New Roman" w:hAnsi="Times New Roman" w:cs="Times New Roman"/>
          <w:sz w:val="24"/>
          <w:szCs w:val="24"/>
          <w:lang w:eastAsia="en-IN"/>
        </w:rPr>
        <w:t>Fundamentals</w:t>
      </w:r>
      <w:proofErr w:type="spellEnd"/>
      <w:r w:rsidRPr="00ED67C1">
        <w:rPr>
          <w:rFonts w:ascii="Times New Roman" w:eastAsia="Times New Roman" w:hAnsi="Times New Roman" w:cs="Times New Roman"/>
          <w:sz w:val="24"/>
          <w:szCs w:val="24"/>
          <w:lang w:eastAsia="en-IN"/>
        </w:rPr>
        <w:t xml:space="preserve"> of Database System”, The Benjamin / Cummings Publishing Co.</w:t>
      </w:r>
    </w:p>
    <w:p w14:paraId="73A6AA4C" w14:textId="77777777" w:rsidR="00F578FE" w:rsidRPr="00ED67C1" w:rsidRDefault="00F578FE" w:rsidP="00ED67C1">
      <w:pPr>
        <w:numPr>
          <w:ilvl w:val="0"/>
          <w:numId w:val="2"/>
        </w:numPr>
        <w:spacing w:before="120" w:after="120" w:line="360" w:lineRule="auto"/>
        <w:jc w:val="both"/>
        <w:rPr>
          <w:rFonts w:ascii="Times New Roman" w:eastAsia="Times New Roman" w:hAnsi="Times New Roman" w:cs="Times New Roman"/>
          <w:sz w:val="24"/>
          <w:szCs w:val="24"/>
          <w:lang w:eastAsia="en-IN"/>
        </w:rPr>
      </w:pPr>
      <w:r w:rsidRPr="00ED67C1">
        <w:rPr>
          <w:rFonts w:ascii="Times New Roman" w:eastAsia="Times New Roman" w:hAnsi="Times New Roman" w:cs="Times New Roman"/>
          <w:sz w:val="24"/>
          <w:szCs w:val="24"/>
          <w:lang w:eastAsia="en-IN"/>
        </w:rPr>
        <w:t xml:space="preserve">Korth and Silberschatz Abraham, “Database </w:t>
      </w:r>
      <w:proofErr w:type="spellStart"/>
      <w:r w:rsidRPr="00ED67C1">
        <w:rPr>
          <w:rFonts w:ascii="Times New Roman" w:eastAsia="Times New Roman" w:hAnsi="Times New Roman" w:cs="Times New Roman"/>
          <w:sz w:val="24"/>
          <w:szCs w:val="24"/>
          <w:lang w:eastAsia="en-IN"/>
        </w:rPr>
        <w:t>SystemConcepts</w:t>
      </w:r>
      <w:proofErr w:type="spellEnd"/>
      <w:r w:rsidRPr="00ED67C1">
        <w:rPr>
          <w:rFonts w:ascii="Times New Roman" w:eastAsia="Times New Roman" w:hAnsi="Times New Roman" w:cs="Times New Roman"/>
          <w:sz w:val="24"/>
          <w:szCs w:val="24"/>
          <w:lang w:eastAsia="en-IN"/>
        </w:rPr>
        <w:t>”, McGraw Hall.</w:t>
      </w:r>
    </w:p>
    <w:p w14:paraId="73A6AA4E" w14:textId="0E7FC417" w:rsidR="00896B36" w:rsidRPr="004B1397" w:rsidRDefault="00F578FE" w:rsidP="00B45681">
      <w:pPr>
        <w:numPr>
          <w:ilvl w:val="0"/>
          <w:numId w:val="2"/>
        </w:numPr>
        <w:spacing w:before="120" w:after="120" w:line="360" w:lineRule="auto"/>
        <w:jc w:val="both"/>
        <w:rPr>
          <w:rFonts w:ascii="Times New Roman" w:hAnsi="Times New Roman" w:cs="Times New Roman"/>
          <w:sz w:val="24"/>
          <w:szCs w:val="24"/>
        </w:rPr>
      </w:pPr>
      <w:proofErr w:type="spellStart"/>
      <w:r w:rsidRPr="004B1397">
        <w:rPr>
          <w:rFonts w:ascii="Times New Roman" w:eastAsia="Times New Roman" w:hAnsi="Times New Roman" w:cs="Times New Roman"/>
          <w:sz w:val="24"/>
          <w:szCs w:val="24"/>
          <w:lang w:eastAsia="en-IN"/>
        </w:rPr>
        <w:t>Pratt</w:t>
      </w:r>
      <w:proofErr w:type="gramStart"/>
      <w:r w:rsidRPr="004B1397">
        <w:rPr>
          <w:rFonts w:ascii="Times New Roman" w:eastAsia="Times New Roman" w:hAnsi="Times New Roman" w:cs="Times New Roman"/>
          <w:sz w:val="24"/>
          <w:szCs w:val="24"/>
          <w:lang w:eastAsia="en-IN"/>
        </w:rPr>
        <w:t>,”DBMS</w:t>
      </w:r>
      <w:proofErr w:type="spellEnd"/>
      <w:proofErr w:type="gramEnd"/>
      <w:r w:rsidRPr="004B1397">
        <w:rPr>
          <w:rFonts w:ascii="Times New Roman" w:eastAsia="Times New Roman" w:hAnsi="Times New Roman" w:cs="Times New Roman"/>
          <w:sz w:val="24"/>
          <w:szCs w:val="24"/>
          <w:lang w:eastAsia="en-IN"/>
        </w:rPr>
        <w:t>”, Cengage Learning.</w:t>
      </w:r>
    </w:p>
    <w:sectPr w:rsidR="00896B36" w:rsidRPr="004B1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B1CB8"/>
    <w:multiLevelType w:val="hybridMultilevel"/>
    <w:tmpl w:val="1074991A"/>
    <w:lvl w:ilvl="0" w:tplc="0C00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C611D3"/>
    <w:multiLevelType w:val="hybridMultilevel"/>
    <w:tmpl w:val="FABA7616"/>
    <w:lvl w:ilvl="0" w:tplc="0C00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FA1C48"/>
    <w:multiLevelType w:val="hybridMultilevel"/>
    <w:tmpl w:val="75F01074"/>
    <w:lvl w:ilvl="0" w:tplc="0C00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E454C0"/>
    <w:multiLevelType w:val="multilevel"/>
    <w:tmpl w:val="FE3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75186"/>
    <w:multiLevelType w:val="multilevel"/>
    <w:tmpl w:val="7AF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13192">
    <w:abstractNumId w:val="4"/>
  </w:num>
  <w:num w:numId="2" w16cid:durableId="772555795">
    <w:abstractNumId w:val="3"/>
  </w:num>
  <w:num w:numId="3" w16cid:durableId="676149756">
    <w:abstractNumId w:val="2"/>
  </w:num>
  <w:num w:numId="4" w16cid:durableId="1978098147">
    <w:abstractNumId w:val="1"/>
  </w:num>
  <w:num w:numId="5" w16cid:durableId="179733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36"/>
    <w:rsid w:val="004B1397"/>
    <w:rsid w:val="00896B36"/>
    <w:rsid w:val="009A12EE"/>
    <w:rsid w:val="00ED67C1"/>
    <w:rsid w:val="00F578FE"/>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AA20"/>
  <w15:chartTrackingRefBased/>
  <w15:docId w15:val="{738EE1F1-015E-4A7F-B836-2BCF2858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578F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578FE"/>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F578FE"/>
    <w:rPr>
      <w:b/>
      <w:bCs/>
    </w:rPr>
  </w:style>
  <w:style w:type="paragraph" w:styleId="NormalWeb">
    <w:name w:val="Normal (Web)"/>
    <w:basedOn w:val="Normal"/>
    <w:uiPriority w:val="99"/>
    <w:semiHidden/>
    <w:unhideWhenUsed/>
    <w:rsid w:val="00F578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578FE"/>
    <w:rPr>
      <w:color w:val="0000FF"/>
      <w:u w:val="single"/>
    </w:rPr>
  </w:style>
  <w:style w:type="character" w:styleId="Emphasis">
    <w:name w:val="Emphasis"/>
    <w:basedOn w:val="DefaultParagraphFont"/>
    <w:uiPriority w:val="20"/>
    <w:qFormat/>
    <w:rsid w:val="00F578FE"/>
    <w:rPr>
      <w:i/>
      <w:iCs/>
    </w:rPr>
  </w:style>
  <w:style w:type="paragraph" w:styleId="ListParagraph">
    <w:name w:val="List Paragraph"/>
    <w:basedOn w:val="Normal"/>
    <w:uiPriority w:val="34"/>
    <w:qFormat/>
    <w:rsid w:val="004B13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43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cd/B19306_01/server.102/b14220/security.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kessays.com/essays/computer-science/database-security-threats-and-countermeasures-computer-science-essay.php" TargetMode="External"/><Relationship Id="rId5" Type="http://schemas.openxmlformats.org/officeDocument/2006/relationships/hyperlink" Target="https://www.shrm.org/ResourcesAndTools/hr-topics/risk-management/Pages/Top-Database-Security-Threats.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1449</Words>
  <Characters>8260</Characters>
  <Application>Microsoft Office Word</Application>
  <DocSecurity>0</DocSecurity>
  <Lines>68</Lines>
  <Paragraphs>19</Paragraphs>
  <ScaleCrop>false</ScaleCrop>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2021-07-06T10:16:00Z</dcterms:created>
  <dcterms:modified xsi:type="dcterms:W3CDTF">2024-12-11T06:49:00Z</dcterms:modified>
</cp:coreProperties>
</file>