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63cc4b053244b34" /><Relationship Type="http://schemas.openxmlformats.org/package/2006/relationships/metadata/core-properties" Target="/docProps/core.xml" Id="R17e4028a3aed4c98" /><Relationship Type="http://schemas.openxmlformats.org/officeDocument/2006/relationships/extended-properties" Target="/docProps/app.xml" Id="Rb69d0060692f404e" /><Relationship Type="http://schemas.openxmlformats.org/officeDocument/2006/relationships/custom-properties" Target="/docProps/custom.xml" Id="R7f24fa93dcf4435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color w:val="1F3864"/>
          <w:sz w:val="56"/>
        </w:rPr>
        <w:t xml:space="preserve">E-Commerce Sales &amp; Customer Analytics</w:t>
      </w:r>
    </w:p>
    <w:p w14:paraId="00100002" w14:textId="00100003">
      <w:pPr>
        <w:pStyle w:val="Normal"/>
        <w:spacing w:after="80"/>
        <w:jc w:val="center"/>
      </w:pPr>
      <w:r>
        <w:rPr>
          <w:color w:val="2563EB"/>
          <w:sz w:val="26"/>
        </w:rPr>
        <w:t xml:space="preserve">IBM SkillsBuild — Data Analytics with AI Internship Project</w:t>
      </w:r>
    </w:p>
    <w:p w14:paraId="00100004" w14:textId="00100005">
      <w:pPr>
        <w:pStyle w:val="Normal"/>
        <w:spacing w:after="80"/>
        <w:jc w:val="center"/>
      </w:pPr>
      <w:r>
        <w:rPr>
          <w:color w:val="57606A"/>
          <w:sz w:val="20"/>
        </w:rPr>
        <w:t xml:space="preserve">Dataset: ecommerce_sales_analytics_5000.csv  |  5,000 Records  |  2022-2035</w:t>
      </w:r>
    </w:p>
    <w:p w14:paraId="00100006" w14:textId="00100007">
      <w:pPr>
        <w:pStyle w:val="Normal"/>
        <w:spacing w:after="480"/>
        <w:jc w:val="center"/>
      </w:pPr>
      <w:r>
        <w:rPr>
          <w:color w:val="D97706"/>
          <w:sz w:val="20"/>
        </w:rPr>
        <w:t xml:space="preserve">Note: Synthetic / simulated dataset - for illustrative purposes only</w:t>
      </w:r>
    </w:p>
    <w:p w14:paraId="00100008" w14:textId="00100009">
      <w:pPr>
        <w:pStyle w:val="Heading1"/>
        <w:spacing w:before="480" w:after="160"/>
      </w:pPr>
      <w:r>
        <w:rPr>
          <w:b/>
          <w:color w:val="1F3864"/>
          <w:sz w:val="36"/>
        </w:rPr>
        <w:t xml:space="preserve">1. Project Overview</w:t>
      </w:r>
    </w:p>
    <w:p w14:paraId="0010000A" w14:textId="0010000B">
      <w:pPr>
        <w:pStyle w:val="Normal"/>
        <w:spacing w:after="160"/>
      </w:pPr>
      <w:r>
        <w:rPr>
          <w:sz w:val="22"/>
        </w:rPr>
        <w:t xml:space="preserve">This project applies the full Business Intelligence lifecycle to a synthetic e-commerce dataset, transforming raw transactional records into actionable business insights through structured data analysis, visualisation, and evidence-based recommendations.</w:t>
      </w:r>
    </w:p>
    <w:p w14:paraId="0010000C" w14:textId="0010032F">
      <w:pPr>
        <w:pStyle w:val="Normal"/>
        <w:spacing w:after="80"/>
      </w:pPr>
      <w:r>
        <w:rPr>
          <w:sz w:val="22"/>
        </w:rPr>
        <w:t xml:space="preserve">The analysis follows a five-step BI framework:</w:t>
      </w:r>
    </w:p>
    <w:p w14:paraId="0010000E" w14:textId="00100330">
      <w:pPr>
        <w:pStyle w:val="Normal"/>
        <w:numPr>
          <w:ilvl w:val="0"/>
          <w:numId w:val="1"/>
        </w:numPr>
        <w:spacing w:after="40"/>
      </w:pPr>
      <w:r>
        <w:rPr>
          <w:sz w:val="22"/>
        </w:rPr>
        <w:t xml:space="preserve">Step 1 — Data: Load, validate, and clean the raw dataset to ensure analytical integrity</w:t>
      </w:r>
    </w:p>
    <w:p w14:paraId="00100010" w14:textId="00100331">
      <w:pPr>
        <w:pStyle w:val="Normal"/>
        <w:numPr>
          <w:ilvl w:val="0"/>
          <w:numId w:val="1"/>
        </w:numPr>
        <w:spacing w:after="40"/>
      </w:pPr>
      <w:r>
        <w:rPr>
          <w:sz w:val="22"/>
        </w:rPr>
        <w:t xml:space="preserve">Step 2 — KPIs: Calculate key performance indicators across revenue, orders, customers, and satisfaction</w:t>
      </w:r>
    </w:p>
    <w:p w14:paraId="00100012" w14:textId="00100332">
      <w:pPr>
        <w:pStyle w:val="Normal"/>
        <w:numPr>
          <w:ilvl w:val="0"/>
          <w:numId w:val="1"/>
        </w:numPr>
        <w:spacing w:after="40"/>
      </w:pPr>
      <w:r>
        <w:rPr>
          <w:sz w:val="22"/>
        </w:rPr>
        <w:t xml:space="preserve">Step 3 — Trends: Identify patterns across time, product categories, regions, and payment methods</w:t>
      </w:r>
    </w:p>
    <w:p w14:paraId="00100014" w14:textId="00100333">
      <w:pPr>
        <w:pStyle w:val="Normal"/>
        <w:numPr>
          <w:ilvl w:val="0"/>
          <w:numId w:val="1"/>
        </w:numPr>
        <w:spacing w:after="240"/>
      </w:pPr>
      <w:r>
        <w:rPr>
          <w:sz w:val="22"/>
        </w:rPr>
        <w:t xml:space="preserve">Step 4 — Risks/Opportunities: Assess concentration risk, customer loyalty, satisfaction weak spots, and discount effectiveness</w:t>
      </w:r>
    </w:p>
    <w:p w14:paraId="00100334" w14:textId="00100335">
      <w:pPr>
        <w:pStyle w:val="Normal"/>
        <w:numPr>
          <w:ilvl w:val="0"/>
          <w:numId w:val="3"/>
        </w:numPr>
        <w:spacing w:after="240"/>
      </w:pPr>
      <w:r>
        <w:rPr>
          <w:sz w:val="22"/>
        </w:rPr>
        <w:t xml:space="preserve">Step 5 — Actions: Derive evidence-based recommendations with quantitative success metrics for each identified finding</w:t>
      </w:r>
    </w:p>
    <w:p w14:paraId="00100016" w14:textId="00100017">
      <w:pPr>
        <w:pStyle w:val="Heading1"/>
        <w:spacing w:before="320" w:after="160"/>
      </w:pPr>
      <w:r>
        <w:rPr>
          <w:b/>
          <w:color w:val="1F3864"/>
          <w:sz w:val="36"/>
        </w:rPr>
        <w:t xml:space="preserve">2. Dataset Description</w:t>
      </w:r>
    </w:p>
    <w:p w14:paraId="00100018" w14:textId="00100345">
      <w:pPr>
        <w:pStyle w:val="Normal"/>
        <w:spacing w:after="160"/>
      </w:pPr>
      <w:r>
        <w:rPr>
          <w:sz w:val="22"/>
        </w:rPr>
        <w:t xml:space="preserve">The dataset is a synthetic (computer-generated, not real) e-commerce sales simulation containing 5,000 order records spanning January 2022 to September 2035. Source: Kaggle — https://www.kaggle.com/datasets/abbas829/ecommerce-sales-dataset. Each record represents one order. There are no missing values and no duplicate records. Because the data is synthetic, no finding should be treated as a real-world business fact.</w:t>
      </w:r>
    </w:p>
    <w:p w14:paraId="0010001A" w14:textId="0010001B">
      <w:pPr>
        <w:pStyle w:val="Heading2"/>
        <w:spacing w:before="200" w:after="120"/>
      </w:pPr>
      <w:r>
        <w:rPr>
          <w:b/>
          <w:color w:val="2563EB"/>
          <w:sz w:val="28"/>
        </w:rPr>
        <w:t xml:space="preserve">Dataset Columns</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C" w14:textId="0010001D">
            <w:r>
              <w:t xml:space="preserve">Column</w:t>
            </w:r>
          </w:p>
        </w:tc>
        <w:tc>
          <w:p w14:paraId="0010001E" w14:textId="0010001F">
            <w:r>
              <w:t xml:space="preserve">Type</w:t>
            </w:r>
          </w:p>
        </w:tc>
        <w:tc>
          <w:p w14:paraId="00100020" w14:textId="00100021">
            <w:r>
              <w:t xml:space="preserve">Description</w:t>
            </w:r>
          </w:p>
        </w:tc>
      </w:tr>
      <w:tr>
        <w:trPr/>
        <w:tc>
          <w:p w14:paraId="00100022" w14:textId="00100023">
            <w:r>
              <w:t xml:space="preserve">order_id</w:t>
            </w:r>
          </w:p>
        </w:tc>
        <w:tc>
          <w:p w14:paraId="00100024" w14:textId="00100025">
            <w:r>
              <w:t xml:space="preserve">Integer</w:t>
            </w:r>
          </w:p>
        </w:tc>
        <w:tc>
          <w:p w14:paraId="00100026" w14:textId="00100027">
            <w:r>
              <w:t xml:space="preserve">Unique order identifier (10001-15000)</w:t>
            </w:r>
          </w:p>
        </w:tc>
      </w:tr>
      <w:tr>
        <w:trPr/>
        <w:tc>
          <w:p w14:paraId="00100028" w14:textId="00100029">
            <w:r>
              <w:t xml:space="preserve">order_date</w:t>
            </w:r>
          </w:p>
        </w:tc>
        <w:tc>
          <w:p w14:paraId="0010002A" w14:textId="0010002B">
            <w:r>
              <w:t xml:space="preserve">Date</w:t>
            </w:r>
          </w:p>
        </w:tc>
        <w:tc>
          <w:p w14:paraId="0010002C" w14:textId="0010002D">
            <w:r>
              <w:t xml:space="preserve">Order date (2022-01-01 to 2035-09-09)</w:t>
            </w:r>
          </w:p>
        </w:tc>
      </w:tr>
      <w:tr>
        <w:trPr/>
        <w:tc>
          <w:p w14:paraId="0010002E" w14:textId="0010002F">
            <w:r>
              <w:t xml:space="preserve">customer_id</w:t>
            </w:r>
          </w:p>
        </w:tc>
        <w:tc>
          <w:p w14:paraId="00100030" w14:textId="00100031">
            <w:r>
              <w:t xml:space="preserve">Integer</w:t>
            </w:r>
          </w:p>
        </w:tc>
        <w:tc>
          <w:p w14:paraId="00100032" w14:textId="00100033">
            <w:r>
              <w:t xml:space="preserve">Customer identifier (989 unique, IDs 1000-1999)</w:t>
            </w:r>
          </w:p>
        </w:tc>
      </w:tr>
      <w:tr>
        <w:trPr/>
        <w:tc>
          <w:p w14:paraId="00100034" w14:textId="00100035">
            <w:r>
              <w:t xml:space="preserve">product_category</w:t>
            </w:r>
          </w:p>
        </w:tc>
        <w:tc>
          <w:p w14:paraId="00100036" w14:textId="00100037">
            <w:r>
              <w:t xml:space="preserve">String</w:t>
            </w:r>
          </w:p>
        </w:tc>
        <w:tc>
          <w:p w14:paraId="00100038" w14:textId="00100039">
            <w:r>
              <w:t xml:space="preserve">Electronics, Clothing, Home, Beauty</w:t>
            </w:r>
          </w:p>
        </w:tc>
      </w:tr>
      <w:tr>
        <w:trPr/>
        <w:tc>
          <w:p w14:paraId="0010003A" w14:textId="0010003B">
            <w:r>
              <w:t xml:space="preserve">region</w:t>
            </w:r>
          </w:p>
        </w:tc>
        <w:tc>
          <w:p w14:paraId="0010003C" w14:textId="0010003D">
            <w:r>
              <w:t xml:space="preserve">String</w:t>
            </w:r>
          </w:p>
        </w:tc>
        <w:tc>
          <w:p w14:paraId="0010003E" w14:textId="0010003F">
            <w:r>
              <w:t xml:space="preserve">West, North, South, East</w:t>
            </w:r>
          </w:p>
        </w:tc>
      </w:tr>
      <w:tr>
        <w:trPr/>
        <w:tc>
          <w:p w14:paraId="00100040" w14:textId="00100041">
            <w:r>
              <w:t xml:space="preserve">quantity</w:t>
            </w:r>
          </w:p>
        </w:tc>
        <w:tc>
          <w:p w14:paraId="00100042" w14:textId="00100043">
            <w:r>
              <w:t xml:space="preserve">Integer</w:t>
            </w:r>
          </w:p>
        </w:tc>
        <w:tc>
          <w:p w14:paraId="00100044" w14:textId="00100045">
            <w:r>
              <w:t xml:space="preserve">Units ordered (1-7)</w:t>
            </w:r>
          </w:p>
        </w:tc>
      </w:tr>
      <w:tr>
        <w:trPr/>
        <w:tc>
          <w:p w14:paraId="00100046" w14:textId="00100047">
            <w:r>
              <w:t xml:space="preserve">unit_price</w:t>
            </w:r>
          </w:p>
        </w:tc>
        <w:tc>
          <w:p w14:paraId="00100048" w14:textId="00100049">
            <w:r>
              <w:t xml:space="preserve">Float</w:t>
            </w:r>
          </w:p>
        </w:tc>
        <w:tc>
          <w:p w14:paraId="0010004A" w14:textId="0010004B">
            <w:r>
              <w:t xml:space="preserve">Price per unit ($)</w:t>
            </w:r>
          </w:p>
        </w:tc>
      </w:tr>
      <w:tr>
        <w:trPr/>
        <w:tc>
          <w:p w14:paraId="0010004C" w14:textId="0010004D">
            <w:r>
              <w:t xml:space="preserve">discount</w:t>
            </w:r>
          </w:p>
        </w:tc>
        <w:tc>
          <w:p w14:paraId="0010004E" w14:textId="0010004F">
            <w:r>
              <w:t xml:space="preserve">Float</w:t>
            </w:r>
          </w:p>
        </w:tc>
        <w:tc>
          <w:p w14:paraId="00100050" w14:textId="00100051">
            <w:r>
              <w:t xml:space="preserve">Discount rate applied (0.00-0.35)</w:t>
            </w:r>
          </w:p>
        </w:tc>
      </w:tr>
      <w:tr>
        <w:trPr/>
        <w:tc>
          <w:p w14:paraId="00100052" w14:textId="00100053">
            <w:r>
              <w:t xml:space="preserve">payment_method</w:t>
            </w:r>
          </w:p>
        </w:tc>
        <w:tc>
          <w:p w14:paraId="00100054" w14:textId="00100055">
            <w:r>
              <w:t xml:space="preserve">String</w:t>
            </w:r>
          </w:p>
        </w:tc>
        <w:tc>
          <w:p w14:paraId="00100056" w14:textId="00100057">
            <w:r>
              <w:t xml:space="preserve">Card, COD, Wallet</w:t>
            </w:r>
          </w:p>
        </w:tc>
      </w:tr>
      <w:tr>
        <w:trPr/>
        <w:tc>
          <w:p w14:paraId="00100058" w14:textId="00100059">
            <w:r>
              <w:t xml:space="preserve">delivery_days</w:t>
            </w:r>
          </w:p>
        </w:tc>
        <w:tc>
          <w:p w14:paraId="0010005A" w14:textId="0010005B">
            <w:r>
              <w:t xml:space="preserve">Integer</w:t>
            </w:r>
          </w:p>
        </w:tc>
        <w:tc>
          <w:p w14:paraId="0010005C" w14:textId="0010005D">
            <w:r>
              <w:t xml:space="preserve">Days from order to delivery (1-11)</w:t>
            </w:r>
          </w:p>
        </w:tc>
      </w:tr>
      <w:tr>
        <w:trPr/>
        <w:tc>
          <w:p w14:paraId="0010005E" w14:textId="0010005F">
            <w:r>
              <w:t xml:space="preserve">customer_rating</w:t>
            </w:r>
          </w:p>
        </w:tc>
        <w:tc>
          <w:p w14:paraId="00100060" w14:textId="00100061">
            <w:r>
              <w:t xml:space="preserve">Float</w:t>
            </w:r>
          </w:p>
        </w:tc>
        <w:tc>
          <w:p w14:paraId="00100062" w14:textId="00100063">
            <w:r>
              <w:t xml:space="preserve">Post-delivery rating (1.0-5.0)</w:t>
            </w:r>
          </w:p>
        </w:tc>
      </w:tr>
      <w:tr>
        <w:trPr/>
        <w:tc>
          <w:p w14:paraId="00100064" w14:textId="00100065">
            <w:r>
              <w:t xml:space="preserve">revenue</w:t>
            </w:r>
          </w:p>
        </w:tc>
        <w:tc>
          <w:p w14:paraId="00100066" w14:textId="00100067">
            <w:r>
              <w:t xml:space="preserve">Float</w:t>
            </w:r>
          </w:p>
        </w:tc>
        <w:tc>
          <w:p w14:paraId="00100068" w14:textId="00100069">
            <w:r>
              <w:t xml:space="preserve">qty x unit_price x (1 - discount)</w:t>
            </w:r>
          </w:p>
        </w:tc>
      </w:tr>
      <w:tr>
        <w:trPr/>
        <w:tc>
          <w:p w14:paraId="0010006A" w14:textId="0010006B">
            <w:r>
              <w:t xml:space="preserve">Total Records</w:t>
            </w:r>
          </w:p>
        </w:tc>
        <w:tc>
          <w:p w14:paraId="0010006C" w14:textId="0010006D">
            <w:r>
              <w:t xml:space="preserve">5,000</w:t>
            </w:r>
          </w:p>
        </w:tc>
        <w:tc>
          <w:p w14:paraId="0010006E" w14:textId="0010006F">
            <w:r>
              <w:t xml:space="preserve">No missing values; no duplicates; 1 order per day</w:t>
            </w:r>
          </w:p>
        </w:tc>
      </w:tr>
    </w:tbl>
    <w:p w14:paraId="00100070" w14:textId="00100071">
      <w:pPr>
        <w:pStyle w:val="Normal"/>
        <w:spacing w:before="120" w:after="240"/>
      </w:pPr>
      <w:r>
        <w:rPr>
          <w:sz w:val="22"/>
        </w:rPr>
        <w:t xml:space="preserve">Derived Features: discount_band (Low/Medium/High), delivery_band (Fast/Normal/Slow), rating_band (Poor/Neutral/Good).</w:t>
      </w:r>
    </w:p>
    <w:p w14:paraId="00100072" w14:textId="00100073">
      <w:pPr>
        <w:pStyle w:val="Heading1"/>
        <w:spacing w:before="320" w:after="160"/>
      </w:pPr>
      <w:r>
        <w:rPr>
          <w:b/>
          <w:color w:val="1F3864"/>
          <w:sz w:val="36"/>
        </w:rPr>
        <w:t xml:space="preserve">3. Technologies Used</w:t>
      </w:r>
    </w:p>
    <w:tbl>
      <w:tblPr>
        <w:tblW w:w="8306" w:type="dxa"/>
        <w:tblBorders>
          <w:top w:val="single" w:sz="4"/>
          <w:left w:val="single" w:sz="4"/>
          <w:bottom w:val="single" w:sz="4"/>
          <w:right w:val="single" w:sz="4"/>
          <w:insideH w:val="single" w:sz="4"/>
          <w:insideV w:val="single" w:sz="4"/>
        </w:tblBorders>
      </w:tblPr>
      <w:tblGrid>
        <w:gridCol w:w="4153"/>
        <w:gridCol w:w="4153"/>
      </w:tblGrid>
      <w:tr>
        <w:trPr>
          <w:tblHeader/>
        </w:trPr>
        <w:tc>
          <w:p w14:paraId="00100074" w14:textId="00100075">
            <w:r>
              <w:t xml:space="preserve">Technology</w:t>
            </w:r>
          </w:p>
        </w:tc>
        <w:tc>
          <w:p w14:paraId="00100076" w14:textId="00100077">
            <w:r>
              <w:t xml:space="preserve">Purpose</w:t>
            </w:r>
          </w:p>
        </w:tc>
      </w:tr>
      <w:tr>
        <w:trPr/>
        <w:tc>
          <w:p w14:paraId="00100078" w14:textId="00100079">
            <w:r>
              <w:t xml:space="preserve">Python 3</w:t>
            </w:r>
          </w:p>
        </w:tc>
        <w:tc>
          <w:p w14:paraId="0010007A" w14:textId="0010007B">
            <w:r>
              <w:t xml:space="preserve">Core analysis language</w:t>
            </w:r>
          </w:p>
        </w:tc>
      </w:tr>
      <w:tr>
        <w:trPr/>
        <w:tc>
          <w:p w14:paraId="0010007C" w14:textId="0010007D">
            <w:r>
              <w:t xml:space="preserve">Pandas</w:t>
            </w:r>
          </w:p>
        </w:tc>
        <w:tc>
          <w:p w14:paraId="0010007E" w14:textId="0010007F">
            <w:r>
              <w:t xml:space="preserve">Data loading, cleaning, transformation and aggregation</w:t>
            </w:r>
          </w:p>
        </w:tc>
      </w:tr>
      <w:tr>
        <w:trPr/>
        <w:tc>
          <w:p w14:paraId="00100080" w14:textId="00100081">
            <w:r>
              <w:t xml:space="preserve">Matplotlib &amp; Seaborn</w:t>
            </w:r>
          </w:p>
        </w:tc>
        <w:tc>
          <w:p w14:paraId="00100082" w14:textId="00100083">
            <w:r>
              <w:t xml:space="preserve">Chart generation (15 charts across 3 analysis pages)</w:t>
            </w:r>
          </w:p>
        </w:tc>
      </w:tr>
      <w:tr>
        <w:trPr/>
        <w:tc>
          <w:p w14:paraId="00100084" w14:textId="00100085">
            <w:r>
              <w:t xml:space="preserve">Streamlit 1.64</w:t>
            </w:r>
          </w:p>
        </w:tc>
        <w:tc>
          <w:p w14:paraId="00100086" w14:textId="00100087">
            <w:r>
              <w:t xml:space="preserve">Interactive web dashboard frontend</w:t>
            </w:r>
          </w:p>
        </w:tc>
      </w:tr>
      <w:tr>
        <w:trPr/>
        <w:tc>
          <w:p w14:paraId="00100088" w14:textId="00100089">
            <w:r>
              <w:t xml:space="preserve">ecommerce_analytics.py</w:t>
            </w:r>
          </w:p>
        </w:tc>
        <w:tc>
          <w:p w14:paraId="0010008A" w14:textId="0010008B">
            <w:r>
              <w:t xml:space="preserve">Single-file dual-mode app: CLI analysis + Streamlit dashboard</w:t>
            </w:r>
          </w:p>
        </w:tc>
      </w:tr>
    </w:tbl>
    <w:p w14:paraId="0010008C" w14:textId="0010008D">
      <w:pPr>
        <w:pStyle w:val="Normal"/>
        <w:spacing w:before="120" w:after="240"/>
      </w:pPr>
      <w:r>
        <w:rPr>
          <w:sz w:val="22"/>
        </w:rPr>
        <w:t xml:space="preserve">Run command: streamlit run ecommerce_analytics.py</w:t>
      </w:r>
    </w:p>
    <w:p w14:paraId="0010008E" w14:textId="0010008F">
      <w:pPr>
        <w:pStyle w:val="Heading1"/>
        <w:spacing w:before="400" w:after="160"/>
      </w:pPr>
      <w:r>
        <w:rPr>
          <w:b/>
          <w:color w:val="1F3864"/>
          <w:sz w:val="36"/>
        </w:rPr>
        <w:t xml:space="preserve">4. Key Performance Indicators</w:t>
      </w:r>
    </w:p>
    <w:p w14:paraId="00100090" w14:textId="00100091">
      <w:pPr>
        <w:pStyle w:val="Normal"/>
        <w:spacing w:after="160"/>
      </w:pPr>
      <w:r>
        <w:rPr>
          <w:sz w:val="22"/>
        </w:rPr>
        <w:t xml:space="preserve">The following KPIs were calculated from the full 5,000-record dataset across the period 2022-2035.</w:t>
      </w:r>
    </w:p>
    <w:p w14:paraId="00100092" w14:textId="00100093">
      <w:pPr>
        <w:pStyle w:val="Heading2"/>
        <w:spacing w:before="200" w:after="120"/>
      </w:pPr>
      <w:r>
        <w:rPr>
          <w:b/>
          <w:color w:val="2563EB"/>
          <w:sz w:val="28"/>
        </w:rPr>
        <w:t xml:space="preserve">4.1 Primary KPIs</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4" w14:textId="00100095">
            <w:r>
              <w:t xml:space="preserve">KPI</w:t>
            </w:r>
          </w:p>
        </w:tc>
        <w:tc>
          <w:p w14:paraId="00100096" w14:textId="00100097">
            <w:r>
              <w:t xml:space="preserve">Value</w:t>
            </w:r>
          </w:p>
        </w:tc>
        <w:tc>
          <w:p w14:paraId="00100098" w14:textId="00100099">
            <w:r>
              <w:t xml:space="preserve">Notes</w:t>
            </w:r>
          </w:p>
        </w:tc>
      </w:tr>
      <w:tr>
        <w:trPr/>
        <w:tc>
          <w:p w14:paraId="0010009A" w14:textId="0010009B">
            <w:r>
              <w:t xml:space="preserve">Total Revenue</w:t>
            </w:r>
          </w:p>
        </w:tc>
        <w:tc>
          <w:p w14:paraId="0010009C" w14:textId="0010009D">
            <w:r>
              <w:t xml:space="preserve">$5,109,775.74</w:t>
            </w:r>
          </w:p>
        </w:tc>
        <w:tc>
          <w:p w14:paraId="0010009E" w14:textId="0010009F">
            <w:r>
              <w:t xml:space="preserve">Across all 5,000 orders</w:t>
            </w:r>
          </w:p>
        </w:tc>
      </w:tr>
      <w:tr>
        <w:trPr/>
        <w:tc>
          <w:p w14:paraId="001000A0" w14:textId="001000A1">
            <w:r>
              <w:t xml:space="preserve">Total Orders</w:t>
            </w:r>
          </w:p>
        </w:tc>
        <w:tc>
          <w:p w14:paraId="001000A2" w14:textId="001000A3">
            <w:r>
              <w:t xml:space="preserve">5,000</w:t>
            </w:r>
          </w:p>
        </w:tc>
        <w:tc>
          <w:p w14:paraId="001000A4" w14:textId="001000A5">
            <w:r>
              <w:t xml:space="preserve">One order per calendar day</w:t>
            </w:r>
          </w:p>
        </w:tc>
      </w:tr>
      <w:tr>
        <w:trPr/>
        <w:tc>
          <w:p w14:paraId="001000A6" w14:textId="001000A7">
            <w:r>
              <w:t xml:space="preserve">Total Customers</w:t>
            </w:r>
          </w:p>
        </w:tc>
        <w:tc>
          <w:p w14:paraId="001000A8" w14:textId="001000A9">
            <w:r>
              <w:t xml:space="preserve">989</w:t>
            </w:r>
          </w:p>
        </w:tc>
        <w:tc>
          <w:p w14:paraId="001000AA" w14:textId="001000AB">
            <w:r>
              <w:t xml:space="preserve">Unique customer IDs 1000-1999</w:t>
            </w:r>
          </w:p>
        </w:tc>
      </w:tr>
      <w:tr>
        <w:trPr/>
        <w:tc>
          <w:p w14:paraId="001000AC" w14:textId="001000AD">
            <w:r>
              <w:t xml:space="preserve">Average Order Value (AOV)</w:t>
            </w:r>
          </w:p>
        </w:tc>
        <w:tc>
          <w:p w14:paraId="001000AE" w14:textId="001000AF">
            <w:r>
              <w:t xml:space="preserve">$1,021.96</w:t>
            </w:r>
          </w:p>
        </w:tc>
        <w:tc>
          <w:p w14:paraId="001000B0" w14:textId="001000B1">
            <w:r>
              <w:t xml:space="preserve">Total revenue / total orders</w:t>
            </w:r>
          </w:p>
        </w:tc>
      </w:tr>
      <w:tr>
        <w:trPr/>
        <w:tc>
          <w:p w14:paraId="001000B2" w14:textId="001000B3">
            <w:r>
              <w:t xml:space="preserve">Avg Customer Rating</w:t>
            </w:r>
          </w:p>
        </w:tc>
        <w:tc>
          <w:p w14:paraId="001000B4" w14:textId="001000B5">
            <w:r>
              <w:t xml:space="preserve">2.97 / 5.0</w:t>
            </w:r>
          </w:p>
        </w:tc>
        <w:tc>
          <w:p w14:paraId="001000B6" w14:textId="001000B7">
            <w:r>
              <w:t xml:space="preserve">Close to neutral; satisfaction needs improvement</w:t>
            </w:r>
          </w:p>
        </w:tc>
      </w:tr>
      <w:tr>
        <w:trPr/>
        <w:tc>
          <w:p w14:paraId="001000B8" w14:textId="001000B9">
            <w:r>
              <w:t xml:space="preserve">Avg Delivery Days</w:t>
            </w:r>
          </w:p>
        </w:tc>
        <w:tc>
          <w:p w14:paraId="001000BA" w14:textId="001000BB">
            <w:r>
              <w:t xml:space="preserve">6.12 days</w:t>
            </w:r>
          </w:p>
        </w:tc>
        <w:tc>
          <w:p w14:paraId="001000BC" w14:textId="001000BD">
            <w:r>
              <w:t xml:space="preserve">Falls in Normal (4-7 day) delivery band</w:t>
            </w:r>
          </w:p>
        </w:tc>
      </w:tr>
    </w:tbl>
    <w:p w14:paraId="001000BE" w14:textId="001000BF">
      <w:pPr>
        <w:pStyle w:val="Heading2"/>
        <w:spacing w:before="240" w:after="120"/>
      </w:pPr>
      <w:r>
        <w:rPr>
          <w:b/>
          <w:color w:val="2563EB"/>
          <w:sz w:val="28"/>
        </w:rPr>
        <w:t xml:space="preserve">4.2 Operational Risk KPIs</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0" w14:textId="001000C1">
            <w:r>
              <w:t xml:space="preserve">Risk KPI</w:t>
            </w:r>
          </w:p>
        </w:tc>
        <w:tc>
          <w:p w14:paraId="001000C2" w14:textId="001000C3">
            <w:r>
              <w:t xml:space="preserve">Value</w:t>
            </w:r>
          </w:p>
        </w:tc>
        <w:tc>
          <w:p w14:paraId="001000C4" w14:textId="001000C5">
            <w:r>
              <w:t xml:space="preserve">Implication</w:t>
            </w:r>
          </w:p>
        </w:tc>
      </w:tr>
      <w:tr>
        <w:trPr/>
        <w:tc>
          <w:p w14:paraId="001000C6" w14:textId="001000C7">
            <w:r>
              <w:t xml:space="preserve">Repeat Customer Rate</w:t>
            </w:r>
          </w:p>
        </w:tc>
        <w:tc>
          <w:p w14:paraId="001000C8" w14:textId="001000C9">
            <w:r>
              <w:t xml:space="preserve">96.1%</w:t>
            </w:r>
          </w:p>
        </w:tc>
        <w:tc>
          <w:p w14:paraId="001000CA" w14:textId="001000CB">
            <w:r>
              <w:t xml:space="preserve">Very high loyalty; 950 of 989 customers placed &gt;1 order</w:t>
            </w:r>
          </w:p>
        </w:tc>
      </w:tr>
      <w:tr>
        <w:trPr/>
        <w:tc>
          <w:p w14:paraId="001000CC" w14:textId="001000CD">
            <w:r>
              <w:t xml:space="preserve">Top 10% Customer Rev Share</w:t>
            </w:r>
          </w:p>
        </w:tc>
        <w:tc>
          <w:p w14:paraId="001000CE" w14:textId="001000CF">
            <w:r>
              <w:t xml:space="preserve">21.1%</w:t>
            </w:r>
          </w:p>
        </w:tc>
        <w:tc>
          <w:p w14:paraId="001000D0" w14:textId="001000D1">
            <w:r>
              <w:t xml:space="preserve">Top 99 customers generate 21% of all revenue</w:t>
            </w:r>
          </w:p>
        </w:tc>
      </w:tr>
      <w:tr>
        <w:trPr/>
        <w:tc>
          <w:p w14:paraId="001000D2" w14:textId="001000D3">
            <w:r>
              <w:t xml:space="preserve">Poor Rating Rate (&lt;=2)</w:t>
            </w:r>
          </w:p>
        </w:tc>
        <w:tc>
          <w:p w14:paraId="001000D4" w14:textId="001000D5">
            <w:r>
              <w:t xml:space="preserve">26.9%</w:t>
            </w:r>
          </w:p>
        </w:tc>
        <w:tc>
          <w:p w14:paraId="001000D6" w14:textId="001000D7">
            <w:r>
              <w:t xml:space="preserve">Over 1 in 4 orders receives a poor satisfaction rating</w:t>
            </w:r>
          </w:p>
        </w:tc>
      </w:tr>
      <w:tr>
        <w:trPr/>
        <w:tc>
          <w:p w14:paraId="001000D8" w14:textId="001000D9">
            <w:r>
              <w:t xml:space="preserve">Slow Delivery Rate (&gt;=9d)</w:t>
            </w:r>
          </w:p>
        </w:tc>
        <w:tc>
          <w:p w14:paraId="001000DA" w14:textId="001000DB">
            <w:r>
              <w:t xml:space="preserve">28.3%</w:t>
            </w:r>
          </w:p>
        </w:tc>
        <w:tc>
          <w:p w14:paraId="001000DC" w14:textId="001000DD">
            <w:r>
              <w:t xml:space="preserve">More than 1 in 4 orders has slow delivery</w:t>
            </w:r>
          </w:p>
        </w:tc>
      </w:tr>
      <w:tr>
        <w:trPr/>
        <w:tc>
          <w:p w14:paraId="001000DE" w14:textId="001000DF">
            <w:r>
              <w:t xml:space="preserve">High Discount Rate (&gt;=25%)</w:t>
            </w:r>
          </w:p>
        </w:tc>
        <w:tc>
          <w:p w14:paraId="001000E0" w14:textId="001000E1">
            <w:r>
              <w:t xml:space="preserve">32.1%</w:t>
            </w:r>
          </w:p>
        </w:tc>
        <w:tc>
          <w:p w14:paraId="001000E2" w14:textId="001000E3">
            <w:r>
              <w:t xml:space="preserve">Nearly 1 in 3 orders carries a high discount</w:t>
            </w:r>
          </w:p>
        </w:tc>
      </w:tr>
    </w:tbl>
    <w:p w14:paraId="001000E4" w14:textId="001000E5">
      <w:pPr>
        <w:pStyle w:val="Heading2"/>
        <w:spacing w:before="240" w:after="120"/>
      </w:pPr>
      <w:r>
        <w:rPr>
          <w:b/>
          <w:color w:val="2563EB"/>
          <w:sz w:val="28"/>
        </w:rPr>
        <w:t xml:space="preserve">4.3 Revenue by Category</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6" w14:textId="001000E7">
            <w:r>
              <w:t xml:space="preserve">Category</w:t>
            </w:r>
          </w:p>
        </w:tc>
        <w:tc>
          <w:p w14:paraId="001000E8" w14:textId="001000E9">
            <w:r>
              <w:t xml:space="preserve">Total Revenue</w:t>
            </w:r>
          </w:p>
        </w:tc>
        <w:tc>
          <w:p w14:paraId="001000EA" w14:textId="001000EB">
            <w:r>
              <w:t xml:space="preserve">Share of Total</w:t>
            </w:r>
          </w:p>
        </w:tc>
      </w:tr>
      <w:tr>
        <w:trPr/>
        <w:tc>
          <w:p w14:paraId="001000EC" w14:textId="001000ED">
            <w:r>
              <w:t xml:space="preserve">Electronics</w:t>
            </w:r>
          </w:p>
        </w:tc>
        <w:tc>
          <w:p w14:paraId="001000EE" w14:textId="001000EF">
            <w:r>
              <w:t xml:space="preserve">$1,829,899</w:t>
            </w:r>
          </w:p>
        </w:tc>
        <w:tc>
          <w:p w14:paraId="001000F0" w14:textId="001000F1">
            <w:r>
              <w:t xml:space="preserve">35.8%</w:t>
            </w:r>
          </w:p>
        </w:tc>
      </w:tr>
      <w:tr>
        <w:trPr/>
        <w:tc>
          <w:p w14:paraId="001000F2" w14:textId="001000F3">
            <w:r>
              <w:t xml:space="preserve">Clothing</w:t>
            </w:r>
          </w:p>
        </w:tc>
        <w:tc>
          <w:p w14:paraId="001000F4" w14:textId="001000F5">
            <w:r>
              <w:t xml:space="preserve">$1,531,932</w:t>
            </w:r>
          </w:p>
        </w:tc>
        <w:tc>
          <w:p w14:paraId="001000F6" w14:textId="001000F7">
            <w:r>
              <w:t xml:space="preserve">30.0%</w:t>
            </w:r>
          </w:p>
        </w:tc>
      </w:tr>
      <w:tr>
        <w:trPr/>
        <w:tc>
          <w:p w14:paraId="001000F8" w14:textId="001000F9">
            <w:r>
              <w:t xml:space="preserve">Home</w:t>
            </w:r>
          </w:p>
        </w:tc>
        <w:tc>
          <w:p w14:paraId="001000FA" w14:textId="001000FB">
            <w:r>
              <w:t xml:space="preserve">$982,084</w:t>
            </w:r>
          </w:p>
        </w:tc>
        <w:tc>
          <w:p w14:paraId="001000FC" w14:textId="001000FD">
            <w:r>
              <w:t xml:space="preserve">19.2%</w:t>
            </w:r>
          </w:p>
        </w:tc>
      </w:tr>
      <w:tr>
        <w:trPr/>
        <w:tc>
          <w:p w14:paraId="001000FE" w14:textId="001000FF">
            <w:r>
              <w:t xml:space="preserve">Beauty</w:t>
            </w:r>
          </w:p>
        </w:tc>
        <w:tc>
          <w:p w14:paraId="00100100" w14:textId="00100101">
            <w:r>
              <w:t xml:space="preserve">$765,861</w:t>
            </w:r>
          </w:p>
        </w:tc>
        <w:tc>
          <w:p w14:paraId="00100102" w14:textId="00100103">
            <w:r>
              <w:t xml:space="preserve">15.0%</w:t>
            </w:r>
          </w:p>
        </w:tc>
      </w:tr>
    </w:tbl>
    <w:p w14:paraId="00100104" w14:textId="00100105">
      <w:pPr>
        <w:pStyle w:val="Heading2"/>
        <w:spacing w:before="240" w:after="120"/>
      </w:pPr>
      <w:r>
        <w:rPr>
          <w:b/>
          <w:color w:val="2563EB"/>
          <w:sz w:val="28"/>
        </w:rPr>
        <w:t xml:space="preserve">4.4 Revenue by Region</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6" w14:textId="00100107">
            <w:r>
              <w:t xml:space="preserve">Region</w:t>
            </w:r>
          </w:p>
        </w:tc>
        <w:tc>
          <w:p w14:paraId="00100108" w14:textId="00100109">
            <w:r>
              <w:t xml:space="preserve">Total Revenue</w:t>
            </w:r>
          </w:p>
        </w:tc>
        <w:tc>
          <w:p w14:paraId="0010010A" w14:textId="0010010B">
            <w:r>
              <w:t xml:space="preserve">Share of Total</w:t>
            </w:r>
          </w:p>
        </w:tc>
      </w:tr>
      <w:tr>
        <w:trPr/>
        <w:tc>
          <w:p w14:paraId="0010010C" w14:textId="0010010D">
            <w:r>
              <w:t xml:space="preserve">West</w:t>
            </w:r>
          </w:p>
        </w:tc>
        <w:tc>
          <w:p w14:paraId="0010010E" w14:textId="0010010F">
            <w:r>
              <w:t xml:space="preserve">$1,345,582</w:t>
            </w:r>
          </w:p>
        </w:tc>
        <w:tc>
          <w:p w14:paraId="00100110" w14:textId="00100111">
            <w:r>
              <w:t xml:space="preserve">26.3%</w:t>
            </w:r>
          </w:p>
        </w:tc>
      </w:tr>
      <w:tr>
        <w:trPr/>
        <w:tc>
          <w:p w14:paraId="00100112" w14:textId="00100113">
            <w:r>
              <w:t xml:space="preserve">North</w:t>
            </w:r>
          </w:p>
        </w:tc>
        <w:tc>
          <w:p w14:paraId="00100114" w14:textId="00100115">
            <w:r>
              <w:t xml:space="preserve">$1,281,508</w:t>
            </w:r>
          </w:p>
        </w:tc>
        <w:tc>
          <w:p w14:paraId="00100116" w14:textId="00100117">
            <w:r>
              <w:t xml:space="preserve">25.1%</w:t>
            </w:r>
          </w:p>
        </w:tc>
      </w:tr>
      <w:tr>
        <w:trPr/>
        <w:tc>
          <w:p w14:paraId="00100118" w14:textId="00100119">
            <w:r>
              <w:t xml:space="preserve">South</w:t>
            </w:r>
          </w:p>
        </w:tc>
        <w:tc>
          <w:p w14:paraId="0010011A" w14:textId="0010011B">
            <w:r>
              <w:t xml:space="preserve">$1,246,641</w:t>
            </w:r>
          </w:p>
        </w:tc>
        <w:tc>
          <w:p w14:paraId="0010011C" w14:textId="0010011D">
            <w:r>
              <w:t xml:space="preserve">24.4%</w:t>
            </w:r>
          </w:p>
        </w:tc>
      </w:tr>
      <w:tr>
        <w:trPr/>
        <w:tc>
          <w:p w14:paraId="0010011E" w14:textId="0010011F">
            <w:r>
              <w:t xml:space="preserve">East</w:t>
            </w:r>
          </w:p>
        </w:tc>
        <w:tc>
          <w:p w14:paraId="00100120" w14:textId="00100121">
            <w:r>
              <w:t xml:space="preserve">$1,236,044</w:t>
            </w:r>
          </w:p>
        </w:tc>
        <w:tc>
          <w:p w14:paraId="00100122" w14:textId="00100123">
            <w:r>
              <w:t xml:space="preserve">24.2%</w:t>
            </w:r>
          </w:p>
        </w:tc>
      </w:tr>
    </w:tbl>
    <w:p w14:paraId="00100340" w14:textId="00100341">
      <w:pPr>
        <w:pStyle w:val="Heading1"/>
        <w:spacing w:before="400" w:after="160"/>
      </w:pPr>
      <w:r>
        <w:rPr>
          <w:b/>
          <w:color w:val="1F3864"/>
          <w:sz w:val="36"/>
        </w:rPr>
        <w:t xml:space="preserve">5. Executive Overview — Charts</w:t>
      </w:r>
    </w:p>
    <w:p w14:paraId="001002A1" w14:textId="001002A2">
      <w:pPr>
        <w:pStyle w:val="Normal"/>
        <w:spacing w:after="240"/>
      </w:pPr>
      <w:r>
        <w:rPr>
          <w:sz w:val="22"/>
        </w:rPr>
        <w:t xml:space="preserve">The following four charts correspond to the Executive Overview page of the Streamlit dashboard. They provide a top-level view of revenue performance across time, product categories, regions, and payment methods.</w:t>
      </w:r>
    </w:p>
    <w:p w14:paraId="00100124" w14:textId="001002A0">
      <w:pPr>
        <w:pStyle w:val="Heading1"/>
        <w:spacing w:before="400" w:after="160"/>
      </w:pPr>
      <w:r>
        <w:rPr>
          <w:b/>
          <w:color w:val="1F3864"/>
          <w:sz w:val="36"/>
        </w:rPr>
        <w:t xml:space="preserve">6. Sales &amp; Product Analysis — Charts</w:t>
      </w:r>
    </w:p>
    <w:p w14:paraId="00100126" w14:textId="00100127">
      <w:pPr>
        <w:pStyle w:val="Normal"/>
        <w:spacing w:after="240"/>
      </w:pPr>
      <w:r>
        <w:rPr>
          <w:sz w:val="22"/>
        </w:rPr>
        <w:t xml:space="preserve">These five charts examine discount effectiveness, average order values by category and region, revenue share over time, and unit price distributions.</w:t>
      </w:r>
    </w:p>
    <w:p w14:paraId="00100128" w14:textId="00100129">
      <w:pPr>
        <w:pStyle w:val="Heading2"/>
        <w:spacing w:before="200" w:after="120"/>
      </w:pPr>
      <w:r>
        <w:rPr>
          <w:b/>
          <w:color w:val="2563EB"/>
          <w:sz w:val="28"/>
        </w:rPr>
        <w:t xml:space="preserve">Chart 5 — Avg Revenue by Discount Band</w:t>
      </w:r>
    </w:p>
    <w:p w14:paraId="0010012A" w14:textId="00100337">
      <w:pPr>
        <w:pStyle w:val="Normal"/>
        <w:spacing w:after="160"/>
      </w:pPr>
      <w:r>
        <w:rPr>
          <w:sz w:val="22"/>
        </w:rPr>
        <w:t xml:space="preserve">Low-discount orders (0–10%) are associated with the highest average revenue per order at $1,159, while high-discount orders (21–35%) are associated with the lowest at $911. Average revenue decreases as the discount band increases in this dataset, though this pattern reflects the synthetic data structure rather than a proven causal mechanism.</w:t>
      </w:r>
    </w:p>
    <w:p w14:paraId="00100130" w14:textId="00100131">
      <w:pPr>
        <w:pStyle w:val="Heading2"/>
        <w:spacing w:before="200" w:after="120"/>
      </w:pPr>
      <w:r>
        <w:rPr>
          <w:b/>
          <w:color w:val="2563EB"/>
          <w:sz w:val="28"/>
        </w:rPr>
        <w:t xml:space="preserve">Chart 6 — Avg Customer Rating by Discount Band</w:t>
      </w:r>
    </w:p>
    <w:p w14:paraId="00100132" w14:textId="00100338">
      <w:pPr>
        <w:pStyle w:val="Normal"/>
        <w:spacing w:after="160"/>
      </w:pPr>
      <w:r>
        <w:rPr>
          <w:sz w:val="22"/>
        </w:rPr>
        <w:t xml:space="preserve">Customer ratings are nearly identical across all discount bands: Low 2.960, Medium 2.956, High 2.994. The data shows no meaningful association between higher discounts and improved satisfaction ratings.</w:t>
      </w:r>
    </w:p>
    <w:p w14:paraId="00100134" w14:textId="00100135">
      <w:pPr>
        <w:spacing w:line="240" w:lineRule="auto"/>
      </w:pPr>
      <w:r>
        <w:rPr/>
        <w:drawing>
          <wp:inline distT="0" distB="0" distL="0" distR="0">
            <wp:extent cx="5040000" cy="3538828"/>
            <wp:effectExtent l="0" t="0" r="0" b="0"/>
            <wp:docPr id="2" name="06_avg_rating_by_discount_band.png" descr=""/>
            <wp:cNvGraphicFramePr>
              <a:graphicFrameLocks noChangeAspect="1"/>
            </wp:cNvGraphicFramePr>
            <a:graphic>
              <a:graphicData uri="http://schemas.openxmlformats.org/drawingml/2006/picture">
                <pic:pic>
                  <pic:nvPicPr>
                    <pic:cNvPr id="2" name="06_avg_rating_by_discount_band.png"/>
                    <pic:cNvPicPr/>
                  </pic:nvPicPr>
                  <pic:blipFill>
                    <a:blip r:embed="Rc1acce1eed0d4d60" cstate="print"/>
                    <a:stretch>
                      <a:fillRect/>
                    </a:stretch>
                  </pic:blipFill>
                  <pic:spPr>
                    <a:xfrm>
                      <a:off x="0" y="0"/>
                      <a:ext cx="5040000" cy="3538828"/>
                    </a:xfrm>
                    <a:prstGeom prst="rect">
                      <a:avLst/>
                    </a:prstGeom>
                  </pic:spPr>
                </pic:pic>
              </a:graphicData>
            </a:graphic>
          </wp:inline>
        </w:drawing>
      </w:r>
    </w:p>
    <w:p w14:paraId="00100138" w14:textId="00100139">
      <w:pPr>
        <w:pStyle w:val="Heading2"/>
        <w:spacing w:before="200" w:after="120"/>
      </w:pPr>
      <w:r>
        <w:rPr>
          <w:b/>
          <w:color w:val="2563EB"/>
          <w:sz w:val="28"/>
        </w:rPr>
        <w:t xml:space="preserve">Chart 7 — AOV by Category x Region (Heatmap)</w:t>
      </w:r>
    </w:p>
    <w:p w14:paraId="0010013A" w14:textId="0010013B">
      <w:pPr>
        <w:pStyle w:val="Normal"/>
        <w:spacing w:after="160"/>
      </w:pPr>
      <w:r>
        <w:rPr>
          <w:sz w:val="22"/>
        </w:rPr>
        <w:t xml:space="preserve">The heatmap shows average order values for every category-region combination. Beauty has the highest overall AOV ($1,059) while Clothing has the lowest ($1,001). Regional differences within categories are minimal, reflecting the uniform synthetic data.</w:t>
      </w:r>
    </w:p>
    <w:p w14:paraId="0010013C" w14:textId="0010013D">
      <w:pPr>
        <w:spacing w:line="240" w:lineRule="auto"/>
      </w:pPr>
      <w:r>
        <w:rPr/>
        <w:drawing>
          <wp:inline distT="0" distB="0" distL="0" distR="0">
            <wp:extent cx="5040000" cy="3226856"/>
            <wp:effectExtent l="0" t="0" r="0" b="0"/>
            <wp:docPr id="3" name="07_aov_category_x_region_heatmap.png" descr=""/>
            <wp:cNvGraphicFramePr>
              <a:graphicFrameLocks noChangeAspect="1"/>
            </wp:cNvGraphicFramePr>
            <a:graphic>
              <a:graphicData uri="http://schemas.openxmlformats.org/drawingml/2006/picture">
                <pic:pic>
                  <pic:nvPicPr>
                    <pic:cNvPr id="3" name="07_aov_category_x_region_heatmap.png"/>
                    <pic:cNvPicPr/>
                  </pic:nvPicPr>
                  <pic:blipFill>
                    <a:blip r:embed="Rcfbe575280ac4625" cstate="print"/>
                    <a:stretch>
                      <a:fillRect/>
                    </a:stretch>
                  </pic:blipFill>
                  <pic:spPr>
                    <a:xfrm>
                      <a:off x="0" y="0"/>
                      <a:ext cx="5040000" cy="3226856"/>
                    </a:xfrm>
                    <a:prstGeom prst="rect">
                      <a:avLst/>
                    </a:prstGeom>
                  </pic:spPr>
                </pic:pic>
              </a:graphicData>
            </a:graphic>
          </wp:inline>
        </w:drawing>
      </w:r>
    </w:p>
    <w:p w14:paraId="00100140" w14:textId="00100141">
      <w:pPr>
        <w:pStyle w:val="Heading2"/>
        <w:spacing w:before="200" w:after="120"/>
      </w:pPr>
      <w:r>
        <w:rPr>
          <w:b/>
          <w:color w:val="2563EB"/>
          <w:sz w:val="28"/>
        </w:rPr>
        <w:t xml:space="preserve">Chart 8 — Annual Revenue by Category (Stacked)</w:t>
      </w:r>
    </w:p>
    <w:p w14:paraId="00100142" w14:textId="00100143">
      <w:pPr>
        <w:pStyle w:val="Normal"/>
        <w:spacing w:after="160"/>
      </w:pPr>
      <w:r>
        <w:rPr>
          <w:sz w:val="22"/>
        </w:rPr>
        <w:t xml:space="preserve">The stacked area chart shows annual revenue contribution by category. All categories grow proportionally with no dominant shift in category share over time, reflecting the flat synthetic data structure.</w:t>
      </w:r>
    </w:p>
    <w:p w14:paraId="00100144" w14:textId="00100145">
      <w:pPr>
        <w:spacing w:line="240" w:lineRule="auto"/>
      </w:pPr>
      <w:r>
        <w:rPr/>
        <w:drawing>
          <wp:inline distT="0" distB="0" distL="0" distR="0">
            <wp:extent cx="5760000" cy="2685758"/>
            <wp:effectExtent l="0" t="0" r="0" b="0"/>
            <wp:docPr id="4" name="08_category_revenue_stacked_area.png" descr=""/>
            <wp:cNvGraphicFramePr>
              <a:graphicFrameLocks noChangeAspect="1"/>
            </wp:cNvGraphicFramePr>
            <a:graphic>
              <a:graphicData uri="http://schemas.openxmlformats.org/drawingml/2006/picture">
                <pic:pic>
                  <pic:nvPicPr>
                    <pic:cNvPr id="4" name="08_category_revenue_stacked_area.png"/>
                    <pic:cNvPicPr/>
                  </pic:nvPicPr>
                  <pic:blipFill>
                    <a:blip r:embed="R42dd2334bc814639" cstate="print"/>
                    <a:stretch>
                      <a:fillRect/>
                    </a:stretch>
                  </pic:blipFill>
                  <pic:spPr>
                    <a:xfrm>
                      <a:off x="0" y="0"/>
                      <a:ext cx="5760000" cy="2685758"/>
                    </a:xfrm>
                    <a:prstGeom prst="rect">
                      <a:avLst/>
                    </a:prstGeom>
                  </pic:spPr>
                </pic:pic>
              </a:graphicData>
            </a:graphic>
          </wp:inline>
        </w:drawing>
      </w:r>
    </w:p>
    <w:p w14:paraId="00100148" w14:textId="00100149">
      <w:pPr>
        <w:pStyle w:val="Heading2"/>
        <w:spacing w:before="200" w:after="120"/>
      </w:pPr>
      <w:r>
        <w:rPr>
          <w:b/>
          <w:color w:val="2563EB"/>
          <w:sz w:val="28"/>
        </w:rPr>
        <w:t xml:space="preserve">Chart 9 — Unit Price Distribution by Category</w:t>
      </w:r>
    </w:p>
    <w:p w14:paraId="0010014A" w14:textId="0010014B">
      <w:pPr>
        <w:pStyle w:val="Normal"/>
        <w:spacing w:after="160"/>
      </w:pPr>
      <w:r>
        <w:rPr>
          <w:sz w:val="22"/>
        </w:rPr>
        <w:t xml:space="preserve">Box plots show unit price ranges for each category. All four categories span wide price ranges, with outliers on the high end. Median prices are broadly comparable across categories, with Home and Electronics showing slightly higher medians.</w:t>
      </w:r>
    </w:p>
    <w:p w14:paraId="0010014C" w14:textId="0010014D">
      <w:pPr>
        <w:spacing w:line="240" w:lineRule="auto"/>
      </w:pPr>
      <w:r>
        <w:rPr/>
        <w:drawing>
          <wp:inline distT="0" distB="0" distL="0" distR="0">
            <wp:extent cx="5040000" cy="3073587"/>
            <wp:effectExtent l="0" t="0" r="0" b="0"/>
            <wp:docPr id="5" name="09_unit_price_distribution_by_category.png" descr=""/>
            <wp:cNvGraphicFramePr>
              <a:graphicFrameLocks noChangeAspect="1"/>
            </wp:cNvGraphicFramePr>
            <a:graphic>
              <a:graphicData uri="http://schemas.openxmlformats.org/drawingml/2006/picture">
                <pic:pic>
                  <pic:nvPicPr>
                    <pic:cNvPr id="5" name="09_unit_price_distribution_by_category.png"/>
                    <pic:cNvPicPr/>
                  </pic:nvPicPr>
                  <pic:blipFill>
                    <a:blip r:embed="Rda6fd6b63ee345eb" cstate="print"/>
                    <a:stretch>
                      <a:fillRect/>
                    </a:stretch>
                  </pic:blipFill>
                  <pic:spPr>
                    <a:xfrm>
                      <a:off x="0" y="0"/>
                      <a:ext cx="5040000" cy="3073587"/>
                    </a:xfrm>
                    <a:prstGeom prst="rect">
                      <a:avLst/>
                    </a:prstGeom>
                  </pic:spPr>
                </pic:pic>
              </a:graphicData>
            </a:graphic>
          </wp:inline>
        </w:drawing>
      </w:r>
    </w:p>
    <w:p w14:paraId="00100150" w14:textId="00100151">
      <w:pPr>
        <w:pStyle w:val="Heading1"/>
        <w:spacing w:before="400" w:after="160"/>
      </w:pPr>
      <w:r>
        <w:rPr>
          <w:b/>
          <w:color w:val="1F3864"/>
          <w:sz w:val="36"/>
        </w:rPr>
        <w:t xml:space="preserve">7. Customer &amp; Operations Analysis — Charts</w:t>
      </w:r>
    </w:p>
    <w:p w14:paraId="00100152" w14:textId="00100153">
      <w:pPr>
        <w:pStyle w:val="Normal"/>
        <w:spacing w:after="240"/>
      </w:pPr>
      <w:r>
        <w:rPr>
          <w:sz w:val="22"/>
        </w:rPr>
        <w:t xml:space="preserve">These six charts cover customer loyalty, top customers, delivery performance, satisfaction by delivery speed and region, and payment method order value.</w:t>
      </w:r>
    </w:p>
    <w:p w14:paraId="00100154" w14:textId="00100155">
      <w:pPr>
        <w:pStyle w:val="Heading2"/>
        <w:spacing w:before="200" w:after="120"/>
      </w:pPr>
      <w:r>
        <w:rPr>
          <w:b/>
          <w:color w:val="2563EB"/>
          <w:sz w:val="28"/>
        </w:rPr>
        <w:t xml:space="preserve">Chart 10 — Customer Order Frequency Distribution</w:t>
      </w:r>
    </w:p>
    <w:p w14:paraId="00100156" w14:textId="00100157">
      <w:pPr>
        <w:pStyle w:val="Normal"/>
        <w:spacing w:after="160"/>
      </w:pPr>
      <w:r>
        <w:rPr>
          <w:sz w:val="22"/>
        </w:rPr>
        <w:t xml:space="preserve">96.1% of customers (950 of 989) placed more than one order. The distribution shows most customers placed between 4 and 8 orders, indicating a highly loyal and repeat-purchasing customer base.</w:t>
      </w:r>
    </w:p>
    <w:p w14:paraId="0010015C" w14:textId="0010015D">
      <w:pPr>
        <w:pStyle w:val="Heading2"/>
        <w:spacing w:before="200" w:after="120"/>
      </w:pPr>
      <w:r>
        <w:rPr>
          <w:b/>
          <w:color w:val="2563EB"/>
          <w:sz w:val="28"/>
        </w:rPr>
        <w:t xml:space="preserve">Chart 11 — Top 20 Customers by Total Revenue</w:t>
      </w:r>
    </w:p>
    <w:p w14:paraId="0010015E" w14:textId="0010015F">
      <w:pPr>
        <w:pStyle w:val="Normal"/>
        <w:spacing w:after="160"/>
      </w:pPr>
      <w:r>
        <w:rPr>
          <w:sz w:val="22"/>
        </w:rPr>
        <w:t xml:space="preserve">The top 20 customers each generated between $12,000 and $20,000 in lifetime revenue. The top 10% of customers (99 customers) account for 21.1% of total revenue, highlighting a key loyalty and retention risk.</w:t>
      </w:r>
    </w:p>
    <w:p w14:paraId="00100160" w14:textId="00100161">
      <w:pPr>
        <w:spacing w:line="240" w:lineRule="auto"/>
      </w:pPr>
      <w:r>
        <w:rPr/>
        <w:drawing>
          <wp:inline distT="0" distB="0" distL="0" distR="0">
            <wp:extent cx="5040000" cy="3661378"/>
            <wp:effectExtent l="0" t="0" r="0" b="0"/>
            <wp:docPr id="7" name="11_top20_customers_by_revenue.png" descr=""/>
            <wp:cNvGraphicFramePr>
              <a:graphicFrameLocks noChangeAspect="1"/>
            </wp:cNvGraphicFramePr>
            <a:graphic>
              <a:graphicData uri="http://schemas.openxmlformats.org/drawingml/2006/picture">
                <pic:pic>
                  <pic:nvPicPr>
                    <pic:cNvPr id="7" name="11_top20_customers_by_revenue.png"/>
                    <pic:cNvPicPr/>
                  </pic:nvPicPr>
                  <pic:blipFill>
                    <a:blip r:embed="R7d3b699f90ac494f" cstate="print"/>
                    <a:stretch>
                      <a:fillRect/>
                    </a:stretch>
                  </pic:blipFill>
                  <pic:spPr>
                    <a:xfrm>
                      <a:off x="0" y="0"/>
                      <a:ext cx="5040000" cy="3661378"/>
                    </a:xfrm>
                    <a:prstGeom prst="rect">
                      <a:avLst/>
                    </a:prstGeom>
                  </pic:spPr>
                </pic:pic>
              </a:graphicData>
            </a:graphic>
          </wp:inline>
        </w:drawing>
      </w:r>
    </w:p>
    <w:p w14:paraId="00100164" w14:textId="00100165">
      <w:pPr>
        <w:pStyle w:val="Heading2"/>
        <w:spacing w:before="200" w:after="120"/>
      </w:pPr>
      <w:r>
        <w:rPr>
          <w:b/>
          <w:color w:val="2563EB"/>
          <w:sz w:val="28"/>
        </w:rPr>
        <w:t xml:space="preserve">Chart 12 — Avg Rating by Delivery Speed</w:t>
      </w:r>
    </w:p>
    <w:p w14:paraId="00100166" w14:textId="00100339">
      <w:pPr>
        <w:pStyle w:val="Normal"/>
        <w:spacing w:after="160"/>
      </w:pPr>
      <w:r>
        <w:rPr>
          <w:sz w:val="22"/>
        </w:rPr>
        <w:t xml:space="preserve">Fast deliveries (1–3 days) are associated with an average rating of 2.95, Normal deliveries (4–7 days) with 3.03, and Slow deliveries (8–11 days) with 2.94. The Normal band is associated with the highest satisfaction, while the Slow band is associated with the lowest rating in the dataset.</w:t>
      </w:r>
    </w:p>
    <w:p w14:paraId="00100168" w14:textId="00100169">
      <w:pPr>
        <w:spacing w:line="240" w:lineRule="auto"/>
      </w:pPr>
      <w:r>
        <w:rPr/>
        <w:drawing>
          <wp:inline distT="0" distB="0" distL="0" distR="0">
            <wp:extent cx="5040000" cy="3538828"/>
            <wp:effectExtent l="0" t="0" r="0" b="0"/>
            <wp:docPr id="8" name="12_avg_rating_by_delivery_band.png" descr=""/>
            <wp:cNvGraphicFramePr>
              <a:graphicFrameLocks noChangeAspect="1"/>
            </wp:cNvGraphicFramePr>
            <a:graphic>
              <a:graphicData uri="http://schemas.openxmlformats.org/drawingml/2006/picture">
                <pic:pic>
                  <pic:nvPicPr>
                    <pic:cNvPr id="8" name="12_avg_rating_by_delivery_band.png"/>
                    <pic:cNvPicPr/>
                  </pic:nvPicPr>
                  <pic:blipFill>
                    <a:blip r:embed="R4645c74b1e0446bc" cstate="print"/>
                    <a:stretch>
                      <a:fillRect/>
                    </a:stretch>
                  </pic:blipFill>
                  <pic:spPr>
                    <a:xfrm>
                      <a:off x="0" y="0"/>
                      <a:ext cx="5040000" cy="3538828"/>
                    </a:xfrm>
                    <a:prstGeom prst="rect">
                      <a:avLst/>
                    </a:prstGeom>
                  </pic:spPr>
                </pic:pic>
              </a:graphicData>
            </a:graphic>
          </wp:inline>
        </w:drawing>
      </w:r>
    </w:p>
    <w:p w14:paraId="0010016C" w14:textId="0010016D">
      <w:pPr>
        <w:pStyle w:val="Heading2"/>
        <w:spacing w:before="200" w:after="120"/>
      </w:pPr>
      <w:r>
        <w:rPr>
          <w:b/>
          <w:color w:val="2563EB"/>
          <w:sz w:val="28"/>
        </w:rPr>
        <w:t xml:space="preserve">Chart 13 — Avg Delivery Days by Region</w:t>
      </w:r>
    </w:p>
    <w:p w14:paraId="0010016E" w14:textId="0010016F">
      <w:pPr>
        <w:pStyle w:val="Normal"/>
        <w:spacing w:after="160"/>
      </w:pPr>
      <w:r>
        <w:rPr>
          <w:sz w:val="22"/>
        </w:rPr>
        <w:t xml:space="preserve">All regions have similar average delivery times: West 6.08 days, East 6.10 days, North 6.12 days, South 6.17 days. South has the slowest average delivery. The differences are small but directionally actionable.</w:t>
      </w:r>
    </w:p>
    <w:p w14:paraId="00100170" w14:textId="00100171">
      <w:pPr>
        <w:spacing w:line="240" w:lineRule="auto"/>
      </w:pPr>
      <w:r>
        <w:rPr/>
        <w:drawing>
          <wp:inline distT="0" distB="0" distL="0" distR="0">
            <wp:extent cx="5040000" cy="3538828"/>
            <wp:effectExtent l="0" t="0" r="0" b="0"/>
            <wp:docPr id="9" name="13_avg_delivery_days_by_region.png" descr=""/>
            <wp:cNvGraphicFramePr>
              <a:graphicFrameLocks noChangeAspect="1"/>
            </wp:cNvGraphicFramePr>
            <a:graphic>
              <a:graphicData uri="http://schemas.openxmlformats.org/drawingml/2006/picture">
                <pic:pic>
                  <pic:nvPicPr>
                    <pic:cNvPr id="9" name="13_avg_delivery_days_by_region.png"/>
                    <pic:cNvPicPr/>
                  </pic:nvPicPr>
                  <pic:blipFill>
                    <a:blip r:embed="Rd3c17d13ef4c4262" cstate="print"/>
                    <a:stretch>
                      <a:fillRect/>
                    </a:stretch>
                  </pic:blipFill>
                  <pic:spPr>
                    <a:xfrm>
                      <a:off x="0" y="0"/>
                      <a:ext cx="5040000" cy="3538828"/>
                    </a:xfrm>
                    <a:prstGeom prst="rect">
                      <a:avLst/>
                    </a:prstGeom>
                  </pic:spPr>
                </pic:pic>
              </a:graphicData>
            </a:graphic>
          </wp:inline>
        </w:drawing>
      </w:r>
    </w:p>
    <w:p w14:paraId="00100174" w14:textId="00100175">
      <w:pPr>
        <w:pStyle w:val="Heading2"/>
        <w:spacing w:before="200" w:after="120"/>
      </w:pPr>
      <w:r>
        <w:rPr>
          <w:b/>
          <w:color w:val="2563EB"/>
          <w:sz w:val="28"/>
        </w:rPr>
        <w:t xml:space="preserve">Chart 14 — Avg Rating by Category x Region (Heatmap)</w:t>
      </w:r>
    </w:p>
    <w:p w14:paraId="00100176" w14:textId="00100177">
      <w:pPr>
        <w:pStyle w:val="Normal"/>
        <w:spacing w:after="160"/>
      </w:pPr>
      <w:r>
        <w:rPr>
          <w:sz w:val="22"/>
        </w:rPr>
        <w:t xml:space="preserve">The heatmap highlights satisfaction weak spots. Home category in West region has the lowest rating combination. Beauty and Clothing consistently perform better. These localised weak spots require targeted root-cause investigation.</w:t>
      </w:r>
    </w:p>
    <w:p w14:paraId="00100178" w14:textId="00100179">
      <w:pPr>
        <w:spacing w:line="240" w:lineRule="auto"/>
      </w:pPr>
      <w:r>
        <w:rPr/>
        <w:drawing>
          <wp:inline distT="0" distB="0" distL="0" distR="0">
            <wp:extent cx="5040000" cy="3282391"/>
            <wp:effectExtent l="0" t="0" r="0" b="0"/>
            <wp:docPr id="10" name="14_avg_rating_category_x_region_heatmap.png" descr=""/>
            <wp:cNvGraphicFramePr>
              <a:graphicFrameLocks noChangeAspect="1"/>
            </wp:cNvGraphicFramePr>
            <a:graphic>
              <a:graphicData uri="http://schemas.openxmlformats.org/drawingml/2006/picture">
                <pic:pic>
                  <pic:nvPicPr>
                    <pic:cNvPr id="10" name="14_avg_rating_category_x_region_heatmap.png"/>
                    <pic:cNvPicPr/>
                  </pic:nvPicPr>
                  <pic:blipFill>
                    <a:blip r:embed="Rf189f9141c2a4ad1" cstate="print"/>
                    <a:stretch>
                      <a:fillRect/>
                    </a:stretch>
                  </pic:blipFill>
                  <pic:spPr>
                    <a:xfrm>
                      <a:off x="0" y="0"/>
                      <a:ext cx="5040000" cy="3282391"/>
                    </a:xfrm>
                    <a:prstGeom prst="rect">
                      <a:avLst/>
                    </a:prstGeom>
                  </pic:spPr>
                </pic:pic>
              </a:graphicData>
            </a:graphic>
          </wp:inline>
        </w:drawing>
      </w:r>
    </w:p>
    <w:p w14:paraId="0010017C" w14:textId="0010017D">
      <w:pPr>
        <w:pStyle w:val="Heading2"/>
        <w:spacing w:before="200" w:after="120"/>
      </w:pPr>
      <w:r>
        <w:rPr>
          <w:b/>
          <w:color w:val="2563EB"/>
          <w:sz w:val="28"/>
        </w:rPr>
        <w:t xml:space="preserve">Chart 15 — AOV by Payment Method</w:t>
      </w:r>
    </w:p>
    <w:p w14:paraId="0010017E" w14:textId="0010017F">
      <w:pPr>
        <w:pStyle w:val="Normal"/>
        <w:spacing w:after="160"/>
      </w:pPr>
      <w:r>
        <w:rPr>
          <w:sz w:val="22"/>
        </w:rPr>
        <w:t xml:space="preserve">Card users have the highest AOV at $1,042, COD at $1,008, and Wallet at $999. Payment method serves as a proxy for customer spend tier, enabling targeted promotions for each segment.</w:t>
      </w:r>
    </w:p>
    <w:p w14:paraId="00100184" w14:textId="00100185">
      <w:pPr>
        <w:pStyle w:val="Heading1"/>
        <w:spacing w:before="400" w:after="160"/>
      </w:pPr>
      <w:r>
        <w:rPr>
          <w:b/>
          <w:color w:val="1F3864"/>
          <w:sz w:val="36"/>
        </w:rPr>
        <w:t xml:space="preserve">8. Business Insights</w:t>
      </w:r>
    </w:p>
    <w:p w14:paraId="00100186" w14:textId="00100187">
      <w:pPr>
        <w:pStyle w:val="Normal"/>
        <w:spacing w:after="200"/>
      </w:pPr>
      <w:r>
        <w:rPr>
          <w:sz w:val="22"/>
        </w:rPr>
        <w:t xml:space="preserve">Each insight follows the BI framework: Observation -&gt; Insight -&gt; Business Implication -&gt; Recommended Action.</w:t>
      </w:r>
    </w:p>
    <w:p w14:paraId="00100188" w14:textId="00100189">
      <w:pPr>
        <w:pStyle w:val="Heading2"/>
        <w:spacing w:before="200" w:after="80"/>
      </w:pPr>
      <w:r>
        <w:rPr>
          <w:b/>
          <w:color w:val="2563EB"/>
          <w:sz w:val="28"/>
        </w:rPr>
        <w:t xml:space="preserve">INS-01 — Revenue Concentration by Category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A3" w14:textId="001002A4">
            <w:r>
              <w:t xml:space="preserve">Framework Element</w:t>
            </w:r>
          </w:p>
        </w:tc>
        <w:tc>
          <w:p w14:paraId="001002A5" w14:textId="001002A6">
            <w:r>
              <w:t xml:space="preserve">Finding</w:t>
            </w:r>
          </w:p>
        </w:tc>
      </w:tr>
      <w:tr>
        <w:trPr/>
        <w:tc>
          <w:p w14:paraId="001002A7" w14:textId="001002A8">
            <w:r>
              <w:t xml:space="preserve">Observation</w:t>
            </w:r>
          </w:p>
        </w:tc>
        <w:tc>
          <w:p w14:paraId="001002A9" w14:textId="001002AA">
            <w:r>
              <w:t xml:space="preserve">Electronics is the highest-revenue category at $1,829,899 (35.8% of total revenue), followed by Clothing $1,531,932 (30.0%), Home $982,084 (19.2%), and Beauty $765,861 (15.0%).</w:t>
            </w:r>
          </w:p>
        </w:tc>
      </w:tr>
      <w:tr>
        <w:trPr/>
        <w:tc>
          <w:p w14:paraId="001002AB" w14:textId="001002AC">
            <w:r>
              <w:t xml:space="preserve">Insight</w:t>
            </w:r>
          </w:p>
        </w:tc>
        <w:tc>
          <w:p w14:paraId="001002AD" w14:textId="001002AE">
            <w:r>
              <w:t xml:space="preserve">Revenue is concentrated in two categories — Electronics and Clothing combine for 65.8%. Home and Beauty together account for only 34.2%. This creates meaningful category concentration risk.</w:t>
            </w:r>
          </w:p>
        </w:tc>
      </w:tr>
      <w:tr>
        <w:trPr/>
        <w:tc>
          <w:p w14:paraId="001002AF" w14:textId="001002B0">
            <w:r>
              <w:t xml:space="preserve">Business Implication</w:t>
            </w:r>
          </w:p>
        </w:tc>
        <w:tc>
          <w:p w14:paraId="001002B1" w14:textId="001002B2">
            <w:r>
              <w:t xml:space="preserve">A demand downturn in Electronics alone would erode more than a third of total revenue. The business has limited diversification across its four product lines, exposing it to category-specific demand shocks.</w:t>
            </w:r>
          </w:p>
        </w:tc>
      </w:tr>
      <w:tr>
        <w:trPr/>
        <w:tc>
          <w:p w14:paraId="001002B3" w14:textId="001002B4">
            <w:r>
              <w:t xml:space="preserve">Recommended Action</w:t>
            </w:r>
          </w:p>
        </w:tc>
        <w:tc>
          <w:p w14:paraId="001002B5" w14:textId="001002B6">
            <w:r>
              <w:t xml:space="preserve">Increase marketing investment and inventory depth for Home and Beauty. Set a portfolio target: no single category to exceed 30% of total revenue. Track category revenue share monthly and report at executive level.</w:t>
            </w:r>
          </w:p>
        </w:tc>
      </w:tr>
    </w:tbl>
    <w:p w14:paraId="0010019E" w14:textId="0010019F">
      <w:pPr>
        <w:pStyle w:val="Heading2"/>
        <w:spacing w:before="240" w:after="80"/>
      </w:pPr>
      <w:r>
        <w:rPr>
          <w:b/>
          <w:color w:val="2563EB"/>
          <w:sz w:val="28"/>
        </w:rPr>
        <w:t xml:space="preserve">INS-02 — Regional Revenue Distribution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B7" w14:textId="001002B8">
            <w:r>
              <w:t xml:space="preserve">Framework Element</w:t>
            </w:r>
          </w:p>
        </w:tc>
        <w:tc>
          <w:p w14:paraId="001002B9" w14:textId="001002BA">
            <w:r>
              <w:t xml:space="preserve">Finding</w:t>
            </w:r>
          </w:p>
        </w:tc>
      </w:tr>
      <w:tr>
        <w:trPr/>
        <w:tc>
          <w:p w14:paraId="001002BB" w14:textId="001002BC">
            <w:r>
              <w:t xml:space="preserve">Observation</w:t>
            </w:r>
          </w:p>
        </w:tc>
        <w:tc>
          <w:p w14:paraId="001002BD" w14:textId="001002BE">
            <w:r>
              <w:t xml:space="preserve">Revenue is near-equally split: West $1,345,582 (26.3%), North $1,281,508 (25.1%), South $1,246,641 (24.4%), East $1,236,044 (24.2%). The gap between highest and lowest region is just $109,538 — only 2.1 percentage points.</w:t>
            </w:r>
          </w:p>
        </w:tc>
      </w:tr>
      <w:tr>
        <w:trPr/>
        <w:tc>
          <w:p w14:paraId="001002BF" w14:textId="001002C0">
            <w:r>
              <w:t xml:space="preserve">Insight</w:t>
            </w:r>
          </w:p>
        </w:tc>
        <w:tc>
          <w:p w14:paraId="001002C1" w14:textId="001002C2">
            <w:r>
              <w:t xml:space="preserve">There is no dominant high-revenue region. The near-uniform distribution is a characteristic of the synthetic dataset. West leads marginally but holds no statistically meaningful advantage over the other three regions.</w:t>
            </w:r>
          </w:p>
        </w:tc>
      </w:tr>
      <w:tr>
        <w:trPr/>
        <w:tc>
          <w:p w14:paraId="001002C3" w14:textId="001002C4">
            <w:r>
              <w:t xml:space="preserve">Business Implication</w:t>
            </w:r>
          </w:p>
        </w:tc>
        <w:tc>
          <w:p w14:paraId="001002C5" w14:textId="001002C6">
            <w:r>
              <w:t xml:space="preserve">Revenue data alone cannot identify a high-priority expansion market. Decisions about regional investment require additional signals — customer satisfaction scores, delivery performance, and order growth rates — before a clear expansion case can be made.</w:t>
            </w:r>
          </w:p>
        </w:tc>
      </w:tr>
      <w:tr>
        <w:trPr/>
        <w:tc>
          <w:p w14:paraId="001002C7" w14:textId="001002C8">
            <w:r>
              <w:t xml:space="preserve">Recommended Action</w:t>
            </w:r>
          </w:p>
        </w:tc>
        <w:tc>
          <w:p w14:paraId="001002C9" w14:textId="001002CA">
            <w:r>
              <w:t xml:space="preserve">Cross-reference revenue with average customer rating and average delivery days per region. East (rating 2.97) and North (rating 2.99) show better satisfaction profiles than the revenue leader West (rating 2.96, lowest regional satisfaction) and may be stronger expansion candidates.</w:t>
            </w:r>
          </w:p>
        </w:tc>
      </w:tr>
    </w:tbl>
    <w:p w14:paraId="001001B4" w14:textId="001001B5">
      <w:pPr>
        <w:pStyle w:val="Heading2"/>
        <w:spacing w:before="240" w:after="80"/>
      </w:pPr>
      <w:r>
        <w:rPr>
          <w:b/>
          <w:color w:val="2563EB"/>
          <w:sz w:val="28"/>
        </w:rPr>
        <w:t xml:space="preserve">INS-03 — Discount Strategy Effectiveness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CB" w14:textId="001002CC">
            <w:r>
              <w:t xml:space="preserve">Framework Element</w:t>
            </w:r>
          </w:p>
        </w:tc>
        <w:tc>
          <w:p w14:paraId="001002CD" w14:textId="001002CE">
            <w:r>
              <w:t xml:space="preserve">Finding</w:t>
            </w:r>
          </w:p>
        </w:tc>
      </w:tr>
      <w:tr>
        <w:trPr/>
        <w:tc>
          <w:p w14:paraId="001002CF" w14:textId="001002D0">
            <w:r>
              <w:t xml:space="preserve">Observation</w:t>
            </w:r>
          </w:p>
        </w:tc>
        <w:tc>
          <w:p w14:paraId="001002D1" w14:textId="001002D2">
            <w:r>
              <w:t xml:space="preserve">Average revenue per order by discount band: Low (0-10%) $1,159, Medium (11-20%) $1,058, High (21-35%) $911. Average customer rating by discount band: Low 2.960, Medium 2.956, High 2.994 — a spread of just 0.038 points across all bands.</w:t>
            </w:r>
          </w:p>
        </w:tc>
      </w:tr>
      <w:tr>
        <w:trPr/>
        <w:tc>
          <w:p w14:paraId="001002D3" w14:textId="001002D4">
            <w:r>
              <w:t xml:space="preserve">Insight</w:t>
            </w:r>
          </w:p>
        </w:tc>
        <w:tc>
          <w:p w14:paraId="001002D5" w14:textId="0010033A">
            <w:pPr/>
            <w:r>
              <w:t xml:space="preserve">In this dataset, higher discount bands are associated with lower average revenue per order — a $248 difference (21.4%) between the Low and High bands. No corresponding improvement in customer satisfaction ratings is observed across discount levels (spread of just 0.038 points).</w:t>
            </w:r>
          </w:p>
        </w:tc>
      </w:tr>
      <w:tr>
        <w:trPr/>
        <w:tc>
          <w:p w14:paraId="001002D7" w14:textId="001002D8">
            <w:r>
              <w:t xml:space="preserve">Business Implication</w:t>
            </w:r>
          </w:p>
        </w:tc>
        <w:tc>
          <w:p w14:paraId="001002D9" w14:textId="0010033B">
            <w:pPr/>
            <w:r>
              <w:t xml:space="preserve">Over 32% of orders carry high discounts (&gt;=25%) and are associated with the lowest average revenue per order in the dataset, yet show no customer satisfaction advantage. Based on this data, increasing discounts does not appear to improve satisfaction; the revenue impact of the discount spread is observable even if causation cannot be confirmed from synthetic data.</w:t>
            </w:r>
          </w:p>
        </w:tc>
      </w:tr>
      <w:tr>
        <w:trPr/>
        <w:tc>
          <w:p w14:paraId="001002DB" w14:textId="001002DC">
            <w:r>
              <w:t xml:space="preserve">Recommended Action</w:t>
            </w:r>
          </w:p>
        </w:tc>
        <w:tc>
          <w:p w14:paraId="001002DD" w14:textId="001002DE">
            <w:r>
              <w:t xml:space="preserve">Cap the maximum discount at 20% to recover the $248 per-order revenue gap relative to the Low band. Redirect freed promotional budget toward logistics improvements (targeting the 28.3% slow-delivery rate) and product quality initiatives — both have stronger theoretical links to satisfaction than price cuts.</w:t>
            </w:r>
          </w:p>
        </w:tc>
      </w:tr>
    </w:tbl>
    <w:p w14:paraId="001001CA" w14:textId="001001CB">
      <w:pPr>
        <w:pStyle w:val="Heading2"/>
        <w:spacing w:before="240" w:after="80"/>
      </w:pPr>
      <w:r>
        <w:rPr>
          <w:b/>
          <w:color w:val="2563EB"/>
          <w:sz w:val="28"/>
        </w:rPr>
        <w:t xml:space="preserve">INS-04 — Delivery Speed and Customer Satisfaction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DF" w14:textId="001002E0">
            <w:r>
              <w:t xml:space="preserve">Framework Element</w:t>
            </w:r>
          </w:p>
        </w:tc>
        <w:tc>
          <w:p w14:paraId="001002E1" w14:textId="001002E2">
            <w:r>
              <w:t xml:space="preserve">Finding</w:t>
            </w:r>
          </w:p>
        </w:tc>
      </w:tr>
      <w:tr>
        <w:trPr/>
        <w:tc>
          <w:p w14:paraId="001002E3" w14:textId="001002E4">
            <w:r>
              <w:t xml:space="preserve">Observation</w:t>
            </w:r>
          </w:p>
        </w:tc>
        <w:tc>
          <w:p w14:paraId="001002E5" w14:textId="001002E6">
            <w:r>
              <w:t xml:space="preserve">Average customer rating by delivery band: Fast (1-3 days) 2.953, Normal (4-7 days) 3.025, Slow (8-11 days) 2.938. Slow deliveries score 0.087 points below Normal deliveries. 28.3% of all orders (1,415 of 5,000) fall in the Slow band (delivery &gt;=9 days).</w:t>
            </w:r>
          </w:p>
        </w:tc>
      </w:tr>
      <w:tr>
        <w:trPr/>
        <w:tc>
          <w:p w14:paraId="001002E7" w14:textId="001002E8">
            <w:r>
              <w:t xml:space="preserve">Insight</w:t>
            </w:r>
          </w:p>
        </w:tc>
        <w:tc>
          <w:p w14:paraId="001002E9" w14:textId="0010033C">
            <w:pPr/>
            <w:r>
              <w:t xml:space="preserve">Slow deliveries (8–11 days) are associated with the lowest average satisfaction score in the dataset (2.938). The Normal band (4–7 days) is associated with the highest score (3.025). The relationship between delivery speed and satisfaction is directional in the data, though causation cannot be confirmed from a synthetic dataset.</w:t>
            </w:r>
          </w:p>
        </w:tc>
      </w:tr>
      <w:tr>
        <w:trPr/>
        <w:tc>
          <w:p w14:paraId="001002EB" w14:textId="001002EC">
            <w:r>
              <w:t xml:space="preserve">Business Implication</w:t>
            </w:r>
          </w:p>
        </w:tc>
        <w:tc>
          <w:p w14:paraId="001002ED" w14:textId="0010033D">
            <w:pPr/>
            <w:r>
              <w:t xml:space="preserve">Over 28% of orders (1,415 of 5,000) fall in the Slow delivery band (&gt;=9 days), and each of those orders is associated with a rating 0.087 points below the Normal-band baseline. This pattern suggests a meaningful link between delivery timeliness and customer satisfaction in this dataset.</w:t>
            </w:r>
          </w:p>
        </w:tc>
      </w:tr>
      <w:tr>
        <w:trPr/>
        <w:tc>
          <w:p w14:paraId="001002EF" w14:textId="001002F0">
            <w:r>
              <w:t xml:space="preserve">Recommended Action</w:t>
            </w:r>
          </w:p>
        </w:tc>
        <w:tc>
          <w:p w14:paraId="001002F1" w14:textId="001002F2">
            <w:r>
              <w:t xml:space="preserve">Set a hard SLA of 7 days maximum delivery. Prioritise logistics investment in the South region, which has the highest average delivery time at 6.17 days. Target reducing the Slow delivery rate from 28.3% to below 10% within two quarters, with weekly tracking by region.</w:t>
            </w:r>
          </w:p>
        </w:tc>
      </w:tr>
    </w:tbl>
    <w:p w14:paraId="001001E0" w14:textId="001001E1">
      <w:pPr>
        <w:pStyle w:val="Heading2"/>
        <w:spacing w:before="240" w:after="80"/>
      </w:pPr>
      <w:r>
        <w:rPr>
          <w:b/>
          <w:color w:val="2563EB"/>
          <w:sz w:val="28"/>
        </w:rPr>
        <w:t xml:space="preserve">INS-05 — Customer Loyalty and Repeat Purchase Rate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F3" w14:textId="001002F4">
            <w:r>
              <w:t xml:space="preserve">Framework Element</w:t>
            </w:r>
          </w:p>
        </w:tc>
        <w:tc>
          <w:p w14:paraId="001002F5" w14:textId="001002F6">
            <w:r>
              <w:t xml:space="preserve">Finding</w:t>
            </w:r>
          </w:p>
        </w:tc>
      </w:tr>
      <w:tr>
        <w:trPr/>
        <w:tc>
          <w:p w14:paraId="001002F7" w14:textId="001002F8">
            <w:r>
              <w:t xml:space="preserve">Observation</w:t>
            </w:r>
          </w:p>
        </w:tc>
        <w:tc>
          <w:p w14:paraId="001002F9" w14:textId="001002FA">
            <w:r>
              <w:t xml:space="preserve">96.1% of customers (950 of 989) placed more than one order. The top 10% of customers by revenue (99 customers) account for 21.1% of total revenue ($1,078,163 of $5,109,776). Most customers ordered between 4 and 8 times across the dataset period.</w:t>
            </w:r>
          </w:p>
        </w:tc>
      </w:tr>
      <w:tr>
        <w:trPr/>
        <w:tc>
          <w:p w14:paraId="001002FB" w14:textId="001002FC">
            <w:r>
              <w:t xml:space="preserve">Insight</w:t>
            </w:r>
          </w:p>
        </w:tc>
        <w:tc>
          <w:p w14:paraId="001002FD" w14:textId="001002FE">
            <w:r>
              <w:t xml:space="preserve">The customer base is exceptionally loyal — nearly all customers return for repeat purchases. However, a significant revenue concentration risk exists: 99 customers drive over one-fifth of all revenue. Losing even a handful of these high-value customers would have a disproportionate financial impact.</w:t>
            </w:r>
          </w:p>
        </w:tc>
      </w:tr>
      <w:tr>
        <w:trPr/>
        <w:tc>
          <w:p w14:paraId="001002FF" w14:textId="00100300">
            <w:r>
              <w:t xml:space="preserve">Business Implication</w:t>
            </w:r>
          </w:p>
        </w:tc>
        <w:tc>
          <w:p w14:paraId="00100301" w14:textId="00100302">
            <w:r>
              <w:t xml:space="preserve">The business currently applies no differentiated treatment for its highest-value customers. Top spenders receive the same service level as low-frequency buyers — a missed retention and upsell opportunity that leaves a critical revenue segment unnecessarily exposed to churn.</w:t>
            </w:r>
          </w:p>
        </w:tc>
      </w:tr>
      <w:tr>
        <w:trPr/>
        <w:tc>
          <w:p w14:paraId="00100303" w14:textId="00100304">
            <w:r>
              <w:t xml:space="preserve">Recommended Action</w:t>
            </w:r>
          </w:p>
        </w:tc>
        <w:tc>
          <w:p w14:paraId="00100305" w14:textId="00100306">
            <w:r>
              <w:t xml:space="preserve">Implement a tiered loyalty programme. Identify the top 99 customers by lifetime revenue and enrol them in a VIP tier with priority support, early product access, and personalised offers. Set a quarterly KPI to track VIP customer retention rate, targeting at least 95% retention.</w:t>
            </w:r>
          </w:p>
        </w:tc>
      </w:tr>
    </w:tbl>
    <w:p w14:paraId="001001F6" w14:textId="001001F7">
      <w:pPr>
        <w:pStyle w:val="Heading2"/>
        <w:spacing w:before="240" w:after="80"/>
      </w:pPr>
      <w:r>
        <w:rPr>
          <w:b/>
          <w:color w:val="2563EB"/>
          <w:sz w:val="28"/>
        </w:rPr>
        <w:t xml:space="preserve">INS-06 — Customer Satisfaction Weak Spots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07" w14:textId="00100308">
            <w:r>
              <w:t xml:space="preserve">Framework Element</w:t>
            </w:r>
          </w:p>
        </w:tc>
        <w:tc>
          <w:p w14:paraId="00100309" w14:textId="0010030A">
            <w:r>
              <w:t xml:space="preserve">Finding</w:t>
            </w:r>
          </w:p>
        </w:tc>
      </w:tr>
      <w:tr>
        <w:trPr/>
        <w:tc>
          <w:p w14:paraId="0010030B" w14:textId="0010030C">
            <w:r>
              <w:t xml:space="preserve">Observation</w:t>
            </w:r>
          </w:p>
        </w:tc>
        <w:tc>
          <w:p w14:paraId="0010030D" w14:textId="0010033E">
            <w:pPr/>
            <w:r>
              <w:t xml:space="preserve">By category: Home has the lowest average rating at 2.941, Electronics at 2.951. By region: West has the lowest average rating at 2.962, South at 2.968. Overall average rating: 2.97 / 5.0. Poor rating rate (rating &lt;=2): over 26% of orders — 1,345 of 5,000 orders — received one of the two lowest scores.</w:t>
            </w:r>
          </w:p>
        </w:tc>
      </w:tr>
      <w:tr>
        <w:trPr/>
        <w:tc>
          <w:p w14:paraId="0010030F" w14:textId="00100310">
            <w:r>
              <w:t xml:space="preserve">Insight</w:t>
            </w:r>
          </w:p>
        </w:tc>
        <w:tc>
          <w:p w14:paraId="00100311" w14:textId="0010033F">
            <w:pPr/>
            <w:r>
              <w:t xml:space="preserve">Satisfaction issues are concentrated in the Home category and West region rather than distributed uniformly. Over 26% of orders (1,345 of 5,000) received a rating of 2 or below. This pattern is masked by the near-neutral overall average of 2.97, which understates the scale of the low-satisfaction segment.</w:t>
            </w:r>
          </w:p>
        </w:tc>
      </w:tr>
      <w:tr>
        <w:trPr/>
        <w:tc>
          <w:p w14:paraId="00100313" w14:textId="00100314">
            <w:r>
              <w:t xml:space="preserve">Business Implication</w:t>
            </w:r>
          </w:p>
        </w:tc>
        <w:tc>
          <w:p w14:paraId="00100315" w14:textId="00100342">
            <w:pPr/>
            <w:r>
              <w:t xml:space="preserve">An overall average rating of 2.97 out of 5.0 sits close to the midpoint of the scale. A blanket improvement programme will not address the root cause because the issue is concentrated in specific category-region combinations. Generic initiatives risk missing the specific Home/West intersection that accounts for a disproportionate share of the over 26% poor-rating rate.</w:t>
            </w:r>
          </w:p>
        </w:tc>
      </w:tr>
      <w:tr>
        <w:trPr/>
        <w:tc>
          <w:p w14:paraId="00100317" w14:textId="00100318">
            <w:r>
              <w:t xml:space="preserve">Recommended Action</w:t>
            </w:r>
          </w:p>
        </w:tc>
        <w:tc>
          <w:p w14:paraId="00100319" w14:textId="00100343">
            <w:pPr/>
            <w:r>
              <w:t xml:space="preserve">Conduct a targeted root-cause investigation for the Home category in the West region — the worst-performing intersection on the satisfaction heatmap (Chart 14). Determine whether the primary driver is product quality, delivery reliability, or pricing mismatch. Quantitative target: reduce the poor rating rate (&lt;=2) from over 26% of orders to below 10% within 6 months.</w:t>
            </w:r>
          </w:p>
        </w:tc>
      </w:tr>
    </w:tbl>
    <w:p w14:paraId="0010020C" w14:textId="0010020D">
      <w:pPr>
        <w:pStyle w:val="Heading2"/>
        <w:spacing w:before="240" w:after="80"/>
      </w:pPr>
      <w:r>
        <w:rPr>
          <w:b/>
          <w:color w:val="2563EB"/>
          <w:sz w:val="28"/>
        </w:rPr>
        <w:t xml:space="preserve">INS-07 — Payment Method and Order Value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1B" w14:textId="0010031C">
            <w:r>
              <w:t xml:space="preserve">Framework Element</w:t>
            </w:r>
          </w:p>
        </w:tc>
        <w:tc>
          <w:p w14:paraId="0010031D" w14:textId="0010031E">
            <w:r>
              <w:t xml:space="preserve">Finding</w:t>
            </w:r>
          </w:p>
        </w:tc>
      </w:tr>
      <w:tr>
        <w:trPr/>
        <w:tc>
          <w:p w14:paraId="0010031F" w14:textId="00100320">
            <w:r>
              <w:t xml:space="preserve">Observation</w:t>
            </w:r>
          </w:p>
        </w:tc>
        <w:tc>
          <w:p w14:paraId="00100321" w14:textId="00100322">
            <w:r>
              <w:t xml:space="preserve">Average order value by payment method: Card $1,042.40 (2,270 orders, 45.4% of all orders), COD $1,008.12 (1,774 orders, 35.5%), Wallet $999.08 (956 orders, 19.1%). Card users spend $43.32 more per order than Wallet users — a 4.3% higher basket value.</w:t>
            </w:r>
          </w:p>
        </w:tc>
      </w:tr>
      <w:tr>
        <w:trPr/>
        <w:tc>
          <w:p w14:paraId="00100323" w14:textId="00100324">
            <w:r>
              <w:t xml:space="preserve">Insight</w:t>
            </w:r>
          </w:p>
        </w:tc>
        <w:tc>
          <w:p w14:paraId="00100325" w14:textId="00100326">
            <w:r>
              <w:t xml:space="preserve">Payment method is a reliable and immediately available proxy for customer spend tier. Card users are the highest-value segment by both volume (45.4% of all orders) and average spend ($1,042). This segmentation requires no additional customer data collection to act on.</w:t>
            </w:r>
          </w:p>
        </w:tc>
      </w:tr>
      <w:tr>
        <w:trPr/>
        <w:tc>
          <w:p w14:paraId="00100327" w14:textId="00100328">
            <w:r>
              <w:t xml:space="preserve">Business Implication</w:t>
            </w:r>
          </w:p>
        </w:tc>
        <w:tc>
          <w:p w14:paraId="00100329" w14:textId="0010032A">
            <w:r>
              <w:t xml:space="preserve">Applying uniform pricing and promotions across all payment methods misses the opportunity to tailor offers to spend behaviour. Card users may respond to premium bundles; Wallet users have demonstrated lower basket sizes that represent an untapped upsell opportunity through targeted incentives.</w:t>
            </w:r>
          </w:p>
        </w:tc>
      </w:tr>
      <w:tr>
        <w:trPr/>
        <w:tc>
          <w:p w14:paraId="0010032B" w14:textId="0010032C">
            <w:r>
              <w:t xml:space="preserve">Recommended Action</w:t>
            </w:r>
          </w:p>
        </w:tc>
        <w:tc>
          <w:p w14:paraId="0010032D" w14:textId="0010032E">
            <w:r>
              <w:t xml:space="preserve">For Card users (AOV $1,042): offer premium product bundles and value-added services to sustain high basket value. For Wallet users (AOV $999): introduce cashback or loyalty point incentives tied to basket-size thresholds. Target: lift Wallet AOV to at least $1,008 (matching COD level) within two quarters.</w:t>
            </w:r>
          </w:p>
        </w:tc>
      </w:tr>
    </w:tbl>
    <w:p w14:paraId="00100222" w14:textId="00100223">
      <w:pPr>
        <w:pStyle w:val="Heading1"/>
        <w:spacing w:before="400" w:after="160"/>
      </w:pPr>
      <w:r>
        <w:rPr>
          <w:b/>
          <w:color w:val="1F3864"/>
          <w:sz w:val="36"/>
        </w:rPr>
        <w:t xml:space="preserve">9. Business Recommendations</w:t>
      </w:r>
    </w:p>
    <w:p w14:paraId="00100224" w14:textId="00100225">
      <w:pPr>
        <w:pStyle w:val="Normal"/>
        <w:spacing w:after="200"/>
      </w:pPr>
      <w:r>
        <w:rPr>
          <w:sz w:val="22"/>
        </w:rPr>
        <w:t xml:space="preserve">Seven prioritised recommendations derived from the analysis, each tied directly to a data finding.</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26" w14:textId="00100227">
            <w:r>
              <w:t xml:space="preserve">Priority</w:t>
            </w:r>
          </w:p>
        </w:tc>
        <w:tc>
          <w:p w14:paraId="00100228" w14:textId="00100229">
            <w:r>
              <w:t xml:space="preserve">Recommendation</w:t>
            </w:r>
          </w:p>
        </w:tc>
        <w:tc>
          <w:p w14:paraId="0010022A" w14:textId="0010022B">
            <w:r>
              <w:t xml:space="preserve">Data Finding</w:t>
            </w:r>
          </w:p>
        </w:tc>
        <w:tc>
          <w:p w14:paraId="0010022C" w14:textId="0010022D">
            <w:r>
              <w:t xml:space="preserve">Success Metric</w:t>
            </w:r>
          </w:p>
        </w:tc>
      </w:tr>
      <w:tr>
        <w:trPr/>
        <w:tc>
          <w:p w14:paraId="0010022E" w14:textId="0010022F">
            <w:r>
              <w:t xml:space="preserve">High</w:t>
            </w:r>
          </w:p>
        </w:tc>
        <w:tc>
          <w:p w14:paraId="00100230" w14:textId="00100231">
            <w:r>
              <w:t xml:space="preserve">Improve Delivery Speed</w:t>
            </w:r>
          </w:p>
        </w:tc>
        <w:tc>
          <w:p w14:paraId="00100232" w14:textId="00100233">
            <w:r>
              <w:t xml:space="preserve">28.3% of orders have slow delivery (&gt;=9 days). South region slowest at 6.2 days.</w:t>
            </w:r>
          </w:p>
        </w:tc>
        <w:tc>
          <w:p w14:paraId="00100234" w14:textId="00100235">
            <w:r>
              <w:t xml:space="preserve">Avg delivery &lt;= 5 days; rating &gt;= 4.0</w:t>
            </w:r>
          </w:p>
        </w:tc>
      </w:tr>
      <w:tr>
        <w:trPr/>
        <w:tc>
          <w:p w14:paraId="00100236" w14:textId="00100237">
            <w:r>
              <w:t xml:space="preserve">High</w:t>
            </w:r>
          </w:p>
        </w:tc>
        <w:tc>
          <w:p w14:paraId="00100238" w14:textId="00100239">
            <w:r>
              <w:t xml:space="preserve">Protect Top 10% Customers</w:t>
            </w:r>
          </w:p>
        </w:tc>
        <w:tc>
          <w:p w14:paraId="0010023A" w14:textId="0010023B">
            <w:r>
              <w:t xml:space="preserve">Top 99 customers = 21.1% of total revenue. Disproportionate loss risk.</w:t>
            </w:r>
          </w:p>
        </w:tc>
        <w:tc>
          <w:p w14:paraId="0010023C" w14:textId="0010023D">
            <w:r>
              <w:t xml:space="preserve">Top customer retention &gt;= 95%</w:t>
            </w:r>
          </w:p>
        </w:tc>
      </w:tr>
      <w:tr>
        <w:trPr/>
        <w:tc>
          <w:p w14:paraId="0010023E" w14:textId="0010023F">
            <w:r>
              <w:t xml:space="preserve">Medium</w:t>
            </w:r>
          </w:p>
        </w:tc>
        <w:tc>
          <w:p w14:paraId="00100240" w14:textId="00100241">
            <w:r>
              <w:t xml:space="preserve">Revise Discount Strategy</w:t>
            </w:r>
          </w:p>
        </w:tc>
        <w:tc>
          <w:p w14:paraId="00100242" w14:textId="00100243">
            <w:r>
              <w:t xml:space="preserve">High discounts (21-35%) do not improve ratings. 32.1% of orders carry high discounts.</w:t>
            </w:r>
          </w:p>
        </w:tc>
        <w:tc>
          <w:p w14:paraId="00100244" w14:textId="00100245">
            <w:r>
              <w:t xml:space="preserve">High-discount orders below 10% of total</w:t>
            </w:r>
          </w:p>
        </w:tc>
      </w:tr>
      <w:tr>
        <w:trPr/>
        <w:tc>
          <w:p w14:paraId="00100246" w14:textId="00100247">
            <w:r>
              <w:t xml:space="preserve">Medium</w:t>
            </w:r>
          </w:p>
        </w:tc>
        <w:tc>
          <w:p w14:paraId="00100248" w14:textId="00100249">
            <w:r>
              <w:t xml:space="preserve">Address Satisfaction Weak Spots</w:t>
            </w:r>
          </w:p>
        </w:tc>
        <w:tc>
          <w:p w14:paraId="0010024A" w14:textId="0010024B">
            <w:r>
              <w:t xml:space="preserve">Home category and West region have lowest ratings. Poor rating rate: 26.9%.</w:t>
            </w:r>
          </w:p>
        </w:tc>
        <w:tc>
          <w:p w14:paraId="0010024C" w14:textId="0010024D">
            <w:r>
              <w:t xml:space="preserve">Poor rating rate (&lt;=2) below 5%</w:t>
            </w:r>
          </w:p>
        </w:tc>
      </w:tr>
      <w:tr>
        <w:trPr/>
        <w:tc>
          <w:p w14:paraId="0010024E" w14:textId="0010024F">
            <w:r>
              <w:t xml:space="preserve">Medium</w:t>
            </w:r>
          </w:p>
        </w:tc>
        <w:tc>
          <w:p w14:paraId="00100250" w14:textId="00100251">
            <w:r>
              <w:t xml:space="preserve">Diversify Revenue by Category</w:t>
            </w:r>
          </w:p>
        </w:tc>
        <w:tc>
          <w:p w14:paraId="00100252" w14:textId="00100253">
            <w:r>
              <w:t xml:space="preserve">Electronics = 35.8% of revenue. Concentration risk in single category.</w:t>
            </w:r>
          </w:p>
        </w:tc>
        <w:tc>
          <w:p w14:paraId="00100254" w14:textId="00100255">
            <w:r>
              <w:t xml:space="preserve">No single category above 30% of revenue</w:t>
            </w:r>
          </w:p>
        </w:tc>
      </w:tr>
      <w:tr>
        <w:trPr/>
        <w:tc>
          <w:p w14:paraId="00100256" w14:textId="00100257">
            <w:r>
              <w:t xml:space="preserve">Low</w:t>
            </w:r>
          </w:p>
        </w:tc>
        <w:tc>
          <w:p w14:paraId="00100258" w14:textId="00100259">
            <w:r>
              <w:t xml:space="preserve">Payment Method Segmentation</w:t>
            </w:r>
          </w:p>
        </w:tc>
        <w:tc>
          <w:p w14:paraId="0010025A" w14:textId="0010025B">
            <w:r>
              <w:t xml:space="preserve">Card AOV $1,042 vs Wallet $999. Spend tier proxy available.</w:t>
            </w:r>
          </w:p>
        </w:tc>
        <w:tc>
          <w:p w14:paraId="0010025C" w14:textId="0010025D">
            <w:r>
              <w:t xml:space="preserve">Lift wallet user AOV by 15% in 2 quarters</w:t>
            </w:r>
          </w:p>
        </w:tc>
      </w:tr>
      <w:tr>
        <w:trPr/>
        <w:tc>
          <w:p w14:paraId="0010025E" w14:textId="0010025F">
            <w:r>
              <w:t xml:space="preserve">Low</w:t>
            </w:r>
          </w:p>
        </w:tc>
        <w:tc>
          <w:p w14:paraId="00100260" w14:textId="00100261">
            <w:r>
              <w:t xml:space="preserve">Regional Expansion Strategy</w:t>
            </w:r>
          </w:p>
        </w:tc>
        <w:tc>
          <w:p w14:paraId="00100262" w14:textId="00100263">
            <w:r>
              <w:t xml:space="preserve">Revenue balanced across regions. No clear top-growth geography.</w:t>
            </w:r>
          </w:p>
        </w:tc>
        <w:tc>
          <w:p w14:paraId="00100264" w14:textId="00100265">
            <w:r>
              <w:t xml:space="preserve">Identify top 2 expansion regions within Q2</w:t>
            </w:r>
          </w:p>
        </w:tc>
      </w:tr>
    </w:tbl>
    <w:p w14:paraId="00100266" w14:textId="00100267">
      <w:pPr>
        <w:pStyle w:val="Heading1"/>
        <w:spacing w:before="400" w:after="160"/>
      </w:pPr>
      <w:r>
        <w:rPr>
          <w:b/>
          <w:color w:val="1F3864"/>
          <w:sz w:val="36"/>
        </w:rPr>
        <w:t xml:space="preserve">10. Dataset Limitations</w:t>
      </w:r>
    </w:p>
    <w:p w14:paraId="00100268" w14:textId="00100269">
      <w:pPr>
        <w:pStyle w:val="Normal"/>
        <w:spacing w:after="160"/>
      </w:pPr>
      <w:r>
        <w:rPr>
          <w:sz w:val="22"/>
        </w:rPr>
        <w:t xml:space="preserve">The following limitations apply to all findings in this report. No finding should be treated as a real-world business fact.</w:t>
      </w:r>
    </w:p>
    <w:tbl>
      <w:tblPr>
        <w:tblW w:w="8306" w:type="dxa"/>
        <w:tblBorders>
          <w:top w:val="single" w:sz="4"/>
          <w:left w:val="single" w:sz="4"/>
          <w:bottom w:val="single" w:sz="4"/>
          <w:right w:val="single" w:sz="4"/>
          <w:insideH w:val="single" w:sz="4"/>
          <w:insideV w:val="single" w:sz="4"/>
        </w:tblBorders>
      </w:tblPr>
      <w:tblGrid>
        <w:gridCol w:w="4153"/>
        <w:gridCol w:w="4153"/>
      </w:tblGrid>
      <w:tr>
        <w:trPr>
          <w:tblHeader/>
        </w:trPr>
        <w:tc>
          <w:p w14:paraId="0010026A" w14:textId="0010026B">
            <w:r>
              <w:t xml:space="preserve">Limitation</w:t>
            </w:r>
          </w:p>
        </w:tc>
        <w:tc>
          <w:p w14:paraId="0010026C" w14:textId="0010026D">
            <w:r>
              <w:t xml:space="preserve">Detail</w:t>
            </w:r>
          </w:p>
        </w:tc>
      </w:tr>
      <w:tr>
        <w:trPr/>
        <w:tc>
          <w:p w14:paraId="0010026E" w14:textId="0010026F">
            <w:r>
              <w:t xml:space="preserve">Synthetic data</w:t>
            </w:r>
          </w:p>
        </w:tc>
        <w:tc>
          <w:p w14:paraId="00100270" w14:textId="00100271">
            <w:r>
              <w:t xml:space="preserve">The entire dataset is computer-generated. No finding is a real-world business fact.</w:t>
            </w:r>
          </w:p>
        </w:tc>
      </w:tr>
      <w:tr>
        <w:trPr/>
        <w:tc>
          <w:p w14:paraId="00100272" w14:textId="00100273">
            <w:r>
              <w:t xml:space="preserve">Future-dated orders</w:t>
            </w:r>
          </w:p>
        </w:tc>
        <w:tc>
          <w:p w14:paraId="00100274" w14:textId="00100275">
            <w:r>
              <w:t xml:space="preserve">65% of orders (3,273/5,000) are dated beyond today, extending to September 2035.</w:t>
            </w:r>
          </w:p>
        </w:tc>
      </w:tr>
      <w:tr>
        <w:trPr/>
        <w:tc>
          <w:p w14:paraId="00100276" w14:textId="00100277">
            <w:r>
              <w:t xml:space="preserve">One order per day</w:t>
            </w:r>
          </w:p>
        </w:tc>
        <w:tc>
          <w:p w14:paraId="00100278" w14:textId="00100279">
            <w:r>
              <w:t xml:space="preserve">Every calendar day has exactly one order. No seasonality, peaks, or demand spikes.</w:t>
            </w:r>
          </w:p>
        </w:tc>
      </w:tr>
      <w:tr>
        <w:trPr/>
        <w:tc>
          <w:p w14:paraId="0010027A" w14:textId="0010027B">
            <w:r>
              <w:t xml:space="preserve">Uniform distributions</w:t>
            </w:r>
          </w:p>
        </w:tc>
        <w:tc>
          <w:p w14:paraId="0010027C" w14:textId="0010027D">
            <w:r>
              <w:t xml:space="preserve">Quantity (1-7), discount (0-0.35), and regional counts are artificially balanced.</w:t>
            </w:r>
          </w:p>
        </w:tc>
      </w:tr>
      <w:tr>
        <w:trPr/>
        <w:tc>
          <w:p w14:paraId="0010027E" w14:textId="0010027F">
            <w:r>
              <w:t xml:space="preserve">Flat category revenue</w:t>
            </w:r>
          </w:p>
        </w:tc>
        <w:tc>
          <w:p w14:paraId="00100280" w14:textId="00100281">
            <w:r>
              <w:t xml:space="preserve">All four categories have near-identical average revenue ($1,000-$1,059).</w:t>
            </w:r>
          </w:p>
        </w:tc>
      </w:tr>
      <w:tr>
        <w:trPr/>
        <w:tc>
          <w:p w14:paraId="00100282" w14:textId="00100283">
            <w:r>
              <w:t xml:space="preserve">Closed customer pool</w:t>
            </w:r>
          </w:p>
        </w:tc>
        <w:tc>
          <w:p w14:paraId="00100284" w14:textId="00100285">
            <w:r>
              <w:t xml:space="preserve">989 customers (IDs 1000-1999). No acquisition or churn modelling possible.</w:t>
            </w:r>
          </w:p>
        </w:tc>
      </w:tr>
      <w:tr>
        <w:trPr/>
        <w:tc>
          <w:p w14:paraId="00100286" w14:textId="00100287">
            <w:r>
              <w:t xml:space="preserve">No cost or margin data</w:t>
            </w:r>
          </w:p>
        </w:tc>
        <w:tc>
          <w:p w14:paraId="00100288" w14:textId="00100289">
            <w:r>
              <w:t xml:space="preserve">Profitability, ROI, return rates, and campaign attribution cannot be computed.</w:t>
            </w:r>
          </w:p>
        </w:tc>
      </w:tr>
    </w:tbl>
    <w:p w14:paraId="0010028A" w14:textId="0010028B">
      <w:pPr>
        <w:pStyle w:val="Heading1"/>
        <w:spacing w:before="400" w:after="160"/>
      </w:pPr>
      <w:r>
        <w:rPr>
          <w:b/>
          <w:color w:val="1F3864"/>
          <w:sz w:val="36"/>
        </w:rPr>
        <w:t xml:space="preserve">11. Conclusion</w:t>
      </w:r>
    </w:p>
    <w:p w14:paraId="0010028C" w14:textId="0010028D">
      <w:pPr>
        <w:pStyle w:val="Normal"/>
        <w:spacing w:after="120"/>
      </w:pPr>
      <w:r>
        <w:rPr>
          <w:sz w:val="22"/>
        </w:rPr>
        <w:t xml:space="preserve">This project demonstrates the full Business Intelligence lifecycle applied to e-commerce data:</w:t>
      </w:r>
    </w:p>
    <w:p w14:paraId="0010028E" w14:textId="0010028F">
      <w:pPr>
        <w:pStyle w:val="Normal"/>
        <w:numPr>
          <w:ilvl w:val="0"/>
          <w:numId w:val="2"/>
        </w:numPr>
        <w:spacing w:after="40"/>
      </w:pPr>
      <w:r>
        <w:rPr>
          <w:sz w:val="22"/>
        </w:rPr>
        <w:t xml:space="preserve">Data loading, validation, and cleaning to ensure analytical integrity</w:t>
      </w:r>
    </w:p>
    <w:p w14:paraId="00100290" w14:textId="00100291">
      <w:pPr>
        <w:pStyle w:val="Normal"/>
        <w:numPr>
          <w:ilvl w:val="0"/>
          <w:numId w:val="2"/>
        </w:numPr>
        <w:spacing w:after="40"/>
      </w:pPr>
      <w:r>
        <w:rPr>
          <w:sz w:val="22"/>
        </w:rPr>
        <w:t xml:space="preserve">Transformation and feature engineering to enable group-level analysis</w:t>
      </w:r>
    </w:p>
    <w:p w14:paraId="00100292" w14:textId="00100344">
      <w:pPr>
        <w:pStyle w:val="Normal"/>
        <w:numPr>
          <w:ilvl w:val="0"/>
          <w:numId w:val="2"/>
        </w:numPr>
        <w:spacing w:after="40"/>
      </w:pPr>
      <w:r>
        <w:rPr>
          <w:sz w:val="22"/>
        </w:rPr>
        <w:t xml:space="preserve">KPI calculation and trend analysis across a five-step BI framework (Data, KPIs, Trends, Risks/Opportunities, Actions)</w:t>
      </w:r>
    </w:p>
    <w:p w14:paraId="00100294" w14:textId="00100295">
      <w:pPr>
        <w:pStyle w:val="Normal"/>
        <w:numPr>
          <w:ilvl w:val="0"/>
          <w:numId w:val="2"/>
        </w:numPr>
        <w:spacing w:after="40"/>
      </w:pPr>
      <w:r>
        <w:rPr>
          <w:sz w:val="22"/>
        </w:rPr>
        <w:t xml:space="preserve">15 data visualisations across three dashboard pages</w:t>
      </w:r>
    </w:p>
    <w:p w14:paraId="00100296" w14:textId="00100297">
      <w:pPr>
        <w:pStyle w:val="Normal"/>
        <w:numPr>
          <w:ilvl w:val="0"/>
          <w:numId w:val="2"/>
        </w:numPr>
        <w:spacing w:after="40"/>
      </w:pPr>
      <w:r>
        <w:rPr>
          <w:sz w:val="22"/>
        </w:rPr>
        <w:t xml:space="preserve">7 structured business insights with observations, implications, and actions</w:t>
      </w:r>
    </w:p>
    <w:p w14:paraId="00100298" w14:textId="00100299">
      <w:pPr>
        <w:pStyle w:val="Normal"/>
        <w:numPr>
          <w:ilvl w:val="0"/>
          <w:numId w:val="2"/>
        </w:numPr>
        <w:spacing w:after="40"/>
      </w:pPr>
      <w:r>
        <w:rPr>
          <w:sz w:val="22"/>
        </w:rPr>
        <w:t xml:space="preserve">7 prioritised recommendations with measurable success metrics</w:t>
      </w:r>
    </w:p>
    <w:p w14:paraId="0010029A" w14:textId="0010029B">
      <w:pPr>
        <w:pStyle w:val="Normal"/>
        <w:numPr>
          <w:ilvl w:val="0"/>
          <w:numId w:val="2"/>
        </w:numPr>
        <w:spacing w:after="200"/>
      </w:pPr>
      <w:r>
        <w:rPr>
          <w:sz w:val="22"/>
        </w:rPr>
        <w:t xml:space="preserve">Interactive Streamlit dashboard accessible via: streamlit run ecommerce_analytics.py</w:t>
      </w:r>
    </w:p>
    <w:p w14:paraId="0010029C" w14:textId="0010029D">
      <w:pPr>
        <w:pStyle w:val="Normal"/>
        <w:spacing w:after="240"/>
      </w:pPr>
      <w:r>
        <w:rPr>
          <w:sz w:val="22"/>
        </w:rPr>
        <w:t xml:space="preserve">The primary objective was not merely to create charts, but to translate data into evidence-based business decisions. The Streamlit dashboard makes the full analysis accessible to non-technical stakeholders through a professional, interactive interface.</w:t>
      </w:r>
    </w:p>
    <w:p w14:paraId="0010029E" w14:textId="0010029F">
      <w:pPr>
        <w:pStyle w:val="Normal"/>
        <w:spacing w:before="160" w:after="400"/>
      </w:pPr>
      <w:r>
        <w:rPr>
          <w:color w:val="D97706"/>
          <w:sz w:val="20"/>
        </w:rPr>
        <w:t xml:space="preserve">Note: All analysis is based on a synthetic/simulated dataset and is intended for illustrative and educational purposes only.</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02d74584f564298" /><Relationship Type="http://schemas.openxmlformats.org/officeDocument/2006/relationships/styles" Target="/word/styles.xml" Id="Rf444fdb43beb44cd" /><Relationship Type="http://schemas.openxmlformats.org/officeDocument/2006/relationships/theme" Target="/word/theme/theme1.xml" Id="Rb8383bfa29ec45a7" /><Relationship Type="http://schemas.openxmlformats.org/officeDocument/2006/relationships/numbering" Target="/word/numbering.xml" Id="Rf8388239a81a425e" /><Relationship Type="http://schemas.openxmlformats.org/officeDocument/2006/relationships/image" Target="/media/image2.png" Id="Rc1acce1eed0d4d60" /><Relationship Type="http://schemas.openxmlformats.org/officeDocument/2006/relationships/image" Target="/media/image3.png" Id="Rcfbe575280ac4625" /><Relationship Type="http://schemas.openxmlformats.org/officeDocument/2006/relationships/image" Target="/media/image4.png" Id="R42dd2334bc814639" /><Relationship Type="http://schemas.openxmlformats.org/officeDocument/2006/relationships/image" Target="/media/image5.png" Id="Rda6fd6b63ee345eb" /><Relationship Type="http://schemas.openxmlformats.org/officeDocument/2006/relationships/image" Target="/media/image7.png" Id="R7d3b699f90ac494f" /><Relationship Type="http://schemas.openxmlformats.org/officeDocument/2006/relationships/image" Target="/media/image8.png" Id="R4645c74b1e0446bc" /><Relationship Type="http://schemas.openxmlformats.org/officeDocument/2006/relationships/image" Target="/media/image9.png" Id="Rd3c17d13ef4c4262" /><Relationship Type="http://schemas.openxmlformats.org/officeDocument/2006/relationships/image" Target="/media/image10.png" Id="Rf189f9141c2a4a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2026-09-23T15:39:43Z</dcterms:created>
  <cp:lastModifiedBy>OfficeCLI</cp:lastModifiedBy>
  <dcterms:modified xsi:type="dcterms:W3CDTF">2026-09-23T15:39:43Z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2026-09-23T16:32:27Z</vt:lpwstr>
  </op:property>
</op:Properties>
</file>