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line="276" w:lineRule="auto"/>
        <w:jc w:val="center"/>
      </w:pPr>
      <w:r>
        <w:rPr>
          <w:rFonts w:ascii="Times New Roman" w:hAnsi="Times New Roman" w:eastAsia="Times New Roman"/>
          <w:b/>
          <w:i w:val="0"/>
          <w:sz w:val="28"/>
        </w:rPr>
        <w:t>A PROJECT REPORT</w:t>
      </w:r>
    </w:p>
    <w:p>
      <w:pPr>
        <w:spacing w:before="0" w:after="160" w:line="276" w:lineRule="auto"/>
        <w:jc w:val="center"/>
      </w:pPr>
      <w:r>
        <w:rPr>
          <w:rFonts w:ascii="Times New Roman" w:hAnsi="Times New Roman" w:eastAsia="Times New Roman"/>
          <w:b/>
          <w:i w:val="0"/>
          <w:sz w:val="26"/>
        </w:rPr>
        <w:t>ON</w:t>
      </w:r>
    </w:p>
    <w:p>
      <w:pPr>
        <w:spacing w:before="0" w:after="80" w:line="276" w:lineRule="auto"/>
        <w:jc w:val="center"/>
      </w:pPr>
      <w:r>
        <w:rPr>
          <w:rFonts w:ascii="Times New Roman" w:hAnsi="Times New Roman" w:eastAsia="Times New Roman"/>
          <w:b/>
          <w:i w:val="0"/>
          <w:sz w:val="32"/>
        </w:rPr>
        <w:t>Smart Water Monitoring: Machine Learning and CPS for Safe &amp; Sustainable Mining</w:t>
      </w:r>
    </w:p>
    <w:p>
      <w:pPr>
        <w:spacing w:before="0" w:after="200" w:line="276" w:lineRule="auto"/>
        <w:jc w:val="center"/>
      </w:pPr>
      <w:r>
        <w:rPr>
          <w:rFonts w:ascii="Times New Roman" w:hAnsi="Times New Roman" w:eastAsia="Times New Roman"/>
          <w:b/>
          <w:i w:val="0"/>
          <w:sz w:val="26"/>
        </w:rPr>
        <w:t>(JalDrishti – Groundwater Contamination Screening Platform for Jharkhand)</w:t>
      </w:r>
    </w:p>
    <w:p>
      <w:pPr>
        <w:spacing w:before="0" w:after="120" w:line="276" w:lineRule="auto"/>
        <w:jc w:val="center"/>
      </w:pPr>
      <w:r>
        <w:rPr>
          <w:rFonts w:ascii="Times New Roman" w:hAnsi="Times New Roman" w:eastAsia="Times New Roman"/>
          <w:b w:val="0"/>
          <w:i/>
          <w:sz w:val="24"/>
        </w:rPr>
        <w:t>Submitted to</w:t>
      </w:r>
    </w:p>
    <w:p>
      <w:pPr>
        <w:spacing w:before="0" w:after="120" w:line="240" w:lineRule="auto"/>
        <w:jc w:val="center"/>
      </w:pPr>
      <w:r>
        <w:drawing>
          <wp:inline xmlns:a="http://schemas.openxmlformats.org/drawingml/2006/main" xmlns:pic="http://schemas.openxmlformats.org/drawingml/2006/picture">
            <wp:extent cx="2251765" cy="720000"/>
            <wp:docPr id="1" name="Picture 1"/>
            <wp:cNvGraphicFramePr>
              <a:graphicFrameLocks noChangeAspect="1"/>
            </wp:cNvGraphicFramePr>
            <a:graphic>
              <a:graphicData uri="http://schemas.openxmlformats.org/drawingml/2006/picture">
                <pic:pic>
                  <pic:nvPicPr>
                    <pic:cNvPr id="0" name="texmin_logo.png"/>
                    <pic:cNvPicPr/>
                  </pic:nvPicPr>
                  <pic:blipFill>
                    <a:blip r:embed="rId10"/>
                    <a:stretch>
                      <a:fillRect/>
                    </a:stretch>
                  </pic:blipFill>
                  <pic:spPr>
                    <a:xfrm>
                      <a:off x="0" y="0"/>
                      <a:ext cx="2251765" cy="720000"/>
                    </a:xfrm>
                    <a:prstGeom prst="rect"/>
                  </pic:spPr>
                </pic:pic>
              </a:graphicData>
            </a:graphic>
          </wp:inline>
        </w:drawing>
      </w:r>
      <w:r>
        <w:t xml:space="preserve">      </w:t>
      </w:r>
      <w:r>
        <w:drawing>
          <wp:inline xmlns:a="http://schemas.openxmlformats.org/drawingml/2006/main" xmlns:pic="http://schemas.openxmlformats.org/drawingml/2006/picture">
            <wp:extent cx="764307" cy="827999"/>
            <wp:docPr id="2" name="Picture 2"/>
            <wp:cNvGraphicFramePr>
              <a:graphicFrameLocks noChangeAspect="1"/>
            </wp:cNvGraphicFramePr>
            <a:graphic>
              <a:graphicData uri="http://schemas.openxmlformats.org/drawingml/2006/picture">
                <pic:pic>
                  <pic:nvPicPr>
                    <pic:cNvPr id="0" name="bit_sindri_crest.png"/>
                    <pic:cNvPicPr/>
                  </pic:nvPicPr>
                  <pic:blipFill>
                    <a:blip r:embed="rId11"/>
                    <a:stretch>
                      <a:fillRect/>
                    </a:stretch>
                  </pic:blipFill>
                  <pic:spPr>
                    <a:xfrm>
                      <a:off x="0" y="0"/>
                      <a:ext cx="764307" cy="827999"/>
                    </a:xfrm>
                    <a:prstGeom prst="rect"/>
                  </pic:spPr>
                </pic:pic>
              </a:graphicData>
            </a:graphic>
          </wp:inline>
        </w:drawing>
      </w:r>
    </w:p>
    <w:p>
      <w:pPr>
        <w:spacing w:before="120" w:after="80" w:line="276" w:lineRule="auto"/>
        <w:jc w:val="center"/>
      </w:pPr>
      <w:r>
        <w:rPr>
          <w:rFonts w:ascii="Times New Roman" w:hAnsi="Times New Roman" w:eastAsia="Times New Roman"/>
          <w:b/>
          <w:i w:val="0"/>
          <w:sz w:val="26"/>
        </w:rPr>
        <w:t>TEXMiN-BIT Sindri CPS CoE</w:t>
      </w:r>
    </w:p>
    <w:p>
      <w:pPr>
        <w:spacing w:before="0" w:after="80" w:line="276" w:lineRule="auto"/>
        <w:jc w:val="center"/>
      </w:pPr>
      <w:r>
        <w:rPr>
          <w:rFonts w:ascii="Times New Roman" w:hAnsi="Times New Roman" w:eastAsia="Times New Roman"/>
          <w:b w:val="0"/>
          <w:i w:val="0"/>
          <w:sz w:val="24"/>
        </w:rPr>
        <w:t>Submitted in Partial Fulfilment of the requirements for</w:t>
      </w:r>
    </w:p>
    <w:p>
      <w:pPr>
        <w:spacing w:before="0" w:after="560" w:line="276" w:lineRule="auto"/>
        <w:jc w:val="center"/>
      </w:pPr>
      <w:r>
        <w:rPr>
          <w:rFonts w:ascii="Times New Roman" w:hAnsi="Times New Roman" w:eastAsia="Times New Roman"/>
          <w:b/>
          <w:i w:val="0"/>
          <w:sz w:val="26"/>
        </w:rPr>
        <w:t>UDAAN UG Fellowship Programme (2025-26)</w:t>
      </w:r>
    </w:p>
    <w:p>
      <w:pPr>
        <w:spacing w:before="0" w:after="80" w:line="276" w:lineRule="auto"/>
        <w:jc w:val="center"/>
      </w:pPr>
      <w:r>
        <w:rPr>
          <w:rFonts w:ascii="Times New Roman" w:hAnsi="Times New Roman" w:eastAsia="Times New Roman"/>
          <w:b w:val="0"/>
          <w:i w:val="0"/>
          <w:sz w:val="24"/>
        </w:rPr>
        <w:t>Submitted By</w:t>
      </w:r>
    </w:p>
    <w:p>
      <w:pPr>
        <w:spacing w:before="0" w:after="80" w:line="276" w:lineRule="auto"/>
        <w:jc w:val="center"/>
      </w:pPr>
      <w:r>
        <w:rPr>
          <w:rFonts w:ascii="Times New Roman" w:hAnsi="Times New Roman" w:eastAsia="Times New Roman"/>
          <w:b/>
          <w:i w:val="0"/>
          <w:sz w:val="26"/>
        </w:rPr>
        <w:t>VISHAL RAJ</w:t>
      </w:r>
    </w:p>
    <w:p>
      <w:pPr>
        <w:spacing w:before="0" w:after="80" w:line="276" w:lineRule="auto"/>
        <w:jc w:val="center"/>
      </w:pPr>
      <w:r>
        <w:rPr>
          <w:rFonts w:ascii="Times New Roman" w:hAnsi="Times New Roman" w:eastAsia="Times New Roman"/>
          <w:b/>
          <w:i w:val="0"/>
          <w:sz w:val="24"/>
        </w:rPr>
        <w:t>(Roll No. 24030480134)</w:t>
      </w:r>
    </w:p>
    <w:p>
      <w:pPr>
        <w:spacing w:before="0" w:after="560" w:line="276" w:lineRule="auto"/>
        <w:jc w:val="center"/>
      </w:pPr>
      <w:r>
        <w:rPr>
          <w:rFonts w:ascii="Times New Roman" w:hAnsi="Times New Roman" w:eastAsia="Times New Roman"/>
          <w:b/>
          <w:i w:val="0"/>
          <w:sz w:val="24"/>
        </w:rPr>
        <w:t>Department of Information Technology</w:t>
      </w:r>
    </w:p>
    <w:p>
      <w:pPr>
        <w:spacing w:before="0" w:after="80" w:line="276" w:lineRule="auto"/>
        <w:jc w:val="center"/>
      </w:pPr>
      <w:r>
        <w:rPr>
          <w:rFonts w:ascii="Times New Roman" w:hAnsi="Times New Roman" w:eastAsia="Times New Roman"/>
          <w:b/>
          <w:i w:val="0"/>
          <w:sz w:val="24"/>
        </w:rPr>
        <w:t>Under the Guidance of</w:t>
      </w:r>
    </w:p>
    <w:p>
      <w:pPr>
        <w:spacing w:before="0" w:after="80" w:line="276" w:lineRule="auto"/>
        <w:jc w:val="center"/>
      </w:pPr>
      <w:r>
        <w:rPr>
          <w:rFonts w:ascii="Times New Roman" w:hAnsi="Times New Roman" w:eastAsia="Times New Roman"/>
          <w:b/>
          <w:i w:val="0"/>
          <w:sz w:val="26"/>
        </w:rPr>
        <w:t>Asst. Prof. MUKESH CHANDRA</w:t>
      </w:r>
    </w:p>
    <w:p>
      <w:pPr>
        <w:spacing w:before="0" w:after="80" w:line="276" w:lineRule="auto"/>
        <w:jc w:val="center"/>
      </w:pPr>
      <w:r>
        <w:rPr>
          <w:rFonts w:ascii="Times New Roman" w:hAnsi="Times New Roman" w:eastAsia="Times New Roman"/>
          <w:b/>
          <w:i w:val="0"/>
          <w:sz w:val="24"/>
        </w:rPr>
        <w:t>Department of Production and Industrial Engineering</w:t>
      </w:r>
    </w:p>
    <w:p>
      <w:r>
        <w:br w:type="page"/>
      </w:r>
    </w:p>
    <w:p>
      <w:pPr>
        <w:spacing w:before="480" w:after="280" w:line="276" w:lineRule="auto"/>
        <w:jc w:val="center"/>
        <w:pBdr>
          <w:bottom w:val="single" w:sz="6" w:space="1" w:color="000000"/>
        </w:pBdr>
      </w:pPr>
      <w:r>
        <w:rPr>
          <w:rFonts w:ascii="Times New Roman" w:hAnsi="Times New Roman" w:eastAsia="Times New Roman"/>
          <w:b/>
          <w:i w:val="0"/>
          <w:sz w:val="28"/>
        </w:rPr>
        <w:t>CERTIFICATE</w:t>
      </w:r>
    </w:p>
    <w:p>
      <w:pPr>
        <w:spacing w:before="0" w:after="120" w:line="360" w:lineRule="auto"/>
        <w:jc w:val="both"/>
      </w:pPr>
      <w:r>
        <w:rPr>
          <w:rFonts w:ascii="Times New Roman" w:hAnsi="Times New Roman" w:eastAsia="Times New Roman"/>
          <w:b w:val="0"/>
          <w:i w:val="0"/>
          <w:sz w:val="24"/>
        </w:rPr>
        <w:t xml:space="preserve">This is to certify that the project work entitled </w:t>
      </w:r>
      <w:r>
        <w:rPr>
          <w:rFonts w:ascii="Times New Roman" w:hAnsi="Times New Roman" w:eastAsia="Times New Roman"/>
          <w:b/>
          <w:i w:val="0"/>
          <w:sz w:val="24"/>
        </w:rPr>
        <w:t>“Smart Water Monitoring: Machine Learning and CPS for Safe &amp; Sustainable Mining (JalDrishti)”</w:t>
      </w:r>
      <w:r>
        <w:rPr>
          <w:rFonts w:ascii="Times New Roman" w:hAnsi="Times New Roman" w:eastAsia="Times New Roman"/>
          <w:b w:val="0"/>
          <w:i w:val="0"/>
          <w:sz w:val="24"/>
        </w:rPr>
        <w:t xml:space="preserve"> carried out under the </w:t>
      </w:r>
      <w:r>
        <w:rPr>
          <w:rFonts w:ascii="Times New Roman" w:hAnsi="Times New Roman" w:eastAsia="Times New Roman"/>
          <w:b/>
          <w:i w:val="0"/>
          <w:sz w:val="24"/>
        </w:rPr>
        <w:t>UDAAN UG Fellowship Programme (2025-26)</w:t>
      </w:r>
      <w:r>
        <w:rPr>
          <w:rFonts w:ascii="Times New Roman" w:hAnsi="Times New Roman" w:eastAsia="Times New Roman"/>
          <w:b w:val="0"/>
          <w:i w:val="0"/>
          <w:sz w:val="24"/>
        </w:rPr>
        <w:t xml:space="preserve"> is a genuine, original and completed record of work done by </w:t>
      </w:r>
      <w:r>
        <w:rPr>
          <w:rFonts w:ascii="Times New Roman" w:hAnsi="Times New Roman" w:eastAsia="Times New Roman"/>
          <w:b/>
          <w:i w:val="0"/>
          <w:sz w:val="24"/>
        </w:rPr>
        <w:t>Vishal Raj (Roll No: 24030480134)</w:t>
      </w:r>
      <w:r>
        <w:rPr>
          <w:rFonts w:ascii="Times New Roman" w:hAnsi="Times New Roman" w:eastAsia="Times New Roman"/>
          <w:b w:val="0"/>
          <w:i w:val="0"/>
          <w:sz w:val="24"/>
        </w:rPr>
        <w:t xml:space="preserve">, a student of Bachelor of Technology in the Department of Information Technology at </w:t>
      </w:r>
      <w:r>
        <w:rPr>
          <w:rFonts w:ascii="Times New Roman" w:hAnsi="Times New Roman" w:eastAsia="Times New Roman"/>
          <w:b/>
          <w:i w:val="0"/>
          <w:sz w:val="24"/>
        </w:rPr>
        <w:t>B.I.T. Sindri</w:t>
      </w:r>
      <w:r>
        <w:rPr>
          <w:rFonts w:ascii="Times New Roman" w:hAnsi="Times New Roman" w:eastAsia="Times New Roman"/>
          <w:b w:val="0"/>
          <w:i w:val="0"/>
          <w:sz w:val="24"/>
        </w:rPr>
        <w:t xml:space="preserve"> for the academic session 2024-28.</w:t>
      </w:r>
    </w:p>
    <w:p>
      <w:pPr>
        <w:spacing w:before="0" w:after="120" w:line="360" w:lineRule="auto"/>
        <w:jc w:val="both"/>
      </w:pPr>
      <w:r>
        <w:rPr>
          <w:rFonts w:ascii="Times New Roman" w:hAnsi="Times New Roman" w:eastAsia="Times New Roman"/>
          <w:b w:val="0"/>
          <w:i w:val="0"/>
          <w:sz w:val="24"/>
        </w:rPr>
        <w:t>This project work has been completed under our direct supervision and proper guidance during the fellowship tenure. The results embodied in this final report have not been submitted to any other university or institute for the award of any degree or diploma.</w:t>
      </w:r>
    </w:p>
    <w:tbl>
      <w:tblPr>
        <w:tblLayout w:type="fixed"/>
        <w:tblLook w:firstColumn="1" w:firstRow="1" w:lastColumn="0" w:lastRow="0" w:noHBand="0" w:noVBand="1" w:val="04A0"/>
        <w:tblLayout w:type="fixed"/>
        <w:tblW w:w="8788" w:type="dxa"/>
      </w:tblPr>
      <w:tblGrid>
        <w:gridCol w:w="4394"/>
        <w:gridCol w:w="4394"/>
      </w:tblGrid>
      <w:tr>
        <w:tc>
          <w:tcPr>
            <w:tcW w:type="dxa" w:w="4535"/>
            <w:tcBorders>
              <w:top w:val="nil"/>
              <w:left w:val="nil"/>
              <w:bottom w:val="nil"/>
              <w:right w:val="nil"/>
            </w:tcBorders>
          </w:tcPr>
          <w:p>
            <w:pPr>
              <w:spacing w:before="720" w:after="40" w:line="276" w:lineRule="auto"/>
              <w:jc w:val="left"/>
            </w:pPr>
            <w:r/>
            <w:r>
              <w:rPr>
                <w:rFonts w:ascii="Times New Roman" w:hAnsi="Times New Roman" w:eastAsia="Times New Roman"/>
                <w:b w:val="0"/>
                <w:i w:val="0"/>
                <w:sz w:val="24"/>
              </w:rPr>
              <w:t>(Signature of Centre in Charge)</w:t>
            </w:r>
          </w:p>
          <w:p>
            <w:pPr>
              <w:spacing w:before="0" w:after="40" w:line="276" w:lineRule="auto"/>
              <w:jc w:val="left"/>
            </w:pPr>
            <w:r>
              <w:rPr>
                <w:rFonts w:ascii="Times New Roman" w:hAnsi="Times New Roman" w:eastAsia="Times New Roman"/>
                <w:b w:val="0"/>
                <w:i w:val="0"/>
                <w:sz w:val="24"/>
              </w:rPr>
              <w:t>Date:</w:t>
            </w:r>
          </w:p>
          <w:p>
            <w:pPr>
              <w:spacing w:before="0" w:after="40" w:line="276" w:lineRule="auto"/>
              <w:jc w:val="left"/>
            </w:pPr>
            <w:r>
              <w:rPr>
                <w:rFonts w:ascii="Times New Roman" w:hAnsi="Times New Roman" w:eastAsia="Times New Roman"/>
                <w:b w:val="0"/>
                <w:i w:val="0"/>
                <w:sz w:val="24"/>
              </w:rPr>
              <w:t>Mr. Rajesh Das</w:t>
            </w:r>
          </w:p>
          <w:p>
            <w:pPr>
              <w:spacing w:before="0" w:after="40" w:line="276" w:lineRule="auto"/>
              <w:jc w:val="left"/>
            </w:pPr>
            <w:r>
              <w:rPr>
                <w:rFonts w:ascii="Times New Roman" w:hAnsi="Times New Roman" w:eastAsia="Times New Roman"/>
                <w:b w:val="0"/>
                <w:i w:val="0"/>
                <w:sz w:val="24"/>
              </w:rPr>
              <w:t>TEXMiN BIT Sindri CPS CoE</w:t>
            </w:r>
          </w:p>
        </w:tc>
        <w:tc>
          <w:tcPr>
            <w:tcW w:type="dxa" w:w="4535"/>
            <w:tcBorders>
              <w:top w:val="nil"/>
              <w:left w:val="nil"/>
              <w:bottom w:val="nil"/>
              <w:right w:val="nil"/>
            </w:tcBorders>
          </w:tcPr>
          <w:p>
            <w:pPr>
              <w:spacing w:before="720" w:after="40" w:line="276" w:lineRule="auto"/>
              <w:jc w:val="left"/>
            </w:pPr>
            <w:r/>
            <w:r>
              <w:rPr>
                <w:rFonts w:ascii="Times New Roman" w:hAnsi="Times New Roman" w:eastAsia="Times New Roman"/>
                <w:b w:val="0"/>
                <w:i w:val="0"/>
                <w:sz w:val="24"/>
              </w:rPr>
              <w:t>(Signature of Supervisor)</w:t>
            </w:r>
          </w:p>
          <w:p>
            <w:pPr>
              <w:spacing w:before="0" w:after="40" w:line="276" w:lineRule="auto"/>
              <w:jc w:val="left"/>
            </w:pPr>
            <w:r>
              <w:rPr>
                <w:rFonts w:ascii="Times New Roman" w:hAnsi="Times New Roman" w:eastAsia="Times New Roman"/>
                <w:b w:val="0"/>
                <w:i w:val="0"/>
                <w:sz w:val="24"/>
              </w:rPr>
              <w:t>Date:</w:t>
            </w:r>
          </w:p>
          <w:p>
            <w:pPr>
              <w:spacing w:before="0" w:after="40" w:line="276" w:lineRule="auto"/>
              <w:jc w:val="left"/>
            </w:pPr>
            <w:r>
              <w:rPr>
                <w:rFonts w:ascii="Times New Roman" w:hAnsi="Times New Roman" w:eastAsia="Times New Roman"/>
                <w:b w:val="0"/>
                <w:i w:val="0"/>
                <w:sz w:val="24"/>
              </w:rPr>
              <w:t>Asst. Prof. Mukesh Chandra</w:t>
            </w:r>
          </w:p>
          <w:p>
            <w:pPr>
              <w:spacing w:before="0" w:after="40" w:line="276" w:lineRule="auto"/>
              <w:jc w:val="left"/>
            </w:pPr>
            <w:r>
              <w:rPr>
                <w:rFonts w:ascii="Times New Roman" w:hAnsi="Times New Roman" w:eastAsia="Times New Roman"/>
                <w:b w:val="0"/>
                <w:i w:val="0"/>
                <w:sz w:val="24"/>
              </w:rPr>
              <w:t>Dept. of Production and Industrial Engineering</w:t>
            </w:r>
          </w:p>
        </w:tc>
      </w:tr>
    </w:tbl>
    <w:p>
      <w:pPr>
        <w:spacing w:before="600" w:after="40" w:line="276" w:lineRule="auto"/>
        <w:jc w:val="center"/>
      </w:pPr>
      <w:r>
        <w:rPr>
          <w:rFonts w:ascii="Times New Roman" w:hAnsi="Times New Roman" w:eastAsia="Times New Roman"/>
          <w:b w:val="0"/>
          <w:i w:val="0"/>
          <w:sz w:val="24"/>
        </w:rPr>
        <w:t>(Signature of Project Coordinator)</w:t>
      </w:r>
    </w:p>
    <w:p>
      <w:pPr>
        <w:spacing w:before="0" w:after="40" w:line="276" w:lineRule="auto"/>
        <w:jc w:val="center"/>
      </w:pPr>
      <w:r>
        <w:rPr>
          <w:rFonts w:ascii="Times New Roman" w:hAnsi="Times New Roman" w:eastAsia="Times New Roman"/>
          <w:b w:val="0"/>
          <w:i w:val="0"/>
          <w:sz w:val="24"/>
        </w:rPr>
        <w:t>Date:</w:t>
      </w:r>
    </w:p>
    <w:p>
      <w:pPr>
        <w:spacing w:before="0" w:after="40" w:line="276" w:lineRule="auto"/>
        <w:jc w:val="center"/>
      </w:pPr>
      <w:r>
        <w:rPr>
          <w:rFonts w:ascii="Times New Roman" w:hAnsi="Times New Roman" w:eastAsia="Times New Roman"/>
          <w:b w:val="0"/>
          <w:i w:val="0"/>
          <w:sz w:val="24"/>
        </w:rPr>
        <w:t>Dr. Prakash Kumar</w:t>
      </w:r>
    </w:p>
    <w:p>
      <w:pPr>
        <w:spacing w:before="0" w:after="40" w:line="276" w:lineRule="auto"/>
        <w:jc w:val="center"/>
      </w:pPr>
      <w:r>
        <w:rPr>
          <w:rFonts w:ascii="Times New Roman" w:hAnsi="Times New Roman" w:eastAsia="Times New Roman"/>
          <w:b w:val="0"/>
          <w:i w:val="0"/>
          <w:sz w:val="24"/>
        </w:rPr>
        <w:t>TEXMiN-BIT Sindri CPS CoE</w:t>
      </w:r>
    </w:p>
    <w:p>
      <w:r>
        <w:br w:type="page"/>
      </w:r>
    </w:p>
    <w:p>
      <w:pPr>
        <w:spacing w:before="480" w:after="280" w:line="276" w:lineRule="auto"/>
        <w:jc w:val="center"/>
        <w:pBdr>
          <w:bottom w:val="single" w:sz="6" w:space="1" w:color="000000"/>
        </w:pBdr>
      </w:pPr>
      <w:r>
        <w:rPr>
          <w:rFonts w:ascii="Times New Roman" w:hAnsi="Times New Roman" w:eastAsia="Times New Roman"/>
          <w:b/>
          <w:i w:val="0"/>
          <w:sz w:val="28"/>
        </w:rPr>
        <w:t>CANDIDATE’S DECLARATION</w:t>
      </w:r>
    </w:p>
    <w:p>
      <w:pPr>
        <w:spacing w:before="0" w:after="120" w:line="360" w:lineRule="auto"/>
        <w:jc w:val="both"/>
      </w:pPr>
      <w:r>
        <w:rPr>
          <w:rFonts w:ascii="Times New Roman" w:hAnsi="Times New Roman" w:eastAsia="Times New Roman"/>
          <w:b w:val="0"/>
          <w:i w:val="0"/>
          <w:sz w:val="24"/>
        </w:rPr>
        <w:t xml:space="preserve">I hereby declare that the work presented in this final project report entitled </w:t>
      </w:r>
      <w:r>
        <w:rPr>
          <w:rFonts w:ascii="Times New Roman" w:hAnsi="Times New Roman" w:eastAsia="Times New Roman"/>
          <w:b/>
          <w:i w:val="0"/>
          <w:sz w:val="24"/>
        </w:rPr>
        <w:t>“Smart Water Monitoring: Machine Learning and CPS for Safe &amp; Sustainable Mining (JalDrishti)”</w:t>
      </w:r>
      <w:r>
        <w:rPr>
          <w:rFonts w:ascii="Times New Roman" w:hAnsi="Times New Roman" w:eastAsia="Times New Roman"/>
          <w:b w:val="0"/>
          <w:i w:val="0"/>
          <w:sz w:val="24"/>
        </w:rPr>
        <w:t xml:space="preserve"> is original, authentic and completed by me under the proper guidance of my academic mentor, </w:t>
      </w:r>
      <w:r>
        <w:rPr>
          <w:rFonts w:ascii="Times New Roman" w:hAnsi="Times New Roman" w:eastAsia="Times New Roman"/>
          <w:b/>
          <w:i w:val="0"/>
          <w:sz w:val="24"/>
        </w:rPr>
        <w:t>Asst. Prof. Mukesh Chandra</w:t>
      </w:r>
      <w:r>
        <w:rPr>
          <w:rFonts w:ascii="Times New Roman" w:hAnsi="Times New Roman" w:eastAsia="Times New Roman"/>
          <w:b w:val="0"/>
          <w:i w:val="0"/>
          <w:sz w:val="24"/>
        </w:rPr>
        <w:t xml:space="preserve"> (Department of Production and Industrial Engineering, B.I.T. Sindri), and under the institutional supervision of the TEXMiN-BIT Sindri CPS Centre of Excellence team.</w:t>
      </w:r>
    </w:p>
    <w:p>
      <w:pPr>
        <w:spacing w:before="0" w:after="120" w:line="360" w:lineRule="auto"/>
        <w:jc w:val="both"/>
      </w:pPr>
      <w:r>
        <w:rPr>
          <w:rFonts w:ascii="Times New Roman" w:hAnsi="Times New Roman" w:eastAsia="Times New Roman"/>
          <w:b w:val="0"/>
          <w:i w:val="0"/>
          <w:sz w:val="24"/>
        </w:rPr>
        <w:t>This fellowship study was conducted during the tenure of the UDAAN UG Fellowship Programme (2025-26). I have cited and acknowledged all data sources, standards, published methods and software frameworks used in this work. The content of this report, either in full or in part, has not been previously submitted by me or any other individual for an academic degree or fellowship certification elsewhere.</w:t>
      </w:r>
    </w:p>
    <w:tbl>
      <w:tblPr>
        <w:tblLayout w:type="fixed"/>
        <w:tblLook w:firstColumn="1" w:firstRow="1" w:lastColumn="0" w:lastRow="0" w:noHBand="0" w:noVBand="1" w:val="04A0"/>
        <w:tblLayout w:type="fixed"/>
        <w:tblW w:w="8788" w:type="dxa"/>
      </w:tblPr>
      <w:tblGrid>
        <w:gridCol w:w="4394"/>
        <w:gridCol w:w="4394"/>
      </w:tblGrid>
      <w:tr>
        <w:tc>
          <w:tcPr>
            <w:tcW w:type="dxa" w:w="4535"/>
            <w:tcBorders>
              <w:top w:val="nil"/>
              <w:left w:val="nil"/>
              <w:bottom w:val="nil"/>
              <w:right w:val="nil"/>
            </w:tcBorders>
          </w:tcPr>
          <w:p>
            <w:pPr>
              <w:spacing w:before="720" w:after="40" w:line="276" w:lineRule="auto"/>
              <w:jc w:val="left"/>
            </w:pPr>
            <w:r/>
            <w:r>
              <w:rPr>
                <w:rFonts w:ascii="Times New Roman" w:hAnsi="Times New Roman" w:eastAsia="Times New Roman"/>
                <w:b w:val="0"/>
                <w:i w:val="0"/>
                <w:sz w:val="24"/>
              </w:rPr>
              <w:t>(Signature of Student)</w:t>
            </w:r>
          </w:p>
          <w:p>
            <w:pPr>
              <w:spacing w:before="0" w:after="40" w:line="276" w:lineRule="auto"/>
              <w:jc w:val="left"/>
            </w:pPr>
          </w:p>
          <w:p>
            <w:pPr>
              <w:spacing w:before="0" w:after="40" w:line="276" w:lineRule="auto"/>
              <w:jc w:val="left"/>
            </w:pPr>
            <w:r>
              <w:rPr>
                <w:rFonts w:ascii="Times New Roman" w:hAnsi="Times New Roman" w:eastAsia="Times New Roman"/>
                <w:b w:val="0"/>
                <w:i w:val="0"/>
                <w:sz w:val="24"/>
              </w:rPr>
              <w:t>Vishal Raj</w:t>
            </w:r>
          </w:p>
          <w:p>
            <w:pPr>
              <w:spacing w:before="0" w:after="40" w:line="276" w:lineRule="auto"/>
              <w:jc w:val="left"/>
            </w:pPr>
            <w:r>
              <w:rPr>
                <w:rFonts w:ascii="Times New Roman" w:hAnsi="Times New Roman" w:eastAsia="Times New Roman"/>
                <w:b w:val="0"/>
                <w:i w:val="0"/>
                <w:sz w:val="24"/>
              </w:rPr>
              <w:t>Roll No: 24030480134</w:t>
            </w:r>
          </w:p>
          <w:p>
            <w:pPr>
              <w:spacing w:before="0" w:after="40" w:line="276" w:lineRule="auto"/>
              <w:jc w:val="left"/>
            </w:pPr>
            <w:r>
              <w:rPr>
                <w:rFonts w:ascii="Times New Roman" w:hAnsi="Times New Roman" w:eastAsia="Times New Roman"/>
                <w:b w:val="0"/>
                <w:i w:val="0"/>
                <w:sz w:val="24"/>
              </w:rPr>
              <w:t>Department of Information Technology</w:t>
            </w:r>
          </w:p>
          <w:p>
            <w:pPr>
              <w:spacing w:before="0" w:after="40" w:line="276" w:lineRule="auto"/>
              <w:jc w:val="left"/>
            </w:pPr>
            <w:r>
              <w:rPr>
                <w:rFonts w:ascii="Times New Roman" w:hAnsi="Times New Roman" w:eastAsia="Times New Roman"/>
                <w:b w:val="0"/>
                <w:i w:val="0"/>
                <w:sz w:val="24"/>
              </w:rPr>
              <w:t>B.Tech, Session 2024-28</w:t>
            </w:r>
          </w:p>
          <w:p>
            <w:pPr>
              <w:spacing w:before="0" w:after="40" w:line="276" w:lineRule="auto"/>
              <w:jc w:val="left"/>
            </w:pPr>
            <w:r>
              <w:rPr>
                <w:rFonts w:ascii="Times New Roman" w:hAnsi="Times New Roman" w:eastAsia="Times New Roman"/>
                <w:b w:val="0"/>
                <w:i w:val="0"/>
                <w:sz w:val="24"/>
              </w:rPr>
              <w:t>B.I.T. Sindri</w:t>
            </w:r>
          </w:p>
        </w:tc>
        <w:tc>
          <w:tcPr>
            <w:tcW w:type="dxa" w:w="4535"/>
            <w:tcBorders>
              <w:top w:val="nil"/>
              <w:left w:val="nil"/>
              <w:bottom w:val="nil"/>
              <w:right w:val="nil"/>
            </w:tcBorders>
          </w:tcPr>
          <w:p>
            <w:pPr>
              <w:spacing w:before="720" w:after="40" w:line="276" w:lineRule="auto"/>
              <w:jc w:val="left"/>
            </w:pPr>
            <w:r/>
            <w:r>
              <w:rPr>
                <w:rFonts w:ascii="Times New Roman" w:hAnsi="Times New Roman" w:eastAsia="Times New Roman"/>
                <w:b w:val="0"/>
                <w:i w:val="0"/>
                <w:sz w:val="24"/>
              </w:rPr>
              <w:t>Place: Sindri, Jharkhand</w:t>
            </w:r>
          </w:p>
          <w:p>
            <w:pPr>
              <w:spacing w:before="0" w:after="40" w:line="276" w:lineRule="auto"/>
              <w:jc w:val="left"/>
            </w:pPr>
            <w:r>
              <w:rPr>
                <w:rFonts w:ascii="Times New Roman" w:hAnsi="Times New Roman" w:eastAsia="Times New Roman"/>
                <w:b w:val="0"/>
                <w:i w:val="0"/>
                <w:sz w:val="24"/>
              </w:rPr>
              <w:t>Date:</w:t>
            </w:r>
          </w:p>
        </w:tc>
      </w:tr>
    </w:tbl>
    <w:p>
      <w:r>
        <w:br w:type="page"/>
      </w:r>
    </w:p>
    <w:p>
      <w:pPr>
        <w:spacing w:before="480" w:after="280" w:line="276" w:lineRule="auto"/>
        <w:jc w:val="center"/>
      </w:pPr>
      <w:r>
        <w:rPr>
          <w:rFonts w:ascii="Times New Roman" w:hAnsi="Times New Roman" w:eastAsia="Times New Roman"/>
          <w:b/>
          <w:i w:val="0"/>
          <w:sz w:val="28"/>
        </w:rPr>
        <w:t>ACKNOWLEDGEMENT</w:t>
      </w:r>
    </w:p>
    <w:p>
      <w:pPr>
        <w:spacing w:before="0" w:after="120" w:line="360" w:lineRule="auto"/>
        <w:jc w:val="both"/>
      </w:pPr>
      <w:r>
        <w:rPr>
          <w:rFonts w:ascii="Times New Roman" w:hAnsi="Times New Roman" w:eastAsia="Times New Roman"/>
          <w:b w:val="0"/>
          <w:i w:val="0"/>
          <w:sz w:val="24"/>
        </w:rPr>
        <w:t xml:space="preserve">I wish to express my deepest gratitude to my academic mentor, </w:t>
      </w:r>
      <w:r>
        <w:rPr>
          <w:rFonts w:ascii="Times New Roman" w:hAnsi="Times New Roman" w:eastAsia="Times New Roman"/>
          <w:b/>
          <w:i w:val="0"/>
          <w:sz w:val="24"/>
        </w:rPr>
        <w:t>Asst. Prof. Mukesh Chandra</w:t>
      </w:r>
      <w:r>
        <w:rPr>
          <w:rFonts w:ascii="Times New Roman" w:hAnsi="Times New Roman" w:eastAsia="Times New Roman"/>
          <w:b w:val="0"/>
          <w:i w:val="0"/>
          <w:sz w:val="24"/>
        </w:rPr>
        <w:t>, Department of Production and Industrial Engineering, B.I.T. Sindri, for the guidance, supervision and constant encouragement given to me throughout the ten months of this fellowship. The suggestion in April 2026 to look for internationally published ISR operating records, at a time when no Indian ISR data could exist, shaped the final method of this project.</w:t>
      </w:r>
    </w:p>
    <w:p>
      <w:pPr>
        <w:spacing w:before="0" w:after="120" w:line="360" w:lineRule="auto"/>
        <w:jc w:val="both"/>
      </w:pPr>
      <w:r>
        <w:rPr>
          <w:rFonts w:ascii="Times New Roman" w:hAnsi="Times New Roman" w:eastAsia="Times New Roman"/>
          <w:b w:val="0"/>
          <w:i w:val="0"/>
          <w:sz w:val="24"/>
        </w:rPr>
        <w:t xml:space="preserve">I am grateful to </w:t>
      </w:r>
      <w:r>
        <w:rPr>
          <w:rFonts w:ascii="Times New Roman" w:hAnsi="Times New Roman" w:eastAsia="Times New Roman"/>
          <w:b/>
          <w:i w:val="0"/>
          <w:sz w:val="24"/>
        </w:rPr>
        <w:t>Dr. Prakash Kumar</w:t>
      </w:r>
      <w:r>
        <w:rPr>
          <w:rFonts w:ascii="Times New Roman" w:hAnsi="Times New Roman" w:eastAsia="Times New Roman"/>
          <w:b w:val="0"/>
          <w:i w:val="0"/>
          <w:sz w:val="24"/>
        </w:rPr>
        <w:t xml:space="preserve">, Project Coordinator, and </w:t>
      </w:r>
      <w:r>
        <w:rPr>
          <w:rFonts w:ascii="Times New Roman" w:hAnsi="Times New Roman" w:eastAsia="Times New Roman"/>
          <w:b/>
          <w:i w:val="0"/>
          <w:sz w:val="24"/>
        </w:rPr>
        <w:t>Mr. Rajesh Das</w:t>
      </w:r>
      <w:r>
        <w:rPr>
          <w:rFonts w:ascii="Times New Roman" w:hAnsi="Times New Roman" w:eastAsia="Times New Roman"/>
          <w:b w:val="0"/>
          <w:i w:val="0"/>
          <w:sz w:val="24"/>
        </w:rPr>
        <w:t>, Centre In-Charge, TEXMiN-BIT Sindri Cyber-Physical Systems Centre of Excellence (CPS CoE), for the institutional platform, the monthly progress reviews and the final review panel in August 2026.</w:t>
      </w:r>
    </w:p>
    <w:p>
      <w:pPr>
        <w:spacing w:before="0" w:after="120" w:line="360" w:lineRule="auto"/>
        <w:jc w:val="both"/>
      </w:pPr>
      <w:r>
        <w:rPr>
          <w:rFonts w:ascii="Times New Roman" w:hAnsi="Times New Roman" w:eastAsia="Times New Roman"/>
          <w:b w:val="0"/>
          <w:i w:val="0"/>
          <w:sz w:val="24"/>
        </w:rPr>
        <w:t>I also thank the faculty members of the Department of Information Technology, B.I.T. Sindri, for their academic support.</w:t>
      </w:r>
    </w:p>
    <w:p>
      <w:pPr>
        <w:spacing w:before="0" w:after="120" w:line="360" w:lineRule="auto"/>
        <w:jc w:val="both"/>
      </w:pPr>
      <w:r>
        <w:rPr>
          <w:rFonts w:ascii="Times New Roman" w:hAnsi="Times New Roman" w:eastAsia="Times New Roman"/>
          <w:b w:val="0"/>
          <w:i w:val="0"/>
          <w:sz w:val="24"/>
        </w:rPr>
        <w:t>This project depends on open data published by others. I thank the Central Ground Water Board and the National Water Informatics Centre for the groundwater quality and water-level records and the NAQUIM aquifer reports; the Geological Survey of India and the National Remote Sensing Centre for the lineament map on Bhuvan; the International Atomic Energy Agency for the UDEPO uranium deposit database; the U.S. Geological Survey for the Texas ISR data releases; the European Space Agency and OpenTopography for the elevation data; and the HydroRIVERS team for the river network.</w:t>
      </w:r>
    </w:p>
    <w:p>
      <w:pPr>
        <w:spacing w:before="0" w:after="120" w:line="360" w:lineRule="auto"/>
        <w:jc w:val="both"/>
      </w:pPr>
      <w:r>
        <w:rPr>
          <w:rFonts w:ascii="Times New Roman" w:hAnsi="Times New Roman" w:eastAsia="Times New Roman"/>
          <w:b w:val="0"/>
          <w:i w:val="0"/>
          <w:sz w:val="24"/>
        </w:rPr>
        <w:t>Finally, I sincerely thank the UDAAN UG Fellowship Programme committee for giving me the platform, support and opportunity to carry out this work during the 2025-26 academic session.</w:t>
      </w:r>
    </w:p>
    <w:p>
      <w:pPr>
        <w:spacing w:before="480" w:after="0" w:line="360" w:lineRule="auto"/>
        <w:jc w:val="right"/>
      </w:pPr>
      <w:r>
        <w:rPr>
          <w:rFonts w:ascii="Times New Roman" w:hAnsi="Times New Roman" w:eastAsia="Times New Roman"/>
          <w:b/>
          <w:i w:val="0"/>
          <w:sz w:val="24"/>
        </w:rPr>
        <w:t>Vishal Raj</w:t>
      </w:r>
    </w:p>
    <w:p>
      <w:r>
        <w:br w:type="page"/>
      </w:r>
    </w:p>
    <w:p>
      <w:pPr>
        <w:spacing w:before="480" w:after="280" w:line="276" w:lineRule="auto"/>
        <w:jc w:val="center"/>
      </w:pPr>
      <w:r>
        <w:rPr>
          <w:rFonts w:ascii="Times New Roman" w:hAnsi="Times New Roman" w:eastAsia="Times New Roman"/>
          <w:b/>
          <w:i w:val="0"/>
          <w:sz w:val="28"/>
        </w:rPr>
        <w:t>ABSTRACT</w:t>
      </w:r>
    </w:p>
    <w:p>
      <w:pPr>
        <w:spacing w:before="0" w:after="120" w:line="324" w:lineRule="auto"/>
        <w:jc w:val="both"/>
      </w:pPr>
      <w:r>
        <w:rPr>
          <w:rFonts w:ascii="Times New Roman" w:hAnsi="Times New Roman" w:eastAsia="Times New Roman"/>
          <w:b w:val="0"/>
          <w:i w:val="0"/>
          <w:sz w:val="24"/>
        </w:rPr>
        <w:t>Groundwater is the main source of drinking water in Jharkhand, and the Singhbhum region in the south-east of the state holds India’s main uranium deposits. In-situ recovery (ISR) is a way of mining uranium in which a chemical solution is pumped into the ore underground and pumped back out with the dissolved uranium. If some of this solution escapes, it can pollute the surrounding groundwater, and such leaks are found only later, by manual sampling. No ISR mine operates in Jharkhand. This project is therefore a preparedness study: if ISR solution entered an aquifer in Jharkhand, how far and how fast would it spread, could it reach the shallow drinking-water layer, who should be informed, and what should be monitored?</w:t>
      </w:r>
    </w:p>
    <w:p>
      <w:pPr>
        <w:spacing w:before="0" w:after="120" w:line="324" w:lineRule="auto"/>
        <w:jc w:val="both"/>
      </w:pPr>
      <w:r>
        <w:rPr>
          <w:rFonts w:ascii="Times New Roman" w:hAnsi="Times New Roman" w:eastAsia="Times New Roman"/>
          <w:b w:val="0"/>
          <w:i w:val="0"/>
          <w:sz w:val="24"/>
        </w:rPr>
        <w:t xml:space="preserve">To answer this, a web-based decision-support system named </w:t>
      </w:r>
      <w:r>
        <w:rPr>
          <w:rFonts w:ascii="Times New Roman" w:hAnsi="Times New Roman" w:eastAsia="Times New Roman"/>
          <w:b/>
          <w:i w:val="0"/>
          <w:sz w:val="24"/>
        </w:rPr>
        <w:t>JalDrishti</w:t>
      </w:r>
      <w:r>
        <w:rPr>
          <w:rFonts w:ascii="Times New Roman" w:hAnsi="Times New Roman" w:eastAsia="Times New Roman"/>
          <w:b w:val="0"/>
          <w:i w:val="0"/>
          <w:sz w:val="24"/>
        </w:rPr>
        <w:t xml:space="preserve"> was developed. Its core is a groundwater contamination model based on standard analytical transport equations (Domenico and Ogata–Banks), adapted for fractured hard rock and fed with real Jharkhand data (CGWB water quality and water levels, aquifer maps, NAQUIM reports, GSI lineaments, IAEA deposit data) and ISR operating records from Texas, USA. An XGBoost model trained on 18,000 scenarios from this physics model gives fast answers with calibrated 80% uncertainty bands (conformal prediction). The system also checks 397 government wells against IS 10500:2012, sends tiered email alerts to residents, ranks all 264 blocks by monitoring gaps, and runs online with five user roles.</w:t>
      </w:r>
    </w:p>
    <w:p>
      <w:pPr>
        <w:spacing w:before="0" w:after="120" w:line="324" w:lineRule="auto"/>
        <w:jc w:val="both"/>
      </w:pPr>
      <w:r>
        <w:rPr>
          <w:rFonts w:ascii="Times New Roman" w:hAnsi="Times New Roman" w:eastAsia="Times New Roman"/>
          <w:b w:val="0"/>
          <w:i w:val="0"/>
          <w:sz w:val="24"/>
        </w:rPr>
        <w:t>The ML model reproduces the physics model with an R² (log scale) of 0.89 to 0.95 and keeps its 80% coverage on real-location tests; for radium it misses its accuracy target, which is reported openly. In the measured data, uranium is within its limit at all 342 tested wells, but nitrate exceeds its limit at 22 wells and fluoride at 32, and iron, arsenic and manganese have never been tested. At the hypothetical Jaduguda site, uranium spreads about 20 m in 20 years while sulphate spreads 73 m and dissolved salts (TDS) 254 m, so chemical indicators give the first warning. The 25 most poorly monitored blocks all lie in the uranium belt. Since no real ISR plume exists in Jharkhand, all modelled results are screening estimates, not forecasts.</w:t>
      </w:r>
    </w:p>
    <w:p>
      <w:pPr>
        <w:spacing w:before="160" w:after="120" w:line="360"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Groundwater contamination; In-situ recovery (ISR) uranium mining; Contaminant transport model; Machine learning; Conformal prediction; Monitoring network; Decision-support system; Jharkhand; IS 10500.</w:t>
      </w:r>
    </w:p>
    <w:p>
      <w:r>
        <w:br w:type="page"/>
      </w:r>
    </w:p>
    <w:p>
      <w:pPr>
        <w:spacing w:before="480" w:after="280" w:line="276" w:lineRule="auto"/>
        <w:jc w:val="left"/>
        <w:pBdr>
          <w:bottom w:val="single" w:sz="6" w:space="1" w:color="000000"/>
        </w:pBdr>
      </w:pPr>
      <w:r>
        <w:rPr>
          <w:rFonts w:ascii="Times New Roman" w:hAnsi="Times New Roman" w:eastAsia="Times New Roman"/>
          <w:b/>
          <w:i w:val="0"/>
          <w:sz w:val="28"/>
        </w:rPr>
        <w:t>CONTENTS:</w:t>
      </w:r>
    </w:p>
    <w:tbl>
      <w:tblPr>
        <w:tblW w:type="auto" w:w="0"/>
        <w:jc w:val="center"/>
        <w:tblLayout w:type="fixed"/>
        <w:tblLook w:firstColumn="1" w:firstRow="1" w:lastColumn="0" w:lastRow="0" w:noHBand="0" w:noVBand="1" w:val="04A0"/>
      </w:tblPr>
      <w:tblGrid>
        <w:gridCol w:w="2929"/>
        <w:gridCol w:w="2929"/>
        <w:gridCol w:w="2929"/>
      </w:tblGrid>
      <w:tr>
        <w:trPr>
          <w:tblHeader w:val="true"/>
          <w:cantSplit w:val="true"/>
        </w:trPr>
        <w:tc>
          <w:tcPr>
            <w:tcW w:type="dxa" w:w="1814"/>
            <w:tcBorders>
              <w:top w:val="single" w:sz="6" w:color="000000"/>
              <w:left w:val="single" w:sz="6" w:color="000000"/>
              <w:bottom w:val="single" w:sz="6" w:color="000000"/>
              <w:right w:val="single" w:sz="6" w:color="000000"/>
            </w:tcBorders>
            <w:shd w:val="clear" w:color="auto" w:fill="E7E6E6"/>
          </w:tcPr>
          <w:p>
            <w:pPr>
              <w:spacing w:before="0" w:after="0" w:line="240" w:lineRule="auto"/>
              <w:jc w:val="center"/>
            </w:pPr>
            <w:r/>
            <w:r>
              <w:rPr>
                <w:rFonts w:ascii="Times New Roman" w:hAnsi="Times New Roman" w:eastAsia="Times New Roman"/>
                <w:b/>
                <w:i w:val="0"/>
                <w:sz w:val="24"/>
              </w:rPr>
              <w:t>Chapter</w:t>
            </w:r>
          </w:p>
        </w:tc>
        <w:tc>
          <w:tcPr>
            <w:tcW w:type="dxa" w:w="5556"/>
            <w:tcBorders>
              <w:top w:val="single" w:sz="6" w:color="000000"/>
              <w:left w:val="single" w:sz="6" w:color="000000"/>
              <w:bottom w:val="single" w:sz="6" w:color="000000"/>
              <w:right w:val="single" w:sz="6" w:color="000000"/>
            </w:tcBorders>
            <w:shd w:val="clear" w:color="auto" w:fill="E7E6E6"/>
          </w:tcPr>
          <w:p>
            <w:pPr>
              <w:spacing w:before="0" w:after="0" w:line="240" w:lineRule="auto"/>
              <w:jc w:val="left"/>
            </w:pPr>
            <w:r/>
            <w:r>
              <w:rPr>
                <w:rFonts w:ascii="Times New Roman" w:hAnsi="Times New Roman" w:eastAsia="Times New Roman"/>
                <w:b/>
                <w:i w:val="0"/>
                <w:sz w:val="24"/>
              </w:rPr>
              <w:t>Title</w:t>
            </w:r>
          </w:p>
        </w:tc>
        <w:tc>
          <w:tcPr>
            <w:tcW w:type="dxa" w:w="1474"/>
            <w:tcBorders>
              <w:top w:val="single" w:sz="6" w:color="000000"/>
              <w:left w:val="single" w:sz="6" w:color="000000"/>
              <w:bottom w:val="single" w:sz="6" w:color="000000"/>
              <w:right w:val="single" w:sz="6" w:color="000000"/>
            </w:tcBorders>
            <w:shd w:val="clear" w:color="auto" w:fill="E7E6E6"/>
          </w:tcPr>
          <w:p>
            <w:pPr>
              <w:spacing w:before="0" w:after="0" w:line="240" w:lineRule="auto"/>
              <w:jc w:val="center"/>
            </w:pPr>
            <w:r/>
            <w:r>
              <w:rPr>
                <w:rFonts w:ascii="Times New Roman" w:hAnsi="Times New Roman" w:eastAsia="Times New Roman"/>
                <w:b/>
                <w:i w:val="0"/>
                <w:sz w:val="24"/>
              </w:rPr>
              <w:t>Page no.</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Certificate</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2</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Declaration by Student</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3</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Acknowledgement</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4</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Abstract</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5</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1</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Introduction</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7-9</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2</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Objectives</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10-11</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3</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Problem Statement</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12-13</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4</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Methodology / Approach</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14-27</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5</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Tools &amp; Technologies Used</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28-32</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6</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Work Carried Out During Fellowship</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33-41</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7</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Results &amp; Achievements</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42-51</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8</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Prototype / Software Details</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52-59</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9</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Challenges Faced</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60-65</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10</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Financial Utilization</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66-67</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11</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Conclusion</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68-69</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12</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Future Scope</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70-71</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13</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References</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72-76</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Annexure</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Datasets, Code and Supporting Documents</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77-82</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Mentor Remark &amp; Recommendation</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83</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Centre/Institute Approval</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84</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Submission Checklist</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85</w:t>
            </w:r>
          </w:p>
        </w:tc>
      </w:tr>
    </w:tbl>
    <w:p>
      <w:pPr>
        <w:spacing w:after="40"/>
      </w:pPr>
    </w:p>
    <w:p>
      <w:r>
        <w:br w:type="page"/>
      </w:r>
    </w:p>
    <w:p>
      <w:pPr>
        <w:pStyle w:val="Heading1"/>
        <w:keepNext/>
        <w:spacing w:before="0" w:after="240" w:line="276" w:lineRule="auto"/>
        <w:jc w:val="left"/>
      </w:pPr>
      <w:r>
        <w:rPr>
          <w:rFonts w:ascii="Times New Roman" w:hAnsi="Times New Roman" w:eastAsia="Times New Roman"/>
          <w:b/>
          <w:i w:val="0"/>
          <w:sz w:val="28"/>
        </w:rPr>
        <w:t>1. INTRODUCTION</w:t>
      </w:r>
    </w:p>
    <w:p>
      <w:pPr>
        <w:spacing w:before="0" w:after="120" w:line="360" w:lineRule="auto"/>
        <w:jc w:val="both"/>
      </w:pPr>
      <w:r>
        <w:rPr>
          <w:rFonts w:ascii="Times New Roman" w:hAnsi="Times New Roman" w:eastAsia="Times New Roman"/>
          <w:b w:val="0"/>
          <w:i w:val="0"/>
          <w:sz w:val="24"/>
        </w:rPr>
        <w:t>Groundwater is the main source of drinking water in Jharkhand. Most villages and many towns depend on hand pumps, dug wells and bore wells. Jharkhand is a hard-rock state. Outside the Damodar valley coalfields and the river plains, groundwater is stored in a thin weathered layer near the surface and in cracks (fractures) in the hard rock below it. The Central Ground Water Board (CGWB) describes this as a three-layer system: a weathered zone about 13 to 30 m deep, a fractured zone that ends somewhere between 90 m and 260 m depending on the district, and solid rock below that [1], [2]. The water table also moves up and down with the seasons. In the CGWB record used in this project, the median depth to water across the state is 7.20 m in May and 3.22 m in August [3].</w:t>
      </w:r>
    </w:p>
    <w:p>
      <w:pPr>
        <w:spacing w:before="0" w:after="120" w:line="360" w:lineRule="auto"/>
        <w:jc w:val="both"/>
      </w:pPr>
      <w:r>
        <w:rPr>
          <w:rFonts w:ascii="Times New Roman" w:hAnsi="Times New Roman" w:eastAsia="Times New Roman"/>
          <w:b w:val="0"/>
          <w:i w:val="0"/>
          <w:sz w:val="24"/>
        </w:rPr>
        <w:t>The Singhbhum Shear Zone, in the East Singhbhum and Saraikela-Kharsawan districts, contains India’s main uranium deposits: Jaduguda, Bhatin, Narwapahar, Turamdih, Banduhurang, Mohuldih and Bagjata [4]. These are mined by the Uranium Corporation of India Ltd. using conventional underground and open-pit methods [5]. The ore is uraninite in metamorphic rock, found together with sulphide minerals such as pyrite and chalcopyrite, in what is a uranium–copper–iron deposit [6], [7]. None of these mines uses in-situ recovery.</w:t>
      </w:r>
    </w:p>
    <w:p>
      <w:pPr>
        <w:spacing w:before="0" w:after="120" w:line="360" w:lineRule="auto"/>
        <w:jc w:val="both"/>
      </w:pPr>
      <w:r>
        <w:rPr>
          <w:rFonts w:ascii="Times New Roman" w:hAnsi="Times New Roman" w:eastAsia="Times New Roman"/>
          <w:b w:val="0"/>
          <w:i w:val="0"/>
          <w:sz w:val="24"/>
        </w:rPr>
        <w:t xml:space="preserve">In-situ recovery (ISR), also called in-situ leaching, is a different way of mining uranium. Instead of digging out the ore, wells are drilled into the ore body. A chemical solution called the </w:t>
      </w:r>
      <w:r>
        <w:rPr>
          <w:rFonts w:ascii="Times New Roman" w:hAnsi="Times New Roman" w:eastAsia="Times New Roman"/>
          <w:b w:val="0"/>
          <w:i/>
          <w:sz w:val="24"/>
        </w:rPr>
        <w:t>lixiviant</w:t>
      </w:r>
      <w:r>
        <w:rPr>
          <w:rFonts w:ascii="Times New Roman" w:hAnsi="Times New Roman" w:eastAsia="Times New Roman"/>
          <w:b w:val="0"/>
          <w:i w:val="0"/>
          <w:sz w:val="24"/>
        </w:rPr>
        <w:t xml:space="preserve"> is injected through some wells. In the alkaline type of ISR, the lixiviant is local groundwater with added oxygen and carbonate. It dissolves the uranium, and the uranium-rich solution is pumped back to the surface through other wells. The operator pumps out slightly more water than it injects (this extra is called the </w:t>
      </w:r>
      <w:r>
        <w:rPr>
          <w:rFonts w:ascii="Times New Roman" w:hAnsi="Times New Roman" w:eastAsia="Times New Roman"/>
          <w:b w:val="0"/>
          <w:i/>
          <w:sz w:val="24"/>
        </w:rPr>
        <w:t>bleed</w:t>
      </w:r>
      <w:r>
        <w:rPr>
          <w:rFonts w:ascii="Times New Roman" w:hAnsi="Times New Roman" w:eastAsia="Times New Roman"/>
          <w:b w:val="0"/>
          <w:i w:val="0"/>
          <w:sz w:val="24"/>
        </w:rPr>
        <w:t>) so that groundwater flows inward and the solution stays inside the wellfield. ISR supplied 56% of the uranium mined in the world in 2022 [8]. It is used where the ore lies in porous, water-bearing sand or sandstone that is sealed by low-permeability layers above and below [8].</w:t>
      </w:r>
    </w:p>
    <w:p>
      <w:pPr>
        <w:spacing w:before="0" w:after="120" w:line="360" w:lineRule="auto"/>
        <w:jc w:val="both"/>
      </w:pPr>
      <w:r>
        <w:rPr>
          <w:rFonts w:ascii="Times New Roman" w:hAnsi="Times New Roman" w:eastAsia="Times New Roman"/>
          <w:b w:val="0"/>
          <w:i w:val="0"/>
          <w:sz w:val="24"/>
        </w:rPr>
        <w:t xml:space="preserve">ISR does not only move uranium. The lixiviant also raises sulphate and total dissolved solids (TDS) in the groundwater, releases radium-226, and, depending on the ore, can mobilise arsenic, selenium and molybdenum [9], [10], [11]. If the solution escapes past the ring of monitoring wells around the wellfield, the event is called an </w:t>
      </w:r>
      <w:r>
        <w:rPr>
          <w:rFonts w:ascii="Times New Roman" w:hAnsi="Times New Roman" w:eastAsia="Times New Roman"/>
          <w:b w:val="0"/>
          <w:i/>
          <w:sz w:val="24"/>
        </w:rPr>
        <w:t>excursion</w:t>
      </w:r>
      <w:r>
        <w:rPr>
          <w:rFonts w:ascii="Times New Roman" w:hAnsi="Times New Roman" w:eastAsia="Times New Roman"/>
          <w:b w:val="0"/>
          <w:i w:val="0"/>
          <w:sz w:val="24"/>
        </w:rPr>
        <w:t xml:space="preserve">. After mining ends, the aquifer must be </w:t>
      </w:r>
      <w:r>
        <w:rPr>
          <w:rFonts w:ascii="Times New Roman" w:hAnsi="Times New Roman" w:eastAsia="Times New Roman"/>
          <w:b w:val="0"/>
          <w:i/>
          <w:sz w:val="24"/>
        </w:rPr>
        <w:t>restored</w:t>
      </w:r>
      <w:r>
        <w:rPr>
          <w:rFonts w:ascii="Times New Roman" w:hAnsi="Times New Roman" w:eastAsia="Times New Roman"/>
          <w:b w:val="0"/>
          <w:i w:val="0"/>
          <w:sz w:val="24"/>
        </w:rPr>
        <w:t xml:space="preserve"> by pumping and cleaning the water, and then watched for many years. In the United States, excursions are detected by regularly sampling the monitoring wells and comparing a set of indicator chemicals (such as chloride, conductivity and alkalinity) with control limits. Uranium itself is not used as an indicator, because it is slowed down by the rock and arrives much later than the other chemicals [12]. In other words, excursions are found by manual sampling, after they have already happened.</w:t>
      </w:r>
    </w:p>
    <w:p>
      <w:pPr>
        <w:spacing w:before="0" w:after="120" w:line="360" w:lineRule="auto"/>
        <w:jc w:val="both"/>
      </w:pPr>
      <w:r>
        <w:rPr>
          <w:rFonts w:ascii="Times New Roman" w:hAnsi="Times New Roman" w:eastAsia="Times New Roman"/>
          <w:b w:val="0"/>
          <w:i w:val="0"/>
          <w:sz w:val="24"/>
        </w:rPr>
        <w:t>This project was carried out under the UDAAN UG Fellowship Programme (2025-26) of the TEXMiN–BIT Sindri CPS Centre of Excellence, with the title “Smart Water Monitoring: Machine Learning and CPS for Safe &amp; Sustainable Mining”. The proposal aimed to use machine learning (ML) and cyber-physical systems (CPS) to assess water-quality damage and aquifer vulnerability in ISR mining areas, to find gaps in the existing monitoring data, and to build a prototype decision-support tool.</w:t>
      </w:r>
    </w:p>
    <w:p>
      <w:pPr>
        <w:spacing w:before="0" w:after="120" w:line="360" w:lineRule="auto"/>
        <w:jc w:val="both"/>
      </w:pPr>
      <w:r>
        <w:rPr>
          <w:rFonts w:ascii="Times New Roman" w:hAnsi="Times New Roman" w:eastAsia="Times New Roman"/>
          <w:b w:val="0"/>
          <w:i w:val="0"/>
          <w:sz w:val="24"/>
        </w:rPr>
        <w:t xml:space="preserve">One fact shapes the whole project: </w:t>
      </w:r>
      <w:r>
        <w:rPr>
          <w:rFonts w:ascii="Times New Roman" w:hAnsi="Times New Roman" w:eastAsia="Times New Roman"/>
          <w:b/>
          <w:i w:val="0"/>
          <w:sz w:val="24"/>
        </w:rPr>
        <w:t>no ISR uranium mine operates in Jharkhand, and none is planned.</w:t>
      </w:r>
      <w:r>
        <w:rPr>
          <w:rFonts w:ascii="Times New Roman" w:hAnsi="Times New Roman" w:eastAsia="Times New Roman"/>
          <w:b w:val="0"/>
          <w:i w:val="0"/>
          <w:sz w:val="24"/>
        </w:rPr>
        <w:t xml:space="preserve"> Every mining site in this project is therefore hypothetical. Every modelled result means only this: </w:t>
      </w:r>
      <w:r>
        <w:rPr>
          <w:rFonts w:ascii="Times New Roman" w:hAnsi="Times New Roman" w:eastAsia="Times New Roman"/>
          <w:b w:val="0"/>
          <w:i/>
          <w:sz w:val="24"/>
        </w:rPr>
        <w:t>“if ISR-strength solution entered this aquifer at this point, this is how it would behave.”</w:t>
      </w:r>
      <w:r>
        <w:rPr>
          <w:rFonts w:ascii="Times New Roman" w:hAnsi="Times New Roman" w:eastAsia="Times New Roman"/>
          <w:b w:val="0"/>
          <w:i w:val="0"/>
          <w:sz w:val="24"/>
        </w:rPr>
        <w:t xml:space="preserve"> It is never a judgement that mining is feasible, never a plan, and never a permit. The project is a preparedness screening study. It tries to answer, in advance, how far and how fast contamination would spread, whether it could reach the shallow drinking-water layer, which blocks and residents should be informed, and what should be monitored and where.</w:t>
      </w:r>
    </w:p>
    <w:p>
      <w:pPr>
        <w:spacing w:before="0" w:after="120" w:line="360" w:lineRule="auto"/>
        <w:jc w:val="both"/>
      </w:pPr>
      <w:r>
        <w:rPr>
          <w:rFonts w:ascii="Times New Roman" w:hAnsi="Times New Roman" w:eastAsia="Times New Roman"/>
          <w:b w:val="0"/>
          <w:i w:val="0"/>
          <w:sz w:val="24"/>
        </w:rPr>
        <w:t xml:space="preserve">The system built in this project is called </w:t>
      </w:r>
      <w:r>
        <w:rPr>
          <w:rFonts w:ascii="Times New Roman" w:hAnsi="Times New Roman" w:eastAsia="Times New Roman"/>
          <w:b/>
          <w:i w:val="0"/>
          <w:sz w:val="24"/>
        </w:rPr>
        <w:t>JalDrishti</w:t>
      </w:r>
      <w:r>
        <w:rPr>
          <w:rFonts w:ascii="Times New Roman" w:hAnsi="Times New Roman" w:eastAsia="Times New Roman"/>
          <w:b w:val="0"/>
          <w:i w:val="0"/>
          <w:sz w:val="24"/>
        </w:rPr>
        <w:t xml:space="preserve"> (“a view of water”). It has six main parts:</w:t>
      </w:r>
    </w:p>
    <w:p>
      <w:pPr>
        <w:tabs>
          <w:tab w:pos="567" w:val="left"/>
        </w:tabs>
        <w:spacing w:before="0" w:after="60" w:line="336" w:lineRule="auto"/>
        <w:ind w:left="567" w:hanging="397"/>
        <w:jc w:val="both"/>
      </w:pPr>
      <w:r>
        <w:rPr>
          <w:rFonts w:ascii="Times New Roman" w:hAnsi="Times New Roman" w:eastAsia="Times New Roman"/>
          <w:b w:val="0"/>
          <w:i w:val="0"/>
          <w:sz w:val="24"/>
        </w:rPr>
        <w:t>1.</w:t>
        <w:tab/>
        <w:t>A groundwater contamination model based on standard analytical equations, adapted for Jharkhand’s fractured hard rock and fed with real Jharkhand data and real ISR operating records from Texas, USA.</w:t>
      </w:r>
    </w:p>
    <w:p>
      <w:pPr>
        <w:tabs>
          <w:tab w:pos="567" w:val="left"/>
        </w:tabs>
        <w:spacing w:before="0" w:after="60" w:line="336" w:lineRule="auto"/>
        <w:ind w:left="567" w:hanging="397"/>
        <w:jc w:val="both"/>
      </w:pPr>
      <w:r>
        <w:rPr>
          <w:rFonts w:ascii="Times New Roman" w:hAnsi="Times New Roman" w:eastAsia="Times New Roman"/>
          <w:b w:val="0"/>
          <w:i w:val="0"/>
          <w:sz w:val="24"/>
        </w:rPr>
        <w:t>2.</w:t>
        <w:tab/>
        <w:t>A machine learning model trained on the output of this physics model, which gives fast answers together with calibrated uncertainty bands.</w:t>
      </w:r>
    </w:p>
    <w:p>
      <w:pPr>
        <w:tabs>
          <w:tab w:pos="567" w:val="left"/>
        </w:tabs>
        <w:spacing w:before="0" w:after="60" w:line="336" w:lineRule="auto"/>
        <w:ind w:left="567" w:hanging="397"/>
        <w:jc w:val="both"/>
      </w:pPr>
      <w:r>
        <w:rPr>
          <w:rFonts w:ascii="Times New Roman" w:hAnsi="Times New Roman" w:eastAsia="Times New Roman"/>
          <w:b w:val="0"/>
          <w:i w:val="0"/>
          <w:sz w:val="24"/>
        </w:rPr>
        <w:t>3.</w:t>
        <w:tab/>
        <w:t>An assessment of 397 government wells against the Indian drinking-water standard IS 10500:2012 [13].</w:t>
      </w:r>
    </w:p>
    <w:p>
      <w:pPr>
        <w:tabs>
          <w:tab w:pos="567" w:val="left"/>
        </w:tabs>
        <w:spacing w:before="0" w:after="60" w:line="336" w:lineRule="auto"/>
        <w:ind w:left="567" w:hanging="397"/>
        <w:jc w:val="both"/>
      </w:pPr>
      <w:r>
        <w:rPr>
          <w:rFonts w:ascii="Times New Roman" w:hAnsi="Times New Roman" w:eastAsia="Times New Roman"/>
          <w:b w:val="0"/>
          <w:i w:val="0"/>
          <w:sz w:val="24"/>
        </w:rPr>
        <w:t>4.</w:t>
        <w:tab/>
        <w:t>An alert system that informs residents by email when a limit is crossed or a screening is published.</w:t>
      </w:r>
    </w:p>
    <w:p>
      <w:pPr>
        <w:tabs>
          <w:tab w:pos="567" w:val="left"/>
        </w:tabs>
        <w:spacing w:before="0" w:after="60" w:line="336" w:lineRule="auto"/>
        <w:ind w:left="567" w:hanging="397"/>
        <w:jc w:val="both"/>
      </w:pPr>
      <w:r>
        <w:rPr>
          <w:rFonts w:ascii="Times New Roman" w:hAnsi="Times New Roman" w:eastAsia="Times New Roman"/>
          <w:b w:val="0"/>
          <w:i w:val="0"/>
          <w:sz w:val="24"/>
        </w:rPr>
        <w:t>5.</w:t>
        <w:tab/>
        <w:t>A ranking of all 264 blocks of the state by how poorly they are monitored.</w:t>
      </w:r>
    </w:p>
    <w:p>
      <w:pPr>
        <w:tabs>
          <w:tab w:pos="567" w:val="left"/>
        </w:tabs>
        <w:spacing w:before="0" w:after="60" w:line="336" w:lineRule="auto"/>
        <w:ind w:left="567" w:hanging="397"/>
        <w:jc w:val="both"/>
      </w:pPr>
      <w:r>
        <w:rPr>
          <w:rFonts w:ascii="Times New Roman" w:hAnsi="Times New Roman" w:eastAsia="Times New Roman"/>
          <w:b w:val="0"/>
          <w:i w:val="0"/>
          <w:sz w:val="24"/>
        </w:rPr>
        <w:t>6.</w:t>
        <w:tab/>
        <w:t>A web portal with five user roles, deployed on the internet.</w:t>
      </w:r>
    </w:p>
    <w:p>
      <w:pPr>
        <w:spacing w:before="0" w:after="120" w:line="360" w:lineRule="auto"/>
        <w:jc w:val="both"/>
      </w:pPr>
      <w:r>
        <w:rPr>
          <w:rFonts w:ascii="Times New Roman" w:hAnsi="Times New Roman" w:eastAsia="Times New Roman"/>
          <w:b w:val="0"/>
          <w:i w:val="0"/>
          <w:sz w:val="24"/>
        </w:rPr>
        <w:t>The way of working changed during the ten months of the fellowship. The first five months were spent building the data platform and training ML models on measured and synthetic water-quality data, as the proposal described. In June 2026 it became clear that these models could not show where contamination would travel, because the measured data had no information about spread over distance or time. The prediction part was therefore rebuilt around a physics-based transport model, with ML trained on its output. The last three months turned this into a working product, tested it in several review rounds, and deployed it. This report describes the work in the order the template asks for: objectives, problem statement, methodology, tools, month-wise work, results, prototype details, challenges, expenditure, conclusion and future scope.</w:t>
      </w:r>
    </w:p>
    <w:p>
      <w:r>
        <w:br w:type="page"/>
      </w:r>
    </w:p>
    <w:p>
      <w:pPr>
        <w:pStyle w:val="Heading1"/>
        <w:keepNext/>
        <w:spacing w:before="0" w:after="240" w:line="276" w:lineRule="auto"/>
        <w:jc w:val="left"/>
      </w:pPr>
      <w:r>
        <w:rPr>
          <w:rFonts w:ascii="Times New Roman" w:hAnsi="Times New Roman" w:eastAsia="Times New Roman"/>
          <w:b/>
          <w:i w:val="0"/>
          <w:sz w:val="28"/>
        </w:rPr>
        <w:t>2. OBJECTIVES</w:t>
      </w:r>
    </w:p>
    <w:p>
      <w:pPr>
        <w:spacing w:before="0" w:after="120" w:line="360" w:lineRule="auto"/>
        <w:jc w:val="both"/>
      </w:pPr>
      <w:r>
        <w:rPr>
          <w:rFonts w:ascii="Times New Roman" w:hAnsi="Times New Roman" w:eastAsia="Times New Roman"/>
          <w:b w:val="0"/>
          <w:i w:val="0"/>
          <w:sz w:val="24"/>
        </w:rPr>
        <w:t>The primary objective of this project is to design and develop a groundwater contamination screening and decision-support system for Jharkhand that can estimate how contamination from a hypothetical ISR uranium operation would spread, check the existing groundwater quality record, identify monitoring gaps, and inform the people concerned.</w:t>
      </w:r>
    </w:p>
    <w:p>
      <w:pPr>
        <w:spacing w:before="0" w:after="120" w:line="360" w:lineRule="auto"/>
        <w:jc w:val="both"/>
      </w:pPr>
      <w:r>
        <w:rPr>
          <w:rFonts w:ascii="Times New Roman" w:hAnsi="Times New Roman" w:eastAsia="Times New Roman"/>
          <w:b w:val="0"/>
          <w:i w:val="0"/>
          <w:sz w:val="24"/>
        </w:rPr>
        <w:t>The three objectives given in the fellowship proposal were:</w:t>
      </w:r>
    </w:p>
    <w:p>
      <w:pPr>
        <w:pStyle w:val="ListBullet"/>
        <w:spacing w:before="0" w:after="40" w:line="312" w:lineRule="auto"/>
        <w:ind w:left="567" w:hanging="283"/>
        <w:jc w:val="both"/>
      </w:pPr>
      <w:r>
        <w:rPr>
          <w:rFonts w:ascii="Times New Roman" w:hAnsi="Times New Roman" w:eastAsia="Times New Roman"/>
          <w:b/>
          <w:i w:val="0"/>
          <w:sz w:val="24"/>
        </w:rPr>
        <w:t>O1:</w:t>
      </w:r>
      <w:r>
        <w:rPr>
          <w:rFonts w:ascii="Times New Roman" w:hAnsi="Times New Roman" w:eastAsia="Times New Roman"/>
          <w:b w:val="0"/>
          <w:i w:val="0"/>
          <w:sz w:val="24"/>
        </w:rPr>
        <w:t xml:space="preserve"> Develop ML-based predictive models to assess water quality degradation and aquifer vulnerability in mining-affected ISR regions.</w:t>
      </w:r>
    </w:p>
    <w:p>
      <w:pPr>
        <w:pStyle w:val="ListBullet"/>
        <w:spacing w:before="0" w:after="40" w:line="312" w:lineRule="auto"/>
        <w:ind w:left="567" w:hanging="283"/>
        <w:jc w:val="both"/>
      </w:pPr>
      <w:r>
        <w:rPr>
          <w:rFonts w:ascii="Times New Roman" w:hAnsi="Times New Roman" w:eastAsia="Times New Roman"/>
          <w:b/>
          <w:i w:val="0"/>
          <w:sz w:val="24"/>
        </w:rPr>
        <w:t>O2:</w:t>
      </w:r>
      <w:r>
        <w:rPr>
          <w:rFonts w:ascii="Times New Roman" w:hAnsi="Times New Roman" w:eastAsia="Times New Roman"/>
          <w:b w:val="0"/>
          <w:i w:val="0"/>
          <w:sz w:val="24"/>
        </w:rPr>
        <w:t xml:space="preserve"> Identify key data gaps in hydrogeological systems and recommend improved monitoring strategies.</w:t>
      </w:r>
    </w:p>
    <w:p>
      <w:pPr>
        <w:pStyle w:val="ListBullet"/>
        <w:spacing w:before="0" w:after="40" w:line="312" w:lineRule="auto"/>
        <w:ind w:left="567" w:hanging="283"/>
        <w:jc w:val="both"/>
      </w:pPr>
      <w:r>
        <w:rPr>
          <w:rFonts w:ascii="Times New Roman" w:hAnsi="Times New Roman" w:eastAsia="Times New Roman"/>
          <w:b/>
          <w:i w:val="0"/>
          <w:sz w:val="24"/>
        </w:rPr>
        <w:t>O3:</w:t>
      </w:r>
      <w:r>
        <w:rPr>
          <w:rFonts w:ascii="Times New Roman" w:hAnsi="Times New Roman" w:eastAsia="Times New Roman"/>
          <w:b w:val="0"/>
          <w:i w:val="0"/>
          <w:sz w:val="24"/>
        </w:rPr>
        <w:t xml:space="preserve"> Design a prototype tool that integrates prediction, visualization and decision-support features for stakeholders.</w:t>
      </w:r>
    </w:p>
    <w:p>
      <w:pPr>
        <w:spacing w:before="0" w:after="120" w:line="360" w:lineRule="auto"/>
        <w:jc w:val="both"/>
      </w:pPr>
      <w:r>
        <w:rPr>
          <w:rFonts w:ascii="Times New Roman" w:hAnsi="Times New Roman" w:eastAsia="Times New Roman"/>
          <w:b w:val="0"/>
          <w:i w:val="0"/>
          <w:sz w:val="24"/>
        </w:rPr>
        <w:t>Based on these, the specific objectives of the project are as follows:</w:t>
      </w:r>
    </w:p>
    <w:p>
      <w:pPr>
        <w:tabs>
          <w:tab w:pos="567" w:val="left"/>
        </w:tabs>
        <w:spacing w:before="0" w:after="60" w:line="336" w:lineRule="auto"/>
        <w:ind w:left="567" w:hanging="397"/>
        <w:jc w:val="both"/>
      </w:pPr>
      <w:r>
        <w:rPr>
          <w:rFonts w:ascii="Times New Roman" w:hAnsi="Times New Roman" w:eastAsia="Times New Roman"/>
          <w:b w:val="0"/>
          <w:i w:val="0"/>
          <w:sz w:val="24"/>
        </w:rPr>
        <w:t>1.</w:t>
        <w:tab/>
        <w:t>To collect the available groundwater data for Jharkhand (water quality, water levels, aquifer maps, geology, rivers and uranium deposits) and organise it in one spatial database.</w:t>
      </w:r>
    </w:p>
    <w:p>
      <w:pPr>
        <w:tabs>
          <w:tab w:pos="567" w:val="left"/>
        </w:tabs>
        <w:spacing w:before="0" w:after="60" w:line="336" w:lineRule="auto"/>
        <w:ind w:left="567" w:hanging="397"/>
        <w:jc w:val="both"/>
      </w:pPr>
      <w:r>
        <w:rPr>
          <w:rFonts w:ascii="Times New Roman" w:hAnsi="Times New Roman" w:eastAsia="Times New Roman"/>
          <w:b w:val="0"/>
          <w:i w:val="0"/>
          <w:sz w:val="24"/>
        </w:rPr>
        <w:t>2.</w:t>
        <w:tab/>
        <w:t>To build a contamination transport model that estimates how far and how fast chemicals from a hypothetical ISR operation would spread, using real Jharkhand hydrogeology and real ISR records from Texas.</w:t>
      </w:r>
    </w:p>
    <w:p>
      <w:pPr>
        <w:tabs>
          <w:tab w:pos="567" w:val="left"/>
        </w:tabs>
        <w:spacing w:before="0" w:after="60" w:line="336" w:lineRule="auto"/>
        <w:ind w:left="567" w:hanging="397"/>
        <w:jc w:val="both"/>
      </w:pPr>
      <w:r>
        <w:rPr>
          <w:rFonts w:ascii="Times New Roman" w:hAnsi="Times New Roman" w:eastAsia="Times New Roman"/>
          <w:b w:val="0"/>
          <w:i w:val="0"/>
          <w:sz w:val="24"/>
        </w:rPr>
        <w:t>3.</w:t>
        <w:tab/>
        <w:t>To develop machine learning models that give fast predictions of the plume footprint, travel distance, concentration at the monitoring ring and chance of an excursion, each with an uncertainty band.</w:t>
      </w:r>
    </w:p>
    <w:p>
      <w:pPr>
        <w:tabs>
          <w:tab w:pos="567" w:val="left"/>
        </w:tabs>
        <w:spacing w:before="0" w:after="60" w:line="336" w:lineRule="auto"/>
        <w:ind w:left="567" w:hanging="397"/>
        <w:jc w:val="both"/>
      </w:pPr>
      <w:r>
        <w:rPr>
          <w:rFonts w:ascii="Times New Roman" w:hAnsi="Times New Roman" w:eastAsia="Times New Roman"/>
          <w:b w:val="0"/>
          <w:i w:val="0"/>
          <w:sz w:val="24"/>
        </w:rPr>
        <w:t>4.</w:t>
        <w:tab/>
        <w:t>To check whether contamination at ore depth could reach the shallow aquifer from which people drink.</w:t>
      </w:r>
    </w:p>
    <w:p>
      <w:pPr>
        <w:tabs>
          <w:tab w:pos="567" w:val="left"/>
        </w:tabs>
        <w:spacing w:before="0" w:after="60" w:line="336" w:lineRule="auto"/>
        <w:ind w:left="567" w:hanging="397"/>
        <w:jc w:val="both"/>
      </w:pPr>
      <w:r>
        <w:rPr>
          <w:rFonts w:ascii="Times New Roman" w:hAnsi="Times New Roman" w:eastAsia="Times New Roman"/>
          <w:b w:val="0"/>
          <w:i w:val="0"/>
          <w:sz w:val="24"/>
        </w:rPr>
        <w:t>5.</w:t>
        <w:tab/>
        <w:t>To assess the existing measured groundwater quality against IS 10500:2012 and show the results block by block, keeping measured results separate from modelled ones.</w:t>
      </w:r>
    </w:p>
    <w:p>
      <w:pPr>
        <w:tabs>
          <w:tab w:pos="567" w:val="left"/>
        </w:tabs>
        <w:spacing w:before="0" w:after="60" w:line="336" w:lineRule="auto"/>
        <w:ind w:left="567" w:hanging="397"/>
        <w:jc w:val="both"/>
      </w:pPr>
      <w:r>
        <w:rPr>
          <w:rFonts w:ascii="Times New Roman" w:hAnsi="Times New Roman" w:eastAsia="Times New Roman"/>
          <w:b w:val="0"/>
          <w:i w:val="0"/>
          <w:sz w:val="24"/>
        </w:rPr>
        <w:t>6.</w:t>
        <w:tab/>
        <w:t>To identify the gaps in hydrogeological and water-quality monitoring, and recommend where new monitoring is needed most.</w:t>
      </w:r>
    </w:p>
    <w:p>
      <w:pPr>
        <w:tabs>
          <w:tab w:pos="567" w:val="left"/>
        </w:tabs>
        <w:spacing w:before="0" w:after="60" w:line="336" w:lineRule="auto"/>
        <w:ind w:left="567" w:hanging="397"/>
        <w:jc w:val="both"/>
      </w:pPr>
      <w:r>
        <w:rPr>
          <w:rFonts w:ascii="Times New Roman" w:hAnsi="Times New Roman" w:eastAsia="Times New Roman"/>
          <w:b w:val="0"/>
          <w:i w:val="0"/>
          <w:sz w:val="24"/>
        </w:rPr>
        <w:t>7.</w:t>
        <w:tab/>
        <w:t>To design an alert system that informs officials and residents, with a clear explanation and a recommended action for every alert.</w:t>
      </w:r>
    </w:p>
    <w:p>
      <w:pPr>
        <w:tabs>
          <w:tab w:pos="567" w:val="left"/>
        </w:tabs>
        <w:spacing w:before="0" w:after="60" w:line="336" w:lineRule="auto"/>
        <w:ind w:left="567" w:hanging="397"/>
        <w:jc w:val="both"/>
      </w:pPr>
      <w:r>
        <w:rPr>
          <w:rFonts w:ascii="Times New Roman" w:hAnsi="Times New Roman" w:eastAsia="Times New Roman"/>
          <w:b w:val="0"/>
          <w:i w:val="0"/>
          <w:sz w:val="24"/>
        </w:rPr>
        <w:t>8.</w:t>
        <w:tab/>
        <w:t>To develop a prototype web portal with role-based access for administrators, regulators, analysts, field officers and residents.</w:t>
      </w:r>
    </w:p>
    <w:p>
      <w:pPr>
        <w:tabs>
          <w:tab w:pos="567" w:val="left"/>
        </w:tabs>
        <w:spacing w:before="0" w:after="60" w:line="336" w:lineRule="auto"/>
        <w:ind w:left="567" w:hanging="397"/>
        <w:jc w:val="both"/>
      </w:pPr>
      <w:r>
        <w:rPr>
          <w:rFonts w:ascii="Times New Roman" w:hAnsi="Times New Roman" w:eastAsia="Times New Roman"/>
          <w:b w:val="0"/>
          <w:i w:val="0"/>
          <w:sz w:val="24"/>
        </w:rPr>
        <w:t>9.</w:t>
        <w:tab/>
        <w:t>To deploy the system online and test it thoroughly.</w:t>
      </w:r>
    </w:p>
    <w:p>
      <w:pPr>
        <w:tabs>
          <w:tab w:pos="567" w:val="left"/>
        </w:tabs>
        <w:spacing w:before="0" w:after="60" w:line="336" w:lineRule="auto"/>
        <w:ind w:left="567" w:hanging="397"/>
        <w:jc w:val="both"/>
      </w:pPr>
      <w:r>
        <w:rPr>
          <w:rFonts w:ascii="Times New Roman" w:hAnsi="Times New Roman" w:eastAsia="Times New Roman"/>
          <w:b w:val="0"/>
          <w:i w:val="0"/>
          <w:sz w:val="24"/>
        </w:rPr>
        <w:t>10.</w:t>
        <w:tab/>
        <w:t>To state the limits of the system clearly, so that a modelled estimate is never mistaken for a measurement and a missing measurement is never shown as “safe”.</w:t>
      </w:r>
    </w:p>
    <w:p>
      <w:r>
        <w:br w:type="page"/>
      </w:r>
    </w:p>
    <w:p>
      <w:pPr>
        <w:pStyle w:val="Heading1"/>
        <w:keepNext/>
        <w:spacing w:before="0" w:after="240" w:line="276" w:lineRule="auto"/>
        <w:jc w:val="left"/>
      </w:pPr>
      <w:r>
        <w:rPr>
          <w:rFonts w:ascii="Times New Roman" w:hAnsi="Times New Roman" w:eastAsia="Times New Roman"/>
          <w:b/>
          <w:i w:val="0"/>
          <w:sz w:val="28"/>
        </w:rPr>
        <w:t>3. PROBLEM STATEMENT</w:t>
      </w:r>
    </w:p>
    <w:p>
      <w:pPr>
        <w:spacing w:before="0" w:after="120" w:line="360" w:lineRule="auto"/>
        <w:jc w:val="both"/>
      </w:pPr>
      <w:r>
        <w:rPr>
          <w:rFonts w:ascii="Times New Roman" w:hAnsi="Times New Roman" w:eastAsia="Times New Roman"/>
          <w:b w:val="0"/>
          <w:i w:val="0"/>
          <w:sz w:val="24"/>
        </w:rPr>
        <w:t>Mining regions in India depend on groundwater for drinking water, and monitoring of that groundwater is mostly manual. Samples are collected at intervals, tested in a laboratory and compared with limits. As the fellowship proposal pointed out, this approach reacts to problems after they happen instead of predicting them.</w:t>
      </w:r>
    </w:p>
    <w:p>
      <w:pPr>
        <w:spacing w:before="0" w:after="120" w:line="360" w:lineRule="auto"/>
        <w:jc w:val="both"/>
      </w:pPr>
      <w:r>
        <w:rPr>
          <w:rFonts w:ascii="Times New Roman" w:hAnsi="Times New Roman" w:eastAsia="Times New Roman"/>
          <w:b w:val="0"/>
          <w:i w:val="0"/>
          <w:sz w:val="24"/>
        </w:rPr>
        <w:t>For ISR uranium mining, this problem is sharper. ISR has never been carried out in India, so there is no Indian data on how an ISR leak would behave. If ISR were ever considered for the Singhbhum uranium belt, officials would have no tool to judge where contamination could go, how long it would take to reach drinking-water wells, which villages would be affected, or where monitoring wells should be placed. The existing international experience comes from sandstone aquifers in the USA [12], [9], while Jharkhand’s uranium lies in fractured hard rock, where water and chemicals move very differently.</w:t>
      </w:r>
    </w:p>
    <w:p>
      <w:pPr>
        <w:spacing w:before="0" w:after="120" w:line="360" w:lineRule="auto"/>
        <w:jc w:val="both"/>
      </w:pPr>
      <w:r>
        <w:rPr>
          <w:rFonts w:ascii="Times New Roman" w:hAnsi="Times New Roman" w:eastAsia="Times New Roman"/>
          <w:b w:val="0"/>
          <w:i w:val="0"/>
          <w:sz w:val="24"/>
        </w:rPr>
        <w:t>The existing monitoring data also has serious limits. The 2023 CGWB water-quality record for Jharkhand has only one sample per well, taken in one year, with no repeat samples [14]. No well depth is recorded. Iron and arsenic were never tested at any of the 397 wells, and manganese has no column at all. In the three Singhbhum districts, which make up the uranium belt, 55 wells were sampled but never tested for uranium. With data like this, a purely data-driven ML model cannot forecast water-quality trends or show how a plume would spread, because nothing in the data ever spread. Most published groundwater ML studies need long records from many stations [15], [16]. Standard vulnerability indices such as DRASTIC need soil, recharge and other layers that are not available at a useful scale for the state [17], and they answer a different question: they describe pollution from the surface, not from an injection deep underground.</w:t>
      </w:r>
    </w:p>
    <w:p>
      <w:pPr>
        <w:spacing w:before="0" w:after="120" w:line="360" w:lineRule="auto"/>
        <w:jc w:val="both"/>
      </w:pPr>
      <w:r>
        <w:rPr>
          <w:rFonts w:ascii="Times New Roman" w:hAnsi="Times New Roman" w:eastAsia="Times New Roman"/>
          <w:b w:val="0"/>
          <w:i w:val="0"/>
          <w:sz w:val="24"/>
        </w:rPr>
        <w:t>Finally, even when a limit is crossed, the information often does not reach the people who drink the water. A result that sits in a database table, visible only to someone who logs in and searches for it, does not protect anyone.</w:t>
      </w:r>
    </w:p>
    <w:p>
      <w:pPr>
        <w:spacing w:before="0" w:after="120" w:line="360" w:lineRule="auto"/>
        <w:jc w:val="both"/>
      </w:pPr>
      <w:r>
        <w:rPr>
          <w:rFonts w:ascii="Times New Roman" w:hAnsi="Times New Roman" w:eastAsia="Times New Roman"/>
          <w:b/>
          <w:i w:val="0"/>
          <w:sz w:val="24"/>
        </w:rPr>
        <w:t>Problem statement:</w:t>
      </w:r>
      <w:r>
        <w:rPr>
          <w:rFonts w:ascii="Times New Roman" w:hAnsi="Times New Roman" w:eastAsia="Times New Roman"/>
          <w:b w:val="0"/>
          <w:i w:val="0"/>
          <w:sz w:val="24"/>
        </w:rPr>
        <w:t xml:space="preserve"> There is no tool for Jharkhand that can (a) estimate the spread of contamination from a hypothetical ISR operation in fractured hard rock using real local data, with honest uncertainty; (b) show what the existing groundwater quality record says, and what it does not say; (c) identify the places where monitoring is weakest; and (d) inform the officials and residents concerned through a working alert system. This project aims to build such a tool, and to be clear about which of these questions the available data can and cannot answer.</w:t>
      </w:r>
    </w:p>
    <w:p>
      <w:r>
        <w:br w:type="page"/>
      </w:r>
    </w:p>
    <w:p>
      <w:pPr>
        <w:pStyle w:val="Heading1"/>
        <w:keepNext/>
        <w:spacing w:before="0" w:after="240" w:line="276" w:lineRule="auto"/>
        <w:jc w:val="left"/>
      </w:pPr>
      <w:r>
        <w:rPr>
          <w:rFonts w:ascii="Times New Roman" w:hAnsi="Times New Roman" w:eastAsia="Times New Roman"/>
          <w:b/>
          <w:i w:val="0"/>
          <w:sz w:val="28"/>
        </w:rPr>
        <w:t>4. METHODOLOGY / APPROACH</w:t>
      </w:r>
    </w:p>
    <w:p>
      <w:pPr>
        <w:spacing w:before="0" w:after="120" w:line="360" w:lineRule="auto"/>
        <w:jc w:val="both"/>
      </w:pPr>
      <w:r>
        <w:rPr>
          <w:rFonts w:ascii="Times New Roman" w:hAnsi="Times New Roman" w:eastAsia="Times New Roman"/>
          <w:b w:val="0"/>
          <w:i w:val="0"/>
          <w:sz w:val="24"/>
        </w:rPr>
        <w:t>The development of JalDrishti was carried out through a structured method: requirement analysis, data collection and preparation, building a physics-based contamination model, training a machine learning model on that physics model, building the assessment, alert and monitoring-gap modules, and finally building, testing and deploying the web portal.</w:t>
      </w:r>
    </w:p>
    <w:p>
      <w:pPr>
        <w:spacing w:before="0" w:after="120" w:line="360" w:lineRule="auto"/>
        <w:jc w:val="both"/>
      </w:pPr>
      <w:r>
        <w:rPr>
          <w:rFonts w:ascii="Times New Roman" w:hAnsi="Times New Roman" w:eastAsia="Times New Roman"/>
          <w:b w:val="0"/>
          <w:i w:val="0"/>
          <w:sz w:val="24"/>
        </w:rPr>
        <w:t>One principle guided the order of the work. The physics model is the authority, and the machine learning model is trained on its output. The ML model therefore never claims to “predict reality” better than the physics it learned from. It is used to give fast answers with uncertainty bands, and to warn when something has changed. Measured laboratory results are always kept separate from modelled results, and a place with no data is never shown as safe.</w:t>
      </w:r>
    </w:p>
    <w:p>
      <w:pPr>
        <w:pStyle w:val="Heading2"/>
        <w:keepNext/>
        <w:spacing w:before="200" w:after="120" w:line="276" w:lineRule="auto"/>
        <w:jc w:val="left"/>
      </w:pPr>
      <w:r>
        <w:rPr>
          <w:rFonts w:ascii="Times New Roman" w:hAnsi="Times New Roman" w:eastAsia="Times New Roman"/>
          <w:b/>
          <w:i w:val="0"/>
          <w:sz w:val="24"/>
        </w:rPr>
        <w:t>4.1 Requirement Analysis</w:t>
      </w:r>
    </w:p>
    <w:p>
      <w:pPr>
        <w:spacing w:before="0" w:after="120" w:line="360" w:lineRule="auto"/>
        <w:jc w:val="both"/>
      </w:pPr>
      <w:r>
        <w:rPr>
          <w:rFonts w:ascii="Times New Roman" w:hAnsi="Times New Roman" w:eastAsia="Times New Roman"/>
          <w:b w:val="0"/>
          <w:i w:val="0"/>
          <w:sz w:val="24"/>
        </w:rPr>
        <w:t>The first stage was to understand the problem and the users. Groundwater monitoring guidance, aquifer vulnerability methods and ISR contamination pathways were studied [18], [11], along with the US regulatory rules for ISR excursion monitoring [12]. The users were identified as five groups: an administrator who manages the system and publishes screenings, a regulator who reviews field submissions, analysts who run the model, field officers who submit field observations, and residents who want to know about their own area.</w:t>
      </w:r>
    </w:p>
    <w:p>
      <w:pPr>
        <w:spacing w:before="0" w:after="120" w:line="360" w:lineRule="auto"/>
        <w:jc w:val="both"/>
      </w:pPr>
      <w:r>
        <w:rPr>
          <w:rFonts w:ascii="Times New Roman" w:hAnsi="Times New Roman" w:eastAsia="Times New Roman"/>
          <w:b w:val="0"/>
          <w:i w:val="0"/>
          <w:sz w:val="24"/>
        </w:rPr>
        <w:t>Based on this analysis, the following requirements were identified:</w:t>
      </w:r>
    </w:p>
    <w:p>
      <w:pPr>
        <w:pStyle w:val="ListBullet"/>
        <w:spacing w:before="0" w:after="40" w:line="312" w:lineRule="auto"/>
        <w:ind w:left="567" w:hanging="283"/>
        <w:jc w:val="both"/>
      </w:pPr>
      <w:r>
        <w:rPr>
          <w:rFonts w:ascii="Times New Roman" w:hAnsi="Times New Roman" w:eastAsia="Times New Roman"/>
          <w:b w:val="0"/>
          <w:i w:val="0"/>
          <w:sz w:val="24"/>
        </w:rPr>
        <w:t>Use real Jharkhand data (water quality, water levels, aquifers, geology, deposits) wherever it exists.</w:t>
      </w:r>
    </w:p>
    <w:p>
      <w:pPr>
        <w:pStyle w:val="ListBullet"/>
        <w:spacing w:before="0" w:after="40" w:line="312" w:lineRule="auto"/>
        <w:ind w:left="567" w:hanging="283"/>
        <w:jc w:val="both"/>
      </w:pPr>
      <w:r>
        <w:rPr>
          <w:rFonts w:ascii="Times New Roman" w:hAnsi="Times New Roman" w:eastAsia="Times New Roman"/>
          <w:b w:val="0"/>
          <w:i w:val="0"/>
          <w:sz w:val="24"/>
        </w:rPr>
        <w:t>Estimate how far and how fast contamination would spread from any point in the state, not only at one site.</w:t>
      </w:r>
    </w:p>
    <w:p>
      <w:pPr>
        <w:pStyle w:val="ListBullet"/>
        <w:spacing w:before="0" w:after="40" w:line="312" w:lineRule="auto"/>
        <w:ind w:left="567" w:hanging="283"/>
        <w:jc w:val="both"/>
      </w:pPr>
      <w:r>
        <w:rPr>
          <w:rFonts w:ascii="Times New Roman" w:hAnsi="Times New Roman" w:eastAsia="Times New Roman"/>
          <w:b w:val="0"/>
          <w:i w:val="0"/>
          <w:sz w:val="24"/>
        </w:rPr>
        <w:t>Give an uncertainty band with every modelled number, and say clearly when a result is outside the range the model was trained on.</w:t>
      </w:r>
    </w:p>
    <w:p>
      <w:pPr>
        <w:pStyle w:val="ListBullet"/>
        <w:spacing w:before="0" w:after="40" w:line="312" w:lineRule="auto"/>
        <w:ind w:left="567" w:hanging="283"/>
        <w:jc w:val="both"/>
      </w:pPr>
      <w:r>
        <w:rPr>
          <w:rFonts w:ascii="Times New Roman" w:hAnsi="Times New Roman" w:eastAsia="Times New Roman"/>
          <w:b w:val="0"/>
          <w:i w:val="0"/>
          <w:sz w:val="24"/>
        </w:rPr>
        <w:t>Assess the measured water quality against IS 10500:2012 and show which substances were never tested.</w:t>
      </w:r>
    </w:p>
    <w:p>
      <w:pPr>
        <w:pStyle w:val="ListBullet"/>
        <w:spacing w:before="0" w:after="40" w:line="312" w:lineRule="auto"/>
        <w:ind w:left="567" w:hanging="283"/>
        <w:jc w:val="both"/>
      </w:pPr>
      <w:r>
        <w:rPr>
          <w:rFonts w:ascii="Times New Roman" w:hAnsi="Times New Roman" w:eastAsia="Times New Roman"/>
          <w:b w:val="0"/>
          <w:i w:val="0"/>
          <w:sz w:val="24"/>
        </w:rPr>
        <w:t>Send alerts to the people concerned, with a clear reason and a recommended action.</w:t>
      </w:r>
    </w:p>
    <w:p>
      <w:pPr>
        <w:pStyle w:val="ListBullet"/>
        <w:spacing w:before="0" w:after="40" w:line="312" w:lineRule="auto"/>
        <w:ind w:left="567" w:hanging="283"/>
        <w:jc w:val="both"/>
      </w:pPr>
      <w:r>
        <w:rPr>
          <w:rFonts w:ascii="Times New Roman" w:hAnsi="Times New Roman" w:eastAsia="Times New Roman"/>
          <w:b w:val="0"/>
          <w:i w:val="0"/>
          <w:sz w:val="24"/>
        </w:rPr>
        <w:t>Rank the blocks of the state by how poorly they are monitored.</w:t>
      </w:r>
    </w:p>
    <w:p>
      <w:pPr>
        <w:pStyle w:val="ListBullet"/>
        <w:spacing w:before="0" w:after="40" w:line="312" w:lineRule="auto"/>
        <w:ind w:left="567" w:hanging="283"/>
        <w:jc w:val="both"/>
      </w:pPr>
      <w:r>
        <w:rPr>
          <w:rFonts w:ascii="Times New Roman" w:hAnsi="Times New Roman" w:eastAsia="Times New Roman"/>
          <w:b w:val="0"/>
          <w:i w:val="0"/>
          <w:sz w:val="24"/>
        </w:rPr>
        <w:t>Provide role-based access, so that residents never see exact coordinates of hypothetical mine sites or model internals.</w:t>
      </w:r>
    </w:p>
    <w:p>
      <w:pPr>
        <w:pStyle w:val="ListBullet"/>
        <w:spacing w:before="0" w:after="40" w:line="312" w:lineRule="auto"/>
        <w:ind w:left="567" w:hanging="283"/>
        <w:jc w:val="both"/>
      </w:pPr>
      <w:r>
        <w:rPr>
          <w:rFonts w:ascii="Times New Roman" w:hAnsi="Times New Roman" w:eastAsia="Times New Roman"/>
          <w:b w:val="0"/>
          <w:i w:val="0"/>
          <w:sz w:val="24"/>
        </w:rPr>
        <w:t>Keep every action traceable through an audit log.</w:t>
      </w:r>
    </w:p>
    <w:p>
      <w:pPr>
        <w:pStyle w:val="ListBullet"/>
        <w:spacing w:before="0" w:after="40" w:line="312" w:lineRule="auto"/>
        <w:ind w:left="567" w:hanging="283"/>
        <w:jc w:val="both"/>
      </w:pPr>
      <w:r>
        <w:rPr>
          <w:rFonts w:ascii="Times New Roman" w:hAnsi="Times New Roman" w:eastAsia="Times New Roman"/>
          <w:b w:val="0"/>
          <w:i w:val="0"/>
          <w:sz w:val="24"/>
        </w:rPr>
        <w:t>Run on low-cost hosting and be easy to maintain.</w:t>
      </w:r>
    </w:p>
    <w:p>
      <w:pPr>
        <w:pStyle w:val="Heading2"/>
        <w:keepNext/>
        <w:spacing w:before="200" w:after="120" w:line="276" w:lineRule="auto"/>
        <w:jc w:val="left"/>
      </w:pPr>
      <w:r>
        <w:rPr>
          <w:rFonts w:ascii="Times New Roman" w:hAnsi="Times New Roman" w:eastAsia="Times New Roman"/>
          <w:b/>
          <w:i w:val="0"/>
          <w:sz w:val="24"/>
        </w:rPr>
        <w:t>4.2 System Architecture</w:t>
      </w:r>
    </w:p>
    <w:p>
      <w:pPr>
        <w:spacing w:before="0" w:after="120" w:line="360" w:lineRule="auto"/>
        <w:jc w:val="both"/>
      </w:pPr>
      <w:r>
        <w:rPr>
          <w:rFonts w:ascii="Times New Roman" w:hAnsi="Times New Roman" w:eastAsia="Times New Roman"/>
          <w:b w:val="0"/>
          <w:i w:val="0"/>
          <w:sz w:val="24"/>
        </w:rPr>
        <w:t>The system is organised in five layers. Data flows from the data layer through the physics model and the ML model to the decision layer, and then through the web portal to the users.</w:t>
      </w:r>
    </w:p>
    <w:p>
      <w:pPr>
        <w:keepNext/>
        <w:spacing w:before="0" w:after="0" w:line="288" w:lineRule="auto"/>
        <w:jc w:val="center"/>
      </w:pPr>
      <w:r>
        <w:rPr>
          <w:rFonts w:ascii="Times New Roman" w:hAnsi="Times New Roman" w:eastAsia="Times New Roman"/>
          <w:b/>
          <w:i w:val="0"/>
          <w:sz w:val="24"/>
        </w:rPr>
        <w:t>Data Layer (CGWB chemistry and levels, aquifers, NAQUIM, lineaments, deposits, rivers, DEM, Texas ISR records)</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Data Preparation (parsing, block assignment, flow field, fracture field)</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Physics Transport Engine (plume footprint, travel distance, ring concentration, excursion test)</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ML Surrogate (XGBoost P10 / P50 / P90 with conformal bands)</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Decision Layer (IS 10500 assessment, alerts, monitoring-gap ranking)</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API and Web Portal (FastAPI, five roles, security)</w:t>
      </w:r>
    </w:p>
    <w:p>
      <w:pPr>
        <w:keepNext/>
        <w:spacing w:before="0" w:after="0" w:line="240" w:lineRule="auto"/>
        <w:jc w:val="center"/>
      </w:pPr>
      <w:r>
        <w:rPr>
          <w:rFonts w:ascii="Times New Roman" w:hAnsi="Times New Roman" w:eastAsia="Times New Roman"/>
          <w:sz w:val="28"/>
        </w:rPr>
        <w:t>↓</w:t>
      </w:r>
    </w:p>
    <w:p>
      <w:pPr>
        <w:spacing w:before="0" w:after="0" w:line="288" w:lineRule="auto"/>
        <w:jc w:val="center"/>
      </w:pPr>
      <w:r>
        <w:rPr>
          <w:rFonts w:ascii="Times New Roman" w:hAnsi="Times New Roman" w:eastAsia="Times New Roman"/>
          <w:b/>
          <w:i w:val="0"/>
          <w:sz w:val="24"/>
        </w:rPr>
        <w:t>Action (publish screening, alert, email, acknowledgement)</w:t>
      </w:r>
    </w:p>
    <w:p>
      <w:pPr>
        <w:spacing w:after="80"/>
      </w:pPr>
    </w:p>
    <w:p>
      <w:pPr>
        <w:spacing w:before="0" w:after="120" w:line="360" w:lineRule="auto"/>
        <w:jc w:val="both"/>
      </w:pPr>
      <w:r>
        <w:rPr>
          <w:rFonts w:ascii="Times New Roman" w:hAnsi="Times New Roman" w:eastAsia="Times New Roman"/>
          <w:b w:val="0"/>
          <w:i w:val="0"/>
          <w:sz w:val="24"/>
        </w:rPr>
        <w:t>The deployed system has the following structure. The browser loads the portal from a Cloudflare Worker, which also forwards API calls to the backend. The backend runs on Render and contains the physics engine and the trained ML model in the same process. The database is PostgreSQL with PostGIS, hosted on Neon. Alert emails are sent through an SMTP relay (Brevo).</w:t>
      </w:r>
    </w:p>
    <w:p>
      <w:pPr>
        <w:keepNext/>
        <w:spacing w:before="0" w:after="0" w:line="288" w:lineRule="auto"/>
        <w:jc w:val="center"/>
      </w:pPr>
      <w:r>
        <w:rPr>
          <w:rFonts w:ascii="Times New Roman" w:hAnsi="Times New Roman" w:eastAsia="Times New Roman"/>
          <w:b/>
          <w:i w:val="0"/>
          <w:sz w:val="24"/>
        </w:rPr>
        <w:t>User’s Browser</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Cloudflare Worker (portal + API forwarding)</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Render Web Service (FastAPI + physics engine + ML model + scheduler)</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Neon PostgreSQL / PostGIS (with row-level security)</w:t>
      </w:r>
    </w:p>
    <w:p>
      <w:pPr>
        <w:keepNext/>
        <w:spacing w:before="0" w:after="0" w:line="240" w:lineRule="auto"/>
        <w:jc w:val="center"/>
      </w:pPr>
      <w:r>
        <w:rPr>
          <w:rFonts w:ascii="Times New Roman" w:hAnsi="Times New Roman" w:eastAsia="Times New Roman"/>
          <w:sz w:val="28"/>
        </w:rPr>
        <w:t>↓</w:t>
      </w:r>
    </w:p>
    <w:p>
      <w:pPr>
        <w:spacing w:before="0" w:after="0" w:line="288" w:lineRule="auto"/>
        <w:jc w:val="center"/>
      </w:pPr>
      <w:r>
        <w:rPr>
          <w:rFonts w:ascii="Times New Roman" w:hAnsi="Times New Roman" w:eastAsia="Times New Roman"/>
          <w:b/>
          <w:i w:val="0"/>
          <w:sz w:val="24"/>
        </w:rPr>
        <w:t>Brevo SMTP relay (alert emails)</w:t>
      </w:r>
    </w:p>
    <w:p>
      <w:pPr>
        <w:spacing w:after="80"/>
      </w:pPr>
    </w:p>
    <w:p>
      <w:pPr>
        <w:pStyle w:val="Heading2"/>
        <w:keepNext/>
        <w:spacing w:before="200" w:after="120" w:line="276" w:lineRule="auto"/>
        <w:jc w:val="left"/>
      </w:pPr>
      <w:r>
        <w:rPr>
          <w:rFonts w:ascii="Times New Roman" w:hAnsi="Times New Roman" w:eastAsia="Times New Roman"/>
          <w:b/>
          <w:i w:val="0"/>
          <w:sz w:val="24"/>
        </w:rPr>
        <w:t>4.3 Data Collection and Preparation</w:t>
      </w:r>
    </w:p>
    <w:p>
      <w:pPr>
        <w:spacing w:before="0" w:after="120" w:line="360" w:lineRule="auto"/>
        <w:jc w:val="both"/>
      </w:pPr>
      <w:r>
        <w:rPr>
          <w:rFonts w:ascii="Times New Roman" w:hAnsi="Times New Roman" w:eastAsia="Times New Roman"/>
          <w:b w:val="0"/>
          <w:i w:val="0"/>
          <w:sz w:val="24"/>
        </w:rPr>
        <w:t>All the data used is open data from government and international sources. The full list is given in Section 5.7 and Annexure A. The main preparation steps were:</w:t>
      </w:r>
    </w:p>
    <w:p>
      <w:pPr>
        <w:keepNext/>
        <w:spacing w:before="120" w:after="80" w:line="276" w:lineRule="auto"/>
        <w:jc w:val="left"/>
      </w:pPr>
      <w:r>
        <w:rPr>
          <w:rFonts w:ascii="Times New Roman" w:hAnsi="Times New Roman" w:eastAsia="Times New Roman"/>
          <w:b/>
          <w:i w:val="0"/>
          <w:sz w:val="24"/>
        </w:rPr>
        <w:t>Water quality (2023)</w:t>
      </w:r>
    </w:p>
    <w:p>
      <w:pPr>
        <w:spacing w:before="0" w:after="120" w:line="360" w:lineRule="auto"/>
        <w:jc w:val="both"/>
      </w:pPr>
      <w:r>
        <w:rPr>
          <w:rFonts w:ascii="Times New Roman" w:hAnsi="Times New Roman" w:eastAsia="Times New Roman"/>
          <w:b w:val="0"/>
          <w:i w:val="0"/>
          <w:sz w:val="24"/>
        </w:rPr>
        <w:t>The CGWB water-quality table for Jharkhand (397 wells, 24 districts) [14] was loaded into the database. Blank values written as “-” were treated as missing, not as zero. TDS was calculated from electrical conductivity where it was missing, using TDS = 0.64 × EC, a standard factor for mixed groundwater [19]. Each well was placed in its block using a point-in-polygon test, with the nearest block used for wells on a boundary. Each file was loaded only once, checked by its SHA-256 checksum.</w:t>
      </w:r>
    </w:p>
    <w:p>
      <w:pPr>
        <w:keepNext/>
        <w:spacing w:before="120" w:after="80" w:line="276" w:lineRule="auto"/>
        <w:jc w:val="left"/>
      </w:pPr>
      <w:r>
        <w:rPr>
          <w:rFonts w:ascii="Times New Roman" w:hAnsi="Times New Roman" w:eastAsia="Times New Roman"/>
          <w:b/>
          <w:i w:val="0"/>
          <w:sz w:val="24"/>
        </w:rPr>
        <w:t>Water levels and the groundwater flow field</w:t>
      </w:r>
    </w:p>
    <w:p>
      <w:pPr>
        <w:spacing w:before="0" w:after="120" w:line="360" w:lineRule="auto"/>
        <w:jc w:val="both"/>
      </w:pPr>
      <w:r>
        <w:rPr>
          <w:rFonts w:ascii="Times New Roman" w:hAnsi="Times New Roman" w:eastAsia="Times New Roman"/>
          <w:b w:val="0"/>
          <w:i w:val="0"/>
          <w:sz w:val="24"/>
        </w:rPr>
        <w:t>The CGWB water-level record (9,583 readings at 398 stations, 2013 to 2021) [3] was used to find the direction and slope of groundwater flow. Each reading was turned into a water-table height: the ground height from the elevation model [20] minus the depth to water. Readings were grouped into the four CGWB seasons (Dec–Feb, Mar–May, Jun–Aug, Sep–Nov) and averaged. On a 5 km grid over the state, a sloping plane was fitted through the nearby stations (within 25 km, at least five stations) for each cell. The slope of this plane gives the hydraulic gradient, and its downhill direction gives the flow direction. Of the 3,247 grid cells inside the state, 2,416 were fitted from stations. The other 831 cells had too few stations, so their flow direction was taken from a smoothed version of the ground surface and they were marked as lower confidence. The change of the gradient between seasons was also stored, because it is used later to widen the uncertainty.</w:t>
      </w:r>
    </w:p>
    <w:p>
      <w:pPr>
        <w:keepNext/>
        <w:spacing w:before="120" w:after="40" w:line="240" w:lineRule="auto"/>
        <w:jc w:val="center"/>
      </w:pPr>
      <w:r>
        <w:drawing>
          <wp:inline xmlns:a="http://schemas.openxmlformats.org/drawingml/2006/main" xmlns:pic="http://schemas.openxmlformats.org/drawingml/2006/picture">
            <wp:extent cx="4320000" cy="3442231"/>
            <wp:docPr id="3" name="Picture 3"/>
            <wp:cNvGraphicFramePr>
              <a:graphicFrameLocks noChangeAspect="1"/>
            </wp:cNvGraphicFramePr>
            <a:graphic>
              <a:graphicData uri="http://schemas.openxmlformats.org/drawingml/2006/picture">
                <pic:pic>
                  <pic:nvPicPr>
                    <pic:cNvPr id="0" name="fig_flow_field.png"/>
                    <pic:cNvPicPr/>
                  </pic:nvPicPr>
                  <pic:blipFill>
                    <a:blip r:embed="rId12"/>
                    <a:stretch>
                      <a:fillRect/>
                    </a:stretch>
                  </pic:blipFill>
                  <pic:spPr>
                    <a:xfrm>
                      <a:off x="0" y="0"/>
                      <a:ext cx="4320000" cy="3442231"/>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4.1: The groundwater flow field used by the model: arrows point down-gradient on a 5 km grid; blue cells are fitted from CGWB stations and red cells use the terrain fallback. Data: CGWB levels [3] and GLO-30 DEM [20].</w:t>
      </w:r>
    </w:p>
    <w:p>
      <w:pPr>
        <w:keepNext/>
        <w:spacing w:before="120" w:after="80" w:line="276" w:lineRule="auto"/>
        <w:jc w:val="left"/>
      </w:pPr>
      <w:r>
        <w:rPr>
          <w:rFonts w:ascii="Times New Roman" w:hAnsi="Times New Roman" w:eastAsia="Times New Roman"/>
          <w:b/>
          <w:i w:val="0"/>
          <w:sz w:val="24"/>
        </w:rPr>
        <w:t>Fracture directions from lineaments</w:t>
      </w:r>
    </w:p>
    <w:p>
      <w:pPr>
        <w:spacing w:before="0" w:after="120" w:line="360" w:lineRule="auto"/>
        <w:jc w:val="both"/>
      </w:pPr>
      <w:r>
        <w:rPr>
          <w:rFonts w:ascii="Times New Roman" w:hAnsi="Times New Roman" w:eastAsia="Times New Roman"/>
          <w:b w:val="0"/>
          <w:i w:val="0"/>
          <w:sz w:val="24"/>
        </w:rPr>
        <w:t>In hard rock, water moves mostly along fractures, so the direction of the fractures matters. The Geological Survey of India and NRSC lineament map for Jharkhand [21] was downloaded (1,889 features), and 1,826 structural lineaments (joints, fractures, dykes, shear zones, faults and fold axes) were used. For each 5 km cell, the average fracture direction and how well the fractures are aligned were calculated using standard directional statistics for undirected lines [22]. Well-aligned fractures make a narrow plume; scattered fractures make a wider one.</w:t>
      </w:r>
    </w:p>
    <w:p>
      <w:pPr>
        <w:keepNext/>
        <w:spacing w:before="120" w:after="40" w:line="240" w:lineRule="auto"/>
        <w:jc w:val="center"/>
      </w:pPr>
      <w:r>
        <w:drawing>
          <wp:inline xmlns:a="http://schemas.openxmlformats.org/drawingml/2006/main" xmlns:pic="http://schemas.openxmlformats.org/drawingml/2006/picture">
            <wp:extent cx="4320000" cy="3050935"/>
            <wp:docPr id="4" name="Picture 4"/>
            <wp:cNvGraphicFramePr>
              <a:graphicFrameLocks noChangeAspect="1"/>
            </wp:cNvGraphicFramePr>
            <a:graphic>
              <a:graphicData uri="http://schemas.openxmlformats.org/drawingml/2006/picture">
                <pic:pic>
                  <pic:nvPicPr>
                    <pic:cNvPr id="0" name="fig_strike_field.png"/>
                    <pic:cNvPicPr/>
                  </pic:nvPicPr>
                  <pic:blipFill>
                    <a:blip r:embed="rId13"/>
                    <a:stretch>
                      <a:fillRect/>
                    </a:stretch>
                  </pic:blipFill>
                  <pic:spPr>
                    <a:xfrm>
                      <a:off x="0" y="0"/>
                      <a:ext cx="4320000" cy="3050935"/>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4.2: The fracture-direction field: each tick shows the average fracture direction in a 5 km cell; the colour shows how scattered the fractures are. Data: GSI–NRSC lineaments [21].</w:t>
      </w:r>
    </w:p>
    <w:p>
      <w:pPr>
        <w:keepNext/>
        <w:spacing w:before="120" w:after="80" w:line="276" w:lineRule="auto"/>
        <w:jc w:val="left"/>
      </w:pPr>
      <w:r>
        <w:rPr>
          <w:rFonts w:ascii="Times New Roman" w:hAnsi="Times New Roman" w:eastAsia="Times New Roman"/>
          <w:b/>
          <w:i w:val="0"/>
          <w:sz w:val="24"/>
        </w:rPr>
        <w:t>Aquifer layers from NAQUIM reports</w:t>
      </w:r>
    </w:p>
    <w:p>
      <w:pPr>
        <w:spacing w:before="0" w:after="120" w:line="360" w:lineRule="auto"/>
        <w:jc w:val="both"/>
      </w:pPr>
      <w:r>
        <w:rPr>
          <w:rFonts w:ascii="Times New Roman" w:hAnsi="Times New Roman" w:eastAsia="Times New Roman"/>
          <w:b w:val="0"/>
          <w:i w:val="0"/>
          <w:sz w:val="24"/>
        </w:rPr>
        <w:t>Twenty-two CGWB aquifer-mapping (NAQUIM) reports were downloaded [1]. A keyword search collected 410 text snippets about layer depths, and a table of 24 districts was built from them by hand: the base of the weathered layer (13–22 m), the depth range of water-bearing fractures (down to 90–258 m), and whether the deeper aquifer is confined. East Singhbhum came from the CGWB district booklet [2], and three districts with no report used estimates from neighbouring districts.</w:t>
      </w:r>
    </w:p>
    <w:p>
      <w:pPr>
        <w:keepNext/>
        <w:spacing w:before="120" w:after="80" w:line="276" w:lineRule="auto"/>
        <w:jc w:val="left"/>
      </w:pPr>
      <w:r>
        <w:rPr>
          <w:rFonts w:ascii="Times New Roman" w:hAnsi="Times New Roman" w:eastAsia="Times New Roman"/>
          <w:b/>
          <w:i w:val="0"/>
          <w:sz w:val="24"/>
        </w:rPr>
        <w:t>Texas ISR records</w:t>
      </w:r>
    </w:p>
    <w:p>
      <w:pPr>
        <w:spacing w:before="0" w:after="120" w:line="360" w:lineRule="auto"/>
        <w:jc w:val="both"/>
      </w:pPr>
      <w:r>
        <w:rPr>
          <w:rFonts w:ascii="Times New Roman" w:hAnsi="Times New Roman" w:eastAsia="Times New Roman"/>
          <w:b w:val="0"/>
          <w:i w:val="0"/>
          <w:sz w:val="24"/>
        </w:rPr>
        <w:t>Because no ISR data exists for India, the USGS records of groundwater quality at ISR mines in Texas were used [9], [23]. From the end-of-mining samples at 7 mines, the source strength was taken: uranium 9,027 to 41,595 ppb, and sulphate and TDS in proportion. From samples taken after restoration at the same mines, the fraction left after cleaning was found: 6.0% for uranium, 13.8% for sulphate, 33.7% for TDS and 53.1% for chloride. The median restoration period across 13 production areas was 5.0 years. The Texas data was used only for the chemistry of the source and for restoration behaviour. All the hydrogeology (rock type, flow, fractures, layers, background chemistry) comes from Jharkhand.</w:t>
      </w:r>
    </w:p>
    <w:p>
      <w:pPr>
        <w:keepNext/>
        <w:spacing w:before="120" w:after="80" w:line="276" w:lineRule="auto"/>
        <w:jc w:val="left"/>
      </w:pPr>
      <w:r>
        <w:rPr>
          <w:rFonts w:ascii="Times New Roman" w:hAnsi="Times New Roman" w:eastAsia="Times New Roman"/>
          <w:b/>
          <w:i w:val="0"/>
          <w:sz w:val="24"/>
        </w:rPr>
        <w:t>Other data</w:t>
      </w:r>
    </w:p>
    <w:p>
      <w:pPr>
        <w:spacing w:before="0" w:after="120" w:line="360" w:lineRule="auto"/>
        <w:jc w:val="both"/>
      </w:pPr>
      <w:r>
        <w:rPr>
          <w:rFonts w:ascii="Times New Roman" w:hAnsi="Times New Roman" w:eastAsia="Times New Roman"/>
          <w:b w:val="0"/>
          <w:i w:val="0"/>
          <w:sz w:val="24"/>
        </w:rPr>
        <w:t>District and block boundaries, the 24 CGWB aquifer polygons, the outlines of seven uranium deposits and a regional belt envelope, uranium ore grades from the IAEA UDEPO database [4], and perennial rivers from HydroRIVERS [24] were also loaded.</w:t>
      </w:r>
    </w:p>
    <w:p>
      <w:pPr>
        <w:pStyle w:val="Heading2"/>
        <w:keepNext/>
        <w:spacing w:before="200" w:after="120" w:line="276" w:lineRule="auto"/>
        <w:jc w:val="left"/>
      </w:pPr>
      <w:r>
        <w:rPr>
          <w:rFonts w:ascii="Times New Roman" w:hAnsi="Times New Roman" w:eastAsia="Times New Roman"/>
          <w:b/>
          <w:i w:val="0"/>
          <w:sz w:val="24"/>
        </w:rPr>
        <w:t>4.4 Hydrogeological Framework</w:t>
      </w:r>
    </w:p>
    <w:p>
      <w:pPr>
        <w:spacing w:before="0" w:after="120" w:line="360" w:lineRule="auto"/>
        <w:jc w:val="both"/>
      </w:pPr>
      <w:r>
        <w:rPr>
          <w:rFonts w:ascii="Times New Roman" w:hAnsi="Times New Roman" w:eastAsia="Times New Roman"/>
          <w:b w:val="0"/>
          <w:i w:val="0"/>
          <w:sz w:val="24"/>
        </w:rPr>
        <w:t xml:space="preserve">Each of the 12 rock types in the aquifer map was classed as </w:t>
      </w:r>
      <w:r>
        <w:rPr>
          <w:rFonts w:ascii="Times New Roman" w:hAnsi="Times New Roman" w:eastAsia="Times New Roman"/>
          <w:b/>
          <w:i w:val="0"/>
          <w:sz w:val="24"/>
        </w:rPr>
        <w:t>fractured</w:t>
      </w:r>
      <w:r>
        <w:rPr>
          <w:rFonts w:ascii="Times New Roman" w:hAnsi="Times New Roman" w:eastAsia="Times New Roman"/>
          <w:b w:val="0"/>
          <w:i w:val="0"/>
          <w:sz w:val="24"/>
        </w:rPr>
        <w:t xml:space="preserve"> (schist, gneiss, granite, quartzite, charnockite, Basement Gneissic Complex, basalt, intrusive rocks) or </w:t>
      </w:r>
      <w:r>
        <w:rPr>
          <w:rFonts w:ascii="Times New Roman" w:hAnsi="Times New Roman" w:eastAsia="Times New Roman"/>
          <w:b/>
          <w:i w:val="0"/>
          <w:sz w:val="24"/>
        </w:rPr>
        <w:t>porous</w:t>
      </w:r>
      <w:r>
        <w:rPr>
          <w:rFonts w:ascii="Times New Roman" w:hAnsi="Times New Roman" w:eastAsia="Times New Roman"/>
          <w:b w:val="0"/>
          <w:i w:val="0"/>
          <w:sz w:val="24"/>
        </w:rPr>
        <w:t xml:space="preserve"> (limestone, sandstone, laterite, alluvium). This choice decides which equations are used for a location.</w:t>
      </w:r>
    </w:p>
    <w:p>
      <w:pPr>
        <w:spacing w:before="0" w:after="120" w:line="360" w:lineRule="auto"/>
        <w:jc w:val="both"/>
      </w:pPr>
      <w:r>
        <w:rPr>
          <w:rFonts w:ascii="Times New Roman" w:hAnsi="Times New Roman" w:eastAsia="Times New Roman"/>
          <w:b/>
          <w:i w:val="0"/>
          <w:sz w:val="24"/>
        </w:rPr>
        <w:t>Hydraulic conductivity (K)</w:t>
      </w:r>
      <w:r>
        <w:rPr>
          <w:rFonts w:ascii="Times New Roman" w:hAnsi="Times New Roman" w:eastAsia="Times New Roman"/>
          <w:b w:val="0"/>
          <w:i w:val="0"/>
          <w:sz w:val="24"/>
        </w:rPr>
        <w:t xml:space="preserve"> tells how easily water moves through rock. It was taken from the aquifer polygon. Where a value was missing, a typical value for that rock type from the literature was used [25]. Since CGWB values describe the shallow aquifer, but ISR ore lies deeper, K was reduced with depth using a law fitted for each district from the NAQUIM fracture depths. At Jaduguda this lowers K from the aquifer-map value of 2.47 m/day to 0.37 m/day at an ore depth of 180 m. In the Singhbhum shear zone, where the NAQUIM profile records higher transmissivity (207–570 m²/day), a value of 370 m²/day was used. Values were blended smoothly across aquifer boundaries so that the results do not jump suddenly between two nearby points.</w:t>
      </w:r>
    </w:p>
    <w:p>
      <w:pPr>
        <w:spacing w:before="0" w:after="120" w:line="360" w:lineRule="auto"/>
        <w:jc w:val="both"/>
      </w:pPr>
      <w:r>
        <w:rPr>
          <w:rFonts w:ascii="Times New Roman" w:hAnsi="Times New Roman" w:eastAsia="Times New Roman"/>
          <w:b/>
          <w:i w:val="0"/>
          <w:sz w:val="24"/>
        </w:rPr>
        <w:t>Ore zones.</w:t>
      </w:r>
      <w:r>
        <w:rPr>
          <w:rFonts w:ascii="Times New Roman" w:hAnsi="Times New Roman" w:eastAsia="Times New Roman"/>
          <w:b w:val="0"/>
          <w:i w:val="0"/>
          <w:sz w:val="24"/>
        </w:rPr>
        <w:t xml:space="preserve"> A uranium source can exist only where uranium ore exists. Each location is classed as </w:t>
      </w:r>
      <w:r>
        <w:rPr>
          <w:rFonts w:ascii="Times New Roman" w:hAnsi="Times New Roman" w:eastAsia="Times New Roman"/>
          <w:b w:val="0"/>
          <w:i/>
          <w:sz w:val="24"/>
        </w:rPr>
        <w:t>deposit</w:t>
      </w:r>
      <w:r>
        <w:rPr>
          <w:rFonts w:ascii="Times New Roman" w:hAnsi="Times New Roman" w:eastAsia="Times New Roman"/>
          <w:b w:val="0"/>
          <w:i w:val="0"/>
          <w:sz w:val="24"/>
        </w:rPr>
        <w:t xml:space="preserve"> (inside a deposit outline or within 500 m of it), </w:t>
      </w:r>
      <w:r>
        <w:rPr>
          <w:rFonts w:ascii="Times New Roman" w:hAnsi="Times New Roman" w:eastAsia="Times New Roman"/>
          <w:b w:val="0"/>
          <w:i/>
          <w:sz w:val="24"/>
        </w:rPr>
        <w:t>belt</w:t>
      </w:r>
      <w:r>
        <w:rPr>
          <w:rFonts w:ascii="Times New Roman" w:hAnsi="Times New Roman" w:eastAsia="Times New Roman"/>
          <w:b w:val="0"/>
          <w:i w:val="0"/>
          <w:sz w:val="24"/>
        </w:rPr>
        <w:t xml:space="preserve"> (inside the Singhbhum envelope, with a reduced source) or </w:t>
      </w:r>
      <w:r>
        <w:rPr>
          <w:rFonts w:ascii="Times New Roman" w:hAnsi="Times New Roman" w:eastAsia="Times New Roman"/>
          <w:b w:val="0"/>
          <w:i/>
          <w:sz w:val="24"/>
        </w:rPr>
        <w:t>none</w:t>
      </w:r>
      <w:r>
        <w:rPr>
          <w:rFonts w:ascii="Times New Roman" w:hAnsi="Times New Roman" w:eastAsia="Times New Roman"/>
          <w:b w:val="0"/>
          <w:i w:val="0"/>
          <w:sz w:val="24"/>
        </w:rPr>
        <w:t xml:space="preserve"> (no uranium plume is drawn). Sulphate and TDS are not limited this way, because the lixiviant carries them wherever it is injected.</w:t>
      </w:r>
    </w:p>
    <w:p>
      <w:pPr>
        <w:spacing w:before="0" w:after="120" w:line="360" w:lineRule="auto"/>
        <w:jc w:val="both"/>
      </w:pPr>
      <w:r>
        <w:rPr>
          <w:rFonts w:ascii="Times New Roman" w:hAnsi="Times New Roman" w:eastAsia="Times New Roman"/>
          <w:b/>
          <w:i w:val="0"/>
          <w:sz w:val="24"/>
        </w:rPr>
        <w:t>Sorption and retardation.</w:t>
      </w:r>
      <w:r>
        <w:rPr>
          <w:rFonts w:ascii="Times New Roman" w:hAnsi="Times New Roman" w:eastAsia="Times New Roman"/>
          <w:b w:val="0"/>
          <w:i w:val="0"/>
          <w:sz w:val="24"/>
        </w:rPr>
        <w:t xml:space="preserve"> Some chemicals stick to rock and move slower than the water. This is measured by the distribution coefficient Kd [26]. In porous rock, the retardation factor is:</w:t>
      </w:r>
    </w:p>
    <w:p>
      <w:pPr>
        <w:spacing w:before="80" w:after="160" w:line="288" w:lineRule="auto"/>
        <w:jc w:val="center"/>
      </w:pPr>
      <w:r>
        <w:rPr>
          <w:rFonts w:ascii="Times New Roman" w:hAnsi="Times New Roman" w:eastAsia="Times New Roman"/>
          <w:b w:val="0"/>
          <w:i/>
          <w:sz w:val="24"/>
        </w:rPr>
        <w:t>R = 1 + (ρb × Kd) / n</w:t>
      </w:r>
    </w:p>
    <w:p>
      <w:pPr>
        <w:spacing w:before="0" w:after="120" w:line="360" w:lineRule="auto"/>
        <w:jc w:val="both"/>
      </w:pPr>
      <w:r>
        <w:rPr>
          <w:rFonts w:ascii="Times New Roman" w:hAnsi="Times New Roman" w:eastAsia="Times New Roman"/>
          <w:b w:val="0"/>
          <w:i w:val="0"/>
          <w:sz w:val="24"/>
        </w:rPr>
        <w:t>where ρb is the bulk density of the rock and n is the porosity. The chemical then moves at v / R, where v is the water velocity. Uranium has a low Kd under alkaline conditions, while radium has a very high Kd and hardly moves at all.</w:t>
      </w:r>
    </w:p>
    <w:p>
      <w:pPr>
        <w:pStyle w:val="Heading2"/>
        <w:keepNext/>
        <w:spacing w:before="200" w:after="120" w:line="276" w:lineRule="auto"/>
        <w:jc w:val="left"/>
      </w:pPr>
      <w:r>
        <w:rPr>
          <w:rFonts w:ascii="Times New Roman" w:hAnsi="Times New Roman" w:eastAsia="Times New Roman"/>
          <w:b/>
          <w:i w:val="0"/>
          <w:sz w:val="24"/>
        </w:rPr>
        <w:t>4.5 Contaminant Transport Model</w:t>
      </w:r>
    </w:p>
    <w:p>
      <w:pPr>
        <w:spacing w:before="0" w:after="120" w:line="360" w:lineRule="auto"/>
        <w:jc w:val="both"/>
      </w:pPr>
      <w:r>
        <w:rPr>
          <w:rFonts w:ascii="Times New Roman" w:hAnsi="Times New Roman" w:eastAsia="Times New Roman"/>
          <w:b w:val="0"/>
          <w:i w:val="0"/>
          <w:sz w:val="24"/>
        </w:rPr>
        <w:t>The transport engine calculates the concentration of a chemical around a hypothetical ISR wellfield on a map grid, for a chosen time after injection begins. One run takes about 0.2 seconds. The main steps are explained below in simple terms.</w:t>
      </w:r>
    </w:p>
    <w:p>
      <w:pPr>
        <w:keepNext/>
        <w:spacing w:before="120" w:after="80" w:line="276" w:lineRule="auto"/>
        <w:jc w:val="left"/>
      </w:pPr>
      <w:r>
        <w:rPr>
          <w:rFonts w:ascii="Times New Roman" w:hAnsi="Times New Roman" w:eastAsia="Times New Roman"/>
          <w:b/>
          <w:i w:val="0"/>
          <w:sz w:val="24"/>
        </w:rPr>
        <w:t>Step 1: Groundwater velocity</w:t>
      </w:r>
    </w:p>
    <w:p>
      <w:pPr>
        <w:spacing w:before="0" w:after="120" w:line="360" w:lineRule="auto"/>
        <w:jc w:val="both"/>
      </w:pPr>
      <w:r>
        <w:rPr>
          <w:rFonts w:ascii="Times New Roman" w:hAnsi="Times New Roman" w:eastAsia="Times New Roman"/>
          <w:b w:val="0"/>
          <w:i w:val="0"/>
          <w:sz w:val="24"/>
        </w:rPr>
        <w:t>The water velocity comes from Darcy’s law:</w:t>
      </w:r>
    </w:p>
    <w:p>
      <w:pPr>
        <w:spacing w:before="80" w:after="160" w:line="288" w:lineRule="auto"/>
        <w:jc w:val="center"/>
      </w:pPr>
      <w:r>
        <w:rPr>
          <w:rFonts w:ascii="Times New Roman" w:hAnsi="Times New Roman" w:eastAsia="Times New Roman"/>
          <w:b w:val="0"/>
          <w:i/>
          <w:sz w:val="24"/>
        </w:rPr>
        <w:t>v = (K × i) / φ</w:t>
      </w:r>
    </w:p>
    <w:p>
      <w:pPr>
        <w:spacing w:before="0" w:after="120" w:line="360" w:lineRule="auto"/>
        <w:jc w:val="both"/>
      </w:pPr>
      <w:r>
        <w:rPr>
          <w:rFonts w:ascii="Times New Roman" w:hAnsi="Times New Roman" w:eastAsia="Times New Roman"/>
          <w:b w:val="0"/>
          <w:i w:val="0"/>
          <w:sz w:val="24"/>
        </w:rPr>
        <w:t>where K is the hydraulic conductivity, i is the hydraulic gradient from the flow field, and φ is the porosity through which water actually flows. In fractured rock φ is less than 1%, which is why water can move quickly through fractures even when K is small.</w:t>
      </w:r>
    </w:p>
    <w:p>
      <w:pPr>
        <w:keepNext/>
        <w:spacing w:before="120" w:after="80" w:line="276" w:lineRule="auto"/>
        <w:jc w:val="left"/>
      </w:pPr>
      <w:r>
        <w:rPr>
          <w:rFonts w:ascii="Times New Roman" w:hAnsi="Times New Roman" w:eastAsia="Times New Roman"/>
          <w:b/>
          <w:i w:val="0"/>
          <w:sz w:val="24"/>
        </w:rPr>
        <w:t>Step 2: Containment by the bleed</w:t>
      </w:r>
    </w:p>
    <w:p>
      <w:pPr>
        <w:spacing w:before="0" w:after="120" w:line="360" w:lineRule="auto"/>
        <w:jc w:val="both"/>
      </w:pPr>
      <w:r>
        <w:rPr>
          <w:rFonts w:ascii="Times New Roman" w:hAnsi="Times New Roman" w:eastAsia="Times New Roman"/>
          <w:b w:val="0"/>
          <w:i w:val="0"/>
          <w:sz w:val="24"/>
        </w:rPr>
        <w:t>While the mine is operating, the extra water pumped out (the bleed) pulls groundwater back towards the wellfield. Using capture-zone theory [27], the fraction of flow that is captured is:</w:t>
      </w:r>
    </w:p>
    <w:p>
      <w:pPr>
        <w:spacing w:before="80" w:after="160" w:line="288" w:lineRule="auto"/>
        <w:jc w:val="center"/>
      </w:pPr>
      <w:r>
        <w:rPr>
          <w:rFonts w:ascii="Times New Roman" w:hAnsi="Times New Roman" w:eastAsia="Times New Roman"/>
          <w:b w:val="0"/>
          <w:i/>
          <w:sz w:val="24"/>
        </w:rPr>
        <w:t>η = min (1, Qnet / (q × b × W))</w:t>
      </w:r>
    </w:p>
    <w:p>
      <w:pPr>
        <w:spacing w:before="0" w:after="120" w:line="360" w:lineRule="auto"/>
        <w:jc w:val="both"/>
      </w:pPr>
      <w:r>
        <w:rPr>
          <w:rFonts w:ascii="Times New Roman" w:hAnsi="Times New Roman" w:eastAsia="Times New Roman"/>
          <w:b w:val="0"/>
          <w:i w:val="0"/>
          <w:sz w:val="24"/>
        </w:rPr>
        <w:t>where Qnet is the net extraction, q = K × i is the regional water flux, b is the aquifer thickness and W is the wellfield width. If η = 1, the wellfield holds everything in. Pump downtime reduces η.</w:t>
      </w:r>
    </w:p>
    <w:p>
      <w:pPr>
        <w:keepNext/>
        <w:spacing w:before="120" w:after="80" w:line="276" w:lineRule="auto"/>
        <w:jc w:val="left"/>
      </w:pPr>
      <w:r>
        <w:rPr>
          <w:rFonts w:ascii="Times New Roman" w:hAnsi="Times New Roman" w:eastAsia="Times New Roman"/>
          <w:b/>
          <w:i w:val="0"/>
          <w:sz w:val="24"/>
        </w:rPr>
        <w:t>Step 3: Three phases of the plume</w:t>
      </w:r>
    </w:p>
    <w:p>
      <w:pPr>
        <w:spacing w:before="0" w:after="120" w:line="360" w:lineRule="auto"/>
        <w:jc w:val="both"/>
      </w:pPr>
      <w:r>
        <w:rPr>
          <w:rFonts w:ascii="Times New Roman" w:hAnsi="Times New Roman" w:eastAsia="Times New Roman"/>
          <w:b w:val="0"/>
          <w:i w:val="0"/>
          <w:sz w:val="24"/>
        </w:rPr>
        <w:t>The front of the plume moves differently in three phases: during operation it moves slowly because of containment; during restoration it is held in place; and after closure it drifts freely with the groundwater.</w:t>
      </w:r>
    </w:p>
    <w:p>
      <w:pPr>
        <w:keepNext/>
        <w:spacing w:before="120" w:after="80" w:line="276" w:lineRule="auto"/>
        <w:jc w:val="left"/>
      </w:pPr>
      <w:r>
        <w:rPr>
          <w:rFonts w:ascii="Times New Roman" w:hAnsi="Times New Roman" w:eastAsia="Times New Roman"/>
          <w:b/>
          <w:i w:val="0"/>
          <w:sz w:val="24"/>
        </w:rPr>
        <w:t>Step 4: Slowing down in fractured rock</w:t>
      </w:r>
    </w:p>
    <w:p>
      <w:pPr>
        <w:spacing w:before="0" w:after="120" w:line="360" w:lineRule="auto"/>
        <w:jc w:val="both"/>
      </w:pPr>
      <w:r>
        <w:rPr>
          <w:rFonts w:ascii="Times New Roman" w:hAnsi="Times New Roman" w:eastAsia="Times New Roman"/>
          <w:b w:val="0"/>
          <w:i w:val="0"/>
          <w:sz w:val="24"/>
        </w:rPr>
        <w:t>In fractured rock, chemicals move in the fractures but also soak into the solid rock between them (the matrix), which slows the plume. This is described by a dual-porosity model [28]. Late in time, the plume moves slower than the water by a factor:</w:t>
      </w:r>
    </w:p>
    <w:p>
      <w:pPr>
        <w:spacing w:before="80" w:after="160" w:line="288" w:lineRule="auto"/>
        <w:jc w:val="center"/>
      </w:pPr>
      <w:r>
        <w:rPr>
          <w:rFonts w:ascii="Times New Roman" w:hAnsi="Times New Roman" w:eastAsia="Times New Roman"/>
          <w:b w:val="0"/>
          <w:i/>
          <w:sz w:val="24"/>
        </w:rPr>
        <w:t>R_eff = 1 + β × R_m,    β = (n_total − φ_mobile) / φ_mobile</w:t>
      </w:r>
    </w:p>
    <w:p>
      <w:pPr>
        <w:spacing w:before="0" w:after="120" w:line="360" w:lineRule="auto"/>
        <w:jc w:val="both"/>
      </w:pPr>
      <w:r>
        <w:rPr>
          <w:rFonts w:ascii="Times New Roman" w:hAnsi="Times New Roman" w:eastAsia="Times New Roman"/>
          <w:b w:val="0"/>
          <w:i w:val="0"/>
          <w:sz w:val="24"/>
        </w:rPr>
        <w:t>Here β is the ratio of water stored in the rock matrix to water in the fractures, and R_m is the sorption in the matrix. β is calculated from the porosities of each location. At Jaduguda, β = 3.0, which gives R_eff ≈ 271 for uranium, but only 4 for TDS, which does not sorb. This is why uranium stays close to the mine while the other chemicals travel much further.</w:t>
      </w:r>
    </w:p>
    <w:p>
      <w:pPr>
        <w:keepNext/>
        <w:spacing w:before="120" w:after="80" w:line="276" w:lineRule="auto"/>
        <w:jc w:val="left"/>
      </w:pPr>
      <w:r>
        <w:rPr>
          <w:rFonts w:ascii="Times New Roman" w:hAnsi="Times New Roman" w:eastAsia="Times New Roman"/>
          <w:b/>
          <w:i w:val="0"/>
          <w:sz w:val="24"/>
        </w:rPr>
        <w:t>Step 5: The shape of the plume</w:t>
      </w:r>
    </w:p>
    <w:p>
      <w:pPr>
        <w:spacing w:before="0" w:after="120" w:line="360" w:lineRule="auto"/>
        <w:jc w:val="both"/>
      </w:pPr>
      <w:r>
        <w:rPr>
          <w:rFonts w:ascii="Times New Roman" w:hAnsi="Times New Roman" w:eastAsia="Times New Roman"/>
          <w:b w:val="0"/>
          <w:i w:val="0"/>
          <w:sz w:val="24"/>
        </w:rPr>
        <w:t>The concentration map is calculated with the standard Domenico solution [29], using the full Ogata–Banks form along the flow direction [30]. It describes how a chemical released from a source of width W spreads along and across the flow direction. The amount of spreading (dispersivity) grows with the distance travelled, following the Xu and Eckstein formula [31], and the sideways spreading is set from the fracture alignment in each cell [32]. For fractured rock, a second solution for flow along a single fracture with diffusion into the rock (Tang, Frind and Sudicky [33]) is also calculated, and the larger of the two is used, so that fast early arrival is not missed.</w:t>
      </w:r>
    </w:p>
    <w:p>
      <w:pPr>
        <w:keepNext/>
        <w:spacing w:before="120" w:after="80" w:line="276" w:lineRule="auto"/>
        <w:jc w:val="left"/>
      </w:pPr>
      <w:r>
        <w:rPr>
          <w:rFonts w:ascii="Times New Roman" w:hAnsi="Times New Roman" w:eastAsia="Times New Roman"/>
          <w:b/>
          <w:i w:val="0"/>
          <w:sz w:val="24"/>
        </w:rPr>
        <w:t>Step 6: The leach zone, restoration and attenuation</w:t>
      </w:r>
    </w:p>
    <w:p>
      <w:pPr>
        <w:spacing w:before="0" w:after="120" w:line="360" w:lineRule="auto"/>
        <w:jc w:val="both"/>
      </w:pPr>
      <w:r>
        <w:rPr>
          <w:rFonts w:ascii="Times New Roman" w:hAnsi="Times New Roman" w:eastAsia="Times New Roman"/>
          <w:b w:val="0"/>
          <w:i w:val="0"/>
          <w:sz w:val="24"/>
        </w:rPr>
        <w:t>The wellfield area itself is contaminated by design, so it is drawn as a circular “leach zone”. After mining, restoration lowers the source concentration step by step, calibrated so that a 5-year restoration reaches the measured Texas end result. After restoration, the source does not fall below the measured Texas level, because some contamination comes back after cleaning (rebound) [34]. The source also never falls below the natural background chemistry of the site. Down-gradient of the mine, dissolved uranium meets reducing rock and turns into a solid form, so a first-order decay factor exp(−k × age) is applied to uranium only [35]. The rate k is between 0.05 and 0.70 per year, based on a field test at a Wyoming ISR site [36], and it is set higher inside the sulphide-rich ore zone.</w:t>
      </w:r>
    </w:p>
    <w:p>
      <w:pPr>
        <w:keepNext/>
        <w:spacing w:before="120" w:after="80" w:line="276" w:lineRule="auto"/>
        <w:jc w:val="left"/>
      </w:pPr>
      <w:r>
        <w:rPr>
          <w:rFonts w:ascii="Times New Roman" w:hAnsi="Times New Roman" w:eastAsia="Times New Roman"/>
          <w:b/>
          <w:i w:val="0"/>
          <w:sz w:val="24"/>
        </w:rPr>
        <w:t>Step 7: Outputs and the excursion test</w:t>
      </w:r>
    </w:p>
    <w:p>
      <w:pPr>
        <w:spacing w:before="0" w:after="120" w:line="360" w:lineRule="auto"/>
        <w:jc w:val="both"/>
      </w:pPr>
      <w:r>
        <w:rPr>
          <w:rFonts w:ascii="Times New Roman" w:hAnsi="Times New Roman" w:eastAsia="Times New Roman"/>
          <w:b w:val="0"/>
          <w:i w:val="0"/>
          <w:sz w:val="24"/>
        </w:rPr>
        <w:t>For every run, the engine reports:</w:t>
      </w:r>
    </w:p>
    <w:p>
      <w:pPr>
        <w:pStyle w:val="ListBullet"/>
        <w:spacing w:before="0" w:after="40" w:line="312" w:lineRule="auto"/>
        <w:ind w:left="567" w:hanging="283"/>
        <w:jc w:val="both"/>
      </w:pPr>
      <w:r>
        <w:rPr>
          <w:rFonts w:ascii="Times New Roman" w:hAnsi="Times New Roman" w:eastAsia="Times New Roman"/>
          <w:b/>
          <w:i w:val="0"/>
          <w:sz w:val="24"/>
        </w:rPr>
        <w:t>Footprint area</w:t>
      </w:r>
      <w:r>
        <w:rPr>
          <w:rFonts w:ascii="Times New Roman" w:hAnsi="Times New Roman" w:eastAsia="Times New Roman"/>
          <w:b w:val="0"/>
          <w:i w:val="0"/>
          <w:sz w:val="24"/>
        </w:rPr>
        <w:t xml:space="preserve"> (hectares) where the concentration is above the drinking-water limit (only the part caused by the mine is counted, not the natural background).</w:t>
      </w:r>
    </w:p>
    <w:p>
      <w:pPr>
        <w:pStyle w:val="ListBullet"/>
        <w:spacing w:before="0" w:after="40" w:line="312" w:lineRule="auto"/>
        <w:ind w:left="567" w:hanging="283"/>
        <w:jc w:val="both"/>
      </w:pPr>
      <w:r>
        <w:rPr>
          <w:rFonts w:ascii="Times New Roman" w:hAnsi="Times New Roman" w:eastAsia="Times New Roman"/>
          <w:b/>
          <w:i w:val="0"/>
          <w:sz w:val="24"/>
        </w:rPr>
        <w:t>Maximum travel distance</w:t>
      </w:r>
      <w:r>
        <w:rPr>
          <w:rFonts w:ascii="Times New Roman" w:hAnsi="Times New Roman" w:eastAsia="Times New Roman"/>
          <w:b w:val="0"/>
          <w:i w:val="0"/>
          <w:sz w:val="24"/>
        </w:rPr>
        <w:t xml:space="preserve"> of the plume beyond the wellfield, measured along the flow centreline.</w:t>
      </w:r>
    </w:p>
    <w:p>
      <w:pPr>
        <w:pStyle w:val="ListBullet"/>
        <w:spacing w:before="0" w:after="40" w:line="312" w:lineRule="auto"/>
        <w:ind w:left="567" w:hanging="283"/>
        <w:jc w:val="both"/>
      </w:pPr>
      <w:r>
        <w:rPr>
          <w:rFonts w:ascii="Times New Roman" w:hAnsi="Times New Roman" w:eastAsia="Times New Roman"/>
          <w:b/>
          <w:i w:val="0"/>
          <w:sz w:val="24"/>
        </w:rPr>
        <w:t>Concentration at the monitoring ring</w:t>
      </w:r>
      <w:r>
        <w:rPr>
          <w:rFonts w:ascii="Times New Roman" w:hAnsi="Times New Roman" w:eastAsia="Times New Roman"/>
          <w:b w:val="0"/>
          <w:i w:val="0"/>
          <w:sz w:val="24"/>
        </w:rPr>
        <w:t>, placed 100 m beyond the wellfield edge.</w:t>
      </w:r>
    </w:p>
    <w:p>
      <w:pPr>
        <w:pStyle w:val="ListBullet"/>
        <w:spacing w:before="0" w:after="40" w:line="312" w:lineRule="auto"/>
        <w:ind w:left="567" w:hanging="283"/>
        <w:jc w:val="both"/>
      </w:pPr>
      <w:r>
        <w:rPr>
          <w:rFonts w:ascii="Times New Roman" w:hAnsi="Times New Roman" w:eastAsia="Times New Roman"/>
          <w:b/>
          <w:i w:val="0"/>
          <w:sz w:val="24"/>
        </w:rPr>
        <w:t>Excursion test</w:t>
      </w:r>
      <w:r>
        <w:rPr>
          <w:rFonts w:ascii="Times New Roman" w:hAnsi="Times New Roman" w:eastAsia="Times New Roman"/>
          <w:b w:val="0"/>
          <w:i w:val="0"/>
          <w:sz w:val="24"/>
        </w:rPr>
        <w:t>, following the US rule [12]: an excursion is declared when at least two of the three indicators (chloride, TDS and sulphate) are above their control limits at the ring. Uranium is not used as an indicator.</w:t>
      </w:r>
    </w:p>
    <w:p>
      <w:pPr>
        <w:keepNext/>
        <w:spacing w:before="120" w:after="80" w:line="276" w:lineRule="auto"/>
        <w:jc w:val="left"/>
      </w:pPr>
      <w:r>
        <w:rPr>
          <w:rFonts w:ascii="Times New Roman" w:hAnsi="Times New Roman" w:eastAsia="Times New Roman"/>
          <w:b/>
          <w:i w:val="0"/>
          <w:sz w:val="24"/>
        </w:rPr>
        <w:t>Step 8: Monte Carlo uncertainty</w:t>
      </w:r>
    </w:p>
    <w:p>
      <w:pPr>
        <w:spacing w:before="0" w:after="120" w:line="360" w:lineRule="auto"/>
        <w:jc w:val="both"/>
      </w:pPr>
      <w:r>
        <w:rPr>
          <w:rFonts w:ascii="Times New Roman" w:hAnsi="Times New Roman" w:eastAsia="Times New Roman"/>
          <w:b w:val="0"/>
          <w:i w:val="0"/>
          <w:sz w:val="24"/>
        </w:rPr>
        <w:t xml:space="preserve">Many input values are not known exactly. For each scenario, 48 random versions (draws) are run with different values of K, Kd, β, fracture opening, gradient (widened by the measured seasonal change), dispersivity, bleed and attenuation rate. The 10th, 50th and 90th percentiles (P10, P50, P90) of the results give a range. The share of draws in which the ring concentration crosses the limit gives the </w:t>
      </w:r>
      <w:r>
        <w:rPr>
          <w:rFonts w:ascii="Times New Roman" w:hAnsi="Times New Roman" w:eastAsia="Times New Roman"/>
          <w:b/>
          <w:i w:val="0"/>
          <w:sz w:val="24"/>
        </w:rPr>
        <w:t>excursion probability</w:t>
      </w:r>
      <w:r>
        <w:rPr>
          <w:rFonts w:ascii="Times New Roman" w:hAnsi="Times New Roman" w:eastAsia="Times New Roman"/>
          <w:b w:val="0"/>
          <w:i w:val="0"/>
          <w:sz w:val="24"/>
        </w:rPr>
        <w:t>.</w:t>
      </w:r>
    </w:p>
    <w:p>
      <w:pPr>
        <w:spacing w:before="0" w:after="120" w:line="360" w:lineRule="auto"/>
        <w:jc w:val="both"/>
      </w:pPr>
      <w:r>
        <w:rPr>
          <w:rFonts w:ascii="Times New Roman" w:hAnsi="Times New Roman" w:eastAsia="Times New Roman"/>
          <w:b w:val="0"/>
          <w:i w:val="0"/>
          <w:sz w:val="24"/>
        </w:rPr>
        <w:t>The engine was checked against an exact numerical solution on 240 test cases. This check found that an earlier simplified version under-estimated concentrations by 17–42%, and the full formula was restored (Section 7.4).</w:t>
      </w:r>
    </w:p>
    <w:p>
      <w:pPr>
        <w:pStyle w:val="Heading2"/>
        <w:keepNext/>
        <w:spacing w:before="200" w:after="120" w:line="276" w:lineRule="auto"/>
        <w:jc w:val="left"/>
      </w:pPr>
      <w:r>
        <w:rPr>
          <w:rFonts w:ascii="Times New Roman" w:hAnsi="Times New Roman" w:eastAsia="Times New Roman"/>
          <w:b/>
          <w:i w:val="0"/>
          <w:sz w:val="24"/>
        </w:rPr>
        <w:t>4.6 Vertical (Shallow Aquifer) Screening</w:t>
      </w:r>
    </w:p>
    <w:p>
      <w:pPr>
        <w:spacing w:before="0" w:after="120" w:line="360" w:lineRule="auto"/>
        <w:jc w:val="both"/>
      </w:pPr>
      <w:r>
        <w:rPr>
          <w:rFonts w:ascii="Times New Roman" w:hAnsi="Times New Roman" w:eastAsia="Times New Roman"/>
          <w:b w:val="0"/>
          <w:i w:val="0"/>
          <w:sz w:val="24"/>
        </w:rPr>
        <w:t>The plan-view model above describes the ore layer. People, however, drink from the shallow layer. A separate screening estimates whether contamination at ore depth could reach the shallow aquifer through three routes:</w:t>
      </w:r>
    </w:p>
    <w:p>
      <w:pPr>
        <w:tabs>
          <w:tab w:pos="567" w:val="left"/>
        </w:tabs>
        <w:spacing w:before="0" w:after="60" w:line="336" w:lineRule="auto"/>
        <w:ind w:left="567" w:hanging="397"/>
        <w:jc w:val="both"/>
      </w:pPr>
      <w:r>
        <w:rPr>
          <w:rFonts w:ascii="Times New Roman" w:hAnsi="Times New Roman" w:eastAsia="Times New Roman"/>
          <w:b w:val="0"/>
          <w:i w:val="0"/>
          <w:sz w:val="24"/>
        </w:rPr>
        <w:t>1.</w:t>
        <w:tab/>
      </w:r>
      <w:r>
        <w:rPr>
          <w:rFonts w:ascii="Times New Roman" w:hAnsi="Times New Roman" w:eastAsia="Times New Roman"/>
          <w:b/>
          <w:i w:val="0"/>
          <w:sz w:val="24"/>
        </w:rPr>
        <w:t>Dispersion</w:t>
      </w:r>
      <w:r>
        <w:rPr>
          <w:rFonts w:ascii="Times New Roman" w:hAnsi="Times New Roman" w:eastAsia="Times New Roman"/>
          <w:b w:val="0"/>
          <w:i w:val="0"/>
          <w:sz w:val="24"/>
        </w:rPr>
        <w:t xml:space="preserve"> upward from the ore layer.</w:t>
      </w:r>
    </w:p>
    <w:p>
      <w:pPr>
        <w:tabs>
          <w:tab w:pos="567" w:val="left"/>
        </w:tabs>
        <w:spacing w:before="0" w:after="60" w:line="336" w:lineRule="auto"/>
        <w:ind w:left="567" w:hanging="397"/>
        <w:jc w:val="both"/>
      </w:pPr>
      <w:r>
        <w:rPr>
          <w:rFonts w:ascii="Times New Roman" w:hAnsi="Times New Roman" w:eastAsia="Times New Roman"/>
          <w:b w:val="0"/>
          <w:i w:val="0"/>
          <w:sz w:val="24"/>
        </w:rPr>
        <w:t>2.</w:t>
        <w:tab/>
      </w:r>
      <w:r>
        <w:rPr>
          <w:rFonts w:ascii="Times New Roman" w:hAnsi="Times New Roman" w:eastAsia="Times New Roman"/>
          <w:b/>
          <w:i w:val="0"/>
          <w:sz w:val="24"/>
        </w:rPr>
        <w:t>Leakage</w:t>
      </w:r>
      <w:r>
        <w:rPr>
          <w:rFonts w:ascii="Times New Roman" w:hAnsi="Times New Roman" w:eastAsia="Times New Roman"/>
          <w:b w:val="0"/>
          <w:i w:val="0"/>
          <w:sz w:val="24"/>
        </w:rPr>
        <w:t xml:space="preserve"> upward through the fractured rock, driven by the upward head difference.</w:t>
      </w:r>
    </w:p>
    <w:p>
      <w:pPr>
        <w:tabs>
          <w:tab w:pos="567" w:val="left"/>
        </w:tabs>
        <w:spacing w:before="0" w:after="60" w:line="336" w:lineRule="auto"/>
        <w:ind w:left="567" w:hanging="397"/>
        <w:jc w:val="both"/>
      </w:pPr>
      <w:r>
        <w:rPr>
          <w:rFonts w:ascii="Times New Roman" w:hAnsi="Times New Roman" w:eastAsia="Times New Roman"/>
          <w:b w:val="0"/>
          <w:i w:val="0"/>
          <w:sz w:val="24"/>
        </w:rPr>
        <w:t>3.</w:t>
        <w:tab/>
      </w:r>
      <w:r>
        <w:rPr>
          <w:rFonts w:ascii="Times New Roman" w:hAnsi="Times New Roman" w:eastAsia="Times New Roman"/>
          <w:b/>
          <w:i w:val="0"/>
          <w:sz w:val="24"/>
        </w:rPr>
        <w:t>Old wells</w:t>
      </w:r>
      <w:r>
        <w:rPr>
          <w:rFonts w:ascii="Times New Roman" w:hAnsi="Times New Roman" w:eastAsia="Times New Roman"/>
          <w:b w:val="0"/>
          <w:i w:val="0"/>
          <w:sz w:val="24"/>
        </w:rPr>
        <w:t xml:space="preserve"> (boreholes) acting as short-cuts, with a small base probability of 5%.</w:t>
      </w:r>
    </w:p>
    <w:p>
      <w:pPr>
        <w:spacing w:before="0" w:after="120" w:line="360" w:lineRule="auto"/>
        <w:jc w:val="both"/>
      </w:pPr>
      <w:r>
        <w:rPr>
          <w:rFonts w:ascii="Times New Roman" w:hAnsi="Times New Roman" w:eastAsia="Times New Roman"/>
          <w:b w:val="0"/>
          <w:i w:val="0"/>
          <w:sz w:val="24"/>
        </w:rPr>
        <w:t xml:space="preserve">The three are combined into one screening index between 0 and 1, which is shown as </w:t>
      </w:r>
      <w:r>
        <w:rPr>
          <w:rFonts w:ascii="Times New Roman" w:hAnsi="Times New Roman" w:eastAsia="Times New Roman"/>
          <w:b w:val="0"/>
          <w:i/>
          <w:sz w:val="24"/>
        </w:rPr>
        <w:t>high</w:t>
      </w:r>
      <w:r>
        <w:rPr>
          <w:rFonts w:ascii="Times New Roman" w:hAnsi="Times New Roman" w:eastAsia="Times New Roman"/>
          <w:b w:val="0"/>
          <w:i w:val="0"/>
          <w:sz w:val="24"/>
        </w:rPr>
        <w:t xml:space="preserve">, </w:t>
      </w:r>
      <w:r>
        <w:rPr>
          <w:rFonts w:ascii="Times New Roman" w:hAnsi="Times New Roman" w:eastAsia="Times New Roman"/>
          <w:b w:val="0"/>
          <w:i/>
          <w:sz w:val="24"/>
        </w:rPr>
        <w:t>moderate</w:t>
      </w:r>
      <w:r>
        <w:rPr>
          <w:rFonts w:ascii="Times New Roman" w:hAnsi="Times New Roman" w:eastAsia="Times New Roman"/>
          <w:b w:val="0"/>
          <w:i w:val="0"/>
          <w:sz w:val="24"/>
        </w:rPr>
        <w:t xml:space="preserve">, </w:t>
      </w:r>
      <w:r>
        <w:rPr>
          <w:rFonts w:ascii="Times New Roman" w:hAnsi="Times New Roman" w:eastAsia="Times New Roman"/>
          <w:b w:val="0"/>
          <w:i/>
          <w:sz w:val="24"/>
        </w:rPr>
        <w:t>low</w:t>
      </w:r>
      <w:r>
        <w:rPr>
          <w:rFonts w:ascii="Times New Roman" w:hAnsi="Times New Roman" w:eastAsia="Times New Roman"/>
          <w:b w:val="0"/>
          <w:i w:val="0"/>
          <w:sz w:val="24"/>
        </w:rPr>
        <w:t xml:space="preserve"> or </w:t>
      </w:r>
      <w:r>
        <w:rPr>
          <w:rFonts w:ascii="Times New Roman" w:hAnsi="Times New Roman" w:eastAsia="Times New Roman"/>
          <w:b w:val="0"/>
          <w:i/>
          <w:sz w:val="24"/>
        </w:rPr>
        <w:t>contained</w:t>
      </w:r>
      <w:r>
        <w:rPr>
          <w:rFonts w:ascii="Times New Roman" w:hAnsi="Times New Roman" w:eastAsia="Times New Roman"/>
          <w:b w:val="0"/>
          <w:i w:val="0"/>
          <w:sz w:val="24"/>
        </w:rPr>
        <w:t>, together with the main route and an estimated breakthrough time. The upward push of water changes with the monsoon, so the breakthrough time is calculated for both the dry-season and the wet-season case, and for the yearly average of the upward push.</w:t>
      </w:r>
    </w:p>
    <w:p>
      <w:pPr>
        <w:spacing w:before="0" w:after="120" w:line="360" w:lineRule="auto"/>
        <w:jc w:val="both"/>
      </w:pPr>
      <w:r>
        <w:rPr>
          <w:rFonts w:ascii="Times New Roman" w:hAnsi="Times New Roman" w:eastAsia="Times New Roman"/>
          <w:b w:val="0"/>
          <w:i w:val="0"/>
          <w:sz w:val="24"/>
        </w:rPr>
        <w:t>A full 3-D model was not built. The chemistry wells have no recorded depth, and there is no deep water-level data in the belt. A 3-D picture drawn from this data would look precise but would not be backed by measurements. The system therefore stays “2.5-D” and says so.</w:t>
      </w:r>
    </w:p>
    <w:p>
      <w:pPr>
        <w:pStyle w:val="Heading2"/>
        <w:keepNext/>
        <w:spacing w:before="200" w:after="120" w:line="276" w:lineRule="auto"/>
        <w:jc w:val="left"/>
      </w:pPr>
      <w:r>
        <w:rPr>
          <w:rFonts w:ascii="Times New Roman" w:hAnsi="Times New Roman" w:eastAsia="Times New Roman"/>
          <w:b/>
          <w:i w:val="0"/>
          <w:sz w:val="24"/>
        </w:rPr>
        <w:t>4.7 Machine Learning Surrogate Model</w:t>
      </w:r>
    </w:p>
    <w:p>
      <w:pPr>
        <w:keepNext/>
        <w:spacing w:before="120" w:after="80" w:line="276" w:lineRule="auto"/>
        <w:jc w:val="left"/>
      </w:pPr>
      <w:r>
        <w:rPr>
          <w:rFonts w:ascii="Times New Roman" w:hAnsi="Times New Roman" w:eastAsia="Times New Roman"/>
          <w:b/>
          <w:i w:val="0"/>
          <w:sz w:val="24"/>
        </w:rPr>
        <w:t>Why a surrogate</w:t>
      </w:r>
    </w:p>
    <w:p>
      <w:pPr>
        <w:spacing w:before="0" w:after="120" w:line="360" w:lineRule="auto"/>
        <w:jc w:val="both"/>
      </w:pPr>
      <w:r>
        <w:rPr>
          <w:rFonts w:ascii="Times New Roman" w:hAnsi="Times New Roman" w:eastAsia="Times New Roman"/>
          <w:b w:val="0"/>
          <w:i w:val="0"/>
          <w:sz w:val="24"/>
        </w:rPr>
        <w:t xml:space="preserve">The proposal planned ML models trained on measured groundwater data. The first pipelines (March–May 2026) did this. However, an audit in June 2026 found that these models were not learning contamination spread at all. The measured records have no distance from any mine and no time since injection, so those fields had been filled with a constant value, and the model was really predicting the natural background uranium. The spread with distance existed only in the synthetic data the project had generated itself (Section 9.3). The ML approach was therefore changed: the physics engine produces the labels, and the ML model learns to copy the engine quickly and give calibrated uncertainty bands. Such a model is called a </w:t>
      </w:r>
      <w:r>
        <w:rPr>
          <w:rFonts w:ascii="Times New Roman" w:hAnsi="Times New Roman" w:eastAsia="Times New Roman"/>
          <w:b w:val="0"/>
          <w:i/>
          <w:sz w:val="24"/>
        </w:rPr>
        <w:t>surrogate</w:t>
      </w:r>
      <w:r>
        <w:rPr>
          <w:rFonts w:ascii="Times New Roman" w:hAnsi="Times New Roman" w:eastAsia="Times New Roman"/>
          <w:b w:val="0"/>
          <w:i w:val="0"/>
          <w:sz w:val="24"/>
        </w:rPr>
        <w:t>.</w:t>
      </w:r>
    </w:p>
    <w:p>
      <w:pPr>
        <w:keepNext/>
        <w:spacing w:before="120" w:after="80" w:line="276" w:lineRule="auto"/>
        <w:jc w:val="left"/>
      </w:pPr>
      <w:r>
        <w:rPr>
          <w:rFonts w:ascii="Times New Roman" w:hAnsi="Times New Roman" w:eastAsia="Times New Roman"/>
          <w:b/>
          <w:i w:val="0"/>
          <w:sz w:val="24"/>
        </w:rPr>
        <w:t>Training data</w:t>
      </w:r>
    </w:p>
    <w:p>
      <w:pPr>
        <w:spacing w:before="0" w:after="120" w:line="360" w:lineRule="auto"/>
        <w:jc w:val="both"/>
      </w:pPr>
      <w:r>
        <w:rPr>
          <w:rFonts w:ascii="Times New Roman" w:hAnsi="Times New Roman" w:eastAsia="Times New Roman"/>
          <w:b w:val="0"/>
          <w:i w:val="0"/>
          <w:sz w:val="24"/>
        </w:rPr>
        <w:t>The training set was produced by the physics engine: 900 scenarios placed on real Jharkhand aquifer polygons, each evaluated at 5 times (2, 5, 8, 12 and 20 years) for 4 chemicals (uranium, sulphate, TDS and radium-226), giving 18,000 rows. Each scenario used 48 Monte Carlo draws to produce its P10, P50 and P90 values. Of the scenarios, 60% took their gradient and fracture values from the real Jharkhand fields at their location, and 40% from wider operating ranges. The data can be regenerated exactly from a fixed random seed.</w:t>
      </w:r>
    </w:p>
    <w:p>
      <w:pPr>
        <w:keepNext/>
        <w:spacing w:before="120" w:after="80" w:line="276" w:lineRule="auto"/>
        <w:jc w:val="left"/>
      </w:pPr>
      <w:r>
        <w:rPr>
          <w:rFonts w:ascii="Times New Roman" w:hAnsi="Times New Roman" w:eastAsia="Times New Roman"/>
          <w:b/>
          <w:i w:val="0"/>
          <w:sz w:val="24"/>
        </w:rPr>
        <w:t>Features</w:t>
      </w:r>
    </w:p>
    <w:p>
      <w:pPr>
        <w:spacing w:before="0" w:after="120" w:line="360" w:lineRule="auto"/>
        <w:jc w:val="both"/>
      </w:pPr>
      <w:r>
        <w:rPr>
          <w:rFonts w:ascii="Times New Roman" w:hAnsi="Times New Roman" w:eastAsia="Times New Roman"/>
          <w:b w:val="0"/>
          <w:i w:val="0"/>
          <w:sz w:val="24"/>
        </w:rPr>
        <w:t>Each row has 40 features, grouped as: rock type; K, gradient, porosity and velocity; Kd and retardation; dispersivity; dimensionless groups (such as pore volumes injected); operating settings (injection rate, bleed, containment, operating years, wellfield width); source and background concentration; restoration and attenuation; the plume front position calculated by the engine; and the chemical type. No map coordinates are used as features. This stops the model from inventing patterns tied to location instead of to physics.</w:t>
      </w:r>
    </w:p>
    <w:p>
      <w:pPr>
        <w:keepNext/>
        <w:spacing w:before="120" w:after="80" w:line="276" w:lineRule="auto"/>
        <w:jc w:val="left"/>
      </w:pPr>
      <w:r>
        <w:rPr>
          <w:rFonts w:ascii="Times New Roman" w:hAnsi="Times New Roman" w:eastAsia="Times New Roman"/>
          <w:b/>
          <w:i w:val="0"/>
          <w:sz w:val="24"/>
        </w:rPr>
        <w:t>Model and training</w:t>
      </w:r>
    </w:p>
    <w:p>
      <w:pPr>
        <w:spacing w:before="0" w:after="120" w:line="360" w:lineRule="auto"/>
        <w:jc w:val="both"/>
      </w:pPr>
      <w:r>
        <w:rPr>
          <w:rFonts w:ascii="Times New Roman" w:hAnsi="Times New Roman" w:eastAsia="Times New Roman"/>
          <w:b w:val="0"/>
          <w:i w:val="0"/>
          <w:sz w:val="24"/>
        </w:rPr>
        <w:t>For each of three targets (footprint area, travel distance and ring concentration), three XGBoost models [37] were trained for the 10th, 50th and 90th percentiles, using the quantile (pinball) loss [38]. A fourth model predicts the excursion probability. This gives ten models in total. The settings were fixed: 450 trees, depth 5, learning rate 0.05. Physical rules were built into the models using monotone constraints. For example, a higher K can only increase the spread, and a higher bleed can only reduce it. Each of these rules was checked against the engine’s own results.</w:t>
      </w:r>
    </w:p>
    <w:p>
      <w:pPr>
        <w:keepNext/>
        <w:spacing w:before="120" w:after="80" w:line="276" w:lineRule="auto"/>
        <w:jc w:val="left"/>
      </w:pPr>
      <w:r>
        <w:rPr>
          <w:rFonts w:ascii="Times New Roman" w:hAnsi="Times New Roman" w:eastAsia="Times New Roman"/>
          <w:b/>
          <w:i w:val="0"/>
          <w:sz w:val="24"/>
        </w:rPr>
        <w:t>Calibrated uncertainty (conformal prediction)</w:t>
      </w:r>
    </w:p>
    <w:p>
      <w:pPr>
        <w:spacing w:before="0" w:after="120" w:line="360" w:lineRule="auto"/>
        <w:jc w:val="both"/>
      </w:pPr>
      <w:r>
        <w:rPr>
          <w:rFonts w:ascii="Times New Roman" w:hAnsi="Times New Roman" w:eastAsia="Times New Roman"/>
          <w:b w:val="0"/>
          <w:i w:val="0"/>
          <w:sz w:val="24"/>
        </w:rPr>
        <w:t>Raw quantile models often give bands that are too narrow. Conformal prediction [39], [40] was used to fix this. On a separate calibration set, the model’s errors are measured, and the bands are widened just enough that at least 80% of new cases fall inside them. The widening is done separately for each rock type and chemical (a “Mondrian” scheme), so that one chemical’s errors do not affect another. The 80% target is checked at the scenario level, which is stricter than checking individual rows.</w:t>
      </w:r>
    </w:p>
    <w:p>
      <w:pPr>
        <w:keepNext/>
        <w:spacing w:before="120" w:after="80" w:line="276" w:lineRule="auto"/>
        <w:jc w:val="left"/>
      </w:pPr>
      <w:r>
        <w:rPr>
          <w:rFonts w:ascii="Times New Roman" w:hAnsi="Times New Roman" w:eastAsia="Times New Roman"/>
          <w:b/>
          <w:i w:val="0"/>
          <w:sz w:val="24"/>
        </w:rPr>
        <w:t>Validation</w:t>
      </w:r>
    </w:p>
    <w:p>
      <w:pPr>
        <w:pStyle w:val="ListBullet"/>
        <w:spacing w:before="0" w:after="40" w:line="312" w:lineRule="auto"/>
        <w:ind w:left="567" w:hanging="283"/>
        <w:jc w:val="both"/>
      </w:pPr>
      <w:r>
        <w:rPr>
          <w:rFonts w:ascii="Times New Roman" w:hAnsi="Times New Roman" w:eastAsia="Times New Roman"/>
          <w:b/>
          <w:i w:val="0"/>
          <w:sz w:val="24"/>
        </w:rPr>
        <w:t>GroupKFold (5 folds) by scenario:</w:t>
      </w:r>
      <w:r>
        <w:rPr>
          <w:rFonts w:ascii="Times New Roman" w:hAnsi="Times New Roman" w:eastAsia="Times New Roman"/>
          <w:b w:val="0"/>
          <w:i w:val="0"/>
          <w:sz w:val="24"/>
        </w:rPr>
        <w:t xml:space="preserve"> all rows from one scenario stay in the same fold, so the model is never tested on a scenario it has already seen.</w:t>
      </w:r>
    </w:p>
    <w:p>
      <w:pPr>
        <w:pStyle w:val="ListBullet"/>
        <w:spacing w:before="0" w:after="40" w:line="312" w:lineRule="auto"/>
        <w:ind w:left="567" w:hanging="283"/>
        <w:jc w:val="both"/>
      </w:pPr>
      <w:r>
        <w:rPr>
          <w:rFonts w:ascii="Times New Roman" w:hAnsi="Times New Roman" w:eastAsia="Times New Roman"/>
          <w:b/>
          <w:i w:val="0"/>
          <w:sz w:val="24"/>
        </w:rPr>
        <w:t>Leave-aquifer-out:</w:t>
      </w:r>
      <w:r>
        <w:rPr>
          <w:rFonts w:ascii="Times New Roman" w:hAnsi="Times New Roman" w:eastAsia="Times New Roman"/>
          <w:b w:val="0"/>
          <w:i w:val="0"/>
          <w:sz w:val="24"/>
        </w:rPr>
        <w:t xml:space="preserve"> whole aquifer polygons (23 groups) are held out to test the model on geology it has never seen.</w:t>
      </w:r>
    </w:p>
    <w:p>
      <w:pPr>
        <w:pStyle w:val="ListBullet"/>
        <w:spacing w:before="0" w:after="40" w:line="312" w:lineRule="auto"/>
        <w:ind w:left="567" w:hanging="283"/>
        <w:jc w:val="both"/>
      </w:pPr>
      <w:r>
        <w:rPr>
          <w:rFonts w:ascii="Times New Roman" w:hAnsi="Times New Roman" w:eastAsia="Times New Roman"/>
          <w:b/>
          <w:i w:val="0"/>
          <w:sz w:val="24"/>
        </w:rPr>
        <w:t>Baselines:</w:t>
      </w:r>
      <w:r>
        <w:rPr>
          <w:rFonts w:ascii="Times New Roman" w:hAnsi="Times New Roman" w:eastAsia="Times New Roman"/>
          <w:b w:val="0"/>
          <w:i w:val="0"/>
          <w:sz w:val="24"/>
        </w:rPr>
        <w:t xml:space="preserve"> a mean predictor, a ridge regression and a single-split tree are tested on the same folds for comparison.</w:t>
      </w:r>
    </w:p>
    <w:p>
      <w:pPr>
        <w:pStyle w:val="ListBullet"/>
        <w:spacing w:before="0" w:after="40" w:line="312" w:lineRule="auto"/>
        <w:ind w:left="567" w:hanging="283"/>
        <w:jc w:val="both"/>
      </w:pPr>
      <w:r>
        <w:rPr>
          <w:rFonts w:ascii="Times New Roman" w:hAnsi="Times New Roman" w:eastAsia="Times New Roman"/>
          <w:b/>
          <w:i w:val="0"/>
          <w:sz w:val="24"/>
        </w:rPr>
        <w:t>Field-location test:</w:t>
      </w:r>
      <w:r>
        <w:rPr>
          <w:rFonts w:ascii="Times New Roman" w:hAnsi="Times New Roman" w:eastAsia="Times New Roman"/>
          <w:b w:val="0"/>
          <w:i w:val="0"/>
          <w:sz w:val="24"/>
        </w:rPr>
        <w:t xml:space="preserve"> a separate batch of 120 scenarios, all placed on real flow and fracture values, must also reach 80% coverage.</w:t>
      </w:r>
    </w:p>
    <w:p>
      <w:pPr>
        <w:spacing w:before="0" w:after="120" w:line="360" w:lineRule="auto"/>
        <w:jc w:val="both"/>
      </w:pPr>
      <w:r>
        <w:rPr>
          <w:rFonts w:ascii="Times New Roman" w:hAnsi="Times New Roman" w:eastAsia="Times New Roman"/>
          <w:b w:val="0"/>
          <w:i w:val="0"/>
          <w:sz w:val="24"/>
        </w:rPr>
        <w:t>SHAP values [41] were used to see which features the model relies on. In the live system, every request compares the ML answer with the engine’s answer, and a drift warning is raised if they start to disagree.</w:t>
      </w:r>
    </w:p>
    <w:p>
      <w:pPr>
        <w:pStyle w:val="Heading2"/>
        <w:keepNext/>
        <w:spacing w:before="200" w:after="120" w:line="276" w:lineRule="auto"/>
        <w:jc w:val="left"/>
      </w:pPr>
      <w:r>
        <w:rPr>
          <w:rFonts w:ascii="Times New Roman" w:hAnsi="Times New Roman" w:eastAsia="Times New Roman"/>
          <w:b/>
          <w:i w:val="0"/>
          <w:sz w:val="24"/>
        </w:rPr>
        <w:t>4.8 Water Quality Assessment</w:t>
      </w:r>
    </w:p>
    <w:p>
      <w:pPr>
        <w:spacing w:before="0" w:after="120" w:line="360" w:lineRule="auto"/>
        <w:jc w:val="both"/>
      </w:pPr>
      <w:r>
        <w:rPr>
          <w:rFonts w:ascii="Times New Roman" w:hAnsi="Times New Roman" w:eastAsia="Times New Roman"/>
          <w:b w:val="0"/>
          <w:i w:val="0"/>
          <w:sz w:val="24"/>
        </w:rPr>
        <w:t xml:space="preserve">The measured water quality is assessed against IS 10500:2012 [13], which gives an </w:t>
      </w:r>
      <w:r>
        <w:rPr>
          <w:rFonts w:ascii="Times New Roman" w:hAnsi="Times New Roman" w:eastAsia="Times New Roman"/>
          <w:b w:val="0"/>
          <w:i/>
          <w:sz w:val="24"/>
        </w:rPr>
        <w:t>acceptable limit</w:t>
      </w:r>
      <w:r>
        <w:rPr>
          <w:rFonts w:ascii="Times New Roman" w:hAnsi="Times New Roman" w:eastAsia="Times New Roman"/>
          <w:b w:val="0"/>
          <w:i w:val="0"/>
          <w:sz w:val="24"/>
        </w:rPr>
        <w:t xml:space="preserve"> and a </w:t>
      </w:r>
      <w:r>
        <w:rPr>
          <w:rFonts w:ascii="Times New Roman" w:hAnsi="Times New Roman" w:eastAsia="Times New Roman"/>
          <w:b w:val="0"/>
          <w:i/>
          <w:sz w:val="24"/>
        </w:rPr>
        <w:t>permissible limit</w:t>
      </w:r>
      <w:r>
        <w:rPr>
          <w:rFonts w:ascii="Times New Roman" w:hAnsi="Times New Roman" w:eastAsia="Times New Roman"/>
          <w:b w:val="0"/>
          <w:i w:val="0"/>
          <w:sz w:val="24"/>
        </w:rPr>
        <w:t xml:space="preserve"> (used when no other source is available) for each substance. For uranium, the limit of 30 µg/L is used [42].</w:t>
      </w:r>
    </w:p>
    <w:p>
      <w:pPr>
        <w:spacing w:before="0" w:after="120" w:line="360" w:lineRule="auto"/>
        <w:jc w:val="both"/>
      </w:pPr>
      <w:r>
        <w:rPr>
          <w:rFonts w:ascii="Times New Roman" w:hAnsi="Times New Roman" w:eastAsia="Times New Roman"/>
          <w:b w:val="0"/>
          <w:i w:val="0"/>
          <w:sz w:val="24"/>
        </w:rPr>
        <w:t xml:space="preserve">Every map and page for residents uses one shared rule to give each block a </w:t>
      </w:r>
      <w:r>
        <w:rPr>
          <w:rFonts w:ascii="Times New Roman" w:hAnsi="Times New Roman" w:eastAsia="Times New Roman"/>
          <w:b/>
          <w:i w:val="0"/>
          <w:sz w:val="24"/>
        </w:rPr>
        <w:t>health band</w:t>
      </w:r>
      <w:r>
        <w:rPr>
          <w:rFonts w:ascii="Times New Roman" w:hAnsi="Times New Roman" w:eastAsia="Times New Roman"/>
          <w:b w:val="0"/>
          <w:i w:val="0"/>
          <w:sz w:val="24"/>
        </w:rPr>
        <w:t>, based on the highest measured value of uranium, nitrate and fluoride in its wells:</w:t>
      </w:r>
    </w:p>
    <w:p>
      <w:pPr>
        <w:pStyle w:val="ListBullet"/>
        <w:spacing w:before="0" w:after="40" w:line="312" w:lineRule="auto"/>
        <w:ind w:left="567" w:hanging="283"/>
        <w:jc w:val="both"/>
      </w:pPr>
      <w:r>
        <w:rPr>
          <w:rFonts w:ascii="Times New Roman" w:hAnsi="Times New Roman" w:eastAsia="Times New Roman"/>
          <w:b/>
          <w:i w:val="0"/>
          <w:sz w:val="24"/>
        </w:rPr>
        <w:t>High concern:</w:t>
      </w:r>
      <w:r>
        <w:rPr>
          <w:rFonts w:ascii="Times New Roman" w:hAnsi="Times New Roman" w:eastAsia="Times New Roman"/>
          <w:b w:val="0"/>
          <w:i w:val="0"/>
          <w:sz w:val="24"/>
        </w:rPr>
        <w:t xml:space="preserve"> any of them is above its permissible (or “no relaxation”) limit.</w:t>
      </w:r>
    </w:p>
    <w:p>
      <w:pPr>
        <w:pStyle w:val="ListBullet"/>
        <w:spacing w:before="0" w:after="40" w:line="312" w:lineRule="auto"/>
        <w:ind w:left="567" w:hanging="283"/>
        <w:jc w:val="both"/>
      </w:pPr>
      <w:r>
        <w:rPr>
          <w:rFonts w:ascii="Times New Roman" w:hAnsi="Times New Roman" w:eastAsia="Times New Roman"/>
          <w:b/>
          <w:i w:val="0"/>
          <w:sz w:val="24"/>
        </w:rPr>
        <w:t>Moderate concern:</w:t>
      </w:r>
      <w:r>
        <w:rPr>
          <w:rFonts w:ascii="Times New Roman" w:hAnsi="Times New Roman" w:eastAsia="Times New Roman"/>
          <w:b w:val="0"/>
          <w:i w:val="0"/>
          <w:sz w:val="24"/>
        </w:rPr>
        <w:t xml:space="preserve"> any of them is above its acceptable limit.</w:t>
      </w:r>
    </w:p>
    <w:p>
      <w:pPr>
        <w:pStyle w:val="ListBullet"/>
        <w:spacing w:before="0" w:after="40" w:line="312" w:lineRule="auto"/>
        <w:ind w:left="567" w:hanging="283"/>
        <w:jc w:val="both"/>
      </w:pPr>
      <w:r>
        <w:rPr>
          <w:rFonts w:ascii="Times New Roman" w:hAnsi="Times New Roman" w:eastAsia="Times New Roman"/>
          <w:b/>
          <w:i w:val="0"/>
          <w:sz w:val="24"/>
        </w:rPr>
        <w:t>Low concern:</w:t>
      </w:r>
      <w:r>
        <w:rPr>
          <w:rFonts w:ascii="Times New Roman" w:hAnsi="Times New Roman" w:eastAsia="Times New Roman"/>
          <w:b w:val="0"/>
          <w:i w:val="0"/>
          <w:sz w:val="24"/>
        </w:rPr>
        <w:t xml:space="preserve"> all tested values are within limits.</w:t>
      </w:r>
    </w:p>
    <w:p>
      <w:pPr>
        <w:pStyle w:val="ListBullet"/>
        <w:spacing w:before="0" w:after="40" w:line="312" w:lineRule="auto"/>
        <w:ind w:left="567" w:hanging="283"/>
        <w:jc w:val="both"/>
      </w:pPr>
      <w:r>
        <w:rPr>
          <w:rFonts w:ascii="Times New Roman" w:hAnsi="Times New Roman" w:eastAsia="Times New Roman"/>
          <w:b/>
          <w:i w:val="0"/>
          <w:sz w:val="24"/>
        </w:rPr>
        <w:t>Not tested (grey, never green):</w:t>
      </w:r>
      <w:r>
        <w:rPr>
          <w:rFonts w:ascii="Times New Roman" w:hAnsi="Times New Roman" w:eastAsia="Times New Roman"/>
          <w:b w:val="0"/>
          <w:i w:val="0"/>
          <w:sz w:val="24"/>
        </w:rPr>
        <w:t xml:space="preserve"> wells exist but none was tested for these substances.</w:t>
      </w:r>
    </w:p>
    <w:p>
      <w:pPr>
        <w:pStyle w:val="ListBullet"/>
        <w:spacing w:before="0" w:after="40" w:line="312" w:lineRule="auto"/>
        <w:ind w:left="567" w:hanging="283"/>
        <w:jc w:val="both"/>
      </w:pPr>
      <w:r>
        <w:rPr>
          <w:rFonts w:ascii="Times New Roman" w:hAnsi="Times New Roman" w:eastAsia="Times New Roman"/>
          <w:b/>
          <w:i w:val="0"/>
          <w:sz w:val="24"/>
        </w:rPr>
        <w:t>No data:</w:t>
      </w:r>
      <w:r>
        <w:rPr>
          <w:rFonts w:ascii="Times New Roman" w:hAnsi="Times New Roman" w:eastAsia="Times New Roman"/>
          <w:b w:val="0"/>
          <w:i w:val="0"/>
          <w:sz w:val="24"/>
        </w:rPr>
        <w:t xml:space="preserve"> the block has no sampled well.</w:t>
      </w:r>
    </w:p>
    <w:p>
      <w:pPr>
        <w:spacing w:before="0" w:after="120" w:line="360" w:lineRule="auto"/>
        <w:jc w:val="both"/>
      </w:pPr>
      <w:r>
        <w:rPr>
          <w:rFonts w:ascii="Times New Roman" w:hAnsi="Times New Roman" w:eastAsia="Times New Roman"/>
          <w:b w:val="0"/>
          <w:i w:val="0"/>
          <w:sz w:val="24"/>
        </w:rPr>
        <w:t>Hardness, calcium, magnesium and TDS are not used for the health band, because they exceed their limits in about two-thirds of the state’s wells due to natural hard-rock chemistry, not pollution. They are still shown on the water-quality page. Every band also shows which substance decided it, and which health-related substances (such as arsenic and iron) were never tested. A water quality index (WQI) [43] is shown only as a secondary figure, together with the substance that dominates it.</w:t>
      </w:r>
    </w:p>
    <w:p>
      <w:pPr>
        <w:spacing w:before="0" w:after="120" w:line="360" w:lineRule="auto"/>
        <w:jc w:val="both"/>
      </w:pPr>
      <w:r>
        <w:rPr>
          <w:rFonts w:ascii="Times New Roman" w:hAnsi="Times New Roman" w:eastAsia="Times New Roman"/>
          <w:b w:val="0"/>
          <w:i w:val="0"/>
          <w:sz w:val="24"/>
        </w:rPr>
        <w:t xml:space="preserve">Two further checks were added. A </w:t>
      </w:r>
      <w:r>
        <w:rPr>
          <w:rFonts w:ascii="Times New Roman" w:hAnsi="Times New Roman" w:eastAsia="Times New Roman"/>
          <w:b/>
          <w:i w:val="0"/>
          <w:sz w:val="24"/>
        </w:rPr>
        <w:t>charge-balance check</w:t>
      </w:r>
      <w:r>
        <w:rPr>
          <w:rFonts w:ascii="Times New Roman" w:hAnsi="Times New Roman" w:eastAsia="Times New Roman"/>
          <w:b w:val="0"/>
          <w:i w:val="0"/>
          <w:sz w:val="24"/>
        </w:rPr>
        <w:t xml:space="preserve"> compares the positive and negative ions in each sample, which is a standard way of checking a laboratory analysis [19]. </w:t>
      </w:r>
      <w:r>
        <w:rPr>
          <w:rFonts w:ascii="Times New Roman" w:hAnsi="Times New Roman" w:eastAsia="Times New Roman"/>
          <w:b/>
          <w:i w:val="0"/>
          <w:sz w:val="24"/>
        </w:rPr>
        <w:t>Trend tests</w:t>
      </w:r>
      <w:r>
        <w:rPr>
          <w:rFonts w:ascii="Times New Roman" w:hAnsi="Times New Roman" w:eastAsia="Times New Roman"/>
          <w:b w:val="0"/>
          <w:i w:val="0"/>
          <w:sz w:val="24"/>
        </w:rPr>
        <w:t xml:space="preserve"> use the Theil–Sen slope [44], [45] and the Mann–Kendall test [46] on the water-level records and on the older 2000–2021 chemistry record [47]. These methods suit short and uneven records. A station with too few readings is reported as “not enough record”, never as “stable”.</w:t>
      </w:r>
    </w:p>
    <w:p>
      <w:pPr>
        <w:pStyle w:val="Heading2"/>
        <w:keepNext/>
        <w:spacing w:before="200" w:after="120" w:line="276" w:lineRule="auto"/>
        <w:jc w:val="left"/>
      </w:pPr>
      <w:r>
        <w:rPr>
          <w:rFonts w:ascii="Times New Roman" w:hAnsi="Times New Roman" w:eastAsia="Times New Roman"/>
          <w:b/>
          <w:i w:val="0"/>
          <w:sz w:val="24"/>
        </w:rPr>
        <w:t>4.9 Alert Generation and Delivery</w:t>
      </w:r>
    </w:p>
    <w:p>
      <w:pPr>
        <w:spacing w:before="0" w:after="120" w:line="360" w:lineRule="auto"/>
        <w:jc w:val="both"/>
      </w:pPr>
      <w:r>
        <w:rPr>
          <w:rFonts w:ascii="Times New Roman" w:hAnsi="Times New Roman" w:eastAsia="Times New Roman"/>
          <w:b w:val="0"/>
          <w:i w:val="0"/>
          <w:sz w:val="24"/>
        </w:rPr>
        <w:t>The alert system has five kinds of alert:</w:t>
      </w:r>
    </w:p>
    <w:p>
      <w:pPr>
        <w:tabs>
          <w:tab w:pos="567" w:val="left"/>
        </w:tabs>
        <w:spacing w:before="0" w:after="60" w:line="336" w:lineRule="auto"/>
        <w:ind w:left="567" w:hanging="397"/>
        <w:jc w:val="both"/>
      </w:pPr>
      <w:r>
        <w:rPr>
          <w:rFonts w:ascii="Times New Roman" w:hAnsi="Times New Roman" w:eastAsia="Times New Roman"/>
          <w:b w:val="0"/>
          <w:i w:val="0"/>
          <w:sz w:val="24"/>
        </w:rPr>
        <w:t>1.</w:t>
        <w:tab/>
      </w:r>
      <w:r>
        <w:rPr>
          <w:rFonts w:ascii="Times New Roman" w:hAnsi="Times New Roman" w:eastAsia="Times New Roman"/>
          <w:b/>
          <w:i w:val="0"/>
          <w:sz w:val="24"/>
        </w:rPr>
        <w:t>Measured exceedance:</w:t>
      </w:r>
      <w:r>
        <w:rPr>
          <w:rFonts w:ascii="Times New Roman" w:hAnsi="Times New Roman" w:eastAsia="Times New Roman"/>
          <w:b w:val="0"/>
          <w:i w:val="0"/>
          <w:sz w:val="24"/>
        </w:rPr>
        <w:t xml:space="preserve"> a laboratory value in a block’s well is above an IS 10500 limit.</w:t>
      </w:r>
    </w:p>
    <w:p>
      <w:pPr>
        <w:tabs>
          <w:tab w:pos="567" w:val="left"/>
        </w:tabs>
        <w:spacing w:before="0" w:after="60" w:line="336" w:lineRule="auto"/>
        <w:ind w:left="567" w:hanging="397"/>
        <w:jc w:val="both"/>
      </w:pPr>
      <w:r>
        <w:rPr>
          <w:rFonts w:ascii="Times New Roman" w:hAnsi="Times New Roman" w:eastAsia="Times New Roman"/>
          <w:b w:val="0"/>
          <w:i w:val="0"/>
          <w:sz w:val="24"/>
        </w:rPr>
        <w:t>2.</w:t>
        <w:tab/>
      </w:r>
      <w:r>
        <w:rPr>
          <w:rFonts w:ascii="Times New Roman" w:hAnsi="Times New Roman" w:eastAsia="Times New Roman"/>
          <w:b/>
          <w:i w:val="0"/>
          <w:sz w:val="24"/>
        </w:rPr>
        <w:t>Published screening:</w:t>
      </w:r>
      <w:r>
        <w:rPr>
          <w:rFonts w:ascii="Times New Roman" w:hAnsi="Times New Roman" w:eastAsia="Times New Roman"/>
          <w:b w:val="0"/>
          <w:i w:val="0"/>
          <w:sz w:val="24"/>
        </w:rPr>
        <w:t xml:space="preserve"> a hypothetical screening was published and its central (P50) footprint touches the block.</w:t>
      </w:r>
    </w:p>
    <w:p>
      <w:pPr>
        <w:tabs>
          <w:tab w:pos="567" w:val="left"/>
        </w:tabs>
        <w:spacing w:before="0" w:after="60" w:line="336" w:lineRule="auto"/>
        <w:ind w:left="567" w:hanging="397"/>
        <w:jc w:val="both"/>
      </w:pPr>
      <w:r>
        <w:rPr>
          <w:rFonts w:ascii="Times New Roman" w:hAnsi="Times New Roman" w:eastAsia="Times New Roman"/>
          <w:b w:val="0"/>
          <w:i w:val="0"/>
          <w:sz w:val="24"/>
        </w:rPr>
        <w:t>3.</w:t>
        <w:tab/>
      </w:r>
      <w:r>
        <w:rPr>
          <w:rFonts w:ascii="Times New Roman" w:hAnsi="Times New Roman" w:eastAsia="Times New Roman"/>
          <w:b/>
          <w:i w:val="0"/>
          <w:sz w:val="24"/>
        </w:rPr>
        <w:t>Possible reach:</w:t>
      </w:r>
      <w:r>
        <w:rPr>
          <w:rFonts w:ascii="Times New Roman" w:hAnsi="Times New Roman" w:eastAsia="Times New Roman"/>
          <w:b w:val="0"/>
          <w:i w:val="0"/>
          <w:sz w:val="24"/>
        </w:rPr>
        <w:t xml:space="preserve"> the block is inside the wider P90 spread but outside the central footprint.</w:t>
      </w:r>
    </w:p>
    <w:p>
      <w:pPr>
        <w:tabs>
          <w:tab w:pos="567" w:val="left"/>
        </w:tabs>
        <w:spacing w:before="0" w:after="60" w:line="336" w:lineRule="auto"/>
        <w:ind w:left="567" w:hanging="397"/>
        <w:jc w:val="both"/>
      </w:pPr>
      <w:r>
        <w:rPr>
          <w:rFonts w:ascii="Times New Roman" w:hAnsi="Times New Roman" w:eastAsia="Times New Roman"/>
          <w:b w:val="0"/>
          <w:i w:val="0"/>
          <w:sz w:val="24"/>
        </w:rPr>
        <w:t>4.</w:t>
        <w:tab/>
      </w:r>
      <w:r>
        <w:rPr>
          <w:rFonts w:ascii="Times New Roman" w:hAnsi="Times New Roman" w:eastAsia="Times New Roman"/>
          <w:b/>
          <w:i w:val="0"/>
          <w:sz w:val="24"/>
        </w:rPr>
        <w:t>Aquifer pathway:</w:t>
      </w:r>
      <w:r>
        <w:rPr>
          <w:rFonts w:ascii="Times New Roman" w:hAnsi="Times New Roman" w:eastAsia="Times New Roman"/>
          <w:b w:val="0"/>
          <w:i w:val="0"/>
          <w:sz w:val="24"/>
        </w:rPr>
        <w:t xml:space="preserve"> the block shares the shallow aquifer that a modelled vertical route would reach, within a distance groundwater could actually travel.</w:t>
      </w:r>
    </w:p>
    <w:p>
      <w:pPr>
        <w:tabs>
          <w:tab w:pos="567" w:val="left"/>
        </w:tabs>
        <w:spacing w:before="0" w:after="60" w:line="336" w:lineRule="auto"/>
        <w:ind w:left="567" w:hanging="397"/>
        <w:jc w:val="both"/>
      </w:pPr>
      <w:r>
        <w:rPr>
          <w:rFonts w:ascii="Times New Roman" w:hAnsi="Times New Roman" w:eastAsia="Times New Roman"/>
          <w:b w:val="0"/>
          <w:i w:val="0"/>
          <w:sz w:val="24"/>
        </w:rPr>
        <w:t>5.</w:t>
        <w:tab/>
      </w:r>
      <w:r>
        <w:rPr>
          <w:rFonts w:ascii="Times New Roman" w:hAnsi="Times New Roman" w:eastAsia="Times New Roman"/>
          <w:b/>
          <w:i w:val="0"/>
          <w:sz w:val="24"/>
        </w:rPr>
        <w:t>Breakthrough due:</w:t>
      </w:r>
      <w:r>
        <w:rPr>
          <w:rFonts w:ascii="Times New Roman" w:hAnsi="Times New Roman" w:eastAsia="Times New Roman"/>
          <w:b w:val="0"/>
          <w:i w:val="0"/>
          <w:sz w:val="24"/>
        </w:rPr>
        <w:t xml:space="preserve"> the modelled breakthrough time of a published site has passed since its injection start date.</w:t>
      </w:r>
    </w:p>
    <w:p>
      <w:pPr>
        <w:spacing w:before="0" w:after="120" w:line="360" w:lineRule="auto"/>
        <w:jc w:val="both"/>
      </w:pPr>
      <w:r>
        <w:rPr>
          <w:rFonts w:ascii="Times New Roman" w:hAnsi="Times New Roman" w:eastAsia="Times New Roman"/>
          <w:b w:val="0"/>
          <w:i w:val="0"/>
          <w:sz w:val="24"/>
        </w:rPr>
        <w:t>Each alert has a tier, based on the IS 10500 limits:</w:t>
      </w:r>
    </w:p>
    <w:p>
      <w:pPr>
        <w:keepNext/>
        <w:spacing w:before="120" w:after="80" w:line="240" w:lineRule="auto"/>
        <w:jc w:val="center"/>
      </w:pPr>
      <w:r>
        <w:rPr>
          <w:rFonts w:ascii="Times New Roman" w:hAnsi="Times New Roman" w:eastAsia="Times New Roman"/>
          <w:b/>
          <w:i w:val="0"/>
          <w:sz w:val="22"/>
        </w:rPr>
        <w:t>Table 4.1: Alert tiers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Tier</w:t>
            </w:r>
          </w:p>
        </w:tc>
        <w:tc>
          <w:tcPr>
            <w:tcW w:type="dxa" w:w="725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When it is used</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Notice</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 published modelled screening touches the block.</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Warning</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 measured value is above the acceptable limit but within the permissible limit; or a modelled possible reach, aquifer pathway or breakthrough-due alert.</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Alert</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 measured value is above the permissible or “no relaxation” limit; or a modelled screening with excursion probability of 0.5 or more.</w:t>
            </w:r>
          </w:p>
        </w:tc>
      </w:tr>
      <w:tr>
        <w:trPr>
          <w:cantSplit w:val="true"/>
        </w:trPr>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Critical</w:t>
            </w:r>
          </w:p>
        </w:tc>
        <w:tc>
          <w:tcPr>
            <w:tcW w:type="dxa" w:w="725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measured value is at least twice the limit, or two or more health substances exceed their limits at the same well (a project-defined rule). A modelled result can never be critical.</w:t>
            </w:r>
          </w:p>
        </w:tc>
      </w:tr>
    </w:tbl>
    <w:p>
      <w:pPr>
        <w:spacing w:after="40"/>
      </w:pPr>
    </w:p>
    <w:p>
      <w:pPr>
        <w:spacing w:before="0" w:after="120" w:line="360" w:lineRule="auto"/>
        <w:jc w:val="both"/>
      </w:pPr>
      <w:r>
        <w:rPr>
          <w:rFonts w:ascii="Times New Roman" w:hAnsi="Times New Roman" w:eastAsia="Times New Roman"/>
          <w:b w:val="0"/>
          <w:i w:val="0"/>
          <w:sz w:val="24"/>
        </w:rPr>
        <w:t>Every alert carries seven fields: the basis (measured or modelled), the driver (substance, value, limit and times-limit), where it is (block, district, well), the tier, the confidence (for example, the laboratory date or the model band), the next action (for example, “re-sample; boiling does not remove nitrate”), and one plain sentence saying what happened.</w:t>
      </w:r>
    </w:p>
    <w:p>
      <w:pPr>
        <w:spacing w:before="0" w:after="120" w:line="360" w:lineRule="auto"/>
        <w:jc w:val="both"/>
      </w:pPr>
      <w:r>
        <w:rPr>
          <w:rFonts w:ascii="Times New Roman" w:hAnsi="Times New Roman" w:eastAsia="Times New Roman"/>
          <w:b w:val="0"/>
          <w:i w:val="0"/>
          <w:sz w:val="24"/>
        </w:rPr>
        <w:t>Residents choose their home block when they register and are subscribed to it. A scheduler runs once every 24 hours. It scans the measured data and sends each new alert by email to every subscriber of that block. Every delivery is recorded (sent, failed or skipped), so the same email is never sent twice, and failed deliveries are retried.</w:t>
      </w:r>
    </w:p>
    <w:p>
      <w:pPr>
        <w:pStyle w:val="Heading2"/>
        <w:keepNext/>
        <w:spacing w:before="200" w:after="120" w:line="276" w:lineRule="auto"/>
        <w:jc w:val="left"/>
      </w:pPr>
      <w:r>
        <w:rPr>
          <w:rFonts w:ascii="Times New Roman" w:hAnsi="Times New Roman" w:eastAsia="Times New Roman"/>
          <w:b/>
          <w:i w:val="0"/>
          <w:sz w:val="24"/>
        </w:rPr>
        <w:t>4.10 Monitoring Gap Analysis and Sensitivity</w:t>
      </w:r>
    </w:p>
    <w:p>
      <w:pPr>
        <w:spacing w:before="0" w:after="120" w:line="360" w:lineRule="auto"/>
        <w:jc w:val="both"/>
      </w:pPr>
      <w:r>
        <w:rPr>
          <w:rFonts w:ascii="Times New Roman" w:hAnsi="Times New Roman" w:eastAsia="Times New Roman"/>
          <w:b w:val="0"/>
          <w:i w:val="0"/>
          <w:sz w:val="24"/>
        </w:rPr>
        <w:t>Every block is given a monitoring-priority score from 0 to 100. The score shows how poorly the block is observed, not how risky the model thinks it is. The weights are shown on screen, so that anyone can see and question them.</w:t>
      </w:r>
    </w:p>
    <w:p>
      <w:pPr>
        <w:keepNext/>
        <w:spacing w:before="120" w:after="80" w:line="240" w:lineRule="auto"/>
        <w:jc w:val="center"/>
      </w:pPr>
      <w:r>
        <w:rPr>
          <w:rFonts w:ascii="Times New Roman" w:hAnsi="Times New Roman" w:eastAsia="Times New Roman"/>
          <w:b/>
          <w:i w:val="0"/>
          <w:sz w:val="22"/>
        </w:rPr>
        <w:t>Table 4.2: Monitoring priority weights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5669"/>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Factor</w:t>
            </w:r>
          </w:p>
        </w:tc>
        <w:tc>
          <w:tcPr>
            <w:tcW w:type="dxa" w:w="3402"/>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Weight (points)</w:t>
            </w:r>
          </w:p>
        </w:tc>
      </w:tr>
      <w:tr>
        <w:trPr>
          <w:cantSplit w:val="true"/>
        </w:trPr>
        <w:tc>
          <w:tcPr>
            <w:tcW w:type="dxa" w:w="566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Block has never been sampled</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30</w:t>
            </w:r>
          </w:p>
        </w:tc>
      </w:tr>
      <w:tr>
        <w:trPr>
          <w:cantSplit w:val="true"/>
        </w:trPr>
        <w:tc>
          <w:tcPr>
            <w:tcW w:type="dxa" w:w="566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Wells sampled but never tested for uranium</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30</w:t>
            </w:r>
          </w:p>
        </w:tc>
      </w:tr>
      <w:tr>
        <w:trPr>
          <w:cantSplit w:val="true"/>
        </w:trPr>
        <w:tc>
          <w:tcPr>
            <w:tcW w:type="dxa" w:w="566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Low number of wells per 100 km²</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w:t>
            </w:r>
          </w:p>
        </w:tc>
      </w:tr>
      <w:tr>
        <w:trPr>
          <w:cantSplit w:val="true"/>
        </w:trPr>
        <w:tc>
          <w:tcPr>
            <w:tcW w:type="dxa" w:w="566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Far from the nearest uranium-tested well (up to 25 km)</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15</w:t>
            </w:r>
          </w:p>
        </w:tc>
      </w:tr>
      <w:tr>
        <w:trPr>
          <w:cantSplit w:val="true"/>
        </w:trPr>
        <w:tc>
          <w:tcPr>
            <w:tcW w:type="dxa" w:w="5669"/>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Close to a registered hypothetical site</w:t>
            </w:r>
          </w:p>
        </w:tc>
        <w:tc>
          <w:tcPr>
            <w:tcW w:type="dxa" w:w="3402"/>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5</w:t>
            </w:r>
          </w:p>
        </w:tc>
      </w:tr>
    </w:tbl>
    <w:p>
      <w:pPr>
        <w:spacing w:after="40"/>
      </w:pPr>
    </w:p>
    <w:p>
      <w:pPr>
        <w:spacing w:before="0" w:after="120" w:line="360" w:lineRule="auto"/>
        <w:jc w:val="both"/>
      </w:pPr>
      <w:r>
        <w:rPr>
          <w:rFonts w:ascii="Times New Roman" w:hAnsi="Times New Roman" w:eastAsia="Times New Roman"/>
          <w:b w:val="0"/>
          <w:i w:val="0"/>
          <w:sz w:val="24"/>
        </w:rPr>
        <w:t>The ranking is based on observation on purpose. The model is least reliable where there is no data, so ranking by predicted risk would send field teams to places the model is already confident about. Along with the ranking, a gap table (block × substance × tested or not) and suggested new well sites are provided.</w:t>
      </w:r>
    </w:p>
    <w:p>
      <w:pPr>
        <w:spacing w:before="0" w:after="120" w:line="360" w:lineRule="auto"/>
        <w:jc w:val="both"/>
      </w:pPr>
      <w:r>
        <w:rPr>
          <w:rFonts w:ascii="Times New Roman" w:hAnsi="Times New Roman" w:eastAsia="Times New Roman"/>
          <w:b w:val="0"/>
          <w:i w:val="0"/>
          <w:sz w:val="24"/>
        </w:rPr>
        <w:t xml:space="preserve">A </w:t>
      </w:r>
      <w:r>
        <w:rPr>
          <w:rFonts w:ascii="Times New Roman" w:hAnsi="Times New Roman" w:eastAsia="Times New Roman"/>
          <w:b/>
          <w:i w:val="0"/>
          <w:sz w:val="24"/>
        </w:rPr>
        <w:t>global sensitivity analysis</w:t>
      </w:r>
      <w:r>
        <w:rPr>
          <w:rFonts w:ascii="Times New Roman" w:hAnsi="Times New Roman" w:eastAsia="Times New Roman"/>
          <w:b w:val="0"/>
          <w:i w:val="0"/>
          <w:sz w:val="24"/>
        </w:rPr>
        <w:t xml:space="preserve"> was also carried out to find which inputs control the model results. Thirteen inputs were varied at three reference sites, and Sobol indices were calculated [48], [49]. All the constants that could not be backed by a local measurement (12 in total) were listed in an </w:t>
      </w:r>
      <w:r>
        <w:rPr>
          <w:rFonts w:ascii="Times New Roman" w:hAnsi="Times New Roman" w:eastAsia="Times New Roman"/>
          <w:b/>
          <w:i w:val="0"/>
          <w:sz w:val="24"/>
        </w:rPr>
        <w:t>assumption register</w:t>
      </w:r>
      <w:r>
        <w:rPr>
          <w:rFonts w:ascii="Times New Roman" w:hAnsi="Times New Roman" w:eastAsia="Times New Roman"/>
          <w:b w:val="0"/>
          <w:i w:val="0"/>
          <w:sz w:val="24"/>
        </w:rPr>
        <w:t>, which is shown inside the portal together with what measurement would be needed to replace each one.</w:t>
      </w:r>
    </w:p>
    <w:p>
      <w:pPr>
        <w:pStyle w:val="Heading2"/>
        <w:keepNext/>
        <w:spacing w:before="200" w:after="120" w:line="276" w:lineRule="auto"/>
        <w:jc w:val="left"/>
      </w:pPr>
      <w:r>
        <w:rPr>
          <w:rFonts w:ascii="Times New Roman" w:hAnsi="Times New Roman" w:eastAsia="Times New Roman"/>
          <w:b/>
          <w:i w:val="0"/>
          <w:sz w:val="24"/>
        </w:rPr>
        <w:t>4.11 Testing and Validation</w:t>
      </w:r>
    </w:p>
    <w:p>
      <w:pPr>
        <w:spacing w:before="0" w:after="120" w:line="360" w:lineRule="auto"/>
        <w:jc w:val="both"/>
      </w:pPr>
      <w:r>
        <w:rPr>
          <w:rFonts w:ascii="Times New Roman" w:hAnsi="Times New Roman" w:eastAsia="Times New Roman"/>
          <w:b w:val="0"/>
          <w:i w:val="0"/>
          <w:sz w:val="24"/>
        </w:rPr>
        <w:t>Testing was carried out at every level:</w:t>
      </w:r>
    </w:p>
    <w:p>
      <w:pPr>
        <w:pStyle w:val="ListBullet"/>
        <w:spacing w:before="0" w:after="40" w:line="312" w:lineRule="auto"/>
        <w:ind w:left="567" w:hanging="283"/>
        <w:jc w:val="both"/>
      </w:pPr>
      <w:r>
        <w:rPr>
          <w:rFonts w:ascii="Times New Roman" w:hAnsi="Times New Roman" w:eastAsia="Times New Roman"/>
          <w:b/>
          <w:i w:val="0"/>
          <w:sz w:val="24"/>
        </w:rPr>
        <w:t>Engine tests (373):</w:t>
      </w:r>
      <w:r>
        <w:rPr>
          <w:rFonts w:ascii="Times New Roman" w:hAnsi="Times New Roman" w:eastAsia="Times New Roman"/>
          <w:b w:val="0"/>
          <w:i w:val="0"/>
          <w:sz w:val="24"/>
        </w:rPr>
        <w:t xml:space="preserve"> physical rules (for example, more bleed never increases the spread), the exact-solution check, restoration behaviour and fixes found in review rounds.</w:t>
      </w:r>
    </w:p>
    <w:p>
      <w:pPr>
        <w:pStyle w:val="ListBullet"/>
        <w:spacing w:before="0" w:after="40" w:line="312" w:lineRule="auto"/>
        <w:ind w:left="567" w:hanging="283"/>
        <w:jc w:val="both"/>
      </w:pPr>
      <w:r>
        <w:rPr>
          <w:rFonts w:ascii="Times New Roman" w:hAnsi="Times New Roman" w:eastAsia="Times New Roman"/>
          <w:b/>
          <w:i w:val="0"/>
          <w:sz w:val="24"/>
        </w:rPr>
        <w:t>Backend tests (522):</w:t>
      </w:r>
      <w:r>
        <w:rPr>
          <w:rFonts w:ascii="Times New Roman" w:hAnsi="Times New Roman" w:eastAsia="Times New Roman"/>
          <w:b w:val="0"/>
          <w:i w:val="0"/>
          <w:sz w:val="24"/>
        </w:rPr>
        <w:t xml:space="preserve"> run against a real PostGIS database; they cover role access for all 152 endpoints, database security, alert tiers, email delivery and retry, and the water-quality module.</w:t>
      </w:r>
    </w:p>
    <w:p>
      <w:pPr>
        <w:pStyle w:val="ListBullet"/>
        <w:spacing w:before="0" w:after="40" w:line="312" w:lineRule="auto"/>
        <w:ind w:left="567" w:hanging="283"/>
        <w:jc w:val="both"/>
      </w:pPr>
      <w:r>
        <w:rPr>
          <w:rFonts w:ascii="Times New Roman" w:hAnsi="Times New Roman" w:eastAsia="Times New Roman"/>
          <w:b/>
          <w:i w:val="0"/>
          <w:sz w:val="24"/>
        </w:rPr>
        <w:t>Review rounds:</w:t>
      </w:r>
      <w:r>
        <w:rPr>
          <w:rFonts w:ascii="Times New Roman" w:hAnsi="Times New Roman" w:eastAsia="Times New Roman"/>
          <w:b w:val="0"/>
          <w:i w:val="0"/>
          <w:sz w:val="24"/>
        </w:rPr>
        <w:t xml:space="preserve"> from July 2026, the system went through several numbered review rounds. Each finding was either fixed and pinned with a test, or shown to be wrong with evidence.</w:t>
      </w:r>
    </w:p>
    <w:p>
      <w:pPr>
        <w:pStyle w:val="ListBullet"/>
        <w:spacing w:before="0" w:after="40" w:line="312" w:lineRule="auto"/>
        <w:ind w:left="567" w:hanging="283"/>
        <w:jc w:val="both"/>
      </w:pPr>
      <w:r>
        <w:rPr>
          <w:rFonts w:ascii="Times New Roman" w:hAnsi="Times New Roman" w:eastAsia="Times New Roman"/>
          <w:b/>
          <w:i w:val="0"/>
          <w:sz w:val="24"/>
        </w:rPr>
        <w:t>Browser testing:</w:t>
      </w:r>
      <w:r>
        <w:rPr>
          <w:rFonts w:ascii="Times New Roman" w:hAnsi="Times New Roman" w:eastAsia="Times New Roman"/>
          <w:b w:val="0"/>
          <w:i w:val="0"/>
          <w:sz w:val="24"/>
        </w:rPr>
        <w:t xml:space="preserve"> every screen was checked for every role by hand.</w:t>
      </w:r>
    </w:p>
    <w:p>
      <w:pPr>
        <w:pStyle w:val="ListBullet"/>
        <w:spacing w:before="0" w:after="40" w:line="312" w:lineRule="auto"/>
        <w:ind w:left="567" w:hanging="283"/>
        <w:jc w:val="both"/>
      </w:pPr>
      <w:r>
        <w:rPr>
          <w:rFonts w:ascii="Times New Roman" w:hAnsi="Times New Roman" w:eastAsia="Times New Roman"/>
          <w:b/>
          <w:i w:val="0"/>
          <w:sz w:val="24"/>
        </w:rPr>
        <w:t>Deployment checks:</w:t>
      </w:r>
      <w:r>
        <w:rPr>
          <w:rFonts w:ascii="Times New Roman" w:hAnsi="Times New Roman" w:eastAsia="Times New Roman"/>
          <w:b w:val="0"/>
          <w:i w:val="0"/>
          <w:sz w:val="24"/>
        </w:rPr>
        <w:t xml:space="preserve"> the deployed system was checked for speed, security settings and correct operation.</w:t>
      </w:r>
    </w:p>
    <w:p>
      <w:pPr>
        <w:pStyle w:val="Heading2"/>
        <w:keepNext/>
        <w:spacing w:before="200" w:after="120" w:line="276" w:lineRule="auto"/>
        <w:jc w:val="left"/>
      </w:pPr>
      <w:r>
        <w:rPr>
          <w:rFonts w:ascii="Times New Roman" w:hAnsi="Times New Roman" w:eastAsia="Times New Roman"/>
          <w:b/>
          <w:i w:val="0"/>
          <w:sz w:val="24"/>
        </w:rPr>
        <w:t>4.12 Methodology Summary</w:t>
      </w:r>
    </w:p>
    <w:p>
      <w:pPr>
        <w:spacing w:before="0" w:after="120" w:line="360" w:lineRule="auto"/>
        <w:jc w:val="both"/>
      </w:pPr>
      <w:r>
        <w:rPr>
          <w:rFonts w:ascii="Times New Roman" w:hAnsi="Times New Roman" w:eastAsia="Times New Roman"/>
          <w:b w:val="0"/>
          <w:i w:val="0"/>
          <w:sz w:val="24"/>
        </w:rPr>
        <w:t>The method combined real local data, standard groundwater physics and machine learning in a way where each part does what it is good at. The physics engine gives answers that can be explained and checked against exact solutions. The ML surrogate gives fast answers with honest uncertainty bands. The assessment, alert and ranking modules turn these results into information that officials and residents can act on. The result is a screening tool that can be used anywhere in Jharkhand, while being clear about which of its numbers are measured, which are modelled, and which could not be checked because no data exists.</w:t>
      </w:r>
    </w:p>
    <w:p>
      <w:r>
        <w:br w:type="page"/>
      </w:r>
    </w:p>
    <w:p>
      <w:pPr>
        <w:pStyle w:val="Heading1"/>
        <w:keepNext/>
        <w:spacing w:before="0" w:after="240" w:line="276" w:lineRule="auto"/>
        <w:jc w:val="left"/>
      </w:pPr>
      <w:r>
        <w:rPr>
          <w:rFonts w:ascii="Times New Roman" w:hAnsi="Times New Roman" w:eastAsia="Times New Roman"/>
          <w:b/>
          <w:i w:val="0"/>
          <w:sz w:val="28"/>
        </w:rPr>
        <w:t>5. TOOLS &amp; TECHNOLOGIES USED</w:t>
      </w:r>
    </w:p>
    <w:p>
      <w:pPr>
        <w:spacing w:before="0" w:after="120" w:line="360" w:lineRule="auto"/>
        <w:jc w:val="both"/>
      </w:pPr>
      <w:r>
        <w:rPr>
          <w:rFonts w:ascii="Times New Roman" w:hAnsi="Times New Roman" w:eastAsia="Times New Roman"/>
          <w:b w:val="0"/>
          <w:i w:val="0"/>
          <w:sz w:val="24"/>
        </w:rPr>
        <w:t>The development of JalDrishti involved programming languages, a web backend framework, a spatial database, scientific and machine learning libraries, a web frontend framework, cloud hosting services, and open datasets from several agencies. Together these made it possible to build a system that runs a groundwater model, trains and serves ML models, stores spatial data securely, and presents the results through a web portal. All the software used is open source or has a free tier, and no hardware was purchased.</w:t>
      </w:r>
    </w:p>
    <w:p>
      <w:pPr>
        <w:pStyle w:val="Heading2"/>
        <w:keepNext/>
        <w:spacing w:before="200" w:after="120" w:line="276" w:lineRule="auto"/>
        <w:jc w:val="left"/>
      </w:pPr>
      <w:r>
        <w:rPr>
          <w:rFonts w:ascii="Times New Roman" w:hAnsi="Times New Roman" w:eastAsia="Times New Roman"/>
          <w:b/>
          <w:i w:val="0"/>
          <w:sz w:val="24"/>
        </w:rPr>
        <w:t>5.1 Programming Languages</w:t>
      </w:r>
    </w:p>
    <w:p>
      <w:pPr>
        <w:keepNext/>
        <w:spacing w:before="120" w:after="80" w:line="240" w:lineRule="auto"/>
        <w:jc w:val="center"/>
      </w:pPr>
      <w:r>
        <w:rPr>
          <w:rFonts w:ascii="Times New Roman" w:hAnsi="Times New Roman" w:eastAsia="Times New Roman"/>
          <w:b/>
          <w:i w:val="0"/>
          <w:sz w:val="22"/>
        </w:rPr>
        <w:t>Table 5.1: Programming languages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255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Language</w:t>
            </w:r>
          </w:p>
        </w:tc>
        <w:tc>
          <w:tcPr>
            <w:tcW w:type="dxa" w:w="6520"/>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Python 3.12</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Physics engine, data preparation, machine learning, backend API and tests</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TypeScript 5.7</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Web portal (frontend) with type checking</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SQL (PostgreSQL / PostGIS)</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Spatial queries, database migrations and row-level security policies</w:t>
            </w:r>
          </w:p>
        </w:tc>
      </w:tr>
      <w:tr>
        <w:trPr>
          <w:cantSplit w:val="true"/>
        </w:trPr>
        <w:tc>
          <w:tcPr>
            <w:tcW w:type="dxa" w:w="255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HTML and CSS</w:t>
            </w:r>
          </w:p>
        </w:tc>
        <w:tc>
          <w:tcPr>
            <w:tcW w:type="dxa" w:w="6520"/>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Page layout and styling of the portal, including light and dark themes</w:t>
            </w:r>
          </w:p>
        </w:tc>
      </w:tr>
    </w:tbl>
    <w:p>
      <w:pPr>
        <w:spacing w:after="40"/>
      </w:pPr>
    </w:p>
    <w:p>
      <w:pPr>
        <w:keepNext/>
        <w:spacing w:before="120" w:after="80" w:line="276" w:lineRule="auto"/>
        <w:jc w:val="left"/>
      </w:pPr>
      <w:r>
        <w:rPr>
          <w:rFonts w:ascii="Times New Roman" w:hAnsi="Times New Roman" w:eastAsia="Times New Roman"/>
          <w:b/>
          <w:i w:val="0"/>
          <w:sz w:val="24"/>
        </w:rPr>
        <w:t>Python</w:t>
      </w:r>
    </w:p>
    <w:p>
      <w:pPr>
        <w:spacing w:before="0" w:after="120" w:line="360" w:lineRule="auto"/>
        <w:jc w:val="both"/>
      </w:pPr>
      <w:r>
        <w:rPr>
          <w:rFonts w:ascii="Times New Roman" w:hAnsi="Times New Roman" w:eastAsia="Times New Roman"/>
          <w:b w:val="0"/>
          <w:i w:val="0"/>
          <w:sz w:val="24"/>
        </w:rPr>
        <w:t>Python was used for most of the project. The physics engine, the synthetic data generator, the ML training pipeline and the backend server are all written in Python, because it has strong scientific libraries (NumPy, SciPy, pandas) and good support for web APIs (FastAPI).</w:t>
      </w:r>
    </w:p>
    <w:p>
      <w:pPr>
        <w:keepNext/>
        <w:spacing w:before="120" w:after="80" w:line="276" w:lineRule="auto"/>
        <w:jc w:val="left"/>
      </w:pPr>
      <w:r>
        <w:rPr>
          <w:rFonts w:ascii="Times New Roman" w:hAnsi="Times New Roman" w:eastAsia="Times New Roman"/>
          <w:b/>
          <w:i w:val="0"/>
          <w:sz w:val="24"/>
        </w:rPr>
        <w:t>TypeScript</w:t>
      </w:r>
    </w:p>
    <w:p>
      <w:pPr>
        <w:spacing w:before="0" w:after="120" w:line="360" w:lineRule="auto"/>
        <w:jc w:val="both"/>
      </w:pPr>
      <w:r>
        <w:rPr>
          <w:rFonts w:ascii="Times New Roman" w:hAnsi="Times New Roman" w:eastAsia="Times New Roman"/>
          <w:b w:val="0"/>
          <w:i w:val="0"/>
          <w:sz w:val="24"/>
        </w:rPr>
        <w:t>TypeScript was used for the portal. Its type checking catches mistakes when the shape of the data sent by the backend changes, which happened often during development.</w:t>
      </w:r>
    </w:p>
    <w:p>
      <w:pPr>
        <w:pStyle w:val="Heading2"/>
        <w:keepNext/>
        <w:spacing w:before="200" w:after="120" w:line="276" w:lineRule="auto"/>
        <w:jc w:val="left"/>
      </w:pPr>
      <w:r>
        <w:rPr>
          <w:rFonts w:ascii="Times New Roman" w:hAnsi="Times New Roman" w:eastAsia="Times New Roman"/>
          <w:b/>
          <w:i w:val="0"/>
          <w:sz w:val="24"/>
        </w:rPr>
        <w:t>5.2 Backend Technologies</w:t>
      </w:r>
    </w:p>
    <w:p>
      <w:pPr>
        <w:keepNext/>
        <w:spacing w:before="120" w:after="80" w:line="240" w:lineRule="auto"/>
        <w:jc w:val="center"/>
      </w:pPr>
      <w:r>
        <w:rPr>
          <w:rFonts w:ascii="Times New Roman" w:hAnsi="Times New Roman" w:eastAsia="Times New Roman"/>
          <w:b/>
          <w:i w:val="0"/>
          <w:sz w:val="22"/>
        </w:rPr>
        <w:t>Table 5.2: Backend technologies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Technology</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FastAPI 0.115</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Asynchronous REST API framework with automatic API documentation [50]</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Uvicorn</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ASGI server that runs the FastAPI application</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SQLAlchemy 2.0 + asyncpg</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Database access from Python (asynchronous)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GeoAlchemy2</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Spatial (geometry) columns in SQLAlchemy models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Alembic 1.14</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Database schema migrations (26 migrations in total)</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Pydantic 2</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Request and response validation, settings management</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python-jose</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JSON Web Tokens (JWT) for login sessions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passlib + argon2</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Secure password hashing</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slowapi</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Rate limiting of API requests (for example, on login)</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loguru</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Application logging</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smtplib (Python standard library)</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Sending alert emails through an SMTP relay</w:t>
            </w:r>
          </w:p>
        </w:tc>
      </w:tr>
    </w:tbl>
    <w:p>
      <w:pPr>
        <w:spacing w:after="40"/>
      </w:pPr>
    </w:p>
    <w:p>
      <w:pPr>
        <w:keepNext/>
        <w:spacing w:before="120" w:after="80" w:line="276" w:lineRule="auto"/>
        <w:jc w:val="left"/>
      </w:pPr>
      <w:r>
        <w:rPr>
          <w:rFonts w:ascii="Times New Roman" w:hAnsi="Times New Roman" w:eastAsia="Times New Roman"/>
          <w:b/>
          <w:i w:val="0"/>
          <w:sz w:val="24"/>
        </w:rPr>
        <w:t>FastAPI</w:t>
      </w:r>
    </w:p>
    <w:p>
      <w:pPr>
        <w:spacing w:before="0" w:after="120" w:line="360" w:lineRule="auto"/>
        <w:jc w:val="both"/>
      </w:pPr>
      <w:r>
        <w:rPr>
          <w:rFonts w:ascii="Times New Roman" w:hAnsi="Times New Roman" w:eastAsia="Times New Roman"/>
          <w:b w:val="0"/>
          <w:i w:val="0"/>
          <w:sz w:val="24"/>
        </w:rPr>
        <w:t>FastAPI was chosen because it is fast, supports asynchronous code, and creates interactive API documentation automatically. The backend was first started in Node.js in November 2025 and moved to FastAPI in December 2025. Using Python for both the backend and the ML code kept the whole system in one language.</w:t>
      </w:r>
    </w:p>
    <w:p>
      <w:pPr>
        <w:keepNext/>
        <w:spacing w:before="120" w:after="80" w:line="276" w:lineRule="auto"/>
        <w:jc w:val="left"/>
      </w:pPr>
      <w:r>
        <w:rPr>
          <w:rFonts w:ascii="Times New Roman" w:hAnsi="Times New Roman" w:eastAsia="Times New Roman"/>
          <w:b/>
          <w:i w:val="0"/>
          <w:sz w:val="24"/>
        </w:rPr>
        <w:t>Authentication and security</w:t>
      </w:r>
    </w:p>
    <w:p>
      <w:pPr>
        <w:spacing w:before="0" w:after="120" w:line="360" w:lineRule="auto"/>
        <w:jc w:val="both"/>
      </w:pPr>
      <w:r>
        <w:rPr>
          <w:rFonts w:ascii="Times New Roman" w:hAnsi="Times New Roman" w:eastAsia="Times New Roman"/>
          <w:b w:val="0"/>
          <w:i w:val="0"/>
          <w:sz w:val="24"/>
        </w:rPr>
        <w:t>Users log in with JWT tokens. Passwords are hashed with argon2. The user’s role is read again from the database on every request instead of being trusted from the token. Rate limiting protects the login endpoint from repeated password guessing.</w:t>
      </w:r>
    </w:p>
    <w:p>
      <w:pPr>
        <w:pStyle w:val="Heading2"/>
        <w:keepNext/>
        <w:spacing w:before="200" w:after="120" w:line="276" w:lineRule="auto"/>
        <w:jc w:val="left"/>
      </w:pPr>
      <w:r>
        <w:rPr>
          <w:rFonts w:ascii="Times New Roman" w:hAnsi="Times New Roman" w:eastAsia="Times New Roman"/>
          <w:b/>
          <w:i w:val="0"/>
          <w:sz w:val="24"/>
        </w:rPr>
        <w:t>5.3 Database</w:t>
      </w:r>
    </w:p>
    <w:p>
      <w:pPr>
        <w:keepNext/>
        <w:spacing w:before="120" w:after="80" w:line="240" w:lineRule="auto"/>
        <w:jc w:val="center"/>
      </w:pPr>
      <w:r>
        <w:rPr>
          <w:rFonts w:ascii="Times New Roman" w:hAnsi="Times New Roman" w:eastAsia="Times New Roman"/>
          <w:b/>
          <w:i w:val="0"/>
          <w:sz w:val="22"/>
        </w:rPr>
        <w:t>Table 5.3: Database technologies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Technology</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PostgreSQL 16</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Main relational database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PostGIS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Spatial data types and queries (points, polygons, “which block contains this well”) [51]</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Row-Level Security (RLS)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Database-level rules that decide which rows each role can read or change</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Neon</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Managed cloud hosting for the PostgreSQL database</w:t>
            </w:r>
          </w:p>
        </w:tc>
      </w:tr>
    </w:tbl>
    <w:p>
      <w:pPr>
        <w:spacing w:after="40"/>
      </w:pPr>
    </w:p>
    <w:p>
      <w:pPr>
        <w:spacing w:before="0" w:after="120" w:line="360" w:lineRule="auto"/>
        <w:jc w:val="both"/>
      </w:pPr>
      <w:r>
        <w:rPr>
          <w:rFonts w:ascii="Times New Roman" w:hAnsi="Times New Roman" w:eastAsia="Times New Roman"/>
          <w:b w:val="0"/>
          <w:i w:val="0"/>
          <w:sz w:val="24"/>
        </w:rPr>
        <w:t>PostGIS was essential because almost everything in the project is spatial: wells, blocks, districts, aquifers, deposit outlines and plume footprints. For example, an alert is raised for a block when the plume footprint polygon intersects the block polygon, which is a single PostGIS query. Row-level security gives a second line of protection: even if an API check were missed, the database itself refuses to show a resident a hypothetical site coordinate or a draft screening.</w:t>
      </w:r>
    </w:p>
    <w:p>
      <w:pPr>
        <w:pStyle w:val="Heading2"/>
        <w:keepNext/>
        <w:spacing w:before="200" w:after="120" w:line="276" w:lineRule="auto"/>
        <w:jc w:val="left"/>
      </w:pPr>
      <w:r>
        <w:rPr>
          <w:rFonts w:ascii="Times New Roman" w:hAnsi="Times New Roman" w:eastAsia="Times New Roman"/>
          <w:b/>
          <w:i w:val="0"/>
          <w:sz w:val="24"/>
        </w:rPr>
        <w:t>5.4 Machine Learning and Scientific Libraries</w:t>
      </w:r>
    </w:p>
    <w:p>
      <w:pPr>
        <w:keepNext/>
        <w:spacing w:before="120" w:after="80" w:line="240" w:lineRule="auto"/>
        <w:jc w:val="center"/>
      </w:pPr>
      <w:r>
        <w:rPr>
          <w:rFonts w:ascii="Times New Roman" w:hAnsi="Times New Roman" w:eastAsia="Times New Roman"/>
          <w:b/>
          <w:i w:val="0"/>
          <w:sz w:val="22"/>
        </w:rPr>
        <w:t>Table 5.4: Machine learning and scientific libraries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Library</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NumPy 1.26</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Numerical arrays and the physics calculations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SciPy 1.13</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Special functions (erf, erfc), statistics and integration</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pandas 2.2</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Reading and cleaning tabular data (CSV, Excel)</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GeoPandas 1.0 / Shapely 2.0</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Reading map data (GeoJSON, shapefiles) and geometry operations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XGBoost 3.3</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Gradient-boosted tree models for the quantile surrogate [37]</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scikit-learn 1.5</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Cross-validation, baseline models and metrics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SHAP</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Explaining which features the ML model relies on [41]</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joblib</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Saving and loading trained models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Matplotlib</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Charts for flow field, fracture field, SHAP and sensitivity results</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openpyxl</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Reading the Texas ISR Excel data and the IAEA UDEPO sheet</w:t>
            </w:r>
          </w:p>
        </w:tc>
      </w:tr>
    </w:tbl>
    <w:p>
      <w:pPr>
        <w:spacing w:after="40"/>
      </w:pPr>
    </w:p>
    <w:p>
      <w:pPr>
        <w:keepNext/>
        <w:spacing w:before="120" w:after="80" w:line="276" w:lineRule="auto"/>
        <w:jc w:val="left"/>
      </w:pPr>
      <w:r>
        <w:rPr>
          <w:rFonts w:ascii="Times New Roman" w:hAnsi="Times New Roman" w:eastAsia="Times New Roman"/>
          <w:b/>
          <w:i w:val="0"/>
          <w:sz w:val="24"/>
        </w:rPr>
        <w:t>XGBoost</w:t>
      </w:r>
    </w:p>
    <w:p>
      <w:pPr>
        <w:spacing w:before="0" w:after="120" w:line="360" w:lineRule="auto"/>
        <w:jc w:val="both"/>
      </w:pPr>
      <w:r>
        <w:rPr>
          <w:rFonts w:ascii="Times New Roman" w:hAnsi="Times New Roman" w:eastAsia="Times New Roman"/>
          <w:b w:val="0"/>
          <w:i w:val="0"/>
          <w:sz w:val="24"/>
        </w:rPr>
        <w:t>XGBoost was chosen over the Random Forest and SVM models named in the proposal for three reasons: it supports quantile (percentile) training directly, it allows monotone constraints so that physical rules can be built into the model, and it trains quickly (all ten models train in about 200 seconds). Random Forest and logistic regression were used in the earlier pipelines of March to May 2026 (Chapter 6).</w:t>
      </w:r>
    </w:p>
    <w:p>
      <w:pPr>
        <w:pStyle w:val="Heading2"/>
        <w:keepNext/>
        <w:spacing w:before="200" w:after="120" w:line="276" w:lineRule="auto"/>
        <w:jc w:val="left"/>
      </w:pPr>
      <w:r>
        <w:rPr>
          <w:rFonts w:ascii="Times New Roman" w:hAnsi="Times New Roman" w:eastAsia="Times New Roman"/>
          <w:b/>
          <w:i w:val="0"/>
          <w:sz w:val="24"/>
        </w:rPr>
        <w:t>5.5 Frontend Technologies</w:t>
      </w:r>
    </w:p>
    <w:p>
      <w:pPr>
        <w:keepNext/>
        <w:spacing w:before="120" w:after="80" w:line="240" w:lineRule="auto"/>
        <w:jc w:val="center"/>
      </w:pPr>
      <w:r>
        <w:rPr>
          <w:rFonts w:ascii="Times New Roman" w:hAnsi="Times New Roman" w:eastAsia="Times New Roman"/>
          <w:b/>
          <w:i w:val="0"/>
          <w:sz w:val="22"/>
        </w:rPr>
        <w:t>Table 5.5: Frontend technologies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Technology</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React 18</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Component-based user interface [52]</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Vite 6</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Fast development server and production build tool</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Leaflet 1.9</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Interactive maps: districts, blocks, wells, plumes and alerts [53]</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TanStack Query 5</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Fetching and caching data from the API</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React Router 6</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Page navigation for the 22 screens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html2pdf.js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Downloading the ISR site report as a PDF</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OpenStreetMap and Esri tiles</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Background maps (street and satellite views)</w:t>
            </w:r>
          </w:p>
        </w:tc>
      </w:tr>
    </w:tbl>
    <w:p>
      <w:pPr>
        <w:spacing w:after="40"/>
      </w:pPr>
    </w:p>
    <w:p>
      <w:pPr>
        <w:spacing w:before="0" w:after="120" w:line="360" w:lineRule="auto"/>
        <w:jc w:val="both"/>
      </w:pPr>
      <w:r>
        <w:rPr>
          <w:rFonts w:ascii="Times New Roman" w:hAnsi="Times New Roman" w:eastAsia="Times New Roman"/>
          <w:b w:val="0"/>
          <w:i w:val="0"/>
          <w:sz w:val="24"/>
        </w:rPr>
        <w:t>The portal has a public front page and a role-based application behind the login. It supports a light and a dark theme. Every colour is defined in one place, so that both themes stay consistent.</w:t>
      </w:r>
    </w:p>
    <w:p>
      <w:pPr>
        <w:pStyle w:val="Heading2"/>
        <w:keepNext/>
        <w:spacing w:before="200" w:after="120" w:line="276" w:lineRule="auto"/>
        <w:jc w:val="left"/>
      </w:pPr>
      <w:r>
        <w:rPr>
          <w:rFonts w:ascii="Times New Roman" w:hAnsi="Times New Roman" w:eastAsia="Times New Roman"/>
          <w:b/>
          <w:i w:val="0"/>
          <w:sz w:val="24"/>
        </w:rPr>
        <w:t>5.6 Deployment and Hosting</w:t>
      </w:r>
    </w:p>
    <w:p>
      <w:pPr>
        <w:keepNext/>
        <w:spacing w:before="120" w:after="80" w:line="240" w:lineRule="auto"/>
        <w:jc w:val="center"/>
      </w:pPr>
      <w:r>
        <w:rPr>
          <w:rFonts w:ascii="Times New Roman" w:hAnsi="Times New Roman" w:eastAsia="Times New Roman"/>
          <w:b/>
          <w:i w:val="0"/>
          <w:sz w:val="22"/>
        </w:rPr>
        <w:t>Table 5.6: Deployment and hosting services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Service</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Neon</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Managed PostgreSQL + PostGIS database in the cloud</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Render</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Hosting of the FastAPI backend, the physics engine and the trained models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Cloudflare Workers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Hosting of the portal and forwarding of API calls to the backend</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Brevo (SMTP relay)</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Sending alert emails to residents</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GitHub</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Source code hosting and version control (173 commits)</w:t>
            </w:r>
          </w:p>
        </w:tc>
      </w:tr>
    </w:tbl>
    <w:p>
      <w:pPr>
        <w:spacing w:after="40"/>
      </w:pPr>
    </w:p>
    <w:p>
      <w:pPr>
        <w:spacing w:before="0" w:after="120" w:line="360" w:lineRule="auto"/>
        <w:jc w:val="both"/>
      </w:pPr>
      <w:r>
        <w:rPr>
          <w:rFonts w:ascii="Times New Roman" w:hAnsi="Times New Roman" w:eastAsia="Times New Roman"/>
          <w:b w:val="0"/>
          <w:i w:val="0"/>
          <w:sz w:val="24"/>
        </w:rPr>
        <w:t>The deployed system is available at jaldrishti.letsmailvishal111.workers.dev (portal) and jaldrishti-api.onrender.com (API).</w:t>
      </w:r>
    </w:p>
    <w:p>
      <w:pPr>
        <w:pStyle w:val="Heading2"/>
        <w:keepNext/>
        <w:spacing w:before="200" w:after="120" w:line="276" w:lineRule="auto"/>
        <w:jc w:val="left"/>
      </w:pPr>
      <w:r>
        <w:rPr>
          <w:rFonts w:ascii="Times New Roman" w:hAnsi="Times New Roman" w:eastAsia="Times New Roman"/>
          <w:b/>
          <w:i w:val="0"/>
          <w:sz w:val="24"/>
        </w:rPr>
        <w:t>5.7 Data Sources</w:t>
      </w:r>
    </w:p>
    <w:p>
      <w:pPr>
        <w:keepNext/>
        <w:spacing w:before="120" w:after="80" w:line="240" w:lineRule="auto"/>
        <w:jc w:val="center"/>
      </w:pPr>
      <w:r>
        <w:rPr>
          <w:rFonts w:ascii="Times New Roman" w:hAnsi="Times New Roman" w:eastAsia="Times New Roman"/>
          <w:b/>
          <w:i w:val="0"/>
          <w:sz w:val="22"/>
        </w:rPr>
        <w:t>Table 5.7: Datasets used in the project</w:t>
      </w:r>
    </w:p>
    <w:tbl>
      <w:tblPr>
        <w:tblW w:type="auto" w:w="0"/>
        <w:jc w:val="center"/>
        <w:tblLayout w:type="fixed"/>
        <w:tblLook w:firstColumn="1" w:firstRow="1" w:lastColumn="0" w:lastRow="0" w:noHBand="0" w:noVBand="1" w:val="04A0"/>
      </w:tblPr>
      <w:tblGrid>
        <w:gridCol w:w="2929"/>
        <w:gridCol w:w="2929"/>
        <w:gridCol w:w="2929"/>
      </w:tblGrid>
      <w:tr>
        <w:trPr>
          <w:tblHeader w:val="true"/>
          <w:cantSplit w:val="true"/>
        </w:trPr>
        <w:tc>
          <w:tcPr>
            <w:tcW w:type="dxa" w:w="238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Dataset</w:t>
            </w:r>
          </w:p>
        </w:tc>
        <w:tc>
          <w:tcPr>
            <w:tcW w:type="dxa" w:w="238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Source</w:t>
            </w:r>
          </w:p>
        </w:tc>
        <w:tc>
          <w:tcPr>
            <w:tcW w:type="dxa" w:w="4309"/>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Used for</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quality 2023 (397 wells, 24 districts)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[14]</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IS 10500 assessment, health bands, measured alerts, background chemistry</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quality 2000–2021 (1,632 analyses, 366 stations)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via NWDP [47]</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Station baselines and chemistry trends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levels 2013–2021 (9,583 readings, 398 stations)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 India-WRIS [3]</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Flow field, seasonal change, level trends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Aquifer polygons (24)</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Rock type, K, porosity, thickness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NAQUIM reports (22)</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[1]</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Aquifer layer depths per district</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Lineaments (1,889 features)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GSI and NRSC, Bhuvan [21]</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Fracture directions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 deposits (7 outlines + belt) and grades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Project-digitised outlines; IAEA UDEPO [4]</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Ore zones and source strength</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Elevation model (GLO-30, 30 m)</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ESA Copernicus via OpenTopography [20]</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Water-table height and flow direction</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Perennial rivers (4,577 reaches)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HydroRIVERS [24]</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Distance to rivers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District and block boundaries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Government of India</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Block-level results and alerts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Texas ISR water quality and operations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USGS [9], [23]</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Source strength, restoration results and duration</w:t>
            </w:r>
          </w:p>
        </w:tc>
      </w:tr>
      <w:tr>
        <w:trPr>
          <w:cantSplit w:val="true"/>
        </w:trPr>
        <w:tc>
          <w:tcPr>
            <w:tcW w:type="dxa" w:w="238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Jaduguda mine-water and radium studies</w:t>
            </w:r>
          </w:p>
        </w:tc>
        <w:tc>
          <w:tcPr>
            <w:tcW w:type="dxa" w:w="238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BARC [54], [5]</w:t>
            </w:r>
          </w:p>
        </w:tc>
        <w:tc>
          <w:tcPr>
            <w:tcW w:type="dxa" w:w="4309"/>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Radium source and background</w:t>
            </w:r>
          </w:p>
        </w:tc>
      </w:tr>
    </w:tbl>
    <w:p>
      <w:pPr>
        <w:spacing w:after="40"/>
      </w:pPr>
    </w:p>
    <w:p>
      <w:pPr>
        <w:pStyle w:val="Heading2"/>
        <w:keepNext/>
        <w:spacing w:before="200" w:after="120" w:line="276" w:lineRule="auto"/>
        <w:jc w:val="left"/>
      </w:pPr>
      <w:r>
        <w:rPr>
          <w:rFonts w:ascii="Times New Roman" w:hAnsi="Times New Roman" w:eastAsia="Times New Roman"/>
          <w:b/>
          <w:i w:val="0"/>
          <w:sz w:val="24"/>
        </w:rPr>
        <w:t>5.8 Development and Testing Tools</w:t>
      </w:r>
    </w:p>
    <w:p>
      <w:pPr>
        <w:keepNext/>
        <w:spacing w:before="120" w:after="80" w:line="240" w:lineRule="auto"/>
        <w:jc w:val="center"/>
      </w:pPr>
      <w:r>
        <w:rPr>
          <w:rFonts w:ascii="Times New Roman" w:hAnsi="Times New Roman" w:eastAsia="Times New Roman"/>
          <w:b/>
          <w:i w:val="0"/>
          <w:sz w:val="22"/>
        </w:rPr>
        <w:t>Table 5.8: Development and testing tools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Tool</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Git and GitHub</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Version control, pull requests and code history</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Visual Studio Code</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Code editor</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pytest, pytest-asyncio, httpx</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Automated tests for the engine (373) and the backend (522)</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Swagger UI (FastAPI)</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Testing API endpoints in the browser</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Docker</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Local database and service setup in the early months</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Browser developer tools</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Checking the portal screens, network calls and console errors</w:t>
            </w:r>
          </w:p>
        </w:tc>
      </w:tr>
    </w:tbl>
    <w:p>
      <w:pPr>
        <w:spacing w:after="40"/>
      </w:pPr>
    </w:p>
    <w:p>
      <w:pPr>
        <w:pStyle w:val="Heading2"/>
        <w:keepNext/>
        <w:spacing w:before="200" w:after="120" w:line="276" w:lineRule="auto"/>
        <w:jc w:val="left"/>
      </w:pPr>
      <w:r>
        <w:rPr>
          <w:rFonts w:ascii="Times New Roman" w:hAnsi="Times New Roman" w:eastAsia="Times New Roman"/>
          <w:b/>
          <w:i w:val="0"/>
          <w:sz w:val="24"/>
        </w:rPr>
        <w:t>5.9 Technology Integration</w:t>
      </w:r>
    </w:p>
    <w:p>
      <w:pPr>
        <w:spacing w:before="0" w:after="120" w:line="360" w:lineRule="auto"/>
        <w:jc w:val="both"/>
      </w:pPr>
      <w:r>
        <w:rPr>
          <w:rFonts w:ascii="Times New Roman" w:hAnsi="Times New Roman" w:eastAsia="Times New Roman"/>
          <w:b w:val="0"/>
          <w:i w:val="0"/>
          <w:sz w:val="24"/>
        </w:rPr>
        <w:t>All the tools above work together as one system. The overall technology workflow can be shown as:</w:t>
      </w:r>
    </w:p>
    <w:p>
      <w:pPr>
        <w:keepNext/>
        <w:spacing w:before="0" w:after="0" w:line="288" w:lineRule="auto"/>
        <w:jc w:val="center"/>
      </w:pPr>
      <w:r>
        <w:rPr>
          <w:rFonts w:ascii="Times New Roman" w:hAnsi="Times New Roman" w:eastAsia="Times New Roman"/>
          <w:b/>
          <w:i w:val="0"/>
          <w:sz w:val="24"/>
        </w:rPr>
        <w:t>Open Datasets (CGWB, GSI–NRSC, IAEA, USGS, Copernicus)</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Python Data Preparation (pandas, GeoPandas, NumPy)</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Physics Engine (NumPy, SciPy)</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ML Surrogate (XGBoost, scikit-learn, SHAP)</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FastAPI Backend + PostgreSQL / PostGIS</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React + Leaflet Portal</w:t>
      </w:r>
    </w:p>
    <w:p>
      <w:pPr>
        <w:keepNext/>
        <w:spacing w:before="0" w:after="0" w:line="240" w:lineRule="auto"/>
        <w:jc w:val="center"/>
      </w:pPr>
      <w:r>
        <w:rPr>
          <w:rFonts w:ascii="Times New Roman" w:hAnsi="Times New Roman" w:eastAsia="Times New Roman"/>
          <w:sz w:val="28"/>
        </w:rPr>
        <w:t>↓</w:t>
      </w:r>
    </w:p>
    <w:p>
      <w:pPr>
        <w:spacing w:before="0" w:after="0" w:line="288" w:lineRule="auto"/>
        <w:jc w:val="center"/>
      </w:pPr>
      <w:r>
        <w:rPr>
          <w:rFonts w:ascii="Times New Roman" w:hAnsi="Times New Roman" w:eastAsia="Times New Roman"/>
          <w:b/>
          <w:i w:val="0"/>
          <w:sz w:val="24"/>
        </w:rPr>
        <w:t>Residents and Officials (web portal and email alerts)</w:t>
      </w:r>
    </w:p>
    <w:p>
      <w:pPr>
        <w:spacing w:after="80"/>
      </w:pPr>
    </w:p>
    <w:p>
      <w:pPr>
        <w:spacing w:before="0" w:after="120" w:line="360" w:lineRule="auto"/>
        <w:jc w:val="both"/>
      </w:pPr>
      <w:r>
        <w:rPr>
          <w:rFonts w:ascii="Times New Roman" w:hAnsi="Times New Roman" w:eastAsia="Times New Roman"/>
          <w:b w:val="0"/>
          <w:i w:val="0"/>
          <w:sz w:val="24"/>
        </w:rPr>
        <w:t>The selected tools gave a low-cost, flexible and maintainable platform for building a groundwater contamination screening system that can be used anywhere in Jharkhand.</w:t>
      </w:r>
    </w:p>
    <w:p>
      <w:r>
        <w:br w:type="page"/>
      </w:r>
    </w:p>
    <w:p>
      <w:pPr>
        <w:pStyle w:val="Heading1"/>
        <w:keepNext/>
        <w:spacing w:before="0" w:after="240" w:line="276" w:lineRule="auto"/>
        <w:jc w:val="left"/>
      </w:pPr>
      <w:r>
        <w:rPr>
          <w:rFonts w:ascii="Times New Roman" w:hAnsi="Times New Roman" w:eastAsia="Times New Roman"/>
          <w:b/>
          <w:i w:val="0"/>
          <w:sz w:val="28"/>
        </w:rPr>
        <w:t>6. WORK CARRIED OUT DURING FELLOWSHIP</w:t>
      </w:r>
    </w:p>
    <w:p>
      <w:pPr>
        <w:spacing w:before="0" w:after="120" w:line="360" w:lineRule="auto"/>
        <w:jc w:val="both"/>
      </w:pPr>
      <w:r>
        <w:rPr>
          <w:rFonts w:ascii="Times New Roman" w:hAnsi="Times New Roman" w:eastAsia="Times New Roman"/>
          <w:b w:val="0"/>
          <w:i w:val="0"/>
          <w:sz w:val="24"/>
        </w:rPr>
        <w:t>The fellowship work was carried out over ten months, from November 2025 to August 2026, followed by a short finishing phase in September 2026. The work began with literature study and building the software platform, moved through three rounds of machine learning on measured and synthetic data, and then changed direction in June 2026 to a physics-based model with an ML surrogate. The last months were spent on review rounds, building the full portal, the alert system and deployment. The activities of each month are summarised below, based on the monthly progress reports (MPRs) and the project’s code history.</w:t>
      </w:r>
    </w:p>
    <w:p>
      <w:pPr>
        <w:pStyle w:val="Heading2"/>
        <w:keepNext/>
        <w:spacing w:before="200" w:after="120" w:line="276" w:lineRule="auto"/>
        <w:jc w:val="left"/>
      </w:pPr>
      <w:r>
        <w:rPr>
          <w:rFonts w:ascii="Times New Roman" w:hAnsi="Times New Roman" w:eastAsia="Times New Roman"/>
          <w:b/>
          <w:i w:val="0"/>
          <w:sz w:val="24"/>
        </w:rPr>
        <w:t>6.1 November 2025: Literature Study and Project Setup</w:t>
      </w:r>
    </w:p>
    <w:p>
      <w:pPr>
        <w:spacing w:before="0" w:after="120" w:line="360" w:lineRule="auto"/>
        <w:jc w:val="both"/>
      </w:pPr>
      <w:r>
        <w:rPr>
          <w:rFonts w:ascii="Times New Roman" w:hAnsi="Times New Roman" w:eastAsia="Times New Roman"/>
          <w:b w:val="0"/>
          <w:i w:val="0"/>
          <w:sz w:val="24"/>
        </w:rPr>
        <w:t>The fellowship began with a study of groundwater monitoring network design [18], aquifer vulnerability methods and the ways in which ISR uranium mining can contaminate groundwater [11]. This helped in understanding what a useful monitoring tool should do and what data it would need.</w:t>
      </w:r>
    </w:p>
    <w:p>
      <w:pPr>
        <w:spacing w:before="0" w:after="120" w:line="360" w:lineRule="auto"/>
        <w:jc w:val="both"/>
      </w:pPr>
      <w:r>
        <w:rPr>
          <w:rFonts w:ascii="Times New Roman" w:hAnsi="Times New Roman" w:eastAsia="Times New Roman"/>
          <w:b w:val="0"/>
          <w:i w:val="0"/>
          <w:sz w:val="24"/>
        </w:rPr>
        <w:t>On the development side, the overall system architecture was designed as separate services (frontend, backend API, ML service, database and cache). A local development environment was set up with Node.js, PostgreSQL, Redis, a Python environment and Docker. The project code was started on GitHub, and a first admin panel was built in React and TypeScript with JWT-based login and three roles.</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Study of monitoring network design and aquifer vulnerability frameworks</w:t>
      </w:r>
    </w:p>
    <w:p>
      <w:pPr>
        <w:pStyle w:val="ListBullet"/>
        <w:spacing w:before="0" w:after="40" w:line="312" w:lineRule="auto"/>
        <w:ind w:left="567" w:hanging="283"/>
        <w:jc w:val="both"/>
      </w:pPr>
      <w:r>
        <w:rPr>
          <w:rFonts w:ascii="Times New Roman" w:hAnsi="Times New Roman" w:eastAsia="Times New Roman"/>
          <w:b w:val="0"/>
          <w:i w:val="0"/>
          <w:sz w:val="24"/>
        </w:rPr>
        <w:t>Study of ISR contamination pathways</w:t>
      </w:r>
    </w:p>
    <w:p>
      <w:pPr>
        <w:pStyle w:val="ListBullet"/>
        <w:spacing w:before="0" w:after="40" w:line="312" w:lineRule="auto"/>
        <w:ind w:left="567" w:hanging="283"/>
        <w:jc w:val="both"/>
      </w:pPr>
      <w:r>
        <w:rPr>
          <w:rFonts w:ascii="Times New Roman" w:hAnsi="Times New Roman" w:eastAsia="Times New Roman"/>
          <w:b w:val="0"/>
          <w:i w:val="0"/>
          <w:sz w:val="24"/>
        </w:rPr>
        <w:t>Design of the overall system architecture</w:t>
      </w:r>
    </w:p>
    <w:p>
      <w:pPr>
        <w:pStyle w:val="ListBullet"/>
        <w:spacing w:before="0" w:after="40" w:line="312" w:lineRule="auto"/>
        <w:ind w:left="567" w:hanging="283"/>
        <w:jc w:val="both"/>
      </w:pPr>
      <w:r>
        <w:rPr>
          <w:rFonts w:ascii="Times New Roman" w:hAnsi="Times New Roman" w:eastAsia="Times New Roman"/>
          <w:b w:val="0"/>
          <w:i w:val="0"/>
          <w:sz w:val="24"/>
        </w:rPr>
        <w:t>Setting up the development environment (Node.js, PostgreSQL, Redis, Python, Docker)</w:t>
      </w:r>
    </w:p>
    <w:p>
      <w:pPr>
        <w:pStyle w:val="ListBullet"/>
        <w:spacing w:before="0" w:after="40" w:line="312" w:lineRule="auto"/>
        <w:ind w:left="567" w:hanging="283"/>
        <w:jc w:val="both"/>
      </w:pPr>
      <w:r>
        <w:rPr>
          <w:rFonts w:ascii="Times New Roman" w:hAnsi="Times New Roman" w:eastAsia="Times New Roman"/>
          <w:b w:val="0"/>
          <w:i w:val="0"/>
          <w:sz w:val="24"/>
        </w:rPr>
        <w:t>Development of the first admin panel with JWT login</w:t>
      </w:r>
    </w:p>
    <w:p>
      <w:pPr>
        <w:pStyle w:val="Heading2"/>
        <w:keepNext/>
        <w:spacing w:before="200" w:after="120" w:line="276" w:lineRule="auto"/>
        <w:jc w:val="left"/>
      </w:pPr>
      <w:r>
        <w:rPr>
          <w:rFonts w:ascii="Times New Roman" w:hAnsi="Times New Roman" w:eastAsia="Times New Roman"/>
          <w:b/>
          <w:i w:val="0"/>
          <w:sz w:val="24"/>
        </w:rPr>
        <w:t>6.2 December 2025: Move to FastAPI and Spatial Database</w:t>
      </w:r>
    </w:p>
    <w:p>
      <w:pPr>
        <w:spacing w:before="0" w:after="120" w:line="360" w:lineRule="auto"/>
        <w:jc w:val="both"/>
      </w:pPr>
      <w:r>
        <w:rPr>
          <w:rFonts w:ascii="Times New Roman" w:hAnsi="Times New Roman" w:eastAsia="Times New Roman"/>
          <w:b w:val="0"/>
          <w:i w:val="0"/>
          <w:sz w:val="24"/>
        </w:rPr>
        <w:t>In December the backend was moved from Node.js to FastAPI (Python), organised into API, service and repository layers. A full database schema with spatial (PostGIS) columns was designed, with SQLAlchemy models and Alembic migrations. REST APIs were built for users, districts, blocks and aquifers, with input checking using Pydantic and role-based access. A simulation workflow was set up with a placeholder output, to be replaced by a real model later. The required groundwater parameters (porosity, depth to water, hydraulic conductivity and transmissivity) were identified from CGWB and aquifer datasets, and data collection plans were discussed with the mentor.</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Migration of the backend from Node.js to FastAPI</w:t>
      </w:r>
    </w:p>
    <w:p>
      <w:pPr>
        <w:pStyle w:val="ListBullet"/>
        <w:spacing w:before="0" w:after="40" w:line="312" w:lineRule="auto"/>
        <w:ind w:left="567" w:hanging="283"/>
        <w:jc w:val="both"/>
      </w:pPr>
      <w:r>
        <w:rPr>
          <w:rFonts w:ascii="Times New Roman" w:hAnsi="Times New Roman" w:eastAsia="Times New Roman"/>
          <w:b w:val="0"/>
          <w:i w:val="0"/>
          <w:sz w:val="24"/>
        </w:rPr>
        <w:t>Design of the PostgreSQL + PostGIS database schema (13 tables)</w:t>
      </w:r>
    </w:p>
    <w:p>
      <w:pPr>
        <w:pStyle w:val="ListBullet"/>
        <w:spacing w:before="0" w:after="40" w:line="312" w:lineRule="auto"/>
        <w:ind w:left="567" w:hanging="283"/>
        <w:jc w:val="both"/>
      </w:pPr>
      <w:r>
        <w:rPr>
          <w:rFonts w:ascii="Times New Roman" w:hAnsi="Times New Roman" w:eastAsia="Times New Roman"/>
          <w:b w:val="0"/>
          <w:i w:val="0"/>
          <w:sz w:val="24"/>
        </w:rPr>
        <w:t>REST APIs for users, districts, blocks and aquifers</w:t>
      </w:r>
    </w:p>
    <w:p>
      <w:pPr>
        <w:pStyle w:val="ListBullet"/>
        <w:spacing w:before="0" w:after="40" w:line="312" w:lineRule="auto"/>
        <w:ind w:left="567" w:hanging="283"/>
        <w:jc w:val="both"/>
      </w:pPr>
      <w:r>
        <w:rPr>
          <w:rFonts w:ascii="Times New Roman" w:hAnsi="Times New Roman" w:eastAsia="Times New Roman"/>
          <w:b w:val="0"/>
          <w:i w:val="0"/>
          <w:sz w:val="24"/>
        </w:rPr>
        <w:t>Role-based access control and JWT authentication</w:t>
      </w:r>
    </w:p>
    <w:p>
      <w:pPr>
        <w:pStyle w:val="ListBullet"/>
        <w:spacing w:before="0" w:after="40" w:line="312" w:lineRule="auto"/>
        <w:ind w:left="567" w:hanging="283"/>
        <w:jc w:val="both"/>
      </w:pPr>
      <w:r>
        <w:rPr>
          <w:rFonts w:ascii="Times New Roman" w:hAnsi="Times New Roman" w:eastAsia="Times New Roman"/>
          <w:b w:val="0"/>
          <w:i w:val="0"/>
          <w:sz w:val="24"/>
        </w:rPr>
        <w:t>Study of PostGIS and of how physics and ML could be combined for plume modelling</w:t>
      </w:r>
    </w:p>
    <w:p>
      <w:pPr>
        <w:pStyle w:val="Heading2"/>
        <w:keepNext/>
        <w:spacing w:before="200" w:after="120" w:line="276" w:lineRule="auto"/>
        <w:jc w:val="left"/>
      </w:pPr>
      <w:r>
        <w:rPr>
          <w:rFonts w:ascii="Times New Roman" w:hAnsi="Times New Roman" w:eastAsia="Times New Roman"/>
          <w:b/>
          <w:i w:val="0"/>
          <w:sz w:val="24"/>
        </w:rPr>
        <w:t>6.3 January 2026: First Real CGWB Data</w:t>
      </w:r>
    </w:p>
    <w:p>
      <w:pPr>
        <w:spacing w:before="0" w:after="120" w:line="360" w:lineRule="auto"/>
        <w:jc w:val="both"/>
      </w:pPr>
      <w:r>
        <w:rPr>
          <w:rFonts w:ascii="Times New Roman" w:hAnsi="Times New Roman" w:eastAsia="Times New Roman"/>
          <w:b w:val="0"/>
          <w:i w:val="0"/>
          <w:sz w:val="24"/>
        </w:rPr>
        <w:t>In January, published CGWB datasets on groundwater levels and quality were studied, and the Dhanbad groundwater-level data was loaded into the database. The aquifer model was extended with fields such as transmissivity, hydraulic conductivity, fractures encountered and yield range, to match the CGWB data structure. An ISR points API (create, read, update, delete) was built with coordinates stored in PostGIS. A data ingestion API was built for district boundary GeoJSON files and CGWB aquifer Excel files. The React frontend was connected to the backend, and a Leaflet map was added to show districts and aquifers.</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Study and mapping of CGWB dataset columns to the database</w:t>
      </w:r>
    </w:p>
    <w:p>
      <w:pPr>
        <w:pStyle w:val="ListBullet"/>
        <w:spacing w:before="0" w:after="40" w:line="312" w:lineRule="auto"/>
        <w:ind w:left="567" w:hanging="283"/>
        <w:jc w:val="both"/>
      </w:pPr>
      <w:r>
        <w:rPr>
          <w:rFonts w:ascii="Times New Roman" w:hAnsi="Times New Roman" w:eastAsia="Times New Roman"/>
          <w:b w:val="0"/>
          <w:i w:val="0"/>
          <w:sz w:val="24"/>
        </w:rPr>
        <w:t>Loading of Dhanbad groundwater-level data</w:t>
      </w:r>
    </w:p>
    <w:p>
      <w:pPr>
        <w:pStyle w:val="ListBullet"/>
        <w:spacing w:before="0" w:after="40" w:line="312" w:lineRule="auto"/>
        <w:ind w:left="567" w:hanging="283"/>
        <w:jc w:val="both"/>
      </w:pPr>
      <w:r>
        <w:rPr>
          <w:rFonts w:ascii="Times New Roman" w:hAnsi="Times New Roman" w:eastAsia="Times New Roman"/>
          <w:b w:val="0"/>
          <w:i w:val="0"/>
          <w:sz w:val="24"/>
        </w:rPr>
        <w:t>ISR points API with spatial coordinates</w:t>
      </w:r>
    </w:p>
    <w:p>
      <w:pPr>
        <w:pStyle w:val="ListBullet"/>
        <w:spacing w:before="0" w:after="40" w:line="312" w:lineRule="auto"/>
        <w:ind w:left="567" w:hanging="283"/>
        <w:jc w:val="both"/>
      </w:pPr>
      <w:r>
        <w:rPr>
          <w:rFonts w:ascii="Times New Roman" w:hAnsi="Times New Roman" w:eastAsia="Times New Roman"/>
          <w:b w:val="0"/>
          <w:i w:val="0"/>
          <w:sz w:val="24"/>
        </w:rPr>
        <w:t>Data ingestion API for GeoJSON and Excel files</w:t>
      </w:r>
    </w:p>
    <w:p>
      <w:pPr>
        <w:pStyle w:val="ListBullet"/>
        <w:spacing w:before="0" w:after="40" w:line="312" w:lineRule="auto"/>
        <w:ind w:left="567" w:hanging="283"/>
        <w:jc w:val="both"/>
      </w:pPr>
      <w:r>
        <w:rPr>
          <w:rFonts w:ascii="Times New Roman" w:hAnsi="Times New Roman" w:eastAsia="Times New Roman"/>
          <w:b w:val="0"/>
          <w:i w:val="0"/>
          <w:sz w:val="24"/>
        </w:rPr>
        <w:t>Map view of districts and aquifers using Leaflet</w:t>
      </w:r>
    </w:p>
    <w:p>
      <w:pPr>
        <w:pStyle w:val="Heading2"/>
        <w:keepNext/>
        <w:spacing w:before="200" w:after="120" w:line="276" w:lineRule="auto"/>
        <w:jc w:val="left"/>
      </w:pPr>
      <w:r>
        <w:rPr>
          <w:rFonts w:ascii="Times New Roman" w:hAnsi="Times New Roman" w:eastAsia="Times New Roman"/>
          <w:b/>
          <w:i w:val="0"/>
          <w:sz w:val="24"/>
        </w:rPr>
        <w:t>6.4 February 2026: Complete Data Layer</w:t>
      </w:r>
    </w:p>
    <w:p>
      <w:pPr>
        <w:spacing w:before="0" w:after="120" w:line="360" w:lineRule="auto"/>
        <w:jc w:val="both"/>
      </w:pPr>
      <w:r>
        <w:rPr>
          <w:rFonts w:ascii="Times New Roman" w:hAnsi="Times New Roman" w:eastAsia="Times New Roman"/>
          <w:b w:val="0"/>
          <w:i w:val="0"/>
          <w:sz w:val="24"/>
        </w:rPr>
        <w:t>February was spent building a complete and reliable data layer. A new migration added tables for monitoring wells, water samples and data sources, with columns that record where each value came from. Five data ingestion pipelines were written for GeoJSON, JSON and CSV files. They handle range values such as “26 - 176” and “2-3%”, fill missing values from the literature [25], and use SHA-256 checksums so that the same file is never loaded twice. A seeding script loaded all five Jharkhand datasets in one go and produced a data-quality report. Eleven new REST endpoints were added. The final counts were 25 districts, 275 blocks, 24 aquifer polygons, 397 monitoring wells and 397 water samples. The data-quality report gave the first data-gap finding: iron and arsenic were missing from every sample.</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Database migration for wells, samples and data provenance</w:t>
      </w:r>
    </w:p>
    <w:p>
      <w:pPr>
        <w:pStyle w:val="ListBullet"/>
        <w:spacing w:before="0" w:after="40" w:line="312" w:lineRule="auto"/>
        <w:ind w:left="567" w:hanging="283"/>
        <w:jc w:val="both"/>
      </w:pPr>
      <w:r>
        <w:rPr>
          <w:rFonts w:ascii="Times New Roman" w:hAnsi="Times New Roman" w:eastAsia="Times New Roman"/>
          <w:b w:val="0"/>
          <w:i w:val="0"/>
          <w:sz w:val="24"/>
        </w:rPr>
        <w:t>Five ingestion pipelines with range parsing and duplicate protection</w:t>
      </w:r>
    </w:p>
    <w:p>
      <w:pPr>
        <w:pStyle w:val="ListBullet"/>
        <w:spacing w:before="0" w:after="40" w:line="312" w:lineRule="auto"/>
        <w:ind w:left="567" w:hanging="283"/>
        <w:jc w:val="both"/>
      </w:pPr>
      <w:r>
        <w:rPr>
          <w:rFonts w:ascii="Times New Roman" w:hAnsi="Times New Roman" w:eastAsia="Times New Roman"/>
          <w:b w:val="0"/>
          <w:i w:val="0"/>
          <w:sz w:val="24"/>
        </w:rPr>
        <w:t>One-step seeding script with a data-quality report</w:t>
      </w:r>
    </w:p>
    <w:p>
      <w:pPr>
        <w:pStyle w:val="ListBullet"/>
        <w:spacing w:before="0" w:after="40" w:line="312" w:lineRule="auto"/>
        <w:ind w:left="567" w:hanging="283"/>
        <w:jc w:val="both"/>
      </w:pPr>
      <w:r>
        <w:rPr>
          <w:rFonts w:ascii="Times New Roman" w:hAnsi="Times New Roman" w:eastAsia="Times New Roman"/>
          <w:b w:val="0"/>
          <w:i w:val="0"/>
          <w:sz w:val="24"/>
        </w:rPr>
        <w:t>Eleven new REST endpoints</w:t>
      </w:r>
    </w:p>
    <w:p>
      <w:pPr>
        <w:pStyle w:val="ListBullet"/>
        <w:spacing w:before="0" w:after="40" w:line="312" w:lineRule="auto"/>
        <w:ind w:left="567" w:hanging="283"/>
        <w:jc w:val="both"/>
      </w:pPr>
      <w:r>
        <w:rPr>
          <w:rFonts w:ascii="Times New Roman" w:hAnsi="Times New Roman" w:eastAsia="Times New Roman"/>
          <w:b w:val="0"/>
          <w:i w:val="0"/>
          <w:sz w:val="24"/>
        </w:rPr>
        <w:t>First data-gap finding: iron and arsenic never tested</w:t>
      </w:r>
    </w:p>
    <w:p>
      <w:pPr>
        <w:keepNext/>
        <w:spacing w:before="120" w:after="40" w:line="240" w:lineRule="auto"/>
        <w:jc w:val="center"/>
      </w:pPr>
      <w:r>
        <w:drawing>
          <wp:inline xmlns:a="http://schemas.openxmlformats.org/drawingml/2006/main" xmlns:pic="http://schemas.openxmlformats.org/drawingml/2006/picture">
            <wp:extent cx="5400000" cy="3071250"/>
            <wp:docPr id="5" name="Picture 5"/>
            <wp:cNvGraphicFramePr>
              <a:graphicFrameLocks noChangeAspect="1"/>
            </wp:cNvGraphicFramePr>
            <a:graphic>
              <a:graphicData uri="http://schemas.openxmlformats.org/drawingml/2006/picture">
                <pic:pic>
                  <pic:nvPicPr>
                    <pic:cNvPr id="0" name="feb_admin_dashboard.png"/>
                    <pic:cNvPicPr/>
                  </pic:nvPicPr>
                  <pic:blipFill>
                    <a:blip r:embed="rId14"/>
                    <a:stretch>
                      <a:fillRect/>
                    </a:stretch>
                  </pic:blipFill>
                  <pic:spPr>
                    <a:xfrm>
                      <a:off x="0" y="0"/>
                      <a:ext cx="5400000" cy="3071250"/>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6.1: The admin dashboard of the early platform (February 2026).</w:t>
      </w:r>
    </w:p>
    <w:p>
      <w:pPr>
        <w:keepNext/>
        <w:spacing w:before="120" w:after="40" w:line="240" w:lineRule="auto"/>
        <w:jc w:val="center"/>
      </w:pPr>
      <w:r>
        <w:drawing>
          <wp:inline xmlns:a="http://schemas.openxmlformats.org/drawingml/2006/main" xmlns:pic="http://schemas.openxmlformats.org/drawingml/2006/picture">
            <wp:extent cx="5040000" cy="2328400"/>
            <wp:docPr id="6" name="Picture 6"/>
            <wp:cNvGraphicFramePr>
              <a:graphicFrameLocks noChangeAspect="1"/>
            </wp:cNvGraphicFramePr>
            <a:graphic>
              <a:graphicData uri="http://schemas.openxmlformats.org/drawingml/2006/picture">
                <pic:pic>
                  <pic:nvPicPr>
                    <pic:cNvPr id="0" name="feb_api_docs.png"/>
                    <pic:cNvPicPr/>
                  </pic:nvPicPr>
                  <pic:blipFill>
                    <a:blip r:embed="rId15"/>
                    <a:stretch>
                      <a:fillRect/>
                    </a:stretch>
                  </pic:blipFill>
                  <pic:spPr>
                    <a:xfrm>
                      <a:off x="0" y="0"/>
                      <a:ext cx="5040000" cy="2328400"/>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6.2: Automatically generated API documentation (Swagger UI) for the ISR points, simulation and data ingestion endpoints (February 2026).</w:t>
      </w:r>
    </w:p>
    <w:p>
      <w:pPr>
        <w:pStyle w:val="Heading2"/>
        <w:keepNext/>
        <w:spacing w:before="200" w:after="120" w:line="276" w:lineRule="auto"/>
        <w:jc w:val="left"/>
      </w:pPr>
      <w:r>
        <w:rPr>
          <w:rFonts w:ascii="Times New Roman" w:hAnsi="Times New Roman" w:eastAsia="Times New Roman"/>
          <w:b/>
          <w:i w:val="0"/>
          <w:sz w:val="24"/>
        </w:rPr>
        <w:t>6.5 March 2026: First Machine Learning Pipeline</w:t>
      </w:r>
    </w:p>
    <w:p>
      <w:pPr>
        <w:spacing w:before="0" w:after="120" w:line="360" w:lineRule="auto"/>
        <w:jc w:val="both"/>
      </w:pPr>
      <w:r>
        <w:rPr>
          <w:rFonts w:ascii="Times New Roman" w:hAnsi="Times New Roman" w:eastAsia="Times New Roman"/>
          <w:b w:val="0"/>
          <w:i w:val="0"/>
          <w:sz w:val="24"/>
        </w:rPr>
        <w:t>In March the first machine learning pipeline was built. A 16-feature schema was designed, covering aquifer properties, distance to the nearest ISR point, time and a simple vulnerability value, and the features were extracted with a single PostGIS query. The real data had very few unsafe samples, so a synthetic data generator was written using a Gaussian copula (with NumPy and SciPy) to add more unsafe and marginal samples. A TDS regression model (Random Forest and Ridge) and a contamination classifier (Random Forest and Logistic Regression) were trained with 5-fold cross-validation, and SHAP was used to explain them. A prediction service in the backend loaded the trained models and returned a risk score for each simulation.</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16-feature schema with PostGIS feature extraction</w:t>
      </w:r>
    </w:p>
    <w:p>
      <w:pPr>
        <w:pStyle w:val="ListBullet"/>
        <w:spacing w:before="0" w:after="40" w:line="312" w:lineRule="auto"/>
        <w:ind w:left="567" w:hanging="283"/>
        <w:jc w:val="both"/>
      </w:pPr>
      <w:r>
        <w:rPr>
          <w:rFonts w:ascii="Times New Roman" w:hAnsi="Times New Roman" w:eastAsia="Times New Roman"/>
          <w:b w:val="0"/>
          <w:i w:val="0"/>
          <w:sz w:val="24"/>
        </w:rPr>
        <w:t>Gaussian-copula synthetic data generator</w:t>
      </w:r>
    </w:p>
    <w:p>
      <w:pPr>
        <w:pStyle w:val="ListBullet"/>
        <w:spacing w:before="0" w:after="40" w:line="312" w:lineRule="auto"/>
        <w:ind w:left="567" w:hanging="283"/>
        <w:jc w:val="both"/>
      </w:pPr>
      <w:r>
        <w:rPr>
          <w:rFonts w:ascii="Times New Roman" w:hAnsi="Times New Roman" w:eastAsia="Times New Roman"/>
          <w:b w:val="0"/>
          <w:i w:val="0"/>
          <w:sz w:val="24"/>
        </w:rPr>
        <w:t>TDS regressor and contamination classifier with cross-validation</w:t>
      </w:r>
    </w:p>
    <w:p>
      <w:pPr>
        <w:pStyle w:val="ListBullet"/>
        <w:spacing w:before="0" w:after="40" w:line="312" w:lineRule="auto"/>
        <w:ind w:left="567" w:hanging="283"/>
        <w:jc w:val="both"/>
      </w:pPr>
      <w:r>
        <w:rPr>
          <w:rFonts w:ascii="Times New Roman" w:hAnsi="Times New Roman" w:eastAsia="Times New Roman"/>
          <w:b w:val="0"/>
          <w:i w:val="0"/>
          <w:sz w:val="24"/>
        </w:rPr>
        <w:t>SHAP explanation of both models</w:t>
      </w:r>
    </w:p>
    <w:p>
      <w:pPr>
        <w:pStyle w:val="ListBullet"/>
        <w:spacing w:before="0" w:after="40" w:line="312" w:lineRule="auto"/>
        <w:ind w:left="567" w:hanging="283"/>
        <w:jc w:val="both"/>
      </w:pPr>
      <w:r>
        <w:rPr>
          <w:rFonts w:ascii="Times New Roman" w:hAnsi="Times New Roman" w:eastAsia="Times New Roman"/>
          <w:b w:val="0"/>
          <w:i w:val="0"/>
          <w:sz w:val="24"/>
        </w:rPr>
        <w:t>Prediction service connected to the simulation API</w:t>
      </w:r>
    </w:p>
    <w:p>
      <w:pPr>
        <w:keepNext/>
        <w:spacing w:before="120" w:after="40" w:line="240" w:lineRule="auto"/>
        <w:jc w:val="center"/>
      </w:pPr>
      <w:r>
        <w:drawing>
          <wp:inline xmlns:a="http://schemas.openxmlformats.org/drawingml/2006/main" xmlns:pic="http://schemas.openxmlformats.org/drawingml/2006/picture">
            <wp:extent cx="4680000" cy="2796008"/>
            <wp:docPr id="7" name="Picture 7"/>
            <wp:cNvGraphicFramePr>
              <a:graphicFrameLocks noChangeAspect="1"/>
            </wp:cNvGraphicFramePr>
            <a:graphic>
              <a:graphicData uri="http://schemas.openxmlformats.org/drawingml/2006/picture">
                <pic:pic>
                  <pic:nvPicPr>
                    <pic:cNvPr id="0" name="mar_shap_classifier.png"/>
                    <pic:cNvPicPr/>
                  </pic:nvPicPr>
                  <pic:blipFill>
                    <a:blip r:embed="rId16"/>
                    <a:stretch>
                      <a:fillRect/>
                    </a:stretch>
                  </pic:blipFill>
                  <pic:spPr>
                    <a:xfrm>
                      <a:off x="0" y="0"/>
                      <a:ext cx="4680000" cy="2796008"/>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6.3: SHAP feature importance of the March 2026 contamination classifier. This pipeline was later replaced (Section 6.8).</w:t>
      </w:r>
    </w:p>
    <w:p>
      <w:pPr>
        <w:pStyle w:val="Heading2"/>
        <w:keepNext/>
        <w:spacing w:before="200" w:after="120" w:line="276" w:lineRule="auto"/>
        <w:jc w:val="left"/>
      </w:pPr>
      <w:r>
        <w:rPr>
          <w:rFonts w:ascii="Times New Roman" w:hAnsi="Times New Roman" w:eastAsia="Times New Roman"/>
          <w:b/>
          <w:i w:val="0"/>
          <w:sz w:val="24"/>
        </w:rPr>
        <w:t>6.6 April 2026: International ISR Data</w:t>
      </w:r>
    </w:p>
    <w:p>
      <w:pPr>
        <w:spacing w:before="0" w:after="120" w:line="360" w:lineRule="auto"/>
        <w:jc w:val="both"/>
      </w:pPr>
      <w:r>
        <w:rPr>
          <w:rFonts w:ascii="Times New Roman" w:hAnsi="Times New Roman" w:eastAsia="Times New Roman"/>
          <w:b w:val="0"/>
          <w:i w:val="0"/>
          <w:sz w:val="24"/>
        </w:rPr>
        <w:t>Since ISR is not carried out in India, the mentor advised looking for internationally published ISR data. USGS, EPA and CGWB datasets were compared, and the USGS Texas ISR dataset [9] was chosen because it covers three stages of mining: before mining, at the end of mining and after restoration. The Excel file was cleaned, handling values such as “&lt;.001” (below detection limit) and “1044±5”, which gave 186 usable rows. A synthetic dataset of 5,186 rows was generated with contamination falling with distance from the ISR site and seasonal effects. A Random Forest classifier trained on this data reached 91.1% test accuracy and 0.90 macro-F1.</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Survey of global ISR groundwater datasets</w:t>
      </w:r>
    </w:p>
    <w:p>
      <w:pPr>
        <w:pStyle w:val="ListBullet"/>
        <w:spacing w:before="0" w:after="40" w:line="312" w:lineRule="auto"/>
        <w:ind w:left="567" w:hanging="283"/>
        <w:jc w:val="both"/>
      </w:pPr>
      <w:r>
        <w:rPr>
          <w:rFonts w:ascii="Times New Roman" w:hAnsi="Times New Roman" w:eastAsia="Times New Roman"/>
          <w:b w:val="0"/>
          <w:i w:val="0"/>
          <w:sz w:val="24"/>
        </w:rPr>
        <w:t>Selection and cleaning of the USGS Texas ISR dataset (186 usable rows)</w:t>
      </w:r>
    </w:p>
    <w:p>
      <w:pPr>
        <w:pStyle w:val="ListBullet"/>
        <w:spacing w:before="0" w:after="40" w:line="312" w:lineRule="auto"/>
        <w:ind w:left="567" w:hanging="283"/>
        <w:jc w:val="both"/>
      </w:pPr>
      <w:r>
        <w:rPr>
          <w:rFonts w:ascii="Times New Roman" w:hAnsi="Times New Roman" w:eastAsia="Times New Roman"/>
          <w:b w:val="0"/>
          <w:i w:val="0"/>
          <w:sz w:val="24"/>
        </w:rPr>
        <w:t>Synthetic dataset of 5,186 rows with physical rules</w:t>
      </w:r>
    </w:p>
    <w:p>
      <w:pPr>
        <w:pStyle w:val="ListBullet"/>
        <w:spacing w:before="0" w:after="40" w:line="312" w:lineRule="auto"/>
        <w:ind w:left="567" w:hanging="283"/>
        <w:jc w:val="both"/>
      </w:pPr>
      <w:r>
        <w:rPr>
          <w:rFonts w:ascii="Times New Roman" w:hAnsi="Times New Roman" w:eastAsia="Times New Roman"/>
          <w:b w:val="0"/>
          <w:i w:val="0"/>
          <w:sz w:val="24"/>
        </w:rPr>
        <w:t>Random Forest risk classifier (91.1% accuracy)</w:t>
      </w:r>
    </w:p>
    <w:p>
      <w:pPr>
        <w:keepNext/>
        <w:spacing w:before="120" w:after="40" w:line="240" w:lineRule="auto"/>
        <w:jc w:val="center"/>
      </w:pPr>
      <w:r>
        <w:drawing>
          <wp:inline xmlns:a="http://schemas.openxmlformats.org/drawingml/2006/main" xmlns:pic="http://schemas.openxmlformats.org/drawingml/2006/picture">
            <wp:extent cx="4320000" cy="3682241"/>
            <wp:docPr id="8" name="Picture 8"/>
            <wp:cNvGraphicFramePr>
              <a:graphicFrameLocks noChangeAspect="1"/>
            </wp:cNvGraphicFramePr>
            <a:graphic>
              <a:graphicData uri="http://schemas.openxmlformats.org/drawingml/2006/picture">
                <pic:pic>
                  <pic:nvPicPr>
                    <pic:cNvPr id="0" name="apr_rf_output.png"/>
                    <pic:cNvPicPr/>
                  </pic:nvPicPr>
                  <pic:blipFill>
                    <a:blip r:embed="rId17"/>
                    <a:stretch>
                      <a:fillRect/>
                    </a:stretch>
                  </pic:blipFill>
                  <pic:spPr>
                    <a:xfrm>
                      <a:off x="0" y="0"/>
                      <a:ext cx="4320000" cy="3682241"/>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6.4: Training output of the April 2026 Random Forest risk model.</w:t>
      </w:r>
    </w:p>
    <w:p>
      <w:pPr>
        <w:pStyle w:val="Heading2"/>
        <w:keepNext/>
        <w:spacing w:before="200" w:after="120" w:line="276" w:lineRule="auto"/>
        <w:jc w:val="left"/>
      </w:pPr>
      <w:r>
        <w:rPr>
          <w:rFonts w:ascii="Times New Roman" w:hAnsi="Times New Roman" w:eastAsia="Times New Roman"/>
          <w:b/>
          <w:i w:val="0"/>
          <w:sz w:val="24"/>
        </w:rPr>
        <w:t>6.7 May 2026: Uranium as the Prediction Target</w:t>
      </w:r>
    </w:p>
    <w:p>
      <w:pPr>
        <w:spacing w:before="0" w:after="120" w:line="360" w:lineRule="auto"/>
        <w:jc w:val="both"/>
      </w:pPr>
      <w:r>
        <w:rPr>
          <w:rFonts w:ascii="Times New Roman" w:hAnsi="Times New Roman" w:eastAsia="Times New Roman"/>
          <w:b w:val="0"/>
          <w:i w:val="0"/>
          <w:sz w:val="24"/>
        </w:rPr>
        <w:t>In the earlier work, uranium values were being dropped, and the model only predicted a general risk label. In May a single unified pipeline was built with uranium as the real target. It combined 342 real Jharkhand rows, 131 real Texas rows and 3,000 synthetic rows, and trained five models: regressors for uranium, TDS, sulphate and pH, and a safe/marginal/unsafe classifier. Every row was tagged as real, transferred (Texas) or synthetic. The uranium model reported an R² of 0.69 (log scale) on real rows. The backend was also simplified: unused parts such as Celery and Redis were removed, and the database setup was reduced to two commands.</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Unified ML pipeline with uranium as the target</w:t>
      </w:r>
    </w:p>
    <w:p>
      <w:pPr>
        <w:pStyle w:val="ListBullet"/>
        <w:spacing w:before="0" w:after="40" w:line="312" w:lineRule="auto"/>
        <w:ind w:left="567" w:hanging="283"/>
        <w:jc w:val="both"/>
      </w:pPr>
      <w:r>
        <w:rPr>
          <w:rFonts w:ascii="Times New Roman" w:hAnsi="Times New Roman" w:eastAsia="Times New Roman"/>
          <w:b w:val="0"/>
          <w:i w:val="0"/>
          <w:sz w:val="24"/>
        </w:rPr>
        <w:t>Five trained models with real/synthetic tagging of every row</w:t>
      </w:r>
    </w:p>
    <w:p>
      <w:pPr>
        <w:pStyle w:val="ListBullet"/>
        <w:spacing w:before="0" w:after="40" w:line="312" w:lineRule="auto"/>
        <w:ind w:left="567" w:hanging="283"/>
        <w:jc w:val="both"/>
      </w:pPr>
      <w:r>
        <w:rPr>
          <w:rFonts w:ascii="Times New Roman" w:hAnsi="Times New Roman" w:eastAsia="Times New Roman"/>
          <w:b w:val="0"/>
          <w:i w:val="0"/>
          <w:sz w:val="24"/>
        </w:rPr>
        <w:t>Simplification of the backend</w:t>
      </w:r>
    </w:p>
    <w:p>
      <w:pPr>
        <w:pStyle w:val="ListBullet"/>
        <w:spacing w:before="0" w:after="40" w:line="312" w:lineRule="auto"/>
        <w:ind w:left="567" w:hanging="283"/>
        <w:jc w:val="both"/>
      </w:pPr>
      <w:r>
        <w:rPr>
          <w:rFonts w:ascii="Times New Roman" w:hAnsi="Times New Roman" w:eastAsia="Times New Roman"/>
          <w:b w:val="0"/>
          <w:i w:val="0"/>
          <w:sz w:val="24"/>
        </w:rPr>
        <w:t>Two-command, repeat-safe database setup</w:t>
      </w:r>
    </w:p>
    <w:p>
      <w:pPr>
        <w:pStyle w:val="Heading2"/>
        <w:keepNext/>
        <w:spacing w:before="200" w:after="120" w:line="276" w:lineRule="auto"/>
        <w:jc w:val="left"/>
      </w:pPr>
      <w:r>
        <w:rPr>
          <w:rFonts w:ascii="Times New Roman" w:hAnsi="Times New Roman" w:eastAsia="Times New Roman"/>
          <w:b/>
          <w:i w:val="0"/>
          <w:sz w:val="24"/>
        </w:rPr>
        <w:t>6.8 June 2026: Audit and Rebuild with a Physics Engine</w:t>
      </w:r>
    </w:p>
    <w:p>
      <w:pPr>
        <w:spacing w:before="0" w:after="120" w:line="360" w:lineRule="auto"/>
        <w:jc w:val="both"/>
      </w:pPr>
      <w:r>
        <w:rPr>
          <w:rFonts w:ascii="Times New Roman" w:hAnsi="Times New Roman" w:eastAsia="Times New Roman"/>
          <w:b w:val="0"/>
          <w:i w:val="0"/>
          <w:sz w:val="24"/>
        </w:rPr>
        <w:t>June was the turning point of the project. When the May pipeline was checked in detail, it was found that the real data rows had no distance from any mine and no time since injection. These fields had been filled with one median value. Distance made up about 70% of the model’s decisions, so the R² of 0.69 was really measuring how well the model predicted natural background uranium, not contamination spread. The relationship between uranium and distance existed only in the synthetic data. It was decided to replace the pipeline instead of patching it.</w:t>
      </w:r>
    </w:p>
    <w:p>
      <w:pPr>
        <w:spacing w:before="0" w:after="120" w:line="360" w:lineRule="auto"/>
        <w:jc w:val="both"/>
      </w:pPr>
      <w:r>
        <w:rPr>
          <w:rFonts w:ascii="Times New Roman" w:hAnsi="Times New Roman" w:eastAsia="Times New Roman"/>
          <w:b w:val="0"/>
          <w:i w:val="0"/>
          <w:sz w:val="24"/>
        </w:rPr>
        <w:t>A 2-D contaminant transport engine was built on the Domenico solution [29], with scale-dependent dispersion [31], matrix diffusion for fractured rock [33], dual-porosity slowing [28] and containment by the bleed. It modelled the full mine life (operation, restoration and after closure) and uranium re-trapping by reducing rock [36]. Nine hundred scenarios placed on real Jharkhand aquifer polygons were evaluated with this engine to create 13,500 training rows, and ten XGBoost models with monotone constraints and conformal uncertainty bands were trained on them. The engine was then grounded in real Jharkhand data: the groundwater flow field from CGWB levels, fracture directions from GSI lineaments, NAQUIM layers, uranium deposit grades, shear-zone transmissivity and rivers. An interactive dashboard showed the plume on the map. A test sweep of about 1,100 cases at nine locations found and fixed four defects.</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Audit of the earlier ML approach and decision to rebuild</w:t>
      </w:r>
    </w:p>
    <w:p>
      <w:pPr>
        <w:pStyle w:val="ListBullet"/>
        <w:spacing w:before="0" w:after="40" w:line="312" w:lineRule="auto"/>
        <w:ind w:left="567" w:hanging="283"/>
        <w:jc w:val="both"/>
      </w:pPr>
      <w:r>
        <w:rPr>
          <w:rFonts w:ascii="Times New Roman" w:hAnsi="Times New Roman" w:eastAsia="Times New Roman"/>
          <w:b w:val="0"/>
          <w:i w:val="0"/>
          <w:sz w:val="24"/>
        </w:rPr>
        <w:t>Development of the physics-based transport engine</w:t>
      </w:r>
    </w:p>
    <w:p>
      <w:pPr>
        <w:pStyle w:val="ListBullet"/>
        <w:spacing w:before="0" w:after="40" w:line="312" w:lineRule="auto"/>
        <w:ind w:left="567" w:hanging="283"/>
        <w:jc w:val="both"/>
      </w:pPr>
      <w:r>
        <w:rPr>
          <w:rFonts w:ascii="Times New Roman" w:hAnsi="Times New Roman" w:eastAsia="Times New Roman"/>
          <w:b w:val="0"/>
          <w:i w:val="0"/>
          <w:sz w:val="24"/>
        </w:rPr>
        <w:t>Generation of 13,500 physics-labelled training rows</w:t>
      </w:r>
    </w:p>
    <w:p>
      <w:pPr>
        <w:pStyle w:val="ListBullet"/>
        <w:spacing w:before="0" w:after="40" w:line="312" w:lineRule="auto"/>
        <w:ind w:left="567" w:hanging="283"/>
        <w:jc w:val="both"/>
      </w:pPr>
      <w:r>
        <w:rPr>
          <w:rFonts w:ascii="Times New Roman" w:hAnsi="Times New Roman" w:eastAsia="Times New Roman"/>
          <w:b w:val="0"/>
          <w:i w:val="0"/>
          <w:sz w:val="24"/>
        </w:rPr>
        <w:t>Training of ten XGBoost surrogate models with calibrated bands</w:t>
      </w:r>
    </w:p>
    <w:p>
      <w:pPr>
        <w:pStyle w:val="ListBullet"/>
        <w:spacing w:before="0" w:after="40" w:line="312" w:lineRule="auto"/>
        <w:ind w:left="567" w:hanging="283"/>
        <w:jc w:val="both"/>
      </w:pPr>
      <w:r>
        <w:rPr>
          <w:rFonts w:ascii="Times New Roman" w:hAnsi="Times New Roman" w:eastAsia="Times New Roman"/>
          <w:b w:val="0"/>
          <w:i w:val="0"/>
          <w:sz w:val="24"/>
        </w:rPr>
        <w:t>Grounding in real Jharkhand flow, fracture, layer and deposit data</w:t>
      </w:r>
    </w:p>
    <w:p>
      <w:pPr>
        <w:pStyle w:val="ListBullet"/>
        <w:spacing w:before="0" w:after="40" w:line="312" w:lineRule="auto"/>
        <w:ind w:left="567" w:hanging="283"/>
        <w:jc w:val="both"/>
      </w:pPr>
      <w:r>
        <w:rPr>
          <w:rFonts w:ascii="Times New Roman" w:hAnsi="Times New Roman" w:eastAsia="Times New Roman"/>
          <w:b w:val="0"/>
          <w:i w:val="0"/>
          <w:sz w:val="24"/>
        </w:rPr>
        <w:t>Interactive dashboard and a 1,100-case quality sweep</w:t>
      </w:r>
    </w:p>
    <w:p>
      <w:pPr>
        <w:keepNext/>
        <w:spacing w:before="120" w:after="40" w:line="240" w:lineRule="auto"/>
        <w:jc w:val="center"/>
      </w:pPr>
      <w:r>
        <w:drawing>
          <wp:inline xmlns:a="http://schemas.openxmlformats.org/drawingml/2006/main" xmlns:pic="http://schemas.openxmlformats.org/drawingml/2006/picture">
            <wp:extent cx="5400000" cy="3083066"/>
            <wp:docPr id="9" name="Picture 9"/>
            <wp:cNvGraphicFramePr>
              <a:graphicFrameLocks noChangeAspect="1"/>
            </wp:cNvGraphicFramePr>
            <a:graphic>
              <a:graphicData uri="http://schemas.openxmlformats.org/drawingml/2006/picture">
                <pic:pic>
                  <pic:nvPicPr>
                    <pic:cNvPr id="0" name="jun_engine_dashboard.png"/>
                    <pic:cNvPicPr/>
                  </pic:nvPicPr>
                  <pic:blipFill>
                    <a:blip r:embed="rId18"/>
                    <a:stretch>
                      <a:fillRect/>
                    </a:stretch>
                  </pic:blipFill>
                  <pic:spPr>
                    <a:xfrm>
                      <a:off x="0" y="0"/>
                      <a:ext cx="5400000" cy="3083066"/>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6.5: The June 2026 engine dashboard: a hypothetical ISR site on the Jharkhand map with its modelled plume, the operating settings on the left and the map layers on the right.</w:t>
      </w:r>
    </w:p>
    <w:p>
      <w:pPr>
        <w:pStyle w:val="Heading2"/>
        <w:keepNext/>
        <w:spacing w:before="200" w:after="120" w:line="276" w:lineRule="auto"/>
        <w:jc w:val="left"/>
      </w:pPr>
      <w:r>
        <w:rPr>
          <w:rFonts w:ascii="Times New Roman" w:hAnsi="Times New Roman" w:eastAsia="Times New Roman"/>
          <w:b/>
          <w:i w:val="0"/>
          <w:sz w:val="24"/>
        </w:rPr>
        <w:t>6.9 July 2026: Review Rounds and Backend Rebuild</w:t>
      </w:r>
    </w:p>
    <w:p>
      <w:pPr>
        <w:spacing w:before="0" w:after="120" w:line="360" w:lineRule="auto"/>
        <w:jc w:val="both"/>
      </w:pPr>
      <w:r>
        <w:rPr>
          <w:rFonts w:ascii="Times New Roman" w:hAnsi="Times New Roman" w:eastAsia="Times New Roman"/>
          <w:b w:val="0"/>
          <w:i w:val="0"/>
          <w:sz w:val="24"/>
        </w:rPr>
        <w:t>In July the engine was improved and reviewed. Rock permeability was made to fall with depth, calibrated for each district from the NAQUIM reports. The uranium re-trapping rate was set by ore-zone mineralogy. Values were smoothed across aquifer boundaries. Radium-226 was added as a fourth chemical, which raised the training set to 18,000 rows. The engine went through three review rounds; each finding was either fixed and pinned with a test, or disproved with evidence. An exact-solution check showed that one suspected error was not real, but found a different one: a missing term in the transport formula, which was restored. The surrogate was retrained four times, and the travel-distance R² rose from 0.72 to 0.90. A chloride indicator was added for the excursion test.</w:t>
      </w:r>
    </w:p>
    <w:p>
      <w:pPr>
        <w:spacing w:before="0" w:after="120" w:line="360" w:lineRule="auto"/>
        <w:jc w:val="both"/>
      </w:pPr>
      <w:r>
        <w:rPr>
          <w:rFonts w:ascii="Times New Roman" w:hAnsi="Times New Roman" w:eastAsia="Times New Roman"/>
          <w:b w:val="0"/>
          <w:i w:val="0"/>
          <w:sz w:val="24"/>
        </w:rPr>
        <w:t>The backend was also rebuilt on the real engine. The old placeholder simulation (random flow direction and a fixed area) was deleted. A security hole was found and closed: the signup route accepted a role chosen by the user. The three roles were replaced by five roles (admin, regulator, analyst, field officer and resident), enforced both by the API and by database row-level security, with an audit log. A field-observation workflow was added (submit, review, sync into the data). It was also found that the district and block boundaries had been stored with latitude and longitude swapped since February, and this was fixed. A new React and TypeScript portal replaced the old frontend.</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Depth-dependent permeability, mineralogy-based attenuation and boundary smoothing</w:t>
      </w:r>
    </w:p>
    <w:p>
      <w:pPr>
        <w:pStyle w:val="ListBullet"/>
        <w:spacing w:before="0" w:after="40" w:line="312" w:lineRule="auto"/>
        <w:ind w:left="567" w:hanging="283"/>
        <w:jc w:val="both"/>
      </w:pPr>
      <w:r>
        <w:rPr>
          <w:rFonts w:ascii="Times New Roman" w:hAnsi="Times New Roman" w:eastAsia="Times New Roman"/>
          <w:b w:val="0"/>
          <w:i w:val="0"/>
          <w:sz w:val="24"/>
        </w:rPr>
        <w:t>Radium-226 added (18,000 training rows)</w:t>
      </w:r>
    </w:p>
    <w:p>
      <w:pPr>
        <w:pStyle w:val="ListBullet"/>
        <w:spacing w:before="0" w:after="40" w:line="312" w:lineRule="auto"/>
        <w:ind w:left="567" w:hanging="283"/>
        <w:jc w:val="both"/>
      </w:pPr>
      <w:r>
        <w:rPr>
          <w:rFonts w:ascii="Times New Roman" w:hAnsi="Times New Roman" w:eastAsia="Times New Roman"/>
          <w:b w:val="0"/>
          <w:i w:val="0"/>
          <w:sz w:val="24"/>
        </w:rPr>
        <w:t>Three review rounds and an exact-solution check</w:t>
      </w:r>
    </w:p>
    <w:p>
      <w:pPr>
        <w:pStyle w:val="ListBullet"/>
        <w:spacing w:before="0" w:after="40" w:line="312" w:lineRule="auto"/>
        <w:ind w:left="567" w:hanging="283"/>
        <w:jc w:val="both"/>
      </w:pPr>
      <w:r>
        <w:rPr>
          <w:rFonts w:ascii="Times New Roman" w:hAnsi="Times New Roman" w:eastAsia="Times New Roman"/>
          <w:b w:val="0"/>
          <w:i w:val="0"/>
          <w:sz w:val="24"/>
        </w:rPr>
        <w:t>Placeholder simulation removed; backend wired to the real engine</w:t>
      </w:r>
    </w:p>
    <w:p>
      <w:pPr>
        <w:pStyle w:val="ListBullet"/>
        <w:spacing w:before="0" w:after="40" w:line="312" w:lineRule="auto"/>
        <w:ind w:left="567" w:hanging="283"/>
        <w:jc w:val="both"/>
      </w:pPr>
      <w:r>
        <w:rPr>
          <w:rFonts w:ascii="Times New Roman" w:hAnsi="Times New Roman" w:eastAsia="Times New Roman"/>
          <w:b w:val="0"/>
          <w:i w:val="0"/>
          <w:sz w:val="24"/>
        </w:rPr>
        <w:t>Five roles with row-level security and an audit log</w:t>
      </w:r>
    </w:p>
    <w:p>
      <w:pPr>
        <w:pStyle w:val="ListBullet"/>
        <w:spacing w:before="0" w:after="40" w:line="312" w:lineRule="auto"/>
        <w:ind w:left="567" w:hanging="283"/>
        <w:jc w:val="both"/>
      </w:pPr>
      <w:r>
        <w:rPr>
          <w:rFonts w:ascii="Times New Roman" w:hAnsi="Times New Roman" w:eastAsia="Times New Roman"/>
          <w:b w:val="0"/>
          <w:i w:val="0"/>
          <w:sz w:val="24"/>
        </w:rPr>
        <w:t>Field-observation workflow; swapped coordinates fixed</w:t>
      </w:r>
    </w:p>
    <w:p>
      <w:pPr>
        <w:pStyle w:val="ListBullet"/>
        <w:spacing w:before="0" w:after="40" w:line="312" w:lineRule="auto"/>
        <w:ind w:left="567" w:hanging="283"/>
        <w:jc w:val="both"/>
      </w:pPr>
      <w:r>
        <w:rPr>
          <w:rFonts w:ascii="Times New Roman" w:hAnsi="Times New Roman" w:eastAsia="Times New Roman"/>
          <w:b w:val="0"/>
          <w:i w:val="0"/>
          <w:sz w:val="24"/>
        </w:rPr>
        <w:t>New role-based React portal</w:t>
      </w:r>
    </w:p>
    <w:p>
      <w:pPr>
        <w:pStyle w:val="Heading2"/>
        <w:keepNext/>
        <w:spacing w:before="200" w:after="120" w:line="276" w:lineRule="auto"/>
        <w:jc w:val="left"/>
      </w:pPr>
      <w:r>
        <w:rPr>
          <w:rFonts w:ascii="Times New Roman" w:hAnsi="Times New Roman" w:eastAsia="Times New Roman"/>
          <w:b/>
          <w:i w:val="0"/>
          <w:sz w:val="24"/>
        </w:rPr>
        <w:t>6.10 August 2026: Complete Product and Deployment</w:t>
      </w:r>
    </w:p>
    <w:p>
      <w:pPr>
        <w:spacing w:before="0" w:after="120" w:line="360" w:lineRule="auto"/>
        <w:jc w:val="both"/>
      </w:pPr>
      <w:r>
        <w:rPr>
          <w:rFonts w:ascii="Times New Roman" w:hAnsi="Times New Roman" w:eastAsia="Times New Roman"/>
          <w:b w:val="0"/>
          <w:i w:val="0"/>
          <w:sz w:val="24"/>
        </w:rPr>
        <w:t>In August the portal was completed: the Console (click anywhere in Jharkhand, run the engine and see the plume), one-step publication of a screening, the resident’s “My Area” and alerts pages, a site report with PDF export, site comparison, saved scenarios, the dataset manager, the monitoring-network plan and a public front page with light and dark themes.</w:t>
      </w:r>
    </w:p>
    <w:p>
      <w:pPr>
        <w:spacing w:before="0" w:after="120" w:line="360" w:lineRule="auto"/>
        <w:jc w:val="both"/>
      </w:pPr>
      <w:r>
        <w:rPr>
          <w:rFonts w:ascii="Times New Roman" w:hAnsi="Times New Roman" w:eastAsia="Times New Roman"/>
          <w:b w:val="0"/>
          <w:i w:val="0"/>
          <w:sz w:val="24"/>
        </w:rPr>
        <w:t>All the determinands in the 397-well CGWB record were assessed against IS 10500:2012. Nitrate was found above its limit at 22 wells and fluoride at 32, while uranium was within its limit everywhere it was tested. Nine years of water levels were analysed with the Theil–Sen and Mann–Kendall methods, and the observation-based monitoring ranking was built. Three security controls were found that had been configured but were not working: the rate limiter, the alert write under row-level security, and the exceedance scan. Each was fixed and pinned with a test that measures it. Alerts were connected to email delivery with a delivery log and a daily scheduler, and residents now choose their home block at registration. The system was deployed on Neon, Render and Cloudflare, with a restricted database role so that row-level security works in production. The final presentation was given to the TEXMiN–BIT Sindri review panel.</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Completion of the 22-screen portal</w:t>
      </w:r>
    </w:p>
    <w:p>
      <w:pPr>
        <w:pStyle w:val="ListBullet"/>
        <w:spacing w:before="0" w:after="40" w:line="312" w:lineRule="auto"/>
        <w:ind w:left="567" w:hanging="283"/>
        <w:jc w:val="both"/>
      </w:pPr>
      <w:r>
        <w:rPr>
          <w:rFonts w:ascii="Times New Roman" w:hAnsi="Times New Roman" w:eastAsia="Times New Roman"/>
          <w:b w:val="0"/>
          <w:i w:val="0"/>
          <w:sz w:val="24"/>
        </w:rPr>
        <w:t>IS 10500 assessment of the measured record</w:t>
      </w:r>
    </w:p>
    <w:p>
      <w:pPr>
        <w:pStyle w:val="ListBullet"/>
        <w:spacing w:before="0" w:after="40" w:line="312" w:lineRule="auto"/>
        <w:ind w:left="567" w:hanging="283"/>
        <w:jc w:val="both"/>
      </w:pPr>
      <w:r>
        <w:rPr>
          <w:rFonts w:ascii="Times New Roman" w:hAnsi="Times New Roman" w:eastAsia="Times New Roman"/>
          <w:b w:val="0"/>
          <w:i w:val="0"/>
          <w:sz w:val="24"/>
        </w:rPr>
        <w:t>Water-level trend analysis and monitoring-gap ranking</w:t>
      </w:r>
    </w:p>
    <w:p>
      <w:pPr>
        <w:pStyle w:val="ListBullet"/>
        <w:spacing w:before="0" w:after="40" w:line="312" w:lineRule="auto"/>
        <w:ind w:left="567" w:hanging="283"/>
        <w:jc w:val="both"/>
      </w:pPr>
      <w:r>
        <w:rPr>
          <w:rFonts w:ascii="Times New Roman" w:hAnsi="Times New Roman" w:eastAsia="Times New Roman"/>
          <w:b w:val="0"/>
          <w:i w:val="0"/>
          <w:sz w:val="24"/>
        </w:rPr>
        <w:t>Fixing of three inactive security controls</w:t>
      </w:r>
    </w:p>
    <w:p>
      <w:pPr>
        <w:pStyle w:val="ListBullet"/>
        <w:spacing w:before="0" w:after="40" w:line="312" w:lineRule="auto"/>
        <w:ind w:left="567" w:hanging="283"/>
        <w:jc w:val="both"/>
      </w:pPr>
      <w:r>
        <w:rPr>
          <w:rFonts w:ascii="Times New Roman" w:hAnsi="Times New Roman" w:eastAsia="Times New Roman"/>
          <w:b w:val="0"/>
          <w:i w:val="0"/>
          <w:sz w:val="24"/>
        </w:rPr>
        <w:t>Email alert delivery with a daily scheduler</w:t>
      </w:r>
    </w:p>
    <w:p>
      <w:pPr>
        <w:pStyle w:val="ListBullet"/>
        <w:spacing w:before="0" w:after="40" w:line="312" w:lineRule="auto"/>
        <w:ind w:left="567" w:hanging="283"/>
        <w:jc w:val="both"/>
      </w:pPr>
      <w:r>
        <w:rPr>
          <w:rFonts w:ascii="Times New Roman" w:hAnsi="Times New Roman" w:eastAsia="Times New Roman"/>
          <w:b w:val="0"/>
          <w:i w:val="0"/>
          <w:sz w:val="24"/>
        </w:rPr>
        <w:t>Deployment on Neon, Render and Cloudflare Workers</w:t>
      </w:r>
    </w:p>
    <w:p>
      <w:pPr>
        <w:pStyle w:val="ListBullet"/>
        <w:spacing w:before="0" w:after="40" w:line="312" w:lineRule="auto"/>
        <w:ind w:left="567" w:hanging="283"/>
        <w:jc w:val="both"/>
      </w:pPr>
      <w:r>
        <w:rPr>
          <w:rFonts w:ascii="Times New Roman" w:hAnsi="Times New Roman" w:eastAsia="Times New Roman"/>
          <w:b w:val="0"/>
          <w:i w:val="0"/>
          <w:sz w:val="24"/>
        </w:rPr>
        <w:t>Final presentation to the review panel</w:t>
      </w:r>
    </w:p>
    <w:p>
      <w:pPr>
        <w:pStyle w:val="Heading2"/>
        <w:keepNext/>
        <w:spacing w:before="200" w:after="120" w:line="276" w:lineRule="auto"/>
        <w:jc w:val="left"/>
      </w:pPr>
      <w:r>
        <w:rPr>
          <w:rFonts w:ascii="Times New Roman" w:hAnsi="Times New Roman" w:eastAsia="Times New Roman"/>
          <w:b/>
          <w:i w:val="0"/>
          <w:sz w:val="24"/>
        </w:rPr>
        <w:t>6.11 September 2026: Final Improvements and Report</w:t>
      </w:r>
    </w:p>
    <w:p>
      <w:pPr>
        <w:spacing w:before="0" w:after="120" w:line="360" w:lineRule="auto"/>
        <w:jc w:val="both"/>
      </w:pPr>
      <w:r>
        <w:rPr>
          <w:rFonts w:ascii="Times New Roman" w:hAnsi="Times New Roman" w:eastAsia="Times New Roman"/>
          <w:b w:val="0"/>
          <w:i w:val="0"/>
          <w:sz w:val="24"/>
        </w:rPr>
        <w:t>After the fellowship period, a final round of improvements was made before freezing the project. The dual-porosity ratio β was changed from a fixed literature value of 10 to a value calculated from the porosities at each location, and the surrogate was retrained. Alert tiers (notice, warning, alert and critical) with a seven-field explanation were added. Map timelines, a hydrochemical quality check, a global sensitivity analysis and the CGWB 2000–2021 chemistry record were added. A floor was added so that the restored source can never read cleaner than the natural background, and the model was retrained again (version 5). Email delivery was configured on the deployed system, and a defect where failed emails were never retried was found and fixed. Finally, a demo record left in the deposit data from testing was removed, and the references were checked.</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β calculated from local porosities; surrogate retrained</w:t>
      </w:r>
    </w:p>
    <w:p>
      <w:pPr>
        <w:pStyle w:val="ListBullet"/>
        <w:spacing w:before="0" w:after="40" w:line="312" w:lineRule="auto"/>
        <w:ind w:left="567" w:hanging="283"/>
        <w:jc w:val="both"/>
      </w:pPr>
      <w:r>
        <w:rPr>
          <w:rFonts w:ascii="Times New Roman" w:hAnsi="Times New Roman" w:eastAsia="Times New Roman"/>
          <w:b w:val="0"/>
          <w:i w:val="0"/>
          <w:sz w:val="24"/>
        </w:rPr>
        <w:t>Alert tiers with seven-field explanations</w:t>
      </w:r>
    </w:p>
    <w:p>
      <w:pPr>
        <w:pStyle w:val="ListBullet"/>
        <w:spacing w:before="0" w:after="40" w:line="312" w:lineRule="auto"/>
        <w:ind w:left="567" w:hanging="283"/>
        <w:jc w:val="both"/>
      </w:pPr>
      <w:r>
        <w:rPr>
          <w:rFonts w:ascii="Times New Roman" w:hAnsi="Times New Roman" w:eastAsia="Times New Roman"/>
          <w:b w:val="0"/>
          <w:i w:val="0"/>
          <w:sz w:val="24"/>
        </w:rPr>
        <w:t>Timelines, hydrochemical QA, sensitivity analysis and 2000–2021 chemistry record</w:t>
      </w:r>
    </w:p>
    <w:p>
      <w:pPr>
        <w:pStyle w:val="ListBullet"/>
        <w:spacing w:before="0" w:after="40" w:line="312" w:lineRule="auto"/>
        <w:ind w:left="567" w:hanging="283"/>
        <w:jc w:val="both"/>
      </w:pPr>
      <w:r>
        <w:rPr>
          <w:rFonts w:ascii="Times New Roman" w:hAnsi="Times New Roman" w:eastAsia="Times New Roman"/>
          <w:b w:val="0"/>
          <w:i w:val="0"/>
          <w:sz w:val="24"/>
        </w:rPr>
        <w:t>Background floor on the source and final retrain (version 5)</w:t>
      </w:r>
    </w:p>
    <w:p>
      <w:pPr>
        <w:pStyle w:val="ListBullet"/>
        <w:spacing w:before="0" w:after="40" w:line="312" w:lineRule="auto"/>
        <w:ind w:left="567" w:hanging="283"/>
        <w:jc w:val="both"/>
      </w:pPr>
      <w:r>
        <w:rPr>
          <w:rFonts w:ascii="Times New Roman" w:hAnsi="Times New Roman" w:eastAsia="Times New Roman"/>
          <w:b w:val="0"/>
          <w:i w:val="0"/>
          <w:sz w:val="24"/>
        </w:rPr>
        <w:t>Email delivery configured on the live system; retry defect fixed</w:t>
      </w:r>
    </w:p>
    <w:p>
      <w:pPr>
        <w:pStyle w:val="ListBullet"/>
        <w:spacing w:before="0" w:after="40" w:line="312" w:lineRule="auto"/>
        <w:ind w:left="567" w:hanging="283"/>
        <w:jc w:val="both"/>
      </w:pPr>
      <w:r>
        <w:rPr>
          <w:rFonts w:ascii="Times New Roman" w:hAnsi="Times New Roman" w:eastAsia="Times New Roman"/>
          <w:b w:val="0"/>
          <w:i w:val="0"/>
          <w:sz w:val="24"/>
        </w:rPr>
        <w:t>Data clean-up and project freeze</w:t>
      </w:r>
    </w:p>
    <w:p>
      <w:pPr>
        <w:pStyle w:val="Heading2"/>
        <w:keepNext/>
        <w:spacing w:before="200" w:after="120" w:line="276" w:lineRule="auto"/>
        <w:jc w:val="left"/>
      </w:pPr>
      <w:r>
        <w:rPr>
          <w:rFonts w:ascii="Times New Roman" w:hAnsi="Times New Roman" w:eastAsia="Times New Roman"/>
          <w:b/>
          <w:i w:val="0"/>
          <w:sz w:val="24"/>
        </w:rPr>
        <w:t>6.12 Final Integrated System</w:t>
      </w:r>
    </w:p>
    <w:p>
      <w:pPr>
        <w:spacing w:before="0" w:after="120" w:line="360" w:lineRule="auto"/>
        <w:jc w:val="both"/>
      </w:pPr>
      <w:r>
        <w:rPr>
          <w:rFonts w:ascii="Times New Roman" w:hAnsi="Times New Roman" w:eastAsia="Times New Roman"/>
          <w:b w:val="0"/>
          <w:i w:val="0"/>
          <w:sz w:val="24"/>
        </w:rPr>
        <w:t>The final outcome of the fellowship is a working, deployed system consisting of:</w:t>
      </w:r>
    </w:p>
    <w:p>
      <w:pPr>
        <w:pStyle w:val="ListBullet"/>
        <w:spacing w:before="0" w:after="40" w:line="312" w:lineRule="auto"/>
        <w:ind w:left="567" w:hanging="283"/>
        <w:jc w:val="both"/>
      </w:pPr>
      <w:r>
        <w:rPr>
          <w:rFonts w:ascii="Times New Roman" w:hAnsi="Times New Roman" w:eastAsia="Times New Roman"/>
          <w:b w:val="0"/>
          <w:i w:val="0"/>
          <w:sz w:val="24"/>
        </w:rPr>
        <w:t>A physics-based groundwater contamination engine covering the whole of Jharkhand</w:t>
      </w:r>
    </w:p>
    <w:p>
      <w:pPr>
        <w:pStyle w:val="ListBullet"/>
        <w:spacing w:before="0" w:after="40" w:line="312" w:lineRule="auto"/>
        <w:ind w:left="567" w:hanging="283"/>
        <w:jc w:val="both"/>
      </w:pPr>
      <w:r>
        <w:rPr>
          <w:rFonts w:ascii="Times New Roman" w:hAnsi="Times New Roman" w:eastAsia="Times New Roman"/>
          <w:b w:val="0"/>
          <w:i w:val="0"/>
          <w:sz w:val="24"/>
        </w:rPr>
        <w:t>A trained ML surrogate with calibrated 80% uncertainty bands</w:t>
      </w:r>
    </w:p>
    <w:p>
      <w:pPr>
        <w:pStyle w:val="ListBullet"/>
        <w:spacing w:before="0" w:after="40" w:line="312" w:lineRule="auto"/>
        <w:ind w:left="567" w:hanging="283"/>
        <w:jc w:val="both"/>
      </w:pPr>
      <w:r>
        <w:rPr>
          <w:rFonts w:ascii="Times New Roman" w:hAnsi="Times New Roman" w:eastAsia="Times New Roman"/>
          <w:b w:val="0"/>
          <w:i w:val="0"/>
          <w:sz w:val="24"/>
        </w:rPr>
        <w:t>An IS 10500 assessment of the measured groundwater record</w:t>
      </w:r>
    </w:p>
    <w:p>
      <w:pPr>
        <w:pStyle w:val="ListBullet"/>
        <w:spacing w:before="0" w:after="40" w:line="312" w:lineRule="auto"/>
        <w:ind w:left="567" w:hanging="283"/>
        <w:jc w:val="both"/>
      </w:pPr>
      <w:r>
        <w:rPr>
          <w:rFonts w:ascii="Times New Roman" w:hAnsi="Times New Roman" w:eastAsia="Times New Roman"/>
          <w:b w:val="0"/>
          <w:i w:val="0"/>
          <w:sz w:val="24"/>
        </w:rPr>
        <w:t>An alert system with four tiers and email delivery</w:t>
      </w:r>
    </w:p>
    <w:p>
      <w:pPr>
        <w:pStyle w:val="ListBullet"/>
        <w:spacing w:before="0" w:after="40" w:line="312" w:lineRule="auto"/>
        <w:ind w:left="567" w:hanging="283"/>
        <w:jc w:val="both"/>
      </w:pPr>
      <w:r>
        <w:rPr>
          <w:rFonts w:ascii="Times New Roman" w:hAnsi="Times New Roman" w:eastAsia="Times New Roman"/>
          <w:b w:val="0"/>
          <w:i w:val="0"/>
          <w:sz w:val="24"/>
        </w:rPr>
        <w:t>An observation-based monitoring-gap ranking of all 264 blocks</w:t>
      </w:r>
    </w:p>
    <w:p>
      <w:pPr>
        <w:pStyle w:val="ListBullet"/>
        <w:spacing w:before="0" w:after="40" w:line="312" w:lineRule="auto"/>
        <w:ind w:left="567" w:hanging="283"/>
        <w:jc w:val="both"/>
      </w:pPr>
      <w:r>
        <w:rPr>
          <w:rFonts w:ascii="Times New Roman" w:hAnsi="Times New Roman" w:eastAsia="Times New Roman"/>
          <w:b w:val="0"/>
          <w:i w:val="0"/>
          <w:sz w:val="24"/>
        </w:rPr>
        <w:t>A five-role web portal with 22 screens, protected by row-level security</w:t>
      </w:r>
    </w:p>
    <w:p>
      <w:pPr>
        <w:pStyle w:val="ListBullet"/>
        <w:spacing w:before="0" w:after="40" w:line="312" w:lineRule="auto"/>
        <w:ind w:left="567" w:hanging="283"/>
        <w:jc w:val="both"/>
      </w:pPr>
      <w:r>
        <w:rPr>
          <w:rFonts w:ascii="Times New Roman" w:hAnsi="Times New Roman" w:eastAsia="Times New Roman"/>
          <w:b w:val="0"/>
          <w:i w:val="0"/>
          <w:sz w:val="24"/>
        </w:rPr>
        <w:t>373 engine tests and 522 backend tests</w:t>
      </w:r>
    </w:p>
    <w:p>
      <w:pPr>
        <w:spacing w:before="0" w:after="120" w:line="360" w:lineRule="auto"/>
        <w:jc w:val="both"/>
      </w:pPr>
      <w:r>
        <w:rPr>
          <w:rFonts w:ascii="Times New Roman" w:hAnsi="Times New Roman" w:eastAsia="Times New Roman"/>
          <w:b w:val="0"/>
          <w:i w:val="0"/>
          <w:sz w:val="24"/>
        </w:rPr>
        <w:t>The completed system shows that a groundwater contamination screening tool for hard-rock India can be built from open data, standard physics and machine learning, and deployed at low cost, while being honest about what the data can and cannot support.</w:t>
      </w:r>
    </w:p>
    <w:p>
      <w:r>
        <w:br w:type="page"/>
      </w:r>
    </w:p>
    <w:p>
      <w:pPr>
        <w:pStyle w:val="Heading1"/>
        <w:keepNext/>
        <w:spacing w:before="0" w:after="240" w:line="276" w:lineRule="auto"/>
        <w:jc w:val="left"/>
      </w:pPr>
      <w:r>
        <w:rPr>
          <w:rFonts w:ascii="Times New Roman" w:hAnsi="Times New Roman" w:eastAsia="Times New Roman"/>
          <w:b/>
          <w:i w:val="0"/>
          <w:sz w:val="28"/>
        </w:rPr>
        <w:t>7. RESULTS &amp; ACHIEVEMENTS</w:t>
      </w:r>
    </w:p>
    <w:p>
      <w:pPr>
        <w:spacing w:before="0" w:after="120" w:line="360" w:lineRule="auto"/>
        <w:jc w:val="both"/>
      </w:pPr>
      <w:r>
        <w:rPr>
          <w:rFonts w:ascii="Times New Roman" w:hAnsi="Times New Roman" w:eastAsia="Times New Roman"/>
          <w:b w:val="0"/>
          <w:i w:val="0"/>
          <w:sz w:val="24"/>
        </w:rPr>
        <w:t>JalDrishti was successfully developed, tested and deployed during the fellowship. The project met its three main objectives: a physics-based prediction model with a calibrated ML surrogate (O1), a data-gap analysis with monitoring recommendations (O2), and a working decision-support prototype (O3). The results fall into three kinds, and they are kept separate throughout this chapter:</w:t>
      </w:r>
    </w:p>
    <w:p>
      <w:pPr>
        <w:pStyle w:val="ListBullet"/>
        <w:spacing w:before="0" w:after="40" w:line="312" w:lineRule="auto"/>
        <w:ind w:left="567" w:hanging="283"/>
        <w:jc w:val="both"/>
      </w:pPr>
      <w:r>
        <w:rPr>
          <w:rFonts w:ascii="Times New Roman" w:hAnsi="Times New Roman" w:eastAsia="Times New Roman"/>
          <w:b/>
          <w:i w:val="0"/>
          <w:sz w:val="24"/>
        </w:rPr>
        <w:t>Measured results:</w:t>
      </w:r>
      <w:r>
        <w:rPr>
          <w:rFonts w:ascii="Times New Roman" w:hAnsi="Times New Roman" w:eastAsia="Times New Roman"/>
          <w:b w:val="0"/>
          <w:i w:val="0"/>
          <w:sz w:val="24"/>
        </w:rPr>
        <w:t xml:space="preserve"> laboratory values and water-level readings compared with published limits. Nothing is modelled.</w:t>
      </w:r>
    </w:p>
    <w:p>
      <w:pPr>
        <w:pStyle w:val="ListBullet"/>
        <w:spacing w:before="0" w:after="40" w:line="312" w:lineRule="auto"/>
        <w:ind w:left="567" w:hanging="283"/>
        <w:jc w:val="both"/>
      </w:pPr>
      <w:r>
        <w:rPr>
          <w:rFonts w:ascii="Times New Roman" w:hAnsi="Times New Roman" w:eastAsia="Times New Roman"/>
          <w:b/>
          <w:i w:val="0"/>
          <w:sz w:val="24"/>
        </w:rPr>
        <w:t>Modelled results:</w:t>
      </w:r>
      <w:r>
        <w:rPr>
          <w:rFonts w:ascii="Times New Roman" w:hAnsi="Times New Roman" w:eastAsia="Times New Roman"/>
          <w:b w:val="0"/>
          <w:i w:val="0"/>
          <w:sz w:val="24"/>
        </w:rPr>
        <w:t xml:space="preserve"> outputs of the engine or the surrogate for a hypothetical ISR operation. These are “what if” estimates, never forecasts of real contamination.</w:t>
      </w:r>
    </w:p>
    <w:p>
      <w:pPr>
        <w:pStyle w:val="ListBullet"/>
        <w:spacing w:before="0" w:after="40" w:line="312" w:lineRule="auto"/>
        <w:ind w:left="567" w:hanging="283"/>
        <w:jc w:val="both"/>
      </w:pPr>
      <w:r>
        <w:rPr>
          <w:rFonts w:ascii="Times New Roman" w:hAnsi="Times New Roman" w:eastAsia="Times New Roman"/>
          <w:b/>
          <w:i w:val="0"/>
          <w:sz w:val="24"/>
        </w:rPr>
        <w:t>Validation results:</w:t>
      </w:r>
      <w:r>
        <w:rPr>
          <w:rFonts w:ascii="Times New Roman" w:hAnsi="Times New Roman" w:eastAsia="Times New Roman"/>
          <w:b w:val="0"/>
          <w:i w:val="0"/>
          <w:sz w:val="24"/>
        </w:rPr>
        <w:t xml:space="preserve"> checks of the surrogate against the engine, or of the engine against an exact solution.</w:t>
      </w:r>
    </w:p>
    <w:p>
      <w:pPr>
        <w:pStyle w:val="Heading2"/>
        <w:keepNext/>
        <w:spacing w:before="200" w:after="120" w:line="276" w:lineRule="auto"/>
        <w:jc w:val="left"/>
      </w:pPr>
      <w:r>
        <w:rPr>
          <w:rFonts w:ascii="Times New Roman" w:hAnsi="Times New Roman" w:eastAsia="Times New Roman"/>
          <w:b/>
          <w:i w:val="0"/>
          <w:sz w:val="24"/>
        </w:rPr>
        <w:t>7.1 Measured Groundwater Quality (IS 10500:2012)</w:t>
      </w:r>
    </w:p>
    <w:p>
      <w:pPr>
        <w:spacing w:before="0" w:after="120" w:line="360" w:lineRule="auto"/>
        <w:jc w:val="both"/>
      </w:pPr>
      <w:r>
        <w:rPr>
          <w:rFonts w:ascii="Times New Roman" w:hAnsi="Times New Roman" w:eastAsia="Times New Roman"/>
          <w:b w:val="0"/>
          <w:i w:val="0"/>
          <w:sz w:val="24"/>
        </w:rPr>
        <w:t>The 2023 CGWB record of 397 wells [14] was checked against IS 10500:2012 [13]. The main findings for the health-related substances are shown below.</w:t>
      </w:r>
    </w:p>
    <w:p>
      <w:pPr>
        <w:keepNext/>
        <w:spacing w:before="120" w:after="80" w:line="240" w:lineRule="auto"/>
        <w:jc w:val="center"/>
      </w:pPr>
      <w:r>
        <w:rPr>
          <w:rFonts w:ascii="Times New Roman" w:hAnsi="Times New Roman" w:eastAsia="Times New Roman"/>
          <w:b/>
          <w:i w:val="0"/>
          <w:sz w:val="22"/>
        </w:rPr>
        <w:t>Table 7.1: Health-related results in the 2023 CGWB record (397 wells)</w:t>
      </w:r>
    </w:p>
    <w:tbl>
      <w:tblPr>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147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Substance</w:t>
            </w:r>
          </w:p>
        </w:tc>
        <w:tc>
          <w:tcPr>
            <w:tcW w:type="dxa" w:w="124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Wells tested</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Maximum</w:t>
            </w:r>
          </w:p>
        </w:tc>
        <w:tc>
          <w:tcPr>
            <w:tcW w:type="dxa" w:w="158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Limit</w:t>
            </w:r>
          </w:p>
        </w:tc>
        <w:tc>
          <w:tcPr>
            <w:tcW w:type="dxa" w:w="306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Wells above limit</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342</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28.5 ppb</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30 ppb</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Nitrate</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393</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121 mg/L</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45 mg/L (no relaxation)</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22</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Fluoride</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397</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1.91 mg/L</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 / 1.5 mg/L</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32</w:t>
            </w:r>
            <w:r>
              <w:rPr>
                <w:rFonts w:ascii="Times New Roman" w:hAnsi="Times New Roman" w:eastAsia="Times New Roman"/>
                <w:b w:val="0"/>
                <w:i w:val="0"/>
                <w:sz w:val="22"/>
              </w:rPr>
              <w:t xml:space="preserve"> above acceptable, </w:t>
            </w:r>
            <w:r>
              <w:rPr>
                <w:rFonts w:ascii="Times New Roman" w:hAnsi="Times New Roman" w:eastAsia="Times New Roman"/>
                <w:b/>
                <w:i w:val="0"/>
                <w:sz w:val="22"/>
              </w:rPr>
              <w:t>11</w:t>
            </w:r>
            <w:r>
              <w:rPr>
                <w:rFonts w:ascii="Times New Roman" w:hAnsi="Times New Roman" w:eastAsia="Times New Roman"/>
                <w:b w:val="0"/>
                <w:i w:val="0"/>
                <w:sz w:val="22"/>
              </w:rPr>
              <w:t xml:space="preserve"> above permissible</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Chloride</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397</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430 mg/L</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250 / 1,000 mg/L</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 above acceptable, 0 above permissible</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Sulphate</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393</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234 mg/L</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200 / 400 mg/L</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 above acceptable, 0 above permissible</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Iron</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 mg/L</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never tested</w:t>
            </w:r>
          </w:p>
        </w:tc>
      </w:tr>
      <w:tr>
        <w:trPr>
          <w:cantSplit w:val="true"/>
        </w:trPr>
        <w:tc>
          <w:tcPr>
            <w:tcW w:type="dxa" w:w="147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Arsenic</w:t>
            </w:r>
          </w:p>
        </w:tc>
        <w:tc>
          <w:tcPr>
            <w:tcW w:type="dxa" w:w="124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i w:val="0"/>
                <w:sz w:val="22"/>
              </w:rPr>
              <w:t>0</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w:t>
            </w:r>
          </w:p>
        </w:tc>
        <w:tc>
          <w:tcPr>
            <w:tcW w:type="dxa" w:w="158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10 / 50 ppb</w:t>
            </w:r>
          </w:p>
        </w:tc>
        <w:tc>
          <w:tcPr>
            <w:tcW w:type="dxa" w:w="306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never tested</w:t>
            </w:r>
          </w:p>
        </w:tc>
      </w:tr>
    </w:tbl>
    <w:p>
      <w:pPr>
        <w:spacing w:after="40"/>
      </w:pPr>
    </w:p>
    <w:p>
      <w:pPr>
        <w:spacing w:before="0" w:after="120" w:line="360" w:lineRule="auto"/>
        <w:jc w:val="both"/>
      </w:pPr>
      <w:r>
        <w:rPr>
          <w:rFonts w:ascii="Times New Roman" w:hAnsi="Times New Roman" w:eastAsia="Times New Roman"/>
          <w:b w:val="0"/>
          <w:i w:val="0"/>
          <w:sz w:val="24"/>
        </w:rPr>
        <w:t xml:space="preserve">Uranium is within its 30 ppb limit at every one of the 342 wells where it was tested (maximum 28.5 ppb at Sukurhutu, Ranchi). The health problems in Jharkhand’s groundwater today are nitrate and fluoride. Nitrate reaches 121 mg/L at Biru (Simdega), 2.7 times the limit, and 99 mg/L at Lowadih (Ranchi). Fluoride reaches 1.91 mg/L at Baresad (Latehar). In total, </w:t>
      </w:r>
      <w:r>
        <w:rPr>
          <w:rFonts w:ascii="Times New Roman" w:hAnsi="Times New Roman" w:eastAsia="Times New Roman"/>
          <w:b/>
          <w:i w:val="0"/>
          <w:sz w:val="24"/>
        </w:rPr>
        <w:t>32 wells</w:t>
      </w:r>
      <w:r>
        <w:rPr>
          <w:rFonts w:ascii="Times New Roman" w:hAnsi="Times New Roman" w:eastAsia="Times New Roman"/>
          <w:b w:val="0"/>
          <w:i w:val="0"/>
          <w:sz w:val="24"/>
        </w:rPr>
        <w:t xml:space="preserve"> have a health exceedance, and </w:t>
      </w:r>
      <w:r>
        <w:rPr>
          <w:rFonts w:ascii="Times New Roman" w:hAnsi="Times New Roman" w:eastAsia="Times New Roman"/>
          <w:b/>
          <w:i w:val="0"/>
          <w:sz w:val="24"/>
        </w:rPr>
        <w:t>14 of 24 districts</w:t>
      </w:r>
      <w:r>
        <w:rPr>
          <w:rFonts w:ascii="Times New Roman" w:hAnsi="Times New Roman" w:eastAsia="Times New Roman"/>
          <w:b w:val="0"/>
          <w:i w:val="0"/>
          <w:sz w:val="24"/>
        </w:rPr>
        <w:t xml:space="preserve"> have at least one such well. Hardness, calcium and magnesium are above their acceptable limits at a third to two-thirds of wells, but this is natural hard-rock chemistry and is reported separately.</w:t>
      </w:r>
    </w:p>
    <w:p>
      <w:pPr>
        <w:spacing w:before="0" w:after="120" w:line="360" w:lineRule="auto"/>
        <w:jc w:val="both"/>
      </w:pPr>
      <w:r>
        <w:rPr>
          <w:rFonts w:ascii="Times New Roman" w:hAnsi="Times New Roman" w:eastAsia="Times New Roman"/>
          <w:b w:val="0"/>
          <w:i w:val="0"/>
          <w:sz w:val="24"/>
        </w:rPr>
        <w:t>The record also shows important gaps. Iron and arsenic were tested at none of the 397 wells, and manganese has no column. In the three Singhbhum districts (the uranium belt), 55 wells were sampled but never tested for uranium: 28 in East Singhbhum, 11 in Saraikela-Kharsawan and 16 in West Singhbhum. A published study near two Singhbhum deposits found iron up to 5.3 mg/L and manganese up to 1.3 mg/L, above the drinking-water limits [55], so these untested metals are a real concern in the belt.</w:t>
      </w:r>
    </w:p>
    <w:p>
      <w:pPr>
        <w:spacing w:before="0" w:after="120" w:line="360" w:lineRule="auto"/>
        <w:jc w:val="both"/>
      </w:pPr>
      <w:r>
        <w:rPr>
          <w:rFonts w:ascii="Times New Roman" w:hAnsi="Times New Roman" w:eastAsia="Times New Roman"/>
          <w:b w:val="0"/>
          <w:i w:val="0"/>
          <w:sz w:val="24"/>
        </w:rPr>
        <w:t>A hydrochemical check showed that all 393 complete analyses in the 2023 file balance within ±3.2%. This is better than any normal laboratory batch, and it is explained by sodium having been calculated from the other ions. So the file’s charge balance cannot be used as proof of laboratory quality. In the older 2000–2021 record, the check is meaningful: 127 of 753 analyses were flagged as suspect.</w:t>
      </w:r>
    </w:p>
    <w:p>
      <w:pPr>
        <w:keepNext/>
        <w:spacing w:before="120" w:after="80" w:line="276" w:lineRule="auto"/>
        <w:jc w:val="left"/>
      </w:pPr>
      <w:r>
        <w:rPr>
          <w:rFonts w:ascii="Times New Roman" w:hAnsi="Times New Roman" w:eastAsia="Times New Roman"/>
          <w:b/>
          <w:i w:val="0"/>
          <w:sz w:val="24"/>
        </w:rPr>
        <w:t>Key achievements include:</w:t>
      </w:r>
    </w:p>
    <w:p>
      <w:pPr>
        <w:pStyle w:val="ListBullet"/>
        <w:spacing w:before="0" w:after="40" w:line="312" w:lineRule="auto"/>
        <w:ind w:left="567" w:hanging="283"/>
        <w:jc w:val="both"/>
      </w:pPr>
      <w:r>
        <w:rPr>
          <w:rFonts w:ascii="Times New Roman" w:hAnsi="Times New Roman" w:eastAsia="Times New Roman"/>
          <w:b w:val="0"/>
          <w:i w:val="0"/>
          <w:sz w:val="24"/>
        </w:rPr>
        <w:t>The full measured record was assessed against IS 10500 for the first time in the system.</w:t>
      </w:r>
    </w:p>
    <w:p>
      <w:pPr>
        <w:pStyle w:val="ListBullet"/>
        <w:spacing w:before="0" w:after="40" w:line="312" w:lineRule="auto"/>
        <w:ind w:left="567" w:hanging="283"/>
        <w:jc w:val="both"/>
      </w:pPr>
      <w:r>
        <w:rPr>
          <w:rFonts w:ascii="Times New Roman" w:hAnsi="Times New Roman" w:eastAsia="Times New Roman"/>
          <w:b w:val="0"/>
          <w:i w:val="0"/>
          <w:sz w:val="24"/>
        </w:rPr>
        <w:t>Nitrate and fluoride were identified as the real health issues, with 32 wells and 14 districts affected.</w:t>
      </w:r>
    </w:p>
    <w:p>
      <w:pPr>
        <w:pStyle w:val="ListBullet"/>
        <w:spacing w:before="0" w:after="40" w:line="312" w:lineRule="auto"/>
        <w:ind w:left="567" w:hanging="283"/>
        <w:jc w:val="both"/>
      </w:pPr>
      <w:r>
        <w:rPr>
          <w:rFonts w:ascii="Times New Roman" w:hAnsi="Times New Roman" w:eastAsia="Times New Roman"/>
          <w:b w:val="0"/>
          <w:i w:val="0"/>
          <w:sz w:val="24"/>
        </w:rPr>
        <w:t>“Not tested” was made a separate grey class, so that missing data is never shown as safe.</w:t>
      </w:r>
    </w:p>
    <w:p>
      <w:pPr>
        <w:pStyle w:val="ListBullet"/>
        <w:spacing w:before="0" w:after="40" w:line="312" w:lineRule="auto"/>
        <w:ind w:left="567" w:hanging="283"/>
        <w:jc w:val="both"/>
      </w:pPr>
      <w:r>
        <w:rPr>
          <w:rFonts w:ascii="Times New Roman" w:hAnsi="Times New Roman" w:eastAsia="Times New Roman"/>
          <w:b w:val="0"/>
          <w:i w:val="0"/>
          <w:sz w:val="24"/>
        </w:rPr>
        <w:t>The public map shows each district by its worst measured health substance.</w:t>
      </w:r>
    </w:p>
    <w:p>
      <w:pPr>
        <w:keepNext/>
        <w:spacing w:before="120" w:after="40" w:line="240" w:lineRule="auto"/>
        <w:jc w:val="center"/>
      </w:pPr>
      <w:r>
        <w:drawing>
          <wp:inline xmlns:a="http://schemas.openxmlformats.org/drawingml/2006/main" xmlns:pic="http://schemas.openxmlformats.org/drawingml/2006/picture">
            <wp:extent cx="5400000" cy="2850000"/>
            <wp:docPr id="10" name="Picture 10"/>
            <wp:cNvGraphicFramePr>
              <a:graphicFrameLocks noChangeAspect="1"/>
            </wp:cNvGraphicFramePr>
            <a:graphic>
              <a:graphicData uri="http://schemas.openxmlformats.org/drawingml/2006/picture">
                <pic:pic>
                  <pic:nvPicPr>
                    <pic:cNvPr id="0" name="fig_public_map.png"/>
                    <pic:cNvPicPr/>
                  </pic:nvPicPr>
                  <pic:blipFill>
                    <a:blip r:embed="rId19"/>
                    <a:stretch>
                      <a:fillRect/>
                    </a:stretch>
                  </pic:blipFill>
                  <pic:spPr>
                    <a:xfrm>
                      <a:off x="0" y="0"/>
                      <a:ext cx="5400000" cy="2850000"/>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7.1: The public map: districts coloured by the worst measured health substance (uranium, nitrate or fluoride) against IS 10500:2012; 14 of 24 districts are High concern. Basemap © OpenStreetMap contributors (Open Database Licence).</w:t>
      </w:r>
    </w:p>
    <w:p>
      <w:pPr>
        <w:pStyle w:val="Heading2"/>
        <w:keepNext/>
        <w:spacing w:before="200" w:after="120" w:line="276" w:lineRule="auto"/>
        <w:jc w:val="left"/>
      </w:pPr>
      <w:r>
        <w:rPr>
          <w:rFonts w:ascii="Times New Roman" w:hAnsi="Times New Roman" w:eastAsia="Times New Roman"/>
          <w:b/>
          <w:i w:val="0"/>
          <w:sz w:val="24"/>
        </w:rPr>
        <w:t>7.2 Groundwater Level Trends</w:t>
      </w:r>
    </w:p>
    <w:p>
      <w:pPr>
        <w:spacing w:before="0" w:after="120" w:line="360" w:lineRule="auto"/>
        <w:jc w:val="both"/>
      </w:pPr>
      <w:r>
        <w:rPr>
          <w:rFonts w:ascii="Times New Roman" w:hAnsi="Times New Roman" w:eastAsia="Times New Roman"/>
          <w:b w:val="0"/>
          <w:i w:val="0"/>
          <w:sz w:val="24"/>
        </w:rPr>
        <w:t>The water-level records from 2013 to 2021 were tested with the Theil–Sen slope and the Mann–Kendall test. Of 415 stations in the database, 331 had enough data for a trend test and 84 did not (fewer than 8 readings or less than 3 years).</w:t>
      </w:r>
    </w:p>
    <w:p>
      <w:pPr>
        <w:keepNext/>
        <w:spacing w:before="120" w:after="80" w:line="240" w:lineRule="auto"/>
        <w:jc w:val="center"/>
      </w:pPr>
      <w:r>
        <w:rPr>
          <w:rFonts w:ascii="Times New Roman" w:hAnsi="Times New Roman" w:eastAsia="Times New Roman"/>
          <w:b/>
          <w:i w:val="0"/>
          <w:sz w:val="22"/>
        </w:rPr>
        <w:t>Table 7.2: Groundwater level trends, 2013–2021</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45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Result</w:t>
            </w:r>
          </w:p>
        </w:tc>
        <w:tc>
          <w:tcPr>
            <w:tcW w:type="dxa" w:w="226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Number of stations</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Declining (water table falling)</w:t>
            </w:r>
          </w:p>
        </w:tc>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Recovering (water table rising)</w:t>
            </w:r>
          </w:p>
        </w:tc>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Stable (no significant trend)</w:t>
            </w:r>
          </w:p>
        </w:tc>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306</w:t>
            </w:r>
          </w:p>
        </w:tc>
      </w:tr>
      <w:tr>
        <w:trPr>
          <w:cantSplit w:val="true"/>
        </w:trPr>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Not enough record to test</w:t>
            </w:r>
          </w:p>
        </w:tc>
        <w:tc>
          <w:tcPr>
            <w:tcW w:type="dxa" w:w="226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84</w:t>
            </w:r>
          </w:p>
        </w:tc>
      </w:tr>
    </w:tbl>
    <w:p>
      <w:pPr>
        <w:spacing w:after="40"/>
      </w:pPr>
    </w:p>
    <w:p>
      <w:pPr>
        <w:spacing w:before="0" w:after="120" w:line="360" w:lineRule="auto"/>
        <w:jc w:val="both"/>
      </w:pPr>
      <w:r>
        <w:rPr>
          <w:rFonts w:ascii="Times New Roman" w:hAnsi="Times New Roman" w:eastAsia="Times New Roman"/>
          <w:b w:val="0"/>
          <w:i w:val="0"/>
          <w:sz w:val="24"/>
        </w:rPr>
        <w:t>The fastest decline was 0.785 m per year at Chapodia (Dumka). The median seasonal swing of the water table is 2.38 m. There is no statewide groundwater-level crisis in this record, and stations with short records are reported as such, never as stable. In the 2000–2021 chemistry record, electrical conductivity is rising at 13 wells and falling at 6.</w:t>
      </w:r>
    </w:p>
    <w:p>
      <w:pPr>
        <w:pStyle w:val="Heading2"/>
        <w:keepNext/>
        <w:spacing w:before="200" w:after="120" w:line="276" w:lineRule="auto"/>
        <w:jc w:val="left"/>
      </w:pPr>
      <w:r>
        <w:rPr>
          <w:rFonts w:ascii="Times New Roman" w:hAnsi="Times New Roman" w:eastAsia="Times New Roman"/>
          <w:b/>
          <w:i w:val="0"/>
          <w:sz w:val="24"/>
        </w:rPr>
        <w:t>7.3 Machine Learning Model Performance</w:t>
      </w:r>
    </w:p>
    <w:p>
      <w:pPr>
        <w:spacing w:before="0" w:after="120" w:line="360" w:lineRule="auto"/>
        <w:jc w:val="both"/>
      </w:pPr>
      <w:r>
        <w:rPr>
          <w:rFonts w:ascii="Times New Roman" w:hAnsi="Times New Roman" w:eastAsia="Times New Roman"/>
          <w:b w:val="0"/>
          <w:i w:val="0"/>
          <w:sz w:val="24"/>
        </w:rPr>
        <w:t>The final surrogate (version 5) was tested with 5-fold cross-validation grouped by scenario, on 18,000 rows from 900 scenarios.</w:t>
      </w:r>
    </w:p>
    <w:p>
      <w:pPr>
        <w:keepNext/>
        <w:spacing w:before="120" w:after="80" w:line="240" w:lineRule="auto"/>
        <w:jc w:val="center"/>
      </w:pPr>
      <w:r>
        <w:rPr>
          <w:rFonts w:ascii="Times New Roman" w:hAnsi="Times New Roman" w:eastAsia="Times New Roman"/>
          <w:b/>
          <w:i w:val="0"/>
          <w:sz w:val="22"/>
        </w:rPr>
        <w:t>Table 7.3: Surrogate model performance (P50 model, cross-validation)</w:t>
      </w:r>
    </w:p>
    <w:tbl>
      <w:tblPr>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238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Target</w:t>
            </w:r>
          </w:p>
        </w:tc>
        <w:tc>
          <w:tcPr>
            <w:tcW w:type="dxa" w:w="136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R² (log scale)</w:t>
            </w:r>
          </w:p>
        </w:tc>
        <w:tc>
          <w:tcPr>
            <w:tcW w:type="dxa" w:w="158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Scenario coverage (target ≥ 0.80)</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Ridge baseline R² (log)</w:t>
            </w:r>
          </w:p>
        </w:tc>
        <w:tc>
          <w:tcPr>
            <w:tcW w:type="dxa" w:w="204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Average error (MAE)</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Footprint area</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0.893</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0.863</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0.561</w:t>
            </w:r>
          </w:p>
        </w:tc>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6.91 ha</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Travel distance</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0.926</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0.878</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0.773</w:t>
            </w:r>
          </w:p>
        </w:tc>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68.8 m</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Ring concentration</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0.947</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0.866</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0.744</w:t>
            </w:r>
          </w:p>
        </w:tc>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mixed units</w:t>
            </w:r>
          </w:p>
        </w:tc>
      </w:tr>
      <w:tr>
        <w:trPr>
          <w:cantSplit w:val="true"/>
        </w:trPr>
        <w:tc>
          <w:tcPr>
            <w:tcW w:type="dxa" w:w="238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Excursion probability</w:t>
            </w:r>
          </w:p>
        </w:tc>
        <w:tc>
          <w:tcPr>
            <w:tcW w:type="dxa" w:w="136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0.915 (R²)</w:t>
            </w:r>
          </w:p>
        </w:tc>
        <w:tc>
          <w:tcPr>
            <w:tcW w:type="dxa" w:w="158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w:t>
            </w:r>
          </w:p>
        </w:tc>
        <w:tc>
          <w:tcPr>
            <w:tcW w:type="dxa" w:w="204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0.049</w:t>
            </w:r>
          </w:p>
        </w:tc>
      </w:tr>
    </w:tbl>
    <w:p>
      <w:pPr>
        <w:spacing w:after="40"/>
      </w:pPr>
    </w:p>
    <w:p>
      <w:pPr>
        <w:spacing w:before="0" w:after="120" w:line="360" w:lineRule="auto"/>
        <w:jc w:val="both"/>
      </w:pPr>
      <w:r>
        <w:rPr>
          <w:rFonts w:ascii="Times New Roman" w:hAnsi="Times New Roman" w:eastAsia="Times New Roman"/>
          <w:b w:val="0"/>
          <w:i w:val="0"/>
          <w:sz w:val="24"/>
        </w:rPr>
        <w:t>The surrogate is better than all the baseline models on every target. When whole aquifer polygons were held out (leave-aquifer-out), the R² values were 0.890, 0.921 and 0.941, only slightly lower, which shows that the model works on geology it has not seen. On a separate test batch of 120 scenarios placed on real Jharkhand flow and fracture values, the 80% bands covered 0.885, 0.875 and 0.881 of scenarios for the three targets, so all three passed.</w:t>
      </w:r>
    </w:p>
    <w:p>
      <w:pPr>
        <w:keepNext/>
        <w:spacing w:before="120" w:after="80" w:line="240" w:lineRule="auto"/>
        <w:jc w:val="center"/>
      </w:pPr>
      <w:r>
        <w:rPr>
          <w:rFonts w:ascii="Times New Roman" w:hAnsi="Times New Roman" w:eastAsia="Times New Roman"/>
          <w:b/>
          <w:i w:val="0"/>
          <w:sz w:val="22"/>
        </w:rPr>
        <w:t>Table 7.4: R² (log scale) of the P50 model for each chemical (target ≥ 0.60)</w:t>
      </w:r>
    </w:p>
    <w:tbl>
      <w:tblPr>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249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Target</w:t>
            </w:r>
          </w:p>
        </w:tc>
        <w:tc>
          <w:tcPr>
            <w:tcW w:type="dxa" w:w="164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Uranium</w:t>
            </w:r>
          </w:p>
        </w:tc>
        <w:tc>
          <w:tcPr>
            <w:tcW w:type="dxa" w:w="164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Sulphate</w:t>
            </w:r>
          </w:p>
        </w:tc>
        <w:tc>
          <w:tcPr>
            <w:tcW w:type="dxa" w:w="164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TDS</w:t>
            </w:r>
          </w:p>
        </w:tc>
        <w:tc>
          <w:tcPr>
            <w:tcW w:type="dxa" w:w="164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Radium-226</w:t>
            </w:r>
          </w:p>
        </w:tc>
      </w:tr>
      <w:tr>
        <w:trPr>
          <w:cantSplit w:val="true"/>
        </w:trPr>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Footprint area</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0.943</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0.789</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0.820</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0.892</w:t>
            </w:r>
          </w:p>
        </w:tc>
      </w:tr>
      <w:tr>
        <w:trPr>
          <w:cantSplit w:val="true"/>
        </w:trPr>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Travel distance</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0.930</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0.878</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0.884</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0.500 (below target)</w:t>
            </w:r>
          </w:p>
        </w:tc>
      </w:tr>
      <w:tr>
        <w:trPr>
          <w:cantSplit w:val="true"/>
        </w:trPr>
        <w:tc>
          <w:tcPr>
            <w:tcW w:type="dxa" w:w="249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Ring concentration</w:t>
            </w:r>
          </w:p>
        </w:tc>
        <w:tc>
          <w:tcPr>
            <w:tcW w:type="dxa" w:w="164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0.847</w:t>
            </w:r>
          </w:p>
        </w:tc>
        <w:tc>
          <w:tcPr>
            <w:tcW w:type="dxa" w:w="164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0.917</w:t>
            </w:r>
          </w:p>
        </w:tc>
        <w:tc>
          <w:tcPr>
            <w:tcW w:type="dxa" w:w="164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0.962</w:t>
            </w:r>
          </w:p>
        </w:tc>
        <w:tc>
          <w:tcPr>
            <w:tcW w:type="dxa" w:w="164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i w:val="0"/>
                <w:sz w:val="22"/>
              </w:rPr>
              <w:t>0.235 (below target)</w:t>
            </w:r>
          </w:p>
        </w:tc>
      </w:tr>
    </w:tbl>
    <w:p>
      <w:pPr>
        <w:spacing w:after="40"/>
      </w:pPr>
    </w:p>
    <w:p>
      <w:pPr>
        <w:spacing w:before="0" w:after="120" w:line="360" w:lineRule="auto"/>
        <w:jc w:val="both"/>
      </w:pPr>
      <w:r>
        <w:rPr>
          <w:rFonts w:ascii="Times New Roman" w:hAnsi="Times New Roman" w:eastAsia="Times New Roman"/>
          <w:b w:val="0"/>
          <w:i w:val="0"/>
          <w:sz w:val="24"/>
        </w:rPr>
        <w:t>For radium, two results are below the project’s own target of 0.60. This is because radium hardly moves: 81.8% of its travel-distance values are exactly zero and 95.8% of its ring values equal the background. A regression model cannot learn such data well. The result is reported openly instead of lowering the target. The radium uncertainty bands still cover more than 92% of cases, and the physics engine always gives the main radium value, so users are not misled.</w:t>
      </w:r>
    </w:p>
    <w:p>
      <w:pPr>
        <w:spacing w:before="0" w:after="120" w:line="360" w:lineRule="auto"/>
        <w:jc w:val="both"/>
      </w:pPr>
      <w:r>
        <w:rPr>
          <w:rFonts w:ascii="Times New Roman" w:hAnsi="Times New Roman" w:eastAsia="Times New Roman"/>
          <w:b w:val="0"/>
          <w:i w:val="0"/>
          <w:sz w:val="24"/>
        </w:rPr>
        <w:t>SHAP analysis showed that the model relies on the right physical quantities. The plume front position calculated by the engine is the strongest feature for travel distance and excursion probability. The source concentration and wellfield width are the strongest for the footprint area, because most of the footprint is the leach zone itself. No map coordinate can appear, because none is a feature.</w:t>
      </w:r>
    </w:p>
    <w:p>
      <w:pPr>
        <w:keepNext/>
        <w:spacing w:before="120" w:after="40" w:line="240" w:lineRule="auto"/>
        <w:jc w:val="center"/>
      </w:pPr>
      <w:r>
        <w:drawing>
          <wp:inline xmlns:a="http://schemas.openxmlformats.org/drawingml/2006/main" xmlns:pic="http://schemas.openxmlformats.org/drawingml/2006/picture">
            <wp:extent cx="4680000" cy="3008571"/>
            <wp:docPr id="11" name="Picture 11"/>
            <wp:cNvGraphicFramePr>
              <a:graphicFrameLocks noChangeAspect="1"/>
            </wp:cNvGraphicFramePr>
            <a:graphic>
              <a:graphicData uri="http://schemas.openxmlformats.org/drawingml/2006/picture">
                <pic:pic>
                  <pic:nvPicPr>
                    <pic:cNvPr id="0" name="fig_shap_pex.png"/>
                    <pic:cNvPicPr/>
                  </pic:nvPicPr>
                  <pic:blipFill>
                    <a:blip r:embed="rId20"/>
                    <a:stretch>
                      <a:fillRect/>
                    </a:stretch>
                  </pic:blipFill>
                  <pic:spPr>
                    <a:xfrm>
                      <a:off x="0" y="0"/>
                      <a:ext cx="4680000" cy="3008571"/>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7.2: SHAP feature importance for the excursion-probability model (version 5): the plume front position calculated by the engine (Xc_m) dominates.</w:t>
      </w:r>
    </w:p>
    <w:p>
      <w:pPr>
        <w:keepNext/>
        <w:spacing w:before="120" w:after="80" w:line="276" w:lineRule="auto"/>
        <w:jc w:val="left"/>
      </w:pPr>
      <w:r>
        <w:rPr>
          <w:rFonts w:ascii="Times New Roman" w:hAnsi="Times New Roman" w:eastAsia="Times New Roman"/>
          <w:b/>
          <w:i w:val="0"/>
          <w:sz w:val="24"/>
        </w:rPr>
        <w:t>Key achievements include:</w:t>
      </w:r>
    </w:p>
    <w:p>
      <w:pPr>
        <w:pStyle w:val="ListBullet"/>
        <w:spacing w:before="0" w:after="40" w:line="312" w:lineRule="auto"/>
        <w:ind w:left="567" w:hanging="283"/>
        <w:jc w:val="both"/>
      </w:pPr>
      <w:r>
        <w:rPr>
          <w:rFonts w:ascii="Times New Roman" w:hAnsi="Times New Roman" w:eastAsia="Times New Roman"/>
          <w:b w:val="0"/>
          <w:i w:val="0"/>
          <w:sz w:val="24"/>
        </w:rPr>
        <w:t>Surrogate R² (log) of 0.89 to 0.95, better than all baselines.</w:t>
      </w:r>
    </w:p>
    <w:p>
      <w:pPr>
        <w:pStyle w:val="ListBullet"/>
        <w:spacing w:before="0" w:after="40" w:line="312" w:lineRule="auto"/>
        <w:ind w:left="567" w:hanging="283"/>
        <w:jc w:val="both"/>
      </w:pPr>
      <w:r>
        <w:rPr>
          <w:rFonts w:ascii="Times New Roman" w:hAnsi="Times New Roman" w:eastAsia="Times New Roman"/>
          <w:b w:val="0"/>
          <w:i w:val="0"/>
          <w:sz w:val="24"/>
        </w:rPr>
        <w:t>80% coverage achieved on real-location test scenarios for all three targets.</w:t>
      </w:r>
    </w:p>
    <w:p>
      <w:pPr>
        <w:pStyle w:val="ListBullet"/>
        <w:spacing w:before="0" w:after="40" w:line="312" w:lineRule="auto"/>
        <w:ind w:left="567" w:hanging="283"/>
        <w:jc w:val="both"/>
      </w:pPr>
      <w:r>
        <w:rPr>
          <w:rFonts w:ascii="Times New Roman" w:hAnsi="Times New Roman" w:eastAsia="Times New Roman"/>
          <w:b w:val="0"/>
          <w:i w:val="0"/>
          <w:sz w:val="24"/>
        </w:rPr>
        <w:t>Physical rules built into the model and checked against the engine.</w:t>
      </w:r>
    </w:p>
    <w:p>
      <w:pPr>
        <w:pStyle w:val="ListBullet"/>
        <w:spacing w:before="0" w:after="40" w:line="312" w:lineRule="auto"/>
        <w:ind w:left="567" w:hanging="283"/>
        <w:jc w:val="both"/>
      </w:pPr>
      <w:r>
        <w:rPr>
          <w:rFonts w:ascii="Times New Roman" w:hAnsi="Times New Roman" w:eastAsia="Times New Roman"/>
          <w:b w:val="0"/>
          <w:i w:val="0"/>
          <w:sz w:val="24"/>
        </w:rPr>
        <w:t>Radium weakness reported openly, with the engine used as the authority.</w:t>
      </w:r>
    </w:p>
    <w:p>
      <w:pPr>
        <w:pStyle w:val="Heading2"/>
        <w:keepNext/>
        <w:spacing w:before="200" w:after="120" w:line="276" w:lineRule="auto"/>
        <w:jc w:val="left"/>
      </w:pPr>
      <w:r>
        <w:rPr>
          <w:rFonts w:ascii="Times New Roman" w:hAnsi="Times New Roman" w:eastAsia="Times New Roman"/>
          <w:b/>
          <w:i w:val="0"/>
          <w:sz w:val="24"/>
        </w:rPr>
        <w:t>7.4 Validation of the Transport Engine</w:t>
      </w:r>
    </w:p>
    <w:p>
      <w:pPr>
        <w:spacing w:before="0" w:after="120" w:line="360" w:lineRule="auto"/>
        <w:jc w:val="both"/>
      </w:pPr>
      <w:r>
        <w:rPr>
          <w:rFonts w:ascii="Times New Roman" w:hAnsi="Times New Roman" w:eastAsia="Times New Roman"/>
          <w:b w:val="0"/>
          <w:i w:val="0"/>
          <w:sz w:val="24"/>
        </w:rPr>
        <w:t>In the second review round, a reviewer suggested that the Domenico approximation could cause errors of up to 80% [56]. To test this, the engine was compared with an exact numerical solution on 240 parameter sets drawn from the training data. The result disproved the concern but found a different problem.</w:t>
      </w:r>
    </w:p>
    <w:p>
      <w:pPr>
        <w:keepNext/>
        <w:spacing w:before="120" w:after="80" w:line="240" w:lineRule="auto"/>
        <w:jc w:val="center"/>
      </w:pPr>
      <w:r>
        <w:rPr>
          <w:rFonts w:ascii="Times New Roman" w:hAnsi="Times New Roman" w:eastAsia="Times New Roman"/>
          <w:b/>
          <w:i w:val="0"/>
          <w:sz w:val="22"/>
        </w:rPr>
        <w:t>Table 7.5: Error of the engine along the plume centreline compared with the exact solution</w:t>
      </w:r>
    </w:p>
    <w:tbl>
      <w:tblPr>
        <w:tblW w:type="auto" w:w="0"/>
        <w:jc w:val="center"/>
        <w:tblLayout w:type="fixed"/>
        <w:tblLook w:firstColumn="1" w:firstRow="1" w:lastColumn="0" w:lastRow="0" w:noHBand="0" w:noVBand="1" w:val="04A0"/>
      </w:tblPr>
      <w:tblGrid>
        <w:gridCol w:w="2929"/>
        <w:gridCol w:w="2929"/>
        <w:gridCol w:w="2929"/>
      </w:tblGrid>
      <w:tr>
        <w:trPr>
          <w:tblHeader w:val="true"/>
          <w:cantSplit w:val="true"/>
        </w:trPr>
        <w:tc>
          <w:tcPr>
            <w:tcW w:type="dxa" w:w="311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Position along the plume</w:t>
            </w:r>
          </w:p>
        </w:tc>
        <w:tc>
          <w:tcPr>
            <w:tcW w:type="dxa" w:w="294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Domenico approximation only</w:t>
            </w:r>
          </w:p>
        </w:tc>
        <w:tc>
          <w:tcPr>
            <w:tcW w:type="dxa" w:w="300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Version then in use (missing term)</w:t>
            </w:r>
          </w:p>
        </w:tc>
      </w:tr>
      <w:tr>
        <w:trPr>
          <w:cantSplit w:val="true"/>
        </w:trPr>
        <w:tc>
          <w:tcPr>
            <w:tcW w:type="dxa" w:w="311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Half-way to the front</w:t>
            </w:r>
          </w:p>
        </w:tc>
        <w:tc>
          <w:tcPr>
            <w:tcW w:type="dxa" w:w="294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w:t>
            </w:r>
          </w:p>
        </w:tc>
        <w:tc>
          <w:tcPr>
            <w:tcW w:type="dxa" w:w="300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−16.9% (typical)</w:t>
            </w:r>
          </w:p>
        </w:tc>
      </w:tr>
      <w:tr>
        <w:trPr>
          <w:cantSplit w:val="true"/>
        </w:trPr>
        <w:tc>
          <w:tcPr>
            <w:tcW w:type="dxa" w:w="311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At the front</w:t>
            </w:r>
          </w:p>
        </w:tc>
        <w:tc>
          <w:tcPr>
            <w:tcW w:type="dxa" w:w="294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w:t>
            </w:r>
          </w:p>
        </w:tc>
        <w:tc>
          <w:tcPr>
            <w:tcW w:type="dxa" w:w="300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−22.4% (typical)</w:t>
            </w:r>
          </w:p>
        </w:tc>
      </w:tr>
      <w:tr>
        <w:trPr>
          <w:cantSplit w:val="true"/>
        </w:trPr>
        <w:tc>
          <w:tcPr>
            <w:tcW w:type="dxa" w:w="311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Beyond the front</w:t>
            </w:r>
          </w:p>
        </w:tc>
        <w:tc>
          <w:tcPr>
            <w:tcW w:type="dxa" w:w="294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−0.10% to 0.00%</w:t>
            </w:r>
          </w:p>
        </w:tc>
        <w:tc>
          <w:tcPr>
            <w:tcW w:type="dxa" w:w="300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−24.3% (typical)</w:t>
            </w:r>
          </w:p>
        </w:tc>
      </w:tr>
    </w:tbl>
    <w:p>
      <w:pPr>
        <w:spacing w:after="40"/>
      </w:pPr>
    </w:p>
    <w:p>
      <w:pPr>
        <w:spacing w:before="0" w:after="120" w:line="360" w:lineRule="auto"/>
        <w:jc w:val="both"/>
      </w:pPr>
      <w:r>
        <w:rPr>
          <w:rFonts w:ascii="Times New Roman" w:hAnsi="Times New Roman" w:eastAsia="Times New Roman"/>
          <w:b w:val="0"/>
          <w:i w:val="0"/>
          <w:sz w:val="24"/>
        </w:rPr>
        <w:t>The Domenico approximation itself caused no error in this project’s range of parameters. However, the version then in use had dropped the second term of the Ogata–Banks formula [30], which made every concentration 17% to 42% too low. This was the opposite of the safe (conservative) side the tool aims for. The full term was restored and the surrogate was retrained on the exact formula. The end-to-end audit of the final version passes 43 of 44 checks; the only failure is the radium target described above.</w:t>
      </w:r>
    </w:p>
    <w:p>
      <w:pPr>
        <w:pStyle w:val="Heading2"/>
        <w:keepNext/>
        <w:spacing w:before="200" w:after="120" w:line="276" w:lineRule="auto"/>
        <w:jc w:val="left"/>
      </w:pPr>
      <w:r>
        <w:rPr>
          <w:rFonts w:ascii="Times New Roman" w:hAnsi="Times New Roman" w:eastAsia="Times New Roman"/>
          <w:b/>
          <w:i w:val="0"/>
          <w:sz w:val="24"/>
        </w:rPr>
        <w:t>7.5 Case Study: Hypothetical ISR Site at Jaduguda</w:t>
      </w:r>
    </w:p>
    <w:p>
      <w:pPr>
        <w:spacing w:before="0" w:after="120" w:line="360" w:lineRule="auto"/>
        <w:jc w:val="both"/>
      </w:pPr>
      <w:r>
        <w:rPr>
          <w:rFonts w:ascii="Times New Roman" w:hAnsi="Times New Roman" w:eastAsia="Times New Roman"/>
          <w:b w:val="0"/>
          <w:i w:val="0"/>
          <w:sz w:val="24"/>
        </w:rPr>
        <w:t>The engine was run for a hypothetical ISR operation at the Jaduguda deposit, with 8 years of operation, an injection rate of 2,500 m³/day, 2% bleed, a 300 m wide wellfield, no restoration and a monitoring ring 100 m from the wellfield. The location resolves to fractured rock in the shear zone, with a gradient of 0.00205, K of 0.563 m/day at ore depth and β of 3.0.</w:t>
      </w:r>
    </w:p>
    <w:p>
      <w:pPr>
        <w:keepNext/>
        <w:spacing w:before="120" w:after="80" w:line="240" w:lineRule="auto"/>
        <w:jc w:val="center"/>
      </w:pPr>
      <w:r>
        <w:rPr>
          <w:rFonts w:ascii="Times New Roman" w:hAnsi="Times New Roman" w:eastAsia="Times New Roman"/>
          <w:b/>
          <w:i w:val="0"/>
          <w:sz w:val="22"/>
        </w:rPr>
        <w:t>Table 7.6: Modelled results at the Jaduguda deposit after 20 years (engine value with ML band)</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rPr>
          <w:tblHeader w:val="true"/>
          <w:cantSplit w:val="true"/>
        </w:trPr>
        <w:tc>
          <w:tcPr>
            <w:tcW w:type="dxa" w:w="147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Chemical</w:t>
            </w:r>
          </w:p>
        </w:tc>
        <w:tc>
          <w:tcPr>
            <w:tcW w:type="dxa" w:w="158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Source</w:t>
            </w:r>
          </w:p>
        </w:tc>
        <w:tc>
          <w:tcPr>
            <w:tcW w:type="dxa" w:w="147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Footprint (ha)</w:t>
            </w:r>
          </w:p>
        </w:tc>
        <w:tc>
          <w:tcPr>
            <w:tcW w:type="dxa" w:w="147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Travel distance (m)</w:t>
            </w:r>
          </w:p>
        </w:tc>
        <w:tc>
          <w:tcPr>
            <w:tcW w:type="dxa" w:w="124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Excursion probability</w:t>
            </w:r>
          </w:p>
        </w:tc>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ML band for distance, P10–P90 (m)</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15,180 ppb</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9.60</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20.5</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2.7 – 100</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Sulphate</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1,624.5 mg/L</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11.25</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73.1</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0.27</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3.5 – 467</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TDS</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3,655.5 mg/L</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17.62</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254</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0.96</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10.5 – 3,043</w:t>
            </w:r>
          </w:p>
        </w:tc>
      </w:tr>
      <w:tr>
        <w:trPr>
          <w:cantSplit w:val="true"/>
        </w:trPr>
        <w:tc>
          <w:tcPr>
            <w:tcW w:type="dxa" w:w="147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Radium-226</w:t>
            </w:r>
          </w:p>
        </w:tc>
        <w:tc>
          <w:tcPr>
            <w:tcW w:type="dxa" w:w="158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1,706 mBq/L</w:t>
            </w:r>
          </w:p>
        </w:tc>
        <w:tc>
          <w:tcPr>
            <w:tcW w:type="dxa" w:w="147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9.06</w:t>
            </w:r>
          </w:p>
        </w:tc>
        <w:tc>
          <w:tcPr>
            <w:tcW w:type="dxa" w:w="147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0.6</w:t>
            </w:r>
          </w:p>
        </w:tc>
        <w:tc>
          <w:tcPr>
            <w:tcW w:type="dxa" w:w="124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0.00</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 – 2.3</w:t>
            </w:r>
          </w:p>
        </w:tc>
      </w:tr>
    </w:tbl>
    <w:p>
      <w:pPr>
        <w:spacing w:after="40"/>
      </w:pPr>
    </w:p>
    <w:p>
      <w:pPr>
        <w:spacing w:before="0" w:after="120" w:line="360" w:lineRule="auto"/>
        <w:jc w:val="both"/>
      </w:pPr>
      <w:r>
        <w:rPr>
          <w:rFonts w:ascii="Times New Roman" w:hAnsi="Times New Roman" w:eastAsia="Times New Roman"/>
          <w:b w:val="0"/>
          <w:i w:val="0"/>
          <w:sz w:val="24"/>
        </w:rPr>
        <w:t>The order of spread (uranium far behind sulphate, which is behind TDS) comes from how strongly each chemical is held back by the rock (R_eff ≈ 271 for uranium, 17.3 for sulphate and 4.0 for TDS). This is the same reason the US rules do not use uranium as an excursion indicator [12], and the engine reproduces it without being told. At a location with no uranium ore (Ranchi), no uranium plume is drawn, while sulphate and TDS still spread, because the lixiviant carries them wherever it is injected.</w:t>
      </w:r>
    </w:p>
    <w:p>
      <w:pPr>
        <w:spacing w:before="0" w:after="120" w:line="360" w:lineRule="auto"/>
        <w:jc w:val="both"/>
      </w:pPr>
      <w:r>
        <w:rPr>
          <w:rFonts w:ascii="Times New Roman" w:hAnsi="Times New Roman" w:eastAsia="Times New Roman"/>
          <w:b w:val="0"/>
          <w:i w:val="0"/>
          <w:sz w:val="24"/>
        </w:rPr>
        <w:t>For the hypothetical site registered on the deployed system (just outside the Jaduguda deposit, injection 1,500 m³/day), a lifecycle run was made over 50 years:</w:t>
      </w:r>
    </w:p>
    <w:p>
      <w:pPr>
        <w:keepNext/>
        <w:spacing w:before="120" w:after="80" w:line="240" w:lineRule="auto"/>
        <w:jc w:val="center"/>
      </w:pPr>
      <w:r>
        <w:rPr>
          <w:rFonts w:ascii="Times New Roman" w:hAnsi="Times New Roman" w:eastAsia="Times New Roman"/>
          <w:b/>
          <w:i w:val="0"/>
          <w:sz w:val="22"/>
        </w:rPr>
        <w:t>Table 7.7: Lifecycle of the registered Jaduguda site (no restoration)</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rPr>
          <w:tblHeader w:val="true"/>
          <w:cantSplit w:val="true"/>
        </w:trPr>
        <w:tc>
          <w:tcPr>
            <w:tcW w:type="dxa" w:w="90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Year</w:t>
            </w:r>
          </w:p>
        </w:tc>
        <w:tc>
          <w:tcPr>
            <w:tcW w:type="dxa" w:w="158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Phase</w:t>
            </w:r>
          </w:p>
        </w:tc>
        <w:tc>
          <w:tcPr>
            <w:tcW w:type="dxa" w:w="147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Footprint (ha)</w:t>
            </w:r>
          </w:p>
        </w:tc>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Uranium travel (m)</w:t>
            </w:r>
          </w:p>
        </w:tc>
        <w:tc>
          <w:tcPr>
            <w:tcW w:type="dxa" w:w="147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Shallow aquifer index</w:t>
            </w:r>
          </w:p>
        </w:tc>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Excursion declared</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operation</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8.13</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11.1</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0.16</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closure</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8.65</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12.5</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0.28</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12</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after closure</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8.82</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16.6</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0.39</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yes (Cl, TDS)</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after closure</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8.99</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22.7</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0.62</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yes (Cl, TDS)</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30</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after closure</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9.16</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28.5</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0.91</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yes (Cl, TDS, SO₄)</w:t>
            </w:r>
          </w:p>
        </w:tc>
      </w:tr>
      <w:tr>
        <w:trPr>
          <w:cantSplit w:val="true"/>
        </w:trPr>
        <w:tc>
          <w:tcPr>
            <w:tcW w:type="dxa" w:w="90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50</w:t>
            </w:r>
          </w:p>
        </w:tc>
        <w:tc>
          <w:tcPr>
            <w:tcW w:type="dxa" w:w="158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after closure</w:t>
            </w:r>
          </w:p>
        </w:tc>
        <w:tc>
          <w:tcPr>
            <w:tcW w:type="dxa" w:w="147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9.51</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37.8</w:t>
            </w:r>
          </w:p>
        </w:tc>
        <w:tc>
          <w:tcPr>
            <w:tcW w:type="dxa" w:w="147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1.00</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yes (Cl, TDS, SO₄)</w:t>
            </w:r>
          </w:p>
        </w:tc>
      </w:tr>
    </w:tbl>
    <w:p>
      <w:pPr>
        <w:spacing w:after="40"/>
      </w:pPr>
    </w:p>
    <w:p>
      <w:pPr>
        <w:spacing w:before="0" w:after="120" w:line="360" w:lineRule="auto"/>
        <w:jc w:val="both"/>
      </w:pPr>
      <w:r>
        <w:rPr>
          <w:rFonts w:ascii="Times New Roman" w:hAnsi="Times New Roman" w:eastAsia="Times New Roman"/>
          <w:b w:val="0"/>
          <w:i w:val="0"/>
          <w:sz w:val="24"/>
        </w:rPr>
        <w:t>Uranium never reaches the 100 m ring in 50 years, but an excursion is declared from year 12, because chloride and TDS arrive first. The chemical indicators give the early warning, exactly as intended. When a 6-year restoration sweep is added, the 20-year uranium travel falls to 4.2 m and no excursion is declared (only chloride stays above its control limit).</w:t>
      </w:r>
    </w:p>
    <w:p>
      <w:pPr>
        <w:spacing w:before="0" w:after="120" w:line="360" w:lineRule="auto"/>
        <w:jc w:val="both"/>
      </w:pPr>
      <w:r>
        <w:rPr>
          <w:rFonts w:ascii="Times New Roman" w:hAnsi="Times New Roman" w:eastAsia="Times New Roman"/>
          <w:b/>
          <w:i w:val="0"/>
          <w:sz w:val="24"/>
        </w:rPr>
        <w:t>Shallow aquifer screening.</w:t>
      </w:r>
      <w:r>
        <w:rPr>
          <w:rFonts w:ascii="Times New Roman" w:hAnsi="Times New Roman" w:eastAsia="Times New Roman"/>
          <w:b w:val="0"/>
          <w:i w:val="0"/>
          <w:sz w:val="24"/>
        </w:rPr>
        <w:t xml:space="preserve"> At this site, the ore top is at 140 m and the base of the shallow layer at 20 m. The leakage pathway dominates, and the combined index is </w:t>
      </w:r>
      <w:r>
        <w:rPr>
          <w:rFonts w:ascii="Times New Roman" w:hAnsi="Times New Roman" w:eastAsia="Times New Roman"/>
          <w:b/>
          <w:i w:val="0"/>
          <w:sz w:val="24"/>
        </w:rPr>
        <w:t>0.62 (high)</w:t>
      </w:r>
      <w:r>
        <w:rPr>
          <w:rFonts w:ascii="Times New Roman" w:hAnsi="Times New Roman" w:eastAsia="Times New Roman"/>
          <w:b w:val="0"/>
          <w:i w:val="0"/>
          <w:sz w:val="24"/>
        </w:rPr>
        <w:t xml:space="preserve">. The estimated breakthrough time is </w:t>
      </w:r>
      <w:r>
        <w:rPr>
          <w:rFonts w:ascii="Times New Roman" w:hAnsi="Times New Roman" w:eastAsia="Times New Roman"/>
          <w:b/>
          <w:i w:val="0"/>
          <w:sz w:val="24"/>
        </w:rPr>
        <w:t>18.7 years</w:t>
      </w:r>
      <w:r>
        <w:rPr>
          <w:rFonts w:ascii="Times New Roman" w:hAnsi="Times New Roman" w:eastAsia="Times New Roman"/>
          <w:b w:val="0"/>
          <w:i w:val="0"/>
          <w:sz w:val="24"/>
        </w:rPr>
        <w:t xml:space="preserve"> on the yearly-average basis, 6.8 years in the dry-season case, and not expected in the wet-season case. This is a screening of whether a pathway exists, not a prediction of concentration in drinking water.</w:t>
      </w:r>
    </w:p>
    <w:p>
      <w:pPr>
        <w:keepNext/>
        <w:spacing w:before="120" w:after="40" w:line="240" w:lineRule="auto"/>
        <w:jc w:val="center"/>
      </w:pPr>
      <w:r>
        <w:drawing>
          <wp:inline xmlns:a="http://schemas.openxmlformats.org/drawingml/2006/main" xmlns:pic="http://schemas.openxmlformats.org/drawingml/2006/picture">
            <wp:extent cx="3960000" cy="5600572"/>
            <wp:docPr id="12" name="Picture 12"/>
            <wp:cNvGraphicFramePr>
              <a:graphicFrameLocks noChangeAspect="1"/>
            </wp:cNvGraphicFramePr>
            <a:graphic>
              <a:graphicData uri="http://schemas.openxmlformats.org/drawingml/2006/picture">
                <pic:pic>
                  <pic:nvPicPr>
                    <pic:cNvPr id="0" name="fig_console_result_july.png"/>
                    <pic:cNvPicPr/>
                  </pic:nvPicPr>
                  <pic:blipFill>
                    <a:blip r:embed="rId21"/>
                    <a:stretch>
                      <a:fillRect/>
                    </a:stretch>
                  </pic:blipFill>
                  <pic:spPr>
                    <a:xfrm>
                      <a:off x="0" y="0"/>
                      <a:ext cx="3960000" cy="5600572"/>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7.3: The console result panel for a Jaduguda belt location (uranium, 20 years, 3-year restoration; July 2026 build). The engine value is shown as the authority, with the ML band beside it, and the 2-of-3 excursion panel below.</w:t>
      </w:r>
    </w:p>
    <w:p>
      <w:pPr>
        <w:pStyle w:val="Heading2"/>
        <w:keepNext/>
        <w:spacing w:before="200" w:after="120" w:line="276" w:lineRule="auto"/>
        <w:jc w:val="left"/>
      </w:pPr>
      <w:r>
        <w:rPr>
          <w:rFonts w:ascii="Times New Roman" w:hAnsi="Times New Roman" w:eastAsia="Times New Roman"/>
          <w:b/>
          <w:i w:val="0"/>
          <w:sz w:val="24"/>
        </w:rPr>
        <w:t>7.6 Monitoring Gap Results</w:t>
      </w:r>
    </w:p>
    <w:p>
      <w:pPr>
        <w:spacing w:before="0" w:after="120" w:line="360" w:lineRule="auto"/>
        <w:jc w:val="both"/>
      </w:pPr>
      <w:r>
        <w:rPr>
          <w:rFonts w:ascii="Times New Roman" w:hAnsi="Times New Roman" w:eastAsia="Times New Roman"/>
          <w:b w:val="0"/>
          <w:i w:val="0"/>
          <w:sz w:val="24"/>
        </w:rPr>
        <w:t>The gap analysis of all 264 blocks found:</w:t>
      </w:r>
    </w:p>
    <w:p>
      <w:pPr>
        <w:pStyle w:val="ListBullet"/>
        <w:spacing w:before="0" w:after="40" w:line="312" w:lineRule="auto"/>
        <w:ind w:left="567" w:hanging="283"/>
        <w:jc w:val="both"/>
      </w:pPr>
      <w:r>
        <w:rPr>
          <w:rFonts w:ascii="Times New Roman" w:hAnsi="Times New Roman" w:eastAsia="Times New Roman"/>
          <w:b/>
          <w:i w:val="0"/>
          <w:sz w:val="24"/>
        </w:rPr>
        <w:t>53 blocks</w:t>
      </w:r>
      <w:r>
        <w:rPr>
          <w:rFonts w:ascii="Times New Roman" w:hAnsi="Times New Roman" w:eastAsia="Times New Roman"/>
          <w:b w:val="0"/>
          <w:i w:val="0"/>
          <w:sz w:val="24"/>
        </w:rPr>
        <w:t xml:space="preserve"> with no monitoring well</w:t>
      </w:r>
    </w:p>
    <w:p>
      <w:pPr>
        <w:pStyle w:val="ListBullet"/>
        <w:spacing w:before="0" w:after="40" w:line="312" w:lineRule="auto"/>
        <w:ind w:left="567" w:hanging="283"/>
        <w:jc w:val="both"/>
      </w:pPr>
      <w:r>
        <w:rPr>
          <w:rFonts w:ascii="Times New Roman" w:hAnsi="Times New Roman" w:eastAsia="Times New Roman"/>
          <w:b/>
          <w:i w:val="0"/>
          <w:sz w:val="24"/>
        </w:rPr>
        <w:t>83 blocks</w:t>
      </w:r>
      <w:r>
        <w:rPr>
          <w:rFonts w:ascii="Times New Roman" w:hAnsi="Times New Roman" w:eastAsia="Times New Roman"/>
          <w:b w:val="0"/>
          <w:i w:val="0"/>
          <w:sz w:val="24"/>
        </w:rPr>
        <w:t xml:space="preserve"> with no water-level station</w:t>
      </w:r>
    </w:p>
    <w:p>
      <w:pPr>
        <w:pStyle w:val="ListBullet"/>
        <w:spacing w:before="0" w:after="40" w:line="312" w:lineRule="auto"/>
        <w:ind w:left="567" w:hanging="283"/>
        <w:jc w:val="both"/>
      </w:pPr>
      <w:r>
        <w:rPr>
          <w:rFonts w:ascii="Times New Roman" w:hAnsi="Times New Roman" w:eastAsia="Times New Roman"/>
          <w:b/>
          <w:i w:val="0"/>
          <w:sz w:val="24"/>
        </w:rPr>
        <w:t>55 wells</w:t>
      </w:r>
      <w:r>
        <w:rPr>
          <w:rFonts w:ascii="Times New Roman" w:hAnsi="Times New Roman" w:eastAsia="Times New Roman"/>
          <w:b w:val="0"/>
          <w:i w:val="0"/>
          <w:sz w:val="24"/>
        </w:rPr>
        <w:t xml:space="preserve"> never tested for uranium</w:t>
      </w:r>
    </w:p>
    <w:p>
      <w:pPr>
        <w:pStyle w:val="ListBullet"/>
        <w:spacing w:before="0" w:after="40" w:line="312" w:lineRule="auto"/>
        <w:ind w:left="567" w:hanging="283"/>
        <w:jc w:val="both"/>
      </w:pPr>
      <w:r>
        <w:rPr>
          <w:rFonts w:ascii="Times New Roman" w:hAnsi="Times New Roman" w:eastAsia="Times New Roman"/>
          <w:b/>
          <w:i w:val="0"/>
          <w:sz w:val="24"/>
        </w:rPr>
        <w:t>397 of 397 wells</w:t>
      </w:r>
      <w:r>
        <w:rPr>
          <w:rFonts w:ascii="Times New Roman" w:hAnsi="Times New Roman" w:eastAsia="Times New Roman"/>
          <w:b w:val="0"/>
          <w:i w:val="0"/>
          <w:sz w:val="24"/>
        </w:rPr>
        <w:t xml:space="preserve"> with only a single sample (2023)</w:t>
      </w:r>
    </w:p>
    <w:p>
      <w:pPr>
        <w:keepNext/>
        <w:spacing w:before="120" w:after="80" w:line="240" w:lineRule="auto"/>
        <w:jc w:val="center"/>
      </w:pPr>
      <w:r>
        <w:rPr>
          <w:rFonts w:ascii="Times New Roman" w:hAnsi="Times New Roman" w:eastAsia="Times New Roman"/>
          <w:b/>
          <w:i w:val="0"/>
          <w:sz w:val="22"/>
        </w:rPr>
        <w:t>Table 7.8: Top 10 blocks by monitoring priority (out of 264)</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rPr>
          <w:tblHeader w:val="true"/>
          <w:cantSplit w:val="true"/>
        </w:trPr>
        <w:tc>
          <w:tcPr>
            <w:tcW w:type="dxa" w:w="73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Rank</w:t>
            </w:r>
          </w:p>
        </w:tc>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Block</w:t>
            </w:r>
          </w:p>
        </w:tc>
        <w:tc>
          <w:tcPr>
            <w:tcW w:type="dxa" w:w="215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District</w:t>
            </w:r>
          </w:p>
        </w:tc>
        <w:tc>
          <w:tcPr>
            <w:tcW w:type="dxa" w:w="1020"/>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Score</w:t>
            </w:r>
          </w:p>
        </w:tc>
        <w:tc>
          <w:tcPr>
            <w:tcW w:type="dxa" w:w="90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Wells</w:t>
            </w:r>
          </w:p>
        </w:tc>
        <w:tc>
          <w:tcPr>
            <w:tcW w:type="dxa" w:w="243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Distance to nearest uranium-tested well (km)</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Ghatshila</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East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65.2</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77.7</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Manoharpur</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46.1</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Tonto</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68.2</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Goilkera</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45.5</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Manjhari</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74.4</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Dumaria</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East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86.0</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Anandpur</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28.8</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Kumardungi</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90.2</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Majhgaon</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103.4</w:t>
            </w:r>
          </w:p>
        </w:tc>
      </w:tr>
      <w:tr>
        <w:trPr>
          <w:cantSplit w:val="true"/>
        </w:trPr>
        <w:tc>
          <w:tcPr>
            <w:tcW w:type="dxa" w:w="73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10</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Boram</w:t>
            </w:r>
          </w:p>
        </w:tc>
        <w:tc>
          <w:tcPr>
            <w:tcW w:type="dxa" w:w="215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East Singhbhum</w:t>
            </w:r>
          </w:p>
        </w:tc>
        <w:tc>
          <w:tcPr>
            <w:tcW w:type="dxa" w:w="1020"/>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46.5</w:t>
            </w:r>
          </w:p>
        </w:tc>
      </w:tr>
    </w:tbl>
    <w:p>
      <w:pPr>
        <w:spacing w:after="40"/>
      </w:pPr>
    </w:p>
    <w:p>
      <w:pPr>
        <w:spacing w:before="0" w:after="120" w:line="360" w:lineRule="auto"/>
        <w:jc w:val="both"/>
      </w:pPr>
      <w:r>
        <w:rPr>
          <w:rFonts w:ascii="Times New Roman" w:hAnsi="Times New Roman" w:eastAsia="Times New Roman"/>
          <w:b w:val="0"/>
          <w:i w:val="0"/>
          <w:sz w:val="24"/>
        </w:rPr>
        <w:t xml:space="preserve">The most important finding is the location of these blocks: </w:t>
      </w:r>
      <w:r>
        <w:rPr>
          <w:rFonts w:ascii="Times New Roman" w:hAnsi="Times New Roman" w:eastAsia="Times New Roman"/>
          <w:b/>
          <w:i w:val="0"/>
          <w:sz w:val="24"/>
        </w:rPr>
        <w:t>all top 25 blocks lie in East Singhbhum, West Singhbhum, Saraikela-Kharsawan or neighbouring Khunti</w:t>
      </w:r>
      <w:r>
        <w:rPr>
          <w:rFonts w:ascii="Times New Roman" w:hAnsi="Times New Roman" w:eastAsia="Times New Roman"/>
          <w:b w:val="0"/>
          <w:i w:val="0"/>
          <w:sz w:val="24"/>
        </w:rPr>
        <w:t>, which is the uranium belt itself. Sixteen of the 25 have no well at all, and the other nine have wells that were sampled but never tested for uranium. The cheapest improvement is to test those existing samples for uranium.</w:t>
      </w:r>
    </w:p>
    <w:p>
      <w:pPr>
        <w:pStyle w:val="Heading2"/>
        <w:keepNext/>
        <w:spacing w:before="200" w:after="120" w:line="276" w:lineRule="auto"/>
        <w:jc w:val="left"/>
      </w:pPr>
      <w:r>
        <w:rPr>
          <w:rFonts w:ascii="Times New Roman" w:hAnsi="Times New Roman" w:eastAsia="Times New Roman"/>
          <w:b/>
          <w:i w:val="0"/>
          <w:sz w:val="24"/>
        </w:rPr>
        <w:t>7.7 Sensitivity Analysis Results</w:t>
      </w:r>
    </w:p>
    <w:p>
      <w:pPr>
        <w:spacing w:before="0" w:after="120" w:line="360" w:lineRule="auto"/>
        <w:jc w:val="both"/>
      </w:pPr>
      <w:r>
        <w:rPr>
          <w:rFonts w:ascii="Times New Roman" w:hAnsi="Times New Roman" w:eastAsia="Times New Roman"/>
          <w:b w:val="0"/>
          <w:i w:val="0"/>
          <w:sz w:val="24"/>
        </w:rPr>
        <w:t>The Sobol sensitivity analysis showed which inputs control the results. At the Jaduguda deposit, the travel distance of uranium depends mostly on hydraulic conductivity K (index 0.42), then β (0.21), then the gradient (0.16). At the belt location, β becomes the most important (0.29). The footprint area depends mostly on the two leach-zone growth constants, which are project assumptions. The fracture opening and the matrix diffusion coefficient have almost no effect at 20 years.</w:t>
      </w:r>
    </w:p>
    <w:p>
      <w:pPr>
        <w:spacing w:before="0" w:after="120" w:line="360" w:lineRule="auto"/>
        <w:jc w:val="both"/>
      </w:pPr>
      <w:r>
        <w:rPr>
          <w:rFonts w:ascii="Times New Roman" w:hAnsi="Times New Roman" w:eastAsia="Times New Roman"/>
          <w:b w:val="0"/>
          <w:i w:val="0"/>
          <w:sz w:val="24"/>
        </w:rPr>
        <w:t>This is an important result for future work. The two inputs that decide the plume extent, K and β, are not measured at ore depth anywhere in the Singhbhum shear zone. K comes from the shallow aquifer map with a depth law, and β comes from typical porosities. A field tracer test in the shear zone would reduce this uncertainty more than anything else.</w:t>
      </w:r>
    </w:p>
    <w:p>
      <w:pPr>
        <w:keepNext/>
        <w:spacing w:before="120" w:after="40" w:line="240" w:lineRule="auto"/>
        <w:jc w:val="center"/>
      </w:pPr>
      <w:r>
        <w:drawing>
          <wp:inline xmlns:a="http://schemas.openxmlformats.org/drawingml/2006/main" xmlns:pic="http://schemas.openxmlformats.org/drawingml/2006/picture">
            <wp:extent cx="5040000" cy="1440000"/>
            <wp:docPr id="13" name="Picture 13"/>
            <wp:cNvGraphicFramePr>
              <a:graphicFrameLocks noChangeAspect="1"/>
            </wp:cNvGraphicFramePr>
            <a:graphic>
              <a:graphicData uri="http://schemas.openxmlformats.org/drawingml/2006/picture">
                <pic:pic>
                  <pic:nvPicPr>
                    <pic:cNvPr id="0" name="fig_sens_jaduguda_uranium.png"/>
                    <pic:cNvPicPr/>
                  </pic:nvPicPr>
                  <pic:blipFill>
                    <a:blip r:embed="rId22"/>
                    <a:stretch>
                      <a:fillRect/>
                    </a:stretch>
                  </pic:blipFill>
                  <pic:spPr>
                    <a:xfrm>
                      <a:off x="0" y="0"/>
                      <a:ext cx="5040000" cy="1440000"/>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7.4: Sobol total-order sensitivity indices for uranium at the Jaduguda deposit location, for travel distance, footprint area and ring concentration.</w:t>
      </w:r>
    </w:p>
    <w:p>
      <w:pPr>
        <w:pStyle w:val="Heading2"/>
        <w:keepNext/>
        <w:spacing w:before="200" w:after="120" w:line="276" w:lineRule="auto"/>
        <w:jc w:val="left"/>
      </w:pPr>
      <w:r>
        <w:rPr>
          <w:rFonts w:ascii="Times New Roman" w:hAnsi="Times New Roman" w:eastAsia="Times New Roman"/>
          <w:b/>
          <w:i w:val="0"/>
          <w:sz w:val="24"/>
        </w:rPr>
        <w:t>7.8 Alert System Results</w:t>
      </w:r>
    </w:p>
    <w:p>
      <w:pPr>
        <w:spacing w:before="0" w:after="120" w:line="360" w:lineRule="auto"/>
        <w:jc w:val="both"/>
      </w:pPr>
      <w:r>
        <w:rPr>
          <w:rFonts w:ascii="Times New Roman" w:hAnsi="Times New Roman" w:eastAsia="Times New Roman"/>
          <w:b w:val="0"/>
          <w:i w:val="0"/>
          <w:sz w:val="24"/>
        </w:rPr>
        <w:t xml:space="preserve">On the local database, the measured-exceedance scan raised </w:t>
      </w:r>
      <w:r>
        <w:rPr>
          <w:rFonts w:ascii="Times New Roman" w:hAnsi="Times New Roman" w:eastAsia="Times New Roman"/>
          <w:b/>
          <w:i w:val="0"/>
          <w:sz w:val="24"/>
        </w:rPr>
        <w:t>53 alerts</w:t>
      </w:r>
      <w:r>
        <w:rPr>
          <w:rFonts w:ascii="Times New Roman" w:hAnsi="Times New Roman" w:eastAsia="Times New Roman"/>
          <w:b w:val="0"/>
          <w:i w:val="0"/>
          <w:sz w:val="24"/>
        </w:rPr>
        <w:t xml:space="preserve"> from the 2023 record:</w:t>
      </w:r>
    </w:p>
    <w:p>
      <w:pPr>
        <w:pStyle w:val="ListBullet"/>
        <w:spacing w:before="0" w:after="40" w:line="312" w:lineRule="auto"/>
        <w:ind w:left="567" w:hanging="283"/>
        <w:jc w:val="both"/>
      </w:pPr>
      <w:r>
        <w:rPr>
          <w:rFonts w:ascii="Times New Roman" w:hAnsi="Times New Roman" w:eastAsia="Times New Roman"/>
          <w:b/>
          <w:i w:val="0"/>
          <w:sz w:val="24"/>
        </w:rPr>
        <w:t>3 critical:</w:t>
      </w:r>
      <w:r>
        <w:rPr>
          <w:rFonts w:ascii="Times New Roman" w:hAnsi="Times New Roman" w:eastAsia="Times New Roman"/>
          <w:b w:val="0"/>
          <w:i w:val="0"/>
          <w:sz w:val="24"/>
        </w:rPr>
        <w:t xml:space="preserve"> Biru (Simdega, nitrate 121 mg/L, 2.7 times the limit), Lowadih (Ranchi, nitrate 99 mg/L) and Gidhaur (Chatra, above both the nitrate and fluoride limits)</w:t>
      </w:r>
    </w:p>
    <w:p>
      <w:pPr>
        <w:pStyle w:val="ListBullet"/>
        <w:spacing w:before="0" w:after="40" w:line="312" w:lineRule="auto"/>
        <w:ind w:left="567" w:hanging="283"/>
        <w:jc w:val="both"/>
      </w:pPr>
      <w:r>
        <w:rPr>
          <w:rFonts w:ascii="Times New Roman" w:hAnsi="Times New Roman" w:eastAsia="Times New Roman"/>
          <w:b/>
          <w:i w:val="0"/>
          <w:sz w:val="24"/>
        </w:rPr>
        <w:t>29 alert:</w:t>
      </w:r>
      <w:r>
        <w:rPr>
          <w:rFonts w:ascii="Times New Roman" w:hAnsi="Times New Roman" w:eastAsia="Times New Roman"/>
          <w:b w:val="0"/>
          <w:i w:val="0"/>
          <w:sz w:val="24"/>
        </w:rPr>
        <w:t xml:space="preserve"> other wells above a permissible or “no relaxation” limit</w:t>
      </w:r>
    </w:p>
    <w:p>
      <w:pPr>
        <w:pStyle w:val="ListBullet"/>
        <w:spacing w:before="0" w:after="40" w:line="312" w:lineRule="auto"/>
        <w:ind w:left="567" w:hanging="283"/>
        <w:jc w:val="both"/>
      </w:pPr>
      <w:r>
        <w:rPr>
          <w:rFonts w:ascii="Times New Roman" w:hAnsi="Times New Roman" w:eastAsia="Times New Roman"/>
          <w:b/>
          <w:i w:val="0"/>
          <w:sz w:val="24"/>
        </w:rPr>
        <w:t>21 warning:</w:t>
      </w:r>
      <w:r>
        <w:rPr>
          <w:rFonts w:ascii="Times New Roman" w:hAnsi="Times New Roman" w:eastAsia="Times New Roman"/>
          <w:b w:val="0"/>
          <w:i w:val="0"/>
          <w:sz w:val="24"/>
        </w:rPr>
        <w:t xml:space="preserve"> fluoride between 1.0 and 1.5 mg/L</w:t>
      </w:r>
    </w:p>
    <w:p>
      <w:pPr>
        <w:spacing w:before="0" w:after="120" w:line="360" w:lineRule="auto"/>
        <w:jc w:val="both"/>
      </w:pPr>
      <w:r>
        <w:rPr>
          <w:rFonts w:ascii="Times New Roman" w:hAnsi="Times New Roman" w:eastAsia="Times New Roman"/>
          <w:b w:val="0"/>
          <w:i w:val="0"/>
          <w:sz w:val="24"/>
        </w:rPr>
        <w:t>Before these fixes, the same scan had matched zero rows every time, because it only checked uranium above 30 ppb, which never happens in this record. On the deployed system (21 September 2026), 55 alerts had been raised, 4 residents were following 7 blocks, and email delivery through the Brevo relay was working.</w:t>
      </w:r>
    </w:p>
    <w:p>
      <w:pPr>
        <w:pStyle w:val="Heading2"/>
        <w:keepNext/>
        <w:spacing w:before="200" w:after="120" w:line="276" w:lineRule="auto"/>
        <w:jc w:val="left"/>
      </w:pPr>
      <w:r>
        <w:rPr>
          <w:rFonts w:ascii="Times New Roman" w:hAnsi="Times New Roman" w:eastAsia="Times New Roman"/>
          <w:b/>
          <w:i w:val="0"/>
          <w:sz w:val="24"/>
        </w:rPr>
        <w:t>7.9 Software and Deployment Results</w:t>
      </w:r>
    </w:p>
    <w:p>
      <w:pPr>
        <w:keepNext/>
        <w:spacing w:before="120" w:after="80" w:line="240" w:lineRule="auto"/>
        <w:jc w:val="center"/>
      </w:pPr>
      <w:r>
        <w:rPr>
          <w:rFonts w:ascii="Times New Roman" w:hAnsi="Times New Roman" w:eastAsia="Times New Roman"/>
          <w:b/>
          <w:i w:val="0"/>
          <w:sz w:val="22"/>
        </w:rPr>
        <w:t>Table 7.9: Final software figures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45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Item</w:t>
            </w:r>
          </w:p>
        </w:tc>
        <w:tc>
          <w:tcPr>
            <w:tcW w:type="dxa" w:w="45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Value</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Engine automated tests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373 (all passing)</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Backend automated tests (real PostGIS database)</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522 (all passing)</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API endpoints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152, across 25 routers</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Portal screens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22</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Database migrations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26</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User roles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 (admin, regulator, analyst, field officer, resident)</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Code commits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173</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One engine run with 48 Monte Carlo draws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about 0.2 s locally; about 4 s on the free cloud tier</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Surrogate training time</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about 200 seconds</w:t>
            </w:r>
          </w:p>
        </w:tc>
      </w:tr>
      <w:tr>
        <w:trPr>
          <w:cantSplit w:val="true"/>
        </w:trPr>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Full data bake (900 scenarios)</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about 1.5 to 2 hours</w:t>
            </w:r>
          </w:p>
        </w:tc>
      </w:tr>
    </w:tbl>
    <w:p>
      <w:pPr>
        <w:spacing w:after="40"/>
      </w:pPr>
    </w:p>
    <w:p>
      <w:pPr>
        <w:keepNext/>
        <w:spacing w:before="120" w:after="80" w:line="276" w:lineRule="auto"/>
        <w:jc w:val="left"/>
      </w:pPr>
      <w:r>
        <w:rPr>
          <w:rFonts w:ascii="Times New Roman" w:hAnsi="Times New Roman" w:eastAsia="Times New Roman"/>
          <w:b/>
          <w:i w:val="0"/>
          <w:sz w:val="24"/>
        </w:rPr>
        <w:t>Key achievements include:</w:t>
      </w:r>
    </w:p>
    <w:p>
      <w:pPr>
        <w:pStyle w:val="ListBullet"/>
        <w:spacing w:before="0" w:after="40" w:line="312" w:lineRule="auto"/>
        <w:ind w:left="567" w:hanging="283"/>
        <w:jc w:val="both"/>
      </w:pPr>
      <w:r>
        <w:rPr>
          <w:rFonts w:ascii="Times New Roman" w:hAnsi="Times New Roman" w:eastAsia="Times New Roman"/>
          <w:b w:val="0"/>
          <w:i w:val="0"/>
          <w:sz w:val="24"/>
        </w:rPr>
        <w:t>A working, deployed system available online.</w:t>
      </w:r>
    </w:p>
    <w:p>
      <w:pPr>
        <w:pStyle w:val="ListBullet"/>
        <w:spacing w:before="0" w:after="40" w:line="312" w:lineRule="auto"/>
        <w:ind w:left="567" w:hanging="283"/>
        <w:jc w:val="both"/>
      </w:pPr>
      <w:r>
        <w:rPr>
          <w:rFonts w:ascii="Times New Roman" w:hAnsi="Times New Roman" w:eastAsia="Times New Roman"/>
          <w:b w:val="0"/>
          <w:i w:val="0"/>
          <w:sz w:val="24"/>
        </w:rPr>
        <w:t>All 152 endpoints covered by a generated role-access matrix and tests.</w:t>
      </w:r>
    </w:p>
    <w:p>
      <w:pPr>
        <w:pStyle w:val="ListBullet"/>
        <w:spacing w:before="0" w:after="40" w:line="312" w:lineRule="auto"/>
        <w:ind w:left="567" w:hanging="283"/>
        <w:jc w:val="both"/>
      </w:pPr>
      <w:r>
        <w:rPr>
          <w:rFonts w:ascii="Times New Roman" w:hAnsi="Times New Roman" w:eastAsia="Times New Roman"/>
          <w:b w:val="0"/>
          <w:i w:val="0"/>
          <w:sz w:val="24"/>
        </w:rPr>
        <w:t>Database row-level security verified on the live connection.</w:t>
      </w:r>
    </w:p>
    <w:p>
      <w:pPr>
        <w:pStyle w:val="ListBullet"/>
        <w:spacing w:before="0" w:after="40" w:line="312" w:lineRule="auto"/>
        <w:ind w:left="567" w:hanging="283"/>
        <w:jc w:val="both"/>
      </w:pPr>
      <w:r>
        <w:rPr>
          <w:rFonts w:ascii="Times New Roman" w:hAnsi="Times New Roman" w:eastAsia="Times New Roman"/>
          <w:b w:val="0"/>
          <w:i w:val="0"/>
          <w:sz w:val="24"/>
        </w:rPr>
        <w:t>A complete alert loop, from measured data to email delivery.</w:t>
      </w:r>
    </w:p>
    <w:p>
      <w:pPr>
        <w:pStyle w:val="ListBullet"/>
        <w:spacing w:before="0" w:after="40" w:line="312" w:lineRule="auto"/>
        <w:ind w:left="567" w:hanging="283"/>
        <w:jc w:val="both"/>
      </w:pPr>
      <w:r>
        <w:rPr>
          <w:rFonts w:ascii="Times New Roman" w:hAnsi="Times New Roman" w:eastAsia="Times New Roman"/>
          <w:b w:val="0"/>
          <w:i w:val="0"/>
          <w:sz w:val="24"/>
        </w:rPr>
        <w:t>A monitoring recommendation that points to the uranium belt as the weakest-monitored region.</w:t>
      </w:r>
    </w:p>
    <w:p>
      <w:r>
        <w:br w:type="page"/>
      </w:r>
    </w:p>
    <w:p>
      <w:pPr>
        <w:pStyle w:val="Heading1"/>
        <w:keepNext/>
        <w:spacing w:before="0" w:after="240" w:line="276" w:lineRule="auto"/>
        <w:jc w:val="left"/>
      </w:pPr>
      <w:r>
        <w:rPr>
          <w:rFonts w:ascii="Times New Roman" w:hAnsi="Times New Roman" w:eastAsia="Times New Roman"/>
          <w:b/>
          <w:i w:val="0"/>
          <w:sz w:val="28"/>
        </w:rPr>
        <w:t>8. PROTOTYPE / SOFTWARE DETAILS</w:t>
      </w:r>
    </w:p>
    <w:p>
      <w:pPr>
        <w:spacing w:before="0" w:after="120" w:line="360" w:lineRule="auto"/>
        <w:jc w:val="both"/>
      </w:pPr>
      <w:r>
        <w:rPr>
          <w:rFonts w:ascii="Times New Roman" w:hAnsi="Times New Roman" w:eastAsia="Times New Roman"/>
          <w:b w:val="0"/>
          <w:i w:val="0"/>
          <w:sz w:val="24"/>
        </w:rPr>
        <w:t>The developed prototype, JalDrishti, is a web-based groundwater contamination screening and monitoring system for Jharkhand. It combines a physics-based contamination engine, a trained ML surrogate, a spatial database, an alert system and a role-based web portal. The prototype was built so that officials can study “what if” ISR scenarios anywhere in the state, see what the measured groundwater record says, find where monitoring is weakest, and inform residents, all from one place.</w:t>
      </w:r>
    </w:p>
    <w:p>
      <w:pPr>
        <w:pStyle w:val="Heading2"/>
        <w:keepNext/>
        <w:spacing w:before="200" w:after="120" w:line="276" w:lineRule="auto"/>
        <w:jc w:val="left"/>
      </w:pPr>
      <w:r>
        <w:rPr>
          <w:rFonts w:ascii="Times New Roman" w:hAnsi="Times New Roman" w:eastAsia="Times New Roman"/>
          <w:b/>
          <w:i w:val="0"/>
          <w:sz w:val="24"/>
        </w:rPr>
        <w:t>8.1 Prototype Overview</w:t>
      </w:r>
    </w:p>
    <w:p>
      <w:pPr>
        <w:spacing w:before="0" w:after="120" w:line="360" w:lineRule="auto"/>
        <w:jc w:val="both"/>
      </w:pPr>
      <w:r>
        <w:rPr>
          <w:rFonts w:ascii="Times New Roman" w:hAnsi="Times New Roman" w:eastAsia="Times New Roman"/>
          <w:b w:val="0"/>
          <w:i w:val="0"/>
          <w:sz w:val="24"/>
        </w:rPr>
        <w:t>The prototype consists of the following major subsystems:</w:t>
      </w:r>
    </w:p>
    <w:p>
      <w:pPr>
        <w:pStyle w:val="ListBullet"/>
        <w:spacing w:before="0" w:after="40" w:line="312" w:lineRule="auto"/>
        <w:ind w:left="567" w:hanging="283"/>
        <w:jc w:val="both"/>
      </w:pPr>
      <w:r>
        <w:rPr>
          <w:rFonts w:ascii="Times New Roman" w:hAnsi="Times New Roman" w:eastAsia="Times New Roman"/>
          <w:b w:val="0"/>
          <w:i w:val="0"/>
          <w:sz w:val="24"/>
        </w:rPr>
        <w:t>Physics-based contamination engine (plume, restoration, excursion test, shallow-aquifer screening)</w:t>
      </w:r>
    </w:p>
    <w:p>
      <w:pPr>
        <w:pStyle w:val="ListBullet"/>
        <w:spacing w:before="0" w:after="40" w:line="312" w:lineRule="auto"/>
        <w:ind w:left="567" w:hanging="283"/>
        <w:jc w:val="both"/>
      </w:pPr>
      <w:r>
        <w:rPr>
          <w:rFonts w:ascii="Times New Roman" w:hAnsi="Times New Roman" w:eastAsia="Times New Roman"/>
          <w:b w:val="0"/>
          <w:i w:val="0"/>
          <w:sz w:val="24"/>
        </w:rPr>
        <w:t>ML surrogate with calibrated uncertainty bands</w:t>
      </w:r>
    </w:p>
    <w:p>
      <w:pPr>
        <w:pStyle w:val="ListBullet"/>
        <w:spacing w:before="0" w:after="40" w:line="312" w:lineRule="auto"/>
        <w:ind w:left="567" w:hanging="283"/>
        <w:jc w:val="both"/>
      </w:pPr>
      <w:r>
        <w:rPr>
          <w:rFonts w:ascii="Times New Roman" w:hAnsi="Times New Roman" w:eastAsia="Times New Roman"/>
          <w:b w:val="0"/>
          <w:i w:val="0"/>
          <w:sz w:val="24"/>
        </w:rPr>
        <w:t>Spatial database (PostgreSQL + PostGIS) with row-level security</w:t>
      </w:r>
    </w:p>
    <w:p>
      <w:pPr>
        <w:pStyle w:val="ListBullet"/>
        <w:spacing w:before="0" w:after="40" w:line="312" w:lineRule="auto"/>
        <w:ind w:left="567" w:hanging="283"/>
        <w:jc w:val="both"/>
      </w:pPr>
      <w:r>
        <w:rPr>
          <w:rFonts w:ascii="Times New Roman" w:hAnsi="Times New Roman" w:eastAsia="Times New Roman"/>
          <w:b w:val="0"/>
          <w:i w:val="0"/>
          <w:sz w:val="24"/>
        </w:rPr>
        <w:t>Backend API (FastAPI) with 152 endpoints</w:t>
      </w:r>
    </w:p>
    <w:p>
      <w:pPr>
        <w:pStyle w:val="ListBullet"/>
        <w:spacing w:before="0" w:after="40" w:line="312" w:lineRule="auto"/>
        <w:ind w:left="567" w:hanging="283"/>
        <w:jc w:val="both"/>
      </w:pPr>
      <w:r>
        <w:rPr>
          <w:rFonts w:ascii="Times New Roman" w:hAnsi="Times New Roman" w:eastAsia="Times New Roman"/>
          <w:b w:val="0"/>
          <w:i w:val="0"/>
          <w:sz w:val="24"/>
        </w:rPr>
        <w:t>Water-quality assessment, monitoring-gap and trend modules</w:t>
      </w:r>
    </w:p>
    <w:p>
      <w:pPr>
        <w:pStyle w:val="ListBullet"/>
        <w:spacing w:before="0" w:after="40" w:line="312" w:lineRule="auto"/>
        <w:ind w:left="567" w:hanging="283"/>
        <w:jc w:val="both"/>
      </w:pPr>
      <w:r>
        <w:rPr>
          <w:rFonts w:ascii="Times New Roman" w:hAnsi="Times New Roman" w:eastAsia="Times New Roman"/>
          <w:b w:val="0"/>
          <w:i w:val="0"/>
          <w:sz w:val="24"/>
        </w:rPr>
        <w:t>Alert module with tiers, explanations and email delivery</w:t>
      </w:r>
    </w:p>
    <w:p>
      <w:pPr>
        <w:pStyle w:val="ListBullet"/>
        <w:spacing w:before="0" w:after="40" w:line="312" w:lineRule="auto"/>
        <w:ind w:left="567" w:hanging="283"/>
        <w:jc w:val="both"/>
      </w:pPr>
      <w:r>
        <w:rPr>
          <w:rFonts w:ascii="Times New Roman" w:hAnsi="Times New Roman" w:eastAsia="Times New Roman"/>
          <w:b w:val="0"/>
          <w:i w:val="0"/>
          <w:sz w:val="24"/>
        </w:rPr>
        <w:t>Web portal with 22 screens for five user roles</w:t>
      </w:r>
    </w:p>
    <w:p>
      <w:pPr>
        <w:pStyle w:val="Heading2"/>
        <w:keepNext/>
        <w:spacing w:before="200" w:after="120" w:line="276" w:lineRule="auto"/>
        <w:jc w:val="left"/>
      </w:pPr>
      <w:r>
        <w:rPr>
          <w:rFonts w:ascii="Times New Roman" w:hAnsi="Times New Roman" w:eastAsia="Times New Roman"/>
          <w:b/>
          <w:i w:val="0"/>
          <w:sz w:val="24"/>
        </w:rPr>
        <w:t>8.2 Overall System Architecture</w:t>
      </w:r>
    </w:p>
    <w:p>
      <w:pPr>
        <w:spacing w:before="0" w:after="120" w:line="360" w:lineRule="auto"/>
        <w:jc w:val="both"/>
      </w:pPr>
      <w:r>
        <w:rPr>
          <w:rFonts w:ascii="Times New Roman" w:hAnsi="Times New Roman" w:eastAsia="Times New Roman"/>
          <w:b w:val="0"/>
          <w:i w:val="0"/>
          <w:sz w:val="24"/>
        </w:rPr>
        <w:t>The main path of a request through the system is:</w:t>
      </w:r>
    </w:p>
    <w:p>
      <w:pPr>
        <w:keepNext/>
        <w:spacing w:before="0" w:after="0" w:line="288" w:lineRule="auto"/>
        <w:jc w:val="center"/>
      </w:pPr>
      <w:r>
        <w:rPr>
          <w:rFonts w:ascii="Times New Roman" w:hAnsi="Times New Roman" w:eastAsia="Times New Roman"/>
          <w:b/>
          <w:i w:val="0"/>
          <w:sz w:val="24"/>
        </w:rPr>
        <w:t>User selects a location or site in the portal</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API checks login and role</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Location details resolved (rock type, K, gradient, fractures, layers, ore zone, background)</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Physics engine runs (plume map, metrics, excursion test, vertical screening)</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ML surrogate adds P10–P90 bands and checks for extrapolation</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Result saved and shown on the map</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Screening published</w:t>
      </w:r>
    </w:p>
    <w:p>
      <w:pPr>
        <w:keepNext/>
        <w:spacing w:before="0" w:after="0" w:line="240" w:lineRule="auto"/>
        <w:jc w:val="center"/>
      </w:pPr>
      <w:r>
        <w:rPr>
          <w:rFonts w:ascii="Times New Roman" w:hAnsi="Times New Roman" w:eastAsia="Times New Roman"/>
          <w:sz w:val="28"/>
        </w:rPr>
        <w:t>↓</w:t>
      </w:r>
    </w:p>
    <w:p>
      <w:pPr>
        <w:spacing w:before="0" w:after="0" w:line="288" w:lineRule="auto"/>
        <w:jc w:val="center"/>
      </w:pPr>
      <w:r>
        <w:rPr>
          <w:rFonts w:ascii="Times New Roman" w:hAnsi="Times New Roman" w:eastAsia="Times New Roman"/>
          <w:b/>
          <w:i w:val="0"/>
          <w:sz w:val="24"/>
        </w:rPr>
        <w:t>Alerts raised for affected blocks and emailed to residents</w:t>
      </w:r>
    </w:p>
    <w:p>
      <w:pPr>
        <w:spacing w:after="80"/>
      </w:pPr>
    </w:p>
    <w:p>
      <w:pPr>
        <w:spacing w:before="0" w:after="120" w:line="360" w:lineRule="auto"/>
        <w:jc w:val="both"/>
      </w:pPr>
      <w:r>
        <w:rPr>
          <w:rFonts w:ascii="Times New Roman" w:hAnsi="Times New Roman" w:eastAsia="Times New Roman"/>
          <w:b w:val="0"/>
          <w:i w:val="0"/>
          <w:sz w:val="24"/>
        </w:rPr>
        <w:t>The physics engine is loaded inside the backend process, not as a separate service. This keeps the system simple and fast. A single adapter file is the only point where the backend calls the engine, and it only passes allowed inputs, so that measured chemistry is never fed into a model that was not calibrated for it. Every saved run records the exact model version that produced it.</w:t>
      </w:r>
    </w:p>
    <w:p>
      <w:pPr>
        <w:pStyle w:val="Heading2"/>
        <w:keepNext/>
        <w:spacing w:before="200" w:after="120" w:line="276" w:lineRule="auto"/>
        <w:jc w:val="left"/>
      </w:pPr>
      <w:r>
        <w:rPr>
          <w:rFonts w:ascii="Times New Roman" w:hAnsi="Times New Roman" w:eastAsia="Times New Roman"/>
          <w:b/>
          <w:i w:val="0"/>
          <w:sz w:val="24"/>
        </w:rPr>
        <w:t>8.3 User Roles and Access</w:t>
      </w:r>
    </w:p>
    <w:p>
      <w:pPr>
        <w:keepNext/>
        <w:spacing w:before="120" w:after="80" w:line="240" w:lineRule="auto"/>
        <w:jc w:val="center"/>
      </w:pPr>
      <w:r>
        <w:rPr>
          <w:rFonts w:ascii="Times New Roman" w:hAnsi="Times New Roman" w:eastAsia="Times New Roman"/>
          <w:b/>
          <w:i w:val="0"/>
          <w:sz w:val="22"/>
        </w:rPr>
        <w:t>Table 8.1: User roles in JalDrishti</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Role</w:t>
            </w:r>
          </w:p>
        </w:tc>
        <w:tc>
          <w:tcPr>
            <w:tcW w:type="dxa" w:w="725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What the role can do</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Admin (one account only)</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Everything: publishes screenings, manages accounts, datasets, data sync, model operations, alert scans and email delivery, and reads the audit log. The single admin account is created by a setup script, never from the portal.</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Regulator</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Reviews and decides field-officer submissions; can run the model and view reports and data screens; cannot publish or change datasets.</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Analyst</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Runs the console, saves runs, compares sites, proposes screenings for publication, and uses the water-quality, groundwater, data-gap and network-plan screens.</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Field Officer (Data Submitter)</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Submits field observations (water sample, water level or ore occurrence) and can withdraw them; reads other screens.</w:t>
            </w:r>
          </w:p>
        </w:tc>
      </w:tr>
      <w:tr>
        <w:trPr>
          <w:cantSplit w:val="true"/>
        </w:trPr>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Resident (Citizen)</w:t>
            </w:r>
          </w:p>
        </w:tc>
        <w:tc>
          <w:tcPr>
            <w:tcW w:type="dxa" w:w="725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Sees the front page, “My Area”, a citizen map, their alerts, published screenings and the methods page. Never sees exact site coordinates or model internals.</w:t>
            </w:r>
          </w:p>
        </w:tc>
      </w:tr>
    </w:tbl>
    <w:p>
      <w:pPr>
        <w:spacing w:after="40"/>
      </w:pPr>
    </w:p>
    <w:p>
      <w:pPr>
        <w:spacing w:before="0" w:after="120" w:line="360" w:lineRule="auto"/>
        <w:jc w:val="both"/>
      </w:pPr>
      <w:r>
        <w:rPr>
          <w:rFonts w:ascii="Times New Roman" w:hAnsi="Times New Roman" w:eastAsia="Times New Roman"/>
          <w:b w:val="0"/>
          <w:i w:val="0"/>
          <w:sz w:val="24"/>
        </w:rPr>
        <w:t>Residents are not shown exact coordinates of hypothetical sites. A precise point next to a named village could easily be misread as a real mining plan. Residents see the affected blocks, the modelled spread and whether the shallow aquifer might be reached.</w:t>
      </w:r>
    </w:p>
    <w:p>
      <w:pPr>
        <w:pStyle w:val="Heading2"/>
        <w:keepNext/>
        <w:spacing w:before="200" w:after="120" w:line="276" w:lineRule="auto"/>
        <w:jc w:val="left"/>
      </w:pPr>
      <w:r>
        <w:rPr>
          <w:rFonts w:ascii="Times New Roman" w:hAnsi="Times New Roman" w:eastAsia="Times New Roman"/>
          <w:b/>
          <w:i w:val="0"/>
          <w:sz w:val="24"/>
        </w:rPr>
        <w:t>8.4 Portal Screens</w:t>
      </w:r>
    </w:p>
    <w:p>
      <w:pPr>
        <w:spacing w:before="0" w:after="120" w:line="360" w:lineRule="auto"/>
        <w:jc w:val="both"/>
      </w:pPr>
      <w:r>
        <w:rPr>
          <w:rFonts w:ascii="Times New Roman" w:hAnsi="Times New Roman" w:eastAsia="Times New Roman"/>
          <w:b w:val="0"/>
          <w:i w:val="0"/>
          <w:sz w:val="24"/>
        </w:rPr>
        <w:t>The portal has a public front page and a role-based application behind the login. Its 22 screens are:</w:t>
      </w:r>
    </w:p>
    <w:p>
      <w:pPr>
        <w:keepNext/>
        <w:spacing w:before="120" w:after="80" w:line="240" w:lineRule="auto"/>
        <w:jc w:val="center"/>
      </w:pPr>
      <w:r>
        <w:rPr>
          <w:rFonts w:ascii="Times New Roman" w:hAnsi="Times New Roman" w:eastAsia="Times New Roman"/>
          <w:b/>
          <w:i w:val="0"/>
          <w:sz w:val="22"/>
        </w:rPr>
        <w:t>Table 8.2: Portal screens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255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Group</w:t>
            </w:r>
          </w:p>
        </w:tc>
        <w:tc>
          <w:tcPr>
            <w:tcW w:type="dxa" w:w="6520"/>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Screens</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Public</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Front page, public map, public view of published screenings</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Account</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Login, overview (home), methods</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Modelling</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Console, site report, compare sites, saved scenarios</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Publishing</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Publications (propose, decide, withdraw)</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Water quality, groundwater trends, data &amp; gaps, network plan, field data</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Residents</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My Area, citizen map, alerts</w:t>
            </w:r>
          </w:p>
        </w:tc>
      </w:tr>
      <w:tr>
        <w:trPr>
          <w:cantSplit w:val="true"/>
        </w:trPr>
        <w:tc>
          <w:tcPr>
            <w:tcW w:type="dxa" w:w="255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Administration</w:t>
            </w:r>
          </w:p>
        </w:tc>
        <w:tc>
          <w:tcPr>
            <w:tcW w:type="dxa" w:w="6520"/>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Datasets, ingest, audit log, administration panel</w:t>
            </w:r>
          </w:p>
        </w:tc>
      </w:tr>
    </w:tbl>
    <w:p>
      <w:pPr>
        <w:spacing w:after="40"/>
      </w:pPr>
    </w:p>
    <w:p>
      <w:pPr>
        <w:keepNext/>
        <w:spacing w:before="120" w:after="40" w:line="240" w:lineRule="auto"/>
        <w:jc w:val="center"/>
      </w:pPr>
      <w:r>
        <w:drawing>
          <wp:inline xmlns:a="http://schemas.openxmlformats.org/drawingml/2006/main" xmlns:pic="http://schemas.openxmlformats.org/drawingml/2006/picture">
            <wp:extent cx="5400000" cy="3750000"/>
            <wp:docPr id="14" name="Picture 14"/>
            <wp:cNvGraphicFramePr>
              <a:graphicFrameLocks noChangeAspect="1"/>
            </wp:cNvGraphicFramePr>
            <a:graphic>
              <a:graphicData uri="http://schemas.openxmlformats.org/drawingml/2006/picture">
                <pic:pic>
                  <pic:nvPicPr>
                    <pic:cNvPr id="0" name="fig_front_page.png"/>
                    <pic:cNvPicPr/>
                  </pic:nvPicPr>
                  <pic:blipFill>
                    <a:blip r:embed="rId23"/>
                    <a:stretch>
                      <a:fillRect/>
                    </a:stretch>
                  </pic:blipFill>
                  <pic:spPr>
                    <a:xfrm>
                      <a:off x="0" y="0"/>
                      <a:ext cx="5400000" cy="3750000"/>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8.1: The deployed front page. The four figures on the right (districts assessed, wells checked, districts with a health exceedance and published screenings) are read live from the database.</w:t>
      </w:r>
    </w:p>
    <w:p>
      <w:pPr>
        <w:pStyle w:val="Heading2"/>
        <w:keepNext/>
        <w:spacing w:before="200" w:after="120" w:line="276" w:lineRule="auto"/>
        <w:jc w:val="left"/>
      </w:pPr>
      <w:r>
        <w:rPr>
          <w:rFonts w:ascii="Times New Roman" w:hAnsi="Times New Roman" w:eastAsia="Times New Roman"/>
          <w:b/>
          <w:i w:val="0"/>
          <w:sz w:val="24"/>
        </w:rPr>
        <w:t>8.5 Console and Site Report</w:t>
      </w:r>
    </w:p>
    <w:p>
      <w:pPr>
        <w:keepNext/>
        <w:spacing w:before="120" w:after="80" w:line="276" w:lineRule="auto"/>
        <w:jc w:val="left"/>
      </w:pPr>
      <w:r>
        <w:rPr>
          <w:rFonts w:ascii="Times New Roman" w:hAnsi="Times New Roman" w:eastAsia="Times New Roman"/>
          <w:b/>
          <w:i w:val="0"/>
          <w:sz w:val="24"/>
        </w:rPr>
        <w:t>Console</w:t>
      </w:r>
    </w:p>
    <w:p>
      <w:pPr>
        <w:spacing w:before="0" w:after="120" w:line="360" w:lineRule="auto"/>
        <w:jc w:val="both"/>
      </w:pPr>
      <w:r>
        <w:rPr>
          <w:rFonts w:ascii="Times New Roman" w:hAnsi="Times New Roman" w:eastAsia="Times New Roman"/>
          <w:b w:val="0"/>
          <w:i w:val="0"/>
          <w:sz w:val="24"/>
        </w:rPr>
        <w:t>The console is the main working screen for analysts. The user clicks anywhere in Jharkhand, or chooses a registered hypothetical site. The system shows the local rock type, K, flow direction and ore zone, and the user sets the operating values: injection rate, bleed, wellfield width, years of operation, years of restoration and time since start. The engine then draws the plume on the map, shows the footprint, travel distance, ring concentration and excursion probability with their ML bands, and shows the 2-of-3 excursion panel and the shallow-aquifer screening. A timeline slider replays the plume over the years.</w:t>
      </w:r>
    </w:p>
    <w:p>
      <w:pPr>
        <w:keepNext/>
        <w:spacing w:before="120" w:after="40" w:line="240" w:lineRule="auto"/>
        <w:jc w:val="center"/>
      </w:pPr>
      <w:r>
        <w:drawing>
          <wp:inline xmlns:a="http://schemas.openxmlformats.org/drawingml/2006/main" xmlns:pic="http://schemas.openxmlformats.org/drawingml/2006/picture">
            <wp:extent cx="5400000" cy="3082921"/>
            <wp:docPr id="15" name="Picture 15"/>
            <wp:cNvGraphicFramePr>
              <a:graphicFrameLocks noChangeAspect="1"/>
            </wp:cNvGraphicFramePr>
            <a:graphic>
              <a:graphicData uri="http://schemas.openxmlformats.org/drawingml/2006/picture">
                <pic:pic>
                  <pic:nvPicPr>
                    <pic:cNvPr id="0" name="jun_engine_dark.png"/>
                    <pic:cNvPicPr/>
                  </pic:nvPicPr>
                  <pic:blipFill>
                    <a:blip r:embed="rId24"/>
                    <a:stretch>
                      <a:fillRect/>
                    </a:stretch>
                  </pic:blipFill>
                  <pic:spPr>
                    <a:xfrm>
                      <a:off x="0" y="0"/>
                      <a:ext cx="5400000" cy="3082921"/>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8.2: The engine view with a modelled plume on the map (June 2026 build). The coloured contours show concentration levels around the hypothetical wellfield; the left panel holds the operating settings.</w:t>
      </w:r>
    </w:p>
    <w:p>
      <w:pPr>
        <w:keepNext/>
        <w:spacing w:before="120" w:after="80" w:line="276" w:lineRule="auto"/>
        <w:jc w:val="left"/>
      </w:pPr>
      <w:r>
        <w:rPr>
          <w:rFonts w:ascii="Times New Roman" w:hAnsi="Times New Roman" w:eastAsia="Times New Roman"/>
          <w:b/>
          <w:i w:val="0"/>
          <w:sz w:val="24"/>
        </w:rPr>
        <w:t>ISR site report</w:t>
      </w:r>
    </w:p>
    <w:p>
      <w:pPr>
        <w:spacing w:before="0" w:after="120" w:line="360" w:lineRule="auto"/>
        <w:jc w:val="both"/>
      </w:pPr>
      <w:r>
        <w:rPr>
          <w:rFonts w:ascii="Times New Roman" w:hAnsi="Times New Roman" w:eastAsia="Times New Roman"/>
          <w:b w:val="0"/>
          <w:i w:val="0"/>
          <w:sz w:val="24"/>
        </w:rPr>
        <w:t>For every published screening, a site report can be downloaded as a PDF. It states clearly at the top that no ISR mine operates in Jharkhand and that the document describes a modelled scenario. It gives a plain-language summary (for example: “uranium contamination would cover 8.2 hectares, with the furthest edge about 12 m from the wellfield”), the shallow-aquifer result, and a note that the physics engine is the authority and the ML model only adds uncertainty bands.</w:t>
      </w:r>
    </w:p>
    <w:p>
      <w:pPr>
        <w:keepNext/>
        <w:spacing w:before="120" w:after="40" w:line="240" w:lineRule="auto"/>
        <w:jc w:val="center"/>
      </w:pPr>
      <w:r>
        <w:drawing>
          <wp:inline xmlns:a="http://schemas.openxmlformats.org/drawingml/2006/main" xmlns:pic="http://schemas.openxmlformats.org/drawingml/2006/picture">
            <wp:extent cx="4320000" cy="6109715"/>
            <wp:docPr id="16" name="Picture 16"/>
            <wp:cNvGraphicFramePr>
              <a:graphicFrameLocks noChangeAspect="1"/>
            </wp:cNvGraphicFramePr>
            <a:graphic>
              <a:graphicData uri="http://schemas.openxmlformats.org/drawingml/2006/picture">
                <pic:pic>
                  <pic:nvPicPr>
                    <pic:cNvPr id="0" name="fig_site_report.png"/>
                    <pic:cNvPicPr/>
                  </pic:nvPicPr>
                  <pic:blipFill>
                    <a:blip r:embed="rId25"/>
                    <a:stretch>
                      <a:fillRect/>
                    </a:stretch>
                  </pic:blipFill>
                  <pic:spPr>
                    <a:xfrm>
                      <a:off x="0" y="0"/>
                      <a:ext cx="4320000" cy="6109715"/>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8.3: The ISR site report for the published Jaduguda screening, as a resident or officer downloads it (August 2026).</w:t>
      </w:r>
    </w:p>
    <w:p>
      <w:pPr>
        <w:pStyle w:val="Heading2"/>
        <w:keepNext/>
        <w:spacing w:before="200" w:after="120" w:line="276" w:lineRule="auto"/>
        <w:jc w:val="left"/>
      </w:pPr>
      <w:r>
        <w:rPr>
          <w:rFonts w:ascii="Times New Roman" w:hAnsi="Times New Roman" w:eastAsia="Times New Roman"/>
          <w:b/>
          <w:i w:val="0"/>
          <w:sz w:val="24"/>
        </w:rPr>
        <w:t>8.6 Backend and API Design</w:t>
      </w:r>
    </w:p>
    <w:p>
      <w:pPr>
        <w:spacing w:before="0" w:after="120" w:line="360" w:lineRule="auto"/>
        <w:jc w:val="both"/>
      </w:pPr>
      <w:r>
        <w:rPr>
          <w:rFonts w:ascii="Times New Roman" w:hAnsi="Times New Roman" w:eastAsia="Times New Roman"/>
          <w:b w:val="0"/>
          <w:i w:val="0"/>
          <w:sz w:val="24"/>
        </w:rPr>
        <w:t>The backend is a FastAPI application with 25 routers and 152 endpoints under /api/v1. The main groups are:</w:t>
      </w:r>
    </w:p>
    <w:p>
      <w:pPr>
        <w:keepNext/>
        <w:spacing w:before="120" w:after="80" w:line="240" w:lineRule="auto"/>
        <w:jc w:val="center"/>
      </w:pPr>
      <w:r>
        <w:rPr>
          <w:rFonts w:ascii="Times New Roman" w:hAnsi="Times New Roman" w:eastAsia="Times New Roman"/>
          <w:b/>
          <w:i w:val="0"/>
          <w:sz w:val="22"/>
        </w:rPr>
        <w:t>Table 8.3: Main API groups</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Router group</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auth, users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Login, session refresh, account management</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districts, monitoring wells, water samples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Reference data</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isr_points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Register, edit and delete hypothetical sites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ml</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Location details, prediction, assumption register, drift check, map layers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preview, simulations, lifecycle, scenarios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Quick previews, saved runs, restoration sweeps, lifecycles, comparison, timelines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advisories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Propose, decide and withdraw screenings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citizen, public_risk</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My Area, alerts, block search and the public pages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water_quality, groundwater, data_gaps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IS 10500 assessment, QA, trends, gap ranking, suggested sites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field_observations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Submit, withdraw, review queue and decisions</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datasets, dataset_sync, ingest, model_ops, audit</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Dataset manager with restore points, data sync, file ingest, model operations, audit log</w:t>
            </w:r>
          </w:p>
        </w:tc>
      </w:tr>
    </w:tbl>
    <w:p>
      <w:pPr>
        <w:spacing w:after="40"/>
      </w:pPr>
    </w:p>
    <w:p>
      <w:pPr>
        <w:spacing w:before="0" w:after="120" w:line="360" w:lineRule="auto"/>
        <w:jc w:val="both"/>
      </w:pPr>
      <w:r>
        <w:rPr>
          <w:rFonts w:ascii="Times New Roman" w:hAnsi="Times New Roman" w:eastAsia="Times New Roman"/>
          <w:b w:val="0"/>
          <w:i w:val="0"/>
          <w:sz w:val="24"/>
        </w:rPr>
        <w:t>There is no separate task queue. Simulations run as background tasks inside the FastAPI process, and the one scheduled job (the daily alert scan and email delivery) runs inside the application. A table of which role can call which endpoint is generated automatically from the running application, and a test fails if it changes without being updated.</w:t>
      </w:r>
    </w:p>
    <w:p>
      <w:pPr>
        <w:pStyle w:val="Heading2"/>
        <w:keepNext/>
        <w:spacing w:before="200" w:after="120" w:line="276" w:lineRule="auto"/>
        <w:jc w:val="left"/>
      </w:pPr>
      <w:r>
        <w:rPr>
          <w:rFonts w:ascii="Times New Roman" w:hAnsi="Times New Roman" w:eastAsia="Times New Roman"/>
          <w:b/>
          <w:i w:val="0"/>
          <w:sz w:val="24"/>
        </w:rPr>
        <w:t>8.7 Database Design</w:t>
      </w:r>
    </w:p>
    <w:p>
      <w:pPr>
        <w:spacing w:before="0" w:after="120" w:line="360" w:lineRule="auto"/>
        <w:jc w:val="both"/>
      </w:pPr>
      <w:r>
        <w:rPr>
          <w:rFonts w:ascii="Times New Roman" w:hAnsi="Times New Roman" w:eastAsia="Times New Roman"/>
          <w:b w:val="0"/>
          <w:i w:val="0"/>
          <w:sz w:val="24"/>
        </w:rPr>
        <w:t>The database is PostgreSQL 16 with PostGIS. Its main tables are users and organisations; districts, blocks and aquifers; monitoring wells, water samples and monitoring stations; data sources and dataset versions; ISR points (hypothetical sites); scenarios and simulation runs (with plume geometry and timeline frames); advisories (published screenings); alerts, alert deliveries and block subscriptions; field observations; and the audit log. The schema was built through 26 Alembic migrations.</w:t>
      </w:r>
    </w:p>
    <w:p>
      <w:pPr>
        <w:spacing w:before="0" w:after="120" w:line="360" w:lineRule="auto"/>
        <w:jc w:val="both"/>
      </w:pPr>
      <w:r>
        <w:rPr>
          <w:rFonts w:ascii="Times New Roman" w:hAnsi="Times New Roman" w:eastAsia="Times New Roman"/>
          <w:b w:val="0"/>
          <w:i w:val="0"/>
          <w:sz w:val="24"/>
        </w:rPr>
        <w:t>Every table that holds sensitive data is protected by row-level security (RLS). For example, residents can never read the coordinates of a hypothetical site, residents can only read published screenings (not drafts), and the audit log has no update or delete permission for any role, so it can only grow. The API connects with a restricted database role that cannot bypass these rules; only database migrations use the owner account.</w:t>
      </w:r>
    </w:p>
    <w:p>
      <w:pPr>
        <w:pStyle w:val="Heading2"/>
        <w:keepNext/>
        <w:spacing w:before="200" w:after="120" w:line="276" w:lineRule="auto"/>
        <w:jc w:val="left"/>
      </w:pPr>
      <w:r>
        <w:rPr>
          <w:rFonts w:ascii="Times New Roman" w:hAnsi="Times New Roman" w:eastAsia="Times New Roman"/>
          <w:b/>
          <w:i w:val="0"/>
          <w:sz w:val="24"/>
        </w:rPr>
        <w:t>8.8 Security Features</w:t>
      </w:r>
    </w:p>
    <w:p>
      <w:pPr>
        <w:pStyle w:val="ListBullet"/>
        <w:spacing w:before="0" w:after="40" w:line="312" w:lineRule="auto"/>
        <w:ind w:left="567" w:hanging="283"/>
        <w:jc w:val="both"/>
      </w:pPr>
      <w:r>
        <w:rPr>
          <w:rFonts w:ascii="Times New Roman" w:hAnsi="Times New Roman" w:eastAsia="Times New Roman"/>
          <w:b/>
          <w:i w:val="0"/>
          <w:sz w:val="24"/>
        </w:rPr>
        <w:t>Login:</w:t>
      </w:r>
      <w:r>
        <w:rPr>
          <w:rFonts w:ascii="Times New Roman" w:hAnsi="Times New Roman" w:eastAsia="Times New Roman"/>
          <w:b w:val="0"/>
          <w:i w:val="0"/>
          <w:sz w:val="24"/>
        </w:rPr>
        <w:t xml:space="preserve"> JWT tokens with a sliding session; passwords hashed with argon2.</w:t>
      </w:r>
    </w:p>
    <w:p>
      <w:pPr>
        <w:pStyle w:val="ListBullet"/>
        <w:spacing w:before="0" w:after="40" w:line="312" w:lineRule="auto"/>
        <w:ind w:left="567" w:hanging="283"/>
        <w:jc w:val="both"/>
      </w:pPr>
      <w:r>
        <w:rPr>
          <w:rFonts w:ascii="Times New Roman" w:hAnsi="Times New Roman" w:eastAsia="Times New Roman"/>
          <w:b/>
          <w:i w:val="0"/>
          <w:sz w:val="24"/>
        </w:rPr>
        <w:t>Role check on every request:</w:t>
      </w:r>
      <w:r>
        <w:rPr>
          <w:rFonts w:ascii="Times New Roman" w:hAnsi="Times New Roman" w:eastAsia="Times New Roman"/>
          <w:b w:val="0"/>
          <w:i w:val="0"/>
          <w:sz w:val="24"/>
        </w:rPr>
        <w:t xml:space="preserve"> the role is read from the database each time, not trusted from the token.</w:t>
      </w:r>
    </w:p>
    <w:p>
      <w:pPr>
        <w:pStyle w:val="ListBullet"/>
        <w:spacing w:before="0" w:after="40" w:line="312" w:lineRule="auto"/>
        <w:ind w:left="567" w:hanging="283"/>
        <w:jc w:val="both"/>
      </w:pPr>
      <w:r>
        <w:rPr>
          <w:rFonts w:ascii="Times New Roman" w:hAnsi="Times New Roman" w:eastAsia="Times New Roman"/>
          <w:b/>
          <w:i w:val="0"/>
          <w:sz w:val="24"/>
        </w:rPr>
        <w:t>Three layers of access control:</w:t>
      </w:r>
      <w:r>
        <w:rPr>
          <w:rFonts w:ascii="Times New Roman" w:hAnsi="Times New Roman" w:eastAsia="Times New Roman"/>
          <w:b w:val="0"/>
          <w:i w:val="0"/>
          <w:sz w:val="24"/>
        </w:rPr>
        <w:t xml:space="preserve"> API checks, database row-level security, and a restricted database role.</w:t>
      </w:r>
    </w:p>
    <w:p>
      <w:pPr>
        <w:pStyle w:val="ListBullet"/>
        <w:spacing w:before="0" w:after="40" w:line="312" w:lineRule="auto"/>
        <w:ind w:left="567" w:hanging="283"/>
        <w:jc w:val="both"/>
      </w:pPr>
      <w:r>
        <w:rPr>
          <w:rFonts w:ascii="Times New Roman" w:hAnsi="Times New Roman" w:eastAsia="Times New Roman"/>
          <w:b/>
          <w:i w:val="0"/>
          <w:sz w:val="24"/>
        </w:rPr>
        <w:t>Single admin:</w:t>
      </w:r>
      <w:r>
        <w:rPr>
          <w:rFonts w:ascii="Times New Roman" w:hAnsi="Times New Roman" w:eastAsia="Times New Roman"/>
          <w:b w:val="0"/>
          <w:i w:val="0"/>
          <w:sz w:val="24"/>
        </w:rPr>
        <w:t xml:space="preserve"> exactly one admin account is allowed by a database rule.</w:t>
      </w:r>
    </w:p>
    <w:p>
      <w:pPr>
        <w:pStyle w:val="ListBullet"/>
        <w:spacing w:before="0" w:after="40" w:line="312" w:lineRule="auto"/>
        <w:ind w:left="567" w:hanging="283"/>
        <w:jc w:val="both"/>
      </w:pPr>
      <w:r>
        <w:rPr>
          <w:rFonts w:ascii="Times New Roman" w:hAnsi="Times New Roman" w:eastAsia="Times New Roman"/>
          <w:b/>
          <w:i w:val="0"/>
          <w:sz w:val="24"/>
        </w:rPr>
        <w:t>Rate limiting:</w:t>
      </w:r>
      <w:r>
        <w:rPr>
          <w:rFonts w:ascii="Times New Roman" w:hAnsi="Times New Roman" w:eastAsia="Times New Roman"/>
          <w:b w:val="0"/>
          <w:i w:val="0"/>
          <w:sz w:val="24"/>
        </w:rPr>
        <w:t xml:space="preserve"> repeated logins are blocked (tested: 10 logins accepted, then refused).</w:t>
      </w:r>
    </w:p>
    <w:p>
      <w:pPr>
        <w:pStyle w:val="ListBullet"/>
        <w:spacing w:before="0" w:after="40" w:line="312" w:lineRule="auto"/>
        <w:ind w:left="567" w:hanging="283"/>
        <w:jc w:val="both"/>
      </w:pPr>
      <w:r>
        <w:rPr>
          <w:rFonts w:ascii="Times New Roman" w:hAnsi="Times New Roman" w:eastAsia="Times New Roman"/>
          <w:b/>
          <w:i w:val="0"/>
          <w:sz w:val="24"/>
        </w:rPr>
        <w:t>Audit log:</w:t>
      </w:r>
      <w:r>
        <w:rPr>
          <w:rFonts w:ascii="Times New Roman" w:hAnsi="Times New Roman" w:eastAsia="Times New Roman"/>
          <w:b w:val="0"/>
          <w:i w:val="0"/>
          <w:sz w:val="24"/>
        </w:rPr>
        <w:t xml:space="preserve"> every important action is recorded and cannot be edited or deleted.</w:t>
      </w:r>
    </w:p>
    <w:p>
      <w:pPr>
        <w:pStyle w:val="ListBullet"/>
        <w:spacing w:before="0" w:after="40" w:line="312" w:lineRule="auto"/>
        <w:ind w:left="567" w:hanging="283"/>
        <w:jc w:val="both"/>
      </w:pPr>
      <w:r>
        <w:rPr>
          <w:rFonts w:ascii="Times New Roman" w:hAnsi="Times New Roman" w:eastAsia="Times New Roman"/>
          <w:b/>
          <w:i w:val="0"/>
          <w:sz w:val="24"/>
        </w:rPr>
        <w:t>Safe production settings:</w:t>
      </w:r>
      <w:r>
        <w:rPr>
          <w:rFonts w:ascii="Times New Roman" w:hAnsi="Times New Roman" w:eastAsia="Times New Roman"/>
          <w:b w:val="0"/>
          <w:i w:val="0"/>
          <w:sz w:val="24"/>
        </w:rPr>
        <w:t xml:space="preserve"> the server refuses to start in production with a placeholder secret, an empty database address, an open CORS setting, or row-level security switched off.</w:t>
      </w:r>
    </w:p>
    <w:p>
      <w:pPr>
        <w:pStyle w:val="ListBullet"/>
        <w:spacing w:before="0" w:after="40" w:line="312" w:lineRule="auto"/>
        <w:ind w:left="567" w:hanging="283"/>
        <w:jc w:val="both"/>
      </w:pPr>
      <w:r>
        <w:rPr>
          <w:rFonts w:ascii="Times New Roman" w:hAnsi="Times New Roman" w:eastAsia="Times New Roman"/>
          <w:b/>
          <w:i w:val="0"/>
          <w:sz w:val="24"/>
        </w:rPr>
        <w:t>Build guard:</w:t>
      </w:r>
      <w:r>
        <w:rPr>
          <w:rFonts w:ascii="Times New Roman" w:hAnsi="Times New Roman" w:eastAsia="Times New Roman"/>
          <w:b w:val="0"/>
          <w:i w:val="0"/>
          <w:sz w:val="24"/>
        </w:rPr>
        <w:t xml:space="preserve"> the portal build fails if any password or secret is found in the code bundle.</w:t>
      </w:r>
    </w:p>
    <w:p>
      <w:pPr>
        <w:pStyle w:val="Heading2"/>
        <w:keepNext/>
        <w:spacing w:before="200" w:after="120" w:line="276" w:lineRule="auto"/>
        <w:jc w:val="left"/>
      </w:pPr>
      <w:r>
        <w:rPr>
          <w:rFonts w:ascii="Times New Roman" w:hAnsi="Times New Roman" w:eastAsia="Times New Roman"/>
          <w:b/>
          <w:i w:val="0"/>
          <w:sz w:val="24"/>
        </w:rPr>
        <w:t>8.9 Alert and Notification Module</w:t>
      </w:r>
    </w:p>
    <w:p>
      <w:pPr>
        <w:spacing w:before="0" w:after="120" w:line="360" w:lineRule="auto"/>
        <w:jc w:val="both"/>
      </w:pPr>
      <w:r>
        <w:rPr>
          <w:rFonts w:ascii="Times New Roman" w:hAnsi="Times New Roman" w:eastAsia="Times New Roman"/>
          <w:b w:val="0"/>
          <w:i w:val="0"/>
          <w:sz w:val="24"/>
        </w:rPr>
        <w:t>When a screening is published, or when the daily scan finds a measured exceedance, the alert module creates alerts for the affected blocks (Section 4.9). Each alert has a tier (notice, warning, alert or critical) and seven fields explaining what happened, why, where, how sure the system is and what to do next. Residents who follow a block see the alert in their portal inbox and also receive it by email. Each email is recorded as sent, failed or skipped. The same email is never sent twice, and failed ones are retried. If no email server is configured, the system does not fail; it shows the number of unsent alerts on the administration screen.</w:t>
      </w:r>
    </w:p>
    <w:p>
      <w:pPr>
        <w:pStyle w:val="Heading2"/>
        <w:keepNext/>
        <w:spacing w:before="200" w:after="120" w:line="276" w:lineRule="auto"/>
        <w:jc w:val="left"/>
      </w:pPr>
      <w:r>
        <w:rPr>
          <w:rFonts w:ascii="Times New Roman" w:hAnsi="Times New Roman" w:eastAsia="Times New Roman"/>
          <w:b/>
          <w:i w:val="0"/>
          <w:sz w:val="24"/>
        </w:rPr>
        <w:t>8.10 Deployment Details</w:t>
      </w:r>
    </w:p>
    <w:p>
      <w:pPr>
        <w:spacing w:before="0" w:after="120" w:line="360" w:lineRule="auto"/>
        <w:jc w:val="both"/>
      </w:pPr>
      <w:r>
        <w:rPr>
          <w:rFonts w:ascii="Times New Roman" w:hAnsi="Times New Roman" w:eastAsia="Times New Roman"/>
          <w:b w:val="0"/>
          <w:i w:val="0"/>
          <w:sz w:val="24"/>
        </w:rPr>
        <w:t>The prototype is deployed on three cloud services:</w:t>
      </w:r>
    </w:p>
    <w:p>
      <w:pPr>
        <w:keepNext/>
        <w:spacing w:before="120" w:after="80" w:line="240" w:lineRule="auto"/>
        <w:jc w:val="center"/>
      </w:pPr>
      <w:r>
        <w:rPr>
          <w:rFonts w:ascii="Times New Roman" w:hAnsi="Times New Roman" w:eastAsia="Times New Roman"/>
          <w:b/>
          <w:i w:val="0"/>
          <w:sz w:val="22"/>
        </w:rPr>
        <w:t>Table 8.4: Deployment setup</w:t>
      </w:r>
    </w:p>
    <w:tbl>
      <w:tblPr>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226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Part</w:t>
            </w:r>
          </w:p>
        </w:tc>
        <w:tc>
          <w:tcPr>
            <w:tcW w:type="dxa" w:w="6803"/>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Where it runs</w:t>
            </w:r>
          </w:p>
        </w:tc>
      </w:tr>
      <w:tr>
        <w:trPr>
          <w:cantSplit w:val="true"/>
        </w:trPr>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Portal (static build)</w:t>
            </w:r>
          </w:p>
        </w:tc>
        <w:tc>
          <w:tcPr>
            <w:tcW w:type="dxa" w:w="6803"/>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Cloudflare Workers, which also forwards /api calls to the backend, so the site works from one address</w:t>
            </w:r>
          </w:p>
        </w:tc>
      </w:tr>
      <w:tr>
        <w:trPr>
          <w:cantSplit w:val="true"/>
        </w:trPr>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Backend API, physics engine, ML models, scheduler</w:t>
            </w:r>
          </w:p>
        </w:tc>
        <w:tc>
          <w:tcPr>
            <w:tcW w:type="dxa" w:w="6803"/>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Render web service (free tier; the service sleeps when idle and takes about 53 seconds to wake)</w:t>
            </w:r>
          </w:p>
        </w:tc>
      </w:tr>
      <w:tr>
        <w:trPr>
          <w:cantSplit w:val="true"/>
        </w:trPr>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Database</w:t>
            </w:r>
          </w:p>
        </w:tc>
        <w:tc>
          <w:tcPr>
            <w:tcW w:type="dxa" w:w="6803"/>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Neon PostgreSQL 16 + PostGIS, with separate owner and application roles</w:t>
            </w:r>
          </w:p>
        </w:tc>
      </w:tr>
      <w:tr>
        <w:trPr>
          <w:cantSplit w:val="true"/>
        </w:trPr>
        <w:tc>
          <w:tcPr>
            <w:tcW w:type="dxa" w:w="226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Email</w:t>
            </w:r>
          </w:p>
        </w:tc>
        <w:tc>
          <w:tcPr>
            <w:tcW w:type="dxa" w:w="6803"/>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Brevo SMTP relay (port 2525)</w:t>
            </w:r>
          </w:p>
        </w:tc>
      </w:tr>
    </w:tbl>
    <w:p>
      <w:pPr>
        <w:spacing w:after="40"/>
      </w:pPr>
    </w:p>
    <w:p>
      <w:pPr>
        <w:spacing w:before="0" w:after="120" w:line="360" w:lineRule="auto"/>
        <w:jc w:val="both"/>
      </w:pPr>
      <w:r>
        <w:rPr>
          <w:rFonts w:ascii="Times New Roman" w:hAnsi="Times New Roman" w:eastAsia="Times New Roman"/>
          <w:b w:val="0"/>
          <w:i w:val="0"/>
          <w:sz w:val="24"/>
        </w:rPr>
        <w:t>Secret values such as database passwords, the JWT secret and the SMTP key are kept in the hosting settings, never in the code.</w:t>
      </w:r>
    </w:p>
    <w:p>
      <w:pPr>
        <w:pStyle w:val="Heading2"/>
        <w:keepNext/>
        <w:spacing w:before="200" w:after="120" w:line="276" w:lineRule="auto"/>
        <w:jc w:val="left"/>
      </w:pPr>
      <w:r>
        <w:rPr>
          <w:rFonts w:ascii="Times New Roman" w:hAnsi="Times New Roman" w:eastAsia="Times New Roman"/>
          <w:b/>
          <w:i w:val="0"/>
          <w:sz w:val="24"/>
        </w:rPr>
        <w:t>8.11 Prototype Features</w:t>
      </w:r>
    </w:p>
    <w:p>
      <w:pPr>
        <w:spacing w:before="0" w:after="120" w:line="360" w:lineRule="auto"/>
        <w:jc w:val="both"/>
      </w:pPr>
      <w:r>
        <w:rPr>
          <w:rFonts w:ascii="Times New Roman" w:hAnsi="Times New Roman" w:eastAsia="Times New Roman"/>
          <w:b w:val="0"/>
          <w:i w:val="0"/>
          <w:sz w:val="24"/>
        </w:rPr>
        <w:t>The final prototype provides the following capabilities:</w:t>
      </w:r>
    </w:p>
    <w:p>
      <w:pPr>
        <w:pStyle w:val="ListBullet"/>
        <w:spacing w:before="0" w:after="40" w:line="312" w:lineRule="auto"/>
        <w:ind w:left="567" w:hanging="283"/>
        <w:jc w:val="both"/>
      </w:pPr>
      <w:r>
        <w:rPr>
          <w:rFonts w:ascii="Times New Roman" w:hAnsi="Times New Roman" w:eastAsia="Times New Roman"/>
          <w:b w:val="0"/>
          <w:i w:val="0"/>
          <w:sz w:val="24"/>
        </w:rPr>
        <w:t>Contamination screening at any location in Jharkhand</w:t>
      </w:r>
    </w:p>
    <w:p>
      <w:pPr>
        <w:pStyle w:val="ListBullet"/>
        <w:spacing w:before="0" w:after="40" w:line="312" w:lineRule="auto"/>
        <w:ind w:left="567" w:hanging="283"/>
        <w:jc w:val="both"/>
      </w:pPr>
      <w:r>
        <w:rPr>
          <w:rFonts w:ascii="Times New Roman" w:hAnsi="Times New Roman" w:eastAsia="Times New Roman"/>
          <w:b w:val="0"/>
          <w:i w:val="0"/>
          <w:sz w:val="24"/>
        </w:rPr>
        <w:t>Four chemicals: uranium, sulphate, TDS and radium-226, plus chloride as an excursion indicator</w:t>
      </w:r>
    </w:p>
    <w:p>
      <w:pPr>
        <w:pStyle w:val="ListBullet"/>
        <w:spacing w:before="0" w:after="40" w:line="312" w:lineRule="auto"/>
        <w:ind w:left="567" w:hanging="283"/>
        <w:jc w:val="both"/>
      </w:pPr>
      <w:r>
        <w:rPr>
          <w:rFonts w:ascii="Times New Roman" w:hAnsi="Times New Roman" w:eastAsia="Times New Roman"/>
          <w:b w:val="0"/>
          <w:i w:val="0"/>
          <w:sz w:val="24"/>
        </w:rPr>
        <w:t>Plume maps with P10–P90 uncertainty bands and timelines</w:t>
      </w:r>
    </w:p>
    <w:p>
      <w:pPr>
        <w:pStyle w:val="ListBullet"/>
        <w:spacing w:before="0" w:after="40" w:line="312" w:lineRule="auto"/>
        <w:ind w:left="567" w:hanging="283"/>
        <w:jc w:val="both"/>
      </w:pPr>
      <w:r>
        <w:rPr>
          <w:rFonts w:ascii="Times New Roman" w:hAnsi="Times New Roman" w:eastAsia="Times New Roman"/>
          <w:b w:val="0"/>
          <w:i w:val="0"/>
          <w:sz w:val="24"/>
        </w:rPr>
        <w:t>Restoration and lifecycle analysis</w:t>
      </w:r>
    </w:p>
    <w:p>
      <w:pPr>
        <w:pStyle w:val="ListBullet"/>
        <w:spacing w:before="0" w:after="40" w:line="312" w:lineRule="auto"/>
        <w:ind w:left="567" w:hanging="283"/>
        <w:jc w:val="both"/>
      </w:pPr>
      <w:r>
        <w:rPr>
          <w:rFonts w:ascii="Times New Roman" w:hAnsi="Times New Roman" w:eastAsia="Times New Roman"/>
          <w:b w:val="0"/>
          <w:i w:val="0"/>
          <w:sz w:val="24"/>
        </w:rPr>
        <w:t>Shallow-aquifer (vertical) screening</w:t>
      </w:r>
    </w:p>
    <w:p>
      <w:pPr>
        <w:pStyle w:val="ListBullet"/>
        <w:spacing w:before="0" w:after="40" w:line="312" w:lineRule="auto"/>
        <w:ind w:left="567" w:hanging="283"/>
        <w:jc w:val="both"/>
      </w:pPr>
      <w:r>
        <w:rPr>
          <w:rFonts w:ascii="Times New Roman" w:hAnsi="Times New Roman" w:eastAsia="Times New Roman"/>
          <w:b w:val="0"/>
          <w:i w:val="0"/>
          <w:sz w:val="24"/>
        </w:rPr>
        <w:t>IS 10500 assessment of 397 wells with “not tested” shown in grey</w:t>
      </w:r>
    </w:p>
    <w:p>
      <w:pPr>
        <w:pStyle w:val="ListBullet"/>
        <w:spacing w:before="0" w:after="40" w:line="312" w:lineRule="auto"/>
        <w:ind w:left="567" w:hanging="283"/>
        <w:jc w:val="both"/>
      </w:pPr>
      <w:r>
        <w:rPr>
          <w:rFonts w:ascii="Times New Roman" w:hAnsi="Times New Roman" w:eastAsia="Times New Roman"/>
          <w:b w:val="0"/>
          <w:i w:val="0"/>
          <w:sz w:val="24"/>
        </w:rPr>
        <w:t>Water-level and chemistry trends</w:t>
      </w:r>
    </w:p>
    <w:p>
      <w:pPr>
        <w:pStyle w:val="ListBullet"/>
        <w:spacing w:before="0" w:after="40" w:line="312" w:lineRule="auto"/>
        <w:ind w:left="567" w:hanging="283"/>
        <w:jc w:val="both"/>
      </w:pPr>
      <w:r>
        <w:rPr>
          <w:rFonts w:ascii="Times New Roman" w:hAnsi="Times New Roman" w:eastAsia="Times New Roman"/>
          <w:b w:val="0"/>
          <w:i w:val="0"/>
          <w:sz w:val="24"/>
        </w:rPr>
        <w:t>Monitoring-gap ranking and suggested well sites</w:t>
      </w:r>
    </w:p>
    <w:p>
      <w:pPr>
        <w:pStyle w:val="ListBullet"/>
        <w:spacing w:before="0" w:after="40" w:line="312" w:lineRule="auto"/>
        <w:ind w:left="567" w:hanging="283"/>
        <w:jc w:val="both"/>
      </w:pPr>
      <w:r>
        <w:rPr>
          <w:rFonts w:ascii="Times New Roman" w:hAnsi="Times New Roman" w:eastAsia="Times New Roman"/>
          <w:b w:val="0"/>
          <w:i w:val="0"/>
          <w:sz w:val="24"/>
        </w:rPr>
        <w:t>Tiered alerts with email delivery</w:t>
      </w:r>
    </w:p>
    <w:p>
      <w:pPr>
        <w:pStyle w:val="ListBullet"/>
        <w:spacing w:before="0" w:after="40" w:line="312" w:lineRule="auto"/>
        <w:ind w:left="567" w:hanging="283"/>
        <w:jc w:val="both"/>
      </w:pPr>
      <w:r>
        <w:rPr>
          <w:rFonts w:ascii="Times New Roman" w:hAnsi="Times New Roman" w:eastAsia="Times New Roman"/>
          <w:b w:val="0"/>
          <w:i w:val="0"/>
          <w:sz w:val="24"/>
        </w:rPr>
        <w:t>Field-observation workflow with review</w:t>
      </w:r>
    </w:p>
    <w:p>
      <w:pPr>
        <w:pStyle w:val="ListBullet"/>
        <w:spacing w:before="0" w:after="40" w:line="312" w:lineRule="auto"/>
        <w:ind w:left="567" w:hanging="283"/>
        <w:jc w:val="both"/>
      </w:pPr>
      <w:r>
        <w:rPr>
          <w:rFonts w:ascii="Times New Roman" w:hAnsi="Times New Roman" w:eastAsia="Times New Roman"/>
          <w:b w:val="0"/>
          <w:i w:val="0"/>
          <w:sz w:val="24"/>
        </w:rPr>
        <w:t>PDF site reports</w:t>
      </w:r>
    </w:p>
    <w:p>
      <w:pPr>
        <w:pStyle w:val="ListBullet"/>
        <w:spacing w:before="0" w:after="40" w:line="312" w:lineRule="auto"/>
        <w:ind w:left="567" w:hanging="283"/>
        <w:jc w:val="both"/>
      </w:pPr>
      <w:r>
        <w:rPr>
          <w:rFonts w:ascii="Times New Roman" w:hAnsi="Times New Roman" w:eastAsia="Times New Roman"/>
          <w:b w:val="0"/>
          <w:i w:val="0"/>
          <w:sz w:val="24"/>
        </w:rPr>
        <w:t>Five roles with database-level security and an audit log</w:t>
      </w:r>
    </w:p>
    <w:p>
      <w:pPr>
        <w:pStyle w:val="ListBullet"/>
        <w:spacing w:before="0" w:after="40" w:line="312" w:lineRule="auto"/>
        <w:ind w:left="567" w:hanging="283"/>
        <w:jc w:val="both"/>
      </w:pPr>
      <w:r>
        <w:rPr>
          <w:rFonts w:ascii="Times New Roman" w:hAnsi="Times New Roman" w:eastAsia="Times New Roman"/>
          <w:b w:val="0"/>
          <w:i w:val="0"/>
          <w:sz w:val="24"/>
        </w:rPr>
        <w:t>Light and dark themes</w:t>
      </w:r>
    </w:p>
    <w:p>
      <w:pPr>
        <w:pStyle w:val="ListBullet"/>
        <w:spacing w:before="0" w:after="40" w:line="312" w:lineRule="auto"/>
        <w:ind w:left="567" w:hanging="283"/>
        <w:jc w:val="both"/>
      </w:pPr>
      <w:r>
        <w:rPr>
          <w:rFonts w:ascii="Times New Roman" w:hAnsi="Times New Roman" w:eastAsia="Times New Roman"/>
          <w:b w:val="0"/>
          <w:i w:val="0"/>
          <w:sz w:val="24"/>
        </w:rPr>
        <w:t>Low-cost deployment on free cloud tiers</w:t>
      </w:r>
    </w:p>
    <w:p>
      <w:pPr>
        <w:pStyle w:val="Heading2"/>
        <w:keepNext/>
        <w:spacing w:before="200" w:after="120" w:line="276" w:lineRule="auto"/>
        <w:jc w:val="left"/>
      </w:pPr>
      <w:r>
        <w:rPr>
          <w:rFonts w:ascii="Times New Roman" w:hAnsi="Times New Roman" w:eastAsia="Times New Roman"/>
          <w:b/>
          <w:i w:val="0"/>
          <w:sz w:val="24"/>
        </w:rPr>
        <w:t>8.12 Final Prototype Description</w:t>
      </w:r>
    </w:p>
    <w:p>
      <w:pPr>
        <w:spacing w:before="0" w:after="120" w:line="360" w:lineRule="auto"/>
        <w:jc w:val="both"/>
      </w:pPr>
      <w:r>
        <w:rPr>
          <w:rFonts w:ascii="Times New Roman" w:hAnsi="Times New Roman" w:eastAsia="Times New Roman"/>
          <w:b w:val="0"/>
          <w:i w:val="0"/>
          <w:sz w:val="24"/>
        </w:rPr>
        <w:t>The completed prototype brings together real Jharkhand groundwater data, a physics-based contamination model, a calibrated ML surrogate and a secure web portal into one decision-support system. An analyst can test a hypothetical ISR scenario anywhere in the state in a few seconds and see how each chemical would spread, with its uncertainty. The system shows where the measured water is already a health concern, points to the blocks where monitoring is weakest, and informs residents through tiered, explained alerts. At every step it separates measured results from modelled ones, and it never shows missing data as safe.</w:t>
      </w:r>
    </w:p>
    <w:p>
      <w:r>
        <w:br w:type="page"/>
      </w:r>
    </w:p>
    <w:p>
      <w:pPr>
        <w:pStyle w:val="Heading1"/>
        <w:keepNext/>
        <w:spacing w:before="0" w:after="240" w:line="276" w:lineRule="auto"/>
        <w:jc w:val="left"/>
      </w:pPr>
      <w:r>
        <w:rPr>
          <w:rFonts w:ascii="Times New Roman" w:hAnsi="Times New Roman" w:eastAsia="Times New Roman"/>
          <w:b/>
          <w:i w:val="0"/>
          <w:sz w:val="28"/>
        </w:rPr>
        <w:t>9. CHALLENGES FACED</w:t>
      </w:r>
    </w:p>
    <w:p>
      <w:pPr>
        <w:spacing w:before="0" w:after="120" w:line="360" w:lineRule="auto"/>
        <w:jc w:val="both"/>
      </w:pPr>
      <w:r>
        <w:rPr>
          <w:rFonts w:ascii="Times New Roman" w:hAnsi="Times New Roman" w:eastAsia="Times New Roman"/>
          <w:b w:val="0"/>
          <w:i w:val="0"/>
          <w:sz w:val="24"/>
        </w:rPr>
        <w:t>The development of JalDrishti involved groundwater science, data engineering, machine learning, web development, database security and cloud deployment. Throughout the fellowship, several technical, data-related and practical challenges were faced. Some of them changed the direction of the project. These challenges gave valuable learning and improved the final system.</w:t>
      </w:r>
    </w:p>
    <w:p>
      <w:pPr>
        <w:pStyle w:val="Heading2"/>
        <w:keepNext/>
        <w:spacing w:before="200" w:after="120" w:line="276" w:lineRule="auto"/>
        <w:jc w:val="left"/>
      </w:pPr>
      <w:r>
        <w:rPr>
          <w:rFonts w:ascii="Times New Roman" w:hAnsi="Times New Roman" w:eastAsia="Times New Roman"/>
          <w:b/>
          <w:i w:val="0"/>
          <w:sz w:val="24"/>
        </w:rPr>
        <w:t>9.1 No ISR Data from India</w:t>
      </w:r>
    </w:p>
    <w:p>
      <w:pPr>
        <w:spacing w:before="0" w:after="120" w:line="360" w:lineRule="auto"/>
        <w:jc w:val="both"/>
      </w:pPr>
      <w:r>
        <w:rPr>
          <w:rFonts w:ascii="Times New Roman" w:hAnsi="Times New Roman" w:eastAsia="Times New Roman"/>
          <w:b w:val="0"/>
          <w:i w:val="0"/>
          <w:sz w:val="24"/>
        </w:rPr>
        <w:t>ISR uranium mining is not carried out in India, so there is no Indian record of how an ISR operation affects groundwater. The project needed real values for the source concentration, the effect of restoration and typical operating settings, but none could be found locally.</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Searched global sources and selected the USGS Texas ISR records [9], [23], following the mentor’s advice.</w:t>
      </w:r>
    </w:p>
    <w:p>
      <w:pPr>
        <w:pStyle w:val="ListBullet"/>
        <w:spacing w:before="0" w:after="40" w:line="312" w:lineRule="auto"/>
        <w:ind w:left="567" w:hanging="283"/>
        <w:jc w:val="both"/>
      </w:pPr>
      <w:r>
        <w:rPr>
          <w:rFonts w:ascii="Times New Roman" w:hAnsi="Times New Roman" w:eastAsia="Times New Roman"/>
          <w:b w:val="0"/>
          <w:i w:val="0"/>
          <w:sz w:val="24"/>
        </w:rPr>
        <w:t>Used the Texas data only for the chemistry of the source and for restoration results, never for rock or flow properties.</w:t>
      </w:r>
    </w:p>
    <w:p>
      <w:pPr>
        <w:pStyle w:val="ListBullet"/>
        <w:spacing w:before="0" w:after="40" w:line="312" w:lineRule="auto"/>
        <w:ind w:left="567" w:hanging="283"/>
        <w:jc w:val="both"/>
      </w:pPr>
      <w:r>
        <w:rPr>
          <w:rFonts w:ascii="Times New Roman" w:hAnsi="Times New Roman" w:eastAsia="Times New Roman"/>
          <w:b w:val="0"/>
          <w:i w:val="0"/>
          <w:sz w:val="24"/>
        </w:rPr>
        <w:t>Took all hydrogeology (rock type, flow, fractures, layers and background chemistry) from Jharkhand data.</w:t>
      </w:r>
    </w:p>
    <w:p>
      <w:pPr>
        <w:pStyle w:val="ListBullet"/>
        <w:spacing w:before="0" w:after="40" w:line="312" w:lineRule="auto"/>
        <w:ind w:left="567" w:hanging="283"/>
        <w:jc w:val="both"/>
      </w:pPr>
      <w:r>
        <w:rPr>
          <w:rFonts w:ascii="Times New Roman" w:hAnsi="Times New Roman" w:eastAsia="Times New Roman"/>
          <w:b w:val="0"/>
          <w:i w:val="0"/>
          <w:sz w:val="24"/>
        </w:rPr>
        <w:t>Stated clearly in the system and the reports that every site is hypothetical.</w:t>
      </w:r>
    </w:p>
    <w:p>
      <w:pPr>
        <w:pStyle w:val="Heading2"/>
        <w:keepNext/>
        <w:spacing w:before="200" w:after="120" w:line="276" w:lineRule="auto"/>
        <w:jc w:val="left"/>
      </w:pPr>
      <w:r>
        <w:rPr>
          <w:rFonts w:ascii="Times New Roman" w:hAnsi="Times New Roman" w:eastAsia="Times New Roman"/>
          <w:b/>
          <w:i w:val="0"/>
          <w:sz w:val="24"/>
        </w:rPr>
        <w:t>9.2 Limited Groundwater Monitoring Data</w:t>
      </w:r>
    </w:p>
    <w:p>
      <w:pPr>
        <w:spacing w:before="0" w:after="120" w:line="360" w:lineRule="auto"/>
        <w:jc w:val="both"/>
      </w:pPr>
      <w:r>
        <w:rPr>
          <w:rFonts w:ascii="Times New Roman" w:hAnsi="Times New Roman" w:eastAsia="Times New Roman"/>
          <w:b w:val="0"/>
          <w:i w:val="0"/>
          <w:sz w:val="24"/>
        </w:rPr>
        <w:t>The measured groundwater quality record has only one sample per well, from one year (2023). Well depths are not recorded. Iron, arsenic and manganese were never tested, and 55 wells in the uranium belt were never tested for uranium. With such data, trends cannot be calculated and a plume cannot be learned from measurements.</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Used the measured data for what it can support: assessment against IS 10500 and background chemistry.</w:t>
      </w:r>
    </w:p>
    <w:p>
      <w:pPr>
        <w:pStyle w:val="ListBullet"/>
        <w:spacing w:before="0" w:after="40" w:line="312" w:lineRule="auto"/>
        <w:ind w:left="567" w:hanging="283"/>
        <w:jc w:val="both"/>
      </w:pPr>
      <w:r>
        <w:rPr>
          <w:rFonts w:ascii="Times New Roman" w:hAnsi="Times New Roman" w:eastAsia="Times New Roman"/>
          <w:b w:val="0"/>
          <w:i w:val="0"/>
          <w:sz w:val="24"/>
        </w:rPr>
        <w:t>Added the older 2000–2021 CGWB record [47] for trends in general chemistry.</w:t>
      </w:r>
    </w:p>
    <w:p>
      <w:pPr>
        <w:pStyle w:val="ListBullet"/>
        <w:spacing w:before="0" w:after="40" w:line="312" w:lineRule="auto"/>
        <w:ind w:left="567" w:hanging="283"/>
        <w:jc w:val="both"/>
      </w:pPr>
      <w:r>
        <w:rPr>
          <w:rFonts w:ascii="Times New Roman" w:hAnsi="Times New Roman" w:eastAsia="Times New Roman"/>
          <w:b w:val="0"/>
          <w:i w:val="0"/>
          <w:sz w:val="24"/>
        </w:rPr>
        <w:t>Created a separate “not tested” class so that missing data is never shown as safe.</w:t>
      </w:r>
    </w:p>
    <w:p>
      <w:pPr>
        <w:pStyle w:val="ListBullet"/>
        <w:spacing w:before="0" w:after="40" w:line="312" w:lineRule="auto"/>
        <w:ind w:left="567" w:hanging="283"/>
        <w:jc w:val="both"/>
      </w:pPr>
      <w:r>
        <w:rPr>
          <w:rFonts w:ascii="Times New Roman" w:hAnsi="Times New Roman" w:eastAsia="Times New Roman"/>
          <w:b w:val="0"/>
          <w:i w:val="0"/>
          <w:sz w:val="24"/>
        </w:rPr>
        <w:t>Turned the gaps themselves into a result: the monitoring-gap ranking and recommendations.</w:t>
      </w:r>
    </w:p>
    <w:p>
      <w:pPr>
        <w:pStyle w:val="Heading2"/>
        <w:keepNext/>
        <w:spacing w:before="200" w:after="120" w:line="276" w:lineRule="auto"/>
        <w:jc w:val="left"/>
      </w:pPr>
      <w:r>
        <w:rPr>
          <w:rFonts w:ascii="Times New Roman" w:hAnsi="Times New Roman" w:eastAsia="Times New Roman"/>
          <w:b/>
          <w:i w:val="0"/>
          <w:sz w:val="24"/>
        </w:rPr>
        <w:t>9.3 Early ML Models Learned the Wrong Thing</w:t>
      </w:r>
    </w:p>
    <w:p>
      <w:pPr>
        <w:spacing w:before="0" w:after="120" w:line="360" w:lineRule="auto"/>
        <w:jc w:val="both"/>
      </w:pPr>
      <w:r>
        <w:rPr>
          <w:rFonts w:ascii="Times New Roman" w:hAnsi="Times New Roman" w:eastAsia="Times New Roman"/>
          <w:b w:val="0"/>
          <w:i w:val="0"/>
          <w:sz w:val="24"/>
        </w:rPr>
        <w:t>The ML pipelines of March to May 2026 appeared to perform well (R² of 0.69 on real rows). A detailed check in June showed that the real rows had no distance from any mine and no time since injection, because those values had been filled with one median value. The model was really predicting natural background uranium, not contamination spread. The distance relationship existed only in the project’s own synthetic data. This meant that several months of ML work could not meet the project’s objective.</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Accepted the finding and decided to rebuild instead of patching the old pipeline.</w:t>
      </w:r>
    </w:p>
    <w:p>
      <w:pPr>
        <w:pStyle w:val="ListBullet"/>
        <w:spacing w:before="0" w:after="40" w:line="312" w:lineRule="auto"/>
        <w:ind w:left="567" w:hanging="283"/>
        <w:jc w:val="both"/>
      </w:pPr>
      <w:r>
        <w:rPr>
          <w:rFonts w:ascii="Times New Roman" w:hAnsi="Times New Roman" w:eastAsia="Times New Roman"/>
          <w:b w:val="0"/>
          <w:i w:val="0"/>
          <w:sz w:val="24"/>
        </w:rPr>
        <w:t>Moved the physics into a transport engine based on published groundwater equations.</w:t>
      </w:r>
    </w:p>
    <w:p>
      <w:pPr>
        <w:pStyle w:val="ListBullet"/>
        <w:spacing w:before="0" w:after="40" w:line="312" w:lineRule="auto"/>
        <w:ind w:left="567" w:hanging="283"/>
        <w:jc w:val="both"/>
      </w:pPr>
      <w:r>
        <w:rPr>
          <w:rFonts w:ascii="Times New Roman" w:hAnsi="Times New Roman" w:eastAsia="Times New Roman"/>
          <w:b w:val="0"/>
          <w:i w:val="0"/>
          <w:sz w:val="24"/>
        </w:rPr>
        <w:t>Trained the ML model on the engine’s output, so that it learns physics, not artefacts of the data.</w:t>
      </w:r>
    </w:p>
    <w:p>
      <w:pPr>
        <w:pStyle w:val="ListBullet"/>
        <w:spacing w:before="0" w:after="40" w:line="312" w:lineRule="auto"/>
        <w:ind w:left="567" w:hanging="283"/>
        <w:jc w:val="both"/>
      </w:pPr>
      <w:r>
        <w:rPr>
          <w:rFonts w:ascii="Times New Roman" w:hAnsi="Times New Roman" w:eastAsia="Times New Roman"/>
          <w:b w:val="0"/>
          <w:i w:val="0"/>
          <w:sz w:val="24"/>
        </w:rPr>
        <w:t>Added strict validation (grouped folds, leave-aquifer-out and baselines) so that such a mistake would be caught.</w:t>
      </w:r>
    </w:p>
    <w:p>
      <w:pPr>
        <w:pStyle w:val="Heading2"/>
        <w:keepNext/>
        <w:spacing w:before="200" w:after="120" w:line="276" w:lineRule="auto"/>
        <w:jc w:val="left"/>
      </w:pPr>
      <w:r>
        <w:rPr>
          <w:rFonts w:ascii="Times New Roman" w:hAnsi="Times New Roman" w:eastAsia="Times New Roman"/>
          <w:b/>
          <w:i w:val="0"/>
          <w:sz w:val="24"/>
        </w:rPr>
        <w:t>9.4 Modelling Fractured Hard Rock</w:t>
      </w:r>
    </w:p>
    <w:p>
      <w:pPr>
        <w:spacing w:before="0" w:after="120" w:line="360" w:lineRule="auto"/>
        <w:jc w:val="both"/>
      </w:pPr>
      <w:r>
        <w:rPr>
          <w:rFonts w:ascii="Times New Roman" w:hAnsi="Times New Roman" w:eastAsia="Times New Roman"/>
          <w:b w:val="0"/>
          <w:i w:val="0"/>
          <w:sz w:val="24"/>
        </w:rPr>
        <w:t>Most ISR and contaminant models are made for sandstone. Jharkhand’s uranium lies in fractured metamorphic rock, where water moves through cracks and chemicals soak into the rock between them. Important parameters such as the matrix storage ratio (β), fracture opening and matrix diffusion have never been measured in the Singhbhum shear zone.</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Added dual-porosity slowing and matrix diffusion from the published fractured-rock literature [28], [33].</w:t>
      </w:r>
    </w:p>
    <w:p>
      <w:pPr>
        <w:pStyle w:val="ListBullet"/>
        <w:spacing w:before="0" w:after="40" w:line="312" w:lineRule="auto"/>
        <w:ind w:left="567" w:hanging="283"/>
        <w:jc w:val="both"/>
      </w:pPr>
      <w:r>
        <w:rPr>
          <w:rFonts w:ascii="Times New Roman" w:hAnsi="Times New Roman" w:eastAsia="Times New Roman"/>
          <w:b w:val="0"/>
          <w:i w:val="0"/>
          <w:sz w:val="24"/>
        </w:rPr>
        <w:t>Reduced permeability with depth using district-wise NAQUIM evidence.</w:t>
      </w:r>
    </w:p>
    <w:p>
      <w:pPr>
        <w:pStyle w:val="ListBullet"/>
        <w:spacing w:before="0" w:after="40" w:line="312" w:lineRule="auto"/>
        <w:ind w:left="567" w:hanging="283"/>
        <w:jc w:val="both"/>
      </w:pPr>
      <w:r>
        <w:rPr>
          <w:rFonts w:ascii="Times New Roman" w:hAnsi="Times New Roman" w:eastAsia="Times New Roman"/>
          <w:b w:val="0"/>
          <w:i w:val="0"/>
          <w:sz w:val="24"/>
        </w:rPr>
        <w:t>Calculated β from the local porosities instead of using a fixed literature value.</w:t>
      </w:r>
    </w:p>
    <w:p>
      <w:pPr>
        <w:pStyle w:val="ListBullet"/>
        <w:spacing w:before="0" w:after="40" w:line="312" w:lineRule="auto"/>
        <w:ind w:left="567" w:hanging="283"/>
        <w:jc w:val="both"/>
      </w:pPr>
      <w:r>
        <w:rPr>
          <w:rFonts w:ascii="Times New Roman" w:hAnsi="Times New Roman" w:eastAsia="Times New Roman"/>
          <w:b w:val="0"/>
          <w:i w:val="0"/>
          <w:sz w:val="24"/>
        </w:rPr>
        <w:t>Listed all 12 unmeasured constants in an assumption register and ran a sensitivity analysis to show which ones matter.</w:t>
      </w:r>
    </w:p>
    <w:p>
      <w:pPr>
        <w:pStyle w:val="Heading2"/>
        <w:keepNext/>
        <w:spacing w:before="200" w:after="120" w:line="276" w:lineRule="auto"/>
        <w:jc w:val="left"/>
      </w:pPr>
      <w:r>
        <w:rPr>
          <w:rFonts w:ascii="Times New Roman" w:hAnsi="Times New Roman" w:eastAsia="Times New Roman"/>
          <w:b/>
          <w:i w:val="0"/>
          <w:sz w:val="24"/>
        </w:rPr>
        <w:t>9.5 Errors Found in the Transport Model</w:t>
      </w:r>
    </w:p>
    <w:p>
      <w:pPr>
        <w:spacing w:before="0" w:after="120" w:line="360" w:lineRule="auto"/>
        <w:jc w:val="both"/>
      </w:pPr>
      <w:r>
        <w:rPr>
          <w:rFonts w:ascii="Times New Roman" w:hAnsi="Times New Roman" w:eastAsia="Times New Roman"/>
          <w:b w:val="0"/>
          <w:i w:val="0"/>
          <w:sz w:val="24"/>
        </w:rPr>
        <w:t>Several errors were found in the engine during the review rounds. The most serious ones were: the travel distance was being measured to the corner of a calculation box instead of along the plume (422.8 m instead of 35.9 m at Jaduguda); the plume in fractured rock moved at the same speed for all chemicals; a term of the Ogata–Banks formula was missing, which made concentrations 17% to 42% too low; and restoration was credited before it had actually happened.</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Carried out three review rounds, each with a written list of findings.</w:t>
      </w:r>
    </w:p>
    <w:p>
      <w:pPr>
        <w:pStyle w:val="ListBullet"/>
        <w:spacing w:before="0" w:after="40" w:line="312" w:lineRule="auto"/>
        <w:ind w:left="567" w:hanging="283"/>
        <w:jc w:val="both"/>
      </w:pPr>
      <w:r>
        <w:rPr>
          <w:rFonts w:ascii="Times New Roman" w:hAnsi="Times New Roman" w:eastAsia="Times New Roman"/>
          <w:b w:val="0"/>
          <w:i w:val="0"/>
          <w:sz w:val="24"/>
        </w:rPr>
        <w:t>Built an exact numerical reference solution and compared the engine with it on 240 cases.</w:t>
      </w:r>
    </w:p>
    <w:p>
      <w:pPr>
        <w:pStyle w:val="ListBullet"/>
        <w:spacing w:before="0" w:after="40" w:line="312" w:lineRule="auto"/>
        <w:ind w:left="567" w:hanging="283"/>
        <w:jc w:val="both"/>
      </w:pPr>
      <w:r>
        <w:rPr>
          <w:rFonts w:ascii="Times New Roman" w:hAnsi="Times New Roman" w:eastAsia="Times New Roman"/>
          <w:b w:val="0"/>
          <w:i w:val="0"/>
          <w:sz w:val="24"/>
        </w:rPr>
        <w:t>Fixed every confirmed error and pinned it with an automated test.</w:t>
      </w:r>
    </w:p>
    <w:p>
      <w:pPr>
        <w:pStyle w:val="ListBullet"/>
        <w:spacing w:before="0" w:after="40" w:line="312" w:lineRule="auto"/>
        <w:ind w:left="567" w:hanging="283"/>
        <w:jc w:val="both"/>
      </w:pPr>
      <w:r>
        <w:rPr>
          <w:rFonts w:ascii="Times New Roman" w:hAnsi="Times New Roman" w:eastAsia="Times New Roman"/>
          <w:b w:val="0"/>
          <w:i w:val="0"/>
          <w:sz w:val="24"/>
        </w:rPr>
        <w:t>Retrained the ML model after each fix that changed the training data.</w:t>
      </w:r>
    </w:p>
    <w:p>
      <w:pPr>
        <w:pStyle w:val="Heading2"/>
        <w:keepNext/>
        <w:spacing w:before="200" w:after="120" w:line="276" w:lineRule="auto"/>
        <w:jc w:val="left"/>
      </w:pPr>
      <w:r>
        <w:rPr>
          <w:rFonts w:ascii="Times New Roman" w:hAnsi="Times New Roman" w:eastAsia="Times New Roman"/>
          <w:b/>
          <w:i w:val="0"/>
          <w:sz w:val="24"/>
        </w:rPr>
        <w:t>9.6 Poor ML Accuracy for Radium</w:t>
      </w:r>
    </w:p>
    <w:p>
      <w:pPr>
        <w:spacing w:before="0" w:after="120" w:line="360" w:lineRule="auto"/>
        <w:jc w:val="both"/>
      </w:pPr>
      <w:r>
        <w:rPr>
          <w:rFonts w:ascii="Times New Roman" w:hAnsi="Times New Roman" w:eastAsia="Times New Roman"/>
          <w:b w:val="0"/>
          <w:i w:val="0"/>
          <w:sz w:val="24"/>
        </w:rPr>
        <w:t>Radium hardly moves in the rock, so most of its training values are exactly zero or equal to the background. The ML model could not learn this well, and two radium results stayed below the project’s own accuracy target of 0.60.</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Reported the result openly instead of lowering the target.</w:t>
      </w:r>
    </w:p>
    <w:p>
      <w:pPr>
        <w:pStyle w:val="ListBullet"/>
        <w:spacing w:before="0" w:after="40" w:line="312" w:lineRule="auto"/>
        <w:ind w:left="567" w:hanging="283"/>
        <w:jc w:val="both"/>
      </w:pPr>
      <w:r>
        <w:rPr>
          <w:rFonts w:ascii="Times New Roman" w:hAnsi="Times New Roman" w:eastAsia="Times New Roman"/>
          <w:b w:val="0"/>
          <w:i w:val="0"/>
          <w:sz w:val="24"/>
        </w:rPr>
        <w:t>Kept the physics engine as the authority for all radium values.</w:t>
      </w:r>
    </w:p>
    <w:p>
      <w:pPr>
        <w:pStyle w:val="ListBullet"/>
        <w:spacing w:before="0" w:after="40" w:line="312" w:lineRule="auto"/>
        <w:ind w:left="567" w:hanging="283"/>
        <w:jc w:val="both"/>
      </w:pPr>
      <w:r>
        <w:rPr>
          <w:rFonts w:ascii="Times New Roman" w:hAnsi="Times New Roman" w:eastAsia="Times New Roman"/>
          <w:b w:val="0"/>
          <w:i w:val="0"/>
          <w:sz w:val="24"/>
        </w:rPr>
        <w:t>Checked that the radium uncertainty bands still cover more than 92% of cases.</w:t>
      </w:r>
    </w:p>
    <w:p>
      <w:pPr>
        <w:pStyle w:val="ListBullet"/>
        <w:spacing w:before="0" w:after="40" w:line="312" w:lineRule="auto"/>
        <w:ind w:left="567" w:hanging="283"/>
        <w:jc w:val="both"/>
      </w:pPr>
      <w:r>
        <w:rPr>
          <w:rFonts w:ascii="Times New Roman" w:hAnsi="Times New Roman" w:eastAsia="Times New Roman"/>
          <w:b w:val="0"/>
          <w:i w:val="0"/>
          <w:sz w:val="24"/>
        </w:rPr>
        <w:t>Listed a two-stage model (first “does it move?”, then “how far?”) as future work.</w:t>
      </w:r>
    </w:p>
    <w:p>
      <w:pPr>
        <w:pStyle w:val="Heading2"/>
        <w:keepNext/>
        <w:spacing w:before="200" w:after="120" w:line="276" w:lineRule="auto"/>
        <w:jc w:val="left"/>
      </w:pPr>
      <w:r>
        <w:rPr>
          <w:rFonts w:ascii="Times New Roman" w:hAnsi="Times New Roman" w:eastAsia="Times New Roman"/>
          <w:b/>
          <w:i w:val="0"/>
          <w:sz w:val="24"/>
        </w:rPr>
        <w:t>9.7 Data Quality Problems in Source Files</w:t>
      </w:r>
    </w:p>
    <w:p>
      <w:pPr>
        <w:spacing w:before="0" w:after="120" w:line="360" w:lineRule="auto"/>
        <w:jc w:val="both"/>
      </w:pPr>
      <w:r>
        <w:rPr>
          <w:rFonts w:ascii="Times New Roman" w:hAnsi="Times New Roman" w:eastAsia="Times New Roman"/>
          <w:b w:val="0"/>
          <w:i w:val="0"/>
          <w:sz w:val="24"/>
        </w:rPr>
        <w:t>Several problems were found in the data files. The district and block boundaries had been stored with latitude and longitude swapped for months. Aquifer values were stored as text ranges such as “26 - 176” or “2-3%”. The Texas file had units rows, footnotes and one data-entry error (a pH of 795). The 2023 chemistry file balanced perfectly because sodium had been calculated from the other ions. A test record added during field-observation testing was later found in the deposit data.</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Fixed the swapped coordinates with a database migration and corrected the loader.</w:t>
      </w:r>
    </w:p>
    <w:p>
      <w:pPr>
        <w:pStyle w:val="ListBullet"/>
        <w:spacing w:before="0" w:after="40" w:line="312" w:lineRule="auto"/>
        <w:ind w:left="567" w:hanging="283"/>
        <w:jc w:val="both"/>
      </w:pPr>
      <w:r>
        <w:rPr>
          <w:rFonts w:ascii="Times New Roman" w:hAnsi="Times New Roman" w:eastAsia="Times New Roman"/>
          <w:b w:val="0"/>
          <w:i w:val="0"/>
          <w:sz w:val="24"/>
        </w:rPr>
        <w:t>Wrote parsers for range values, detection limits (“&lt;.001”) and uncertainty notation (“1044±5”).</w:t>
      </w:r>
    </w:p>
    <w:p>
      <w:pPr>
        <w:pStyle w:val="ListBullet"/>
        <w:spacing w:before="0" w:after="40" w:line="312" w:lineRule="auto"/>
        <w:ind w:left="567" w:hanging="283"/>
        <w:jc w:val="both"/>
      </w:pPr>
      <w:r>
        <w:rPr>
          <w:rFonts w:ascii="Times New Roman" w:hAnsi="Times New Roman" w:eastAsia="Times New Roman"/>
          <w:b w:val="0"/>
          <w:i w:val="0"/>
          <w:sz w:val="24"/>
        </w:rPr>
        <w:t>Added row-count checks so that parsers cannot silently drift.</w:t>
      </w:r>
    </w:p>
    <w:p>
      <w:pPr>
        <w:pStyle w:val="ListBullet"/>
        <w:spacing w:before="0" w:after="40" w:line="312" w:lineRule="auto"/>
        <w:ind w:left="567" w:hanging="283"/>
        <w:jc w:val="both"/>
      </w:pPr>
      <w:r>
        <w:rPr>
          <w:rFonts w:ascii="Times New Roman" w:hAnsi="Times New Roman" w:eastAsia="Times New Roman"/>
          <w:b w:val="0"/>
          <w:i w:val="0"/>
          <w:sz w:val="24"/>
        </w:rPr>
        <w:t>Added a hydrochemical quality check and reported its limits honestly.</w:t>
      </w:r>
    </w:p>
    <w:p>
      <w:pPr>
        <w:pStyle w:val="ListBullet"/>
        <w:spacing w:before="0" w:after="40" w:line="312" w:lineRule="auto"/>
        <w:ind w:left="567" w:hanging="283"/>
        <w:jc w:val="both"/>
      </w:pPr>
      <w:r>
        <w:rPr>
          <w:rFonts w:ascii="Times New Roman" w:hAnsi="Times New Roman" w:eastAsia="Times New Roman"/>
          <w:b w:val="0"/>
          <w:i w:val="0"/>
          <w:sz w:val="24"/>
        </w:rPr>
        <w:t>Removed the test record through the dataset manager and checked the live database.</w:t>
      </w:r>
    </w:p>
    <w:p>
      <w:pPr>
        <w:pStyle w:val="Heading2"/>
        <w:keepNext/>
        <w:spacing w:before="200" w:after="120" w:line="276" w:lineRule="auto"/>
        <w:jc w:val="left"/>
      </w:pPr>
      <w:r>
        <w:rPr>
          <w:rFonts w:ascii="Times New Roman" w:hAnsi="Times New Roman" w:eastAsia="Times New Roman"/>
          <w:b/>
          <w:i w:val="0"/>
          <w:sz w:val="24"/>
        </w:rPr>
        <w:t>9.8 Silent Database Security Failures</w:t>
      </w:r>
    </w:p>
    <w:p>
      <w:pPr>
        <w:spacing w:before="0" w:after="120" w:line="360" w:lineRule="auto"/>
        <w:jc w:val="both"/>
      </w:pPr>
      <w:r>
        <w:rPr>
          <w:rFonts w:ascii="Times New Roman" w:hAnsi="Times New Roman" w:eastAsia="Times New Roman"/>
          <w:b w:val="0"/>
          <w:i w:val="0"/>
          <w:sz w:val="24"/>
        </w:rPr>
        <w:t>The database uses row-level security, which depends on a setting that lasts only until the end of a database transaction. Code that saved data and then continued writing lost this setting and became “anonymous”, so the database quietly returned nothing instead of an error. Because of this, publishing a screening never raised any alerts, and one run endpoint never worked. The automated tests could not catch this, because the test database did not have the security policies.</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Found the problem by counting rows in the live database instead of trusting the logs.</w:t>
      </w:r>
    </w:p>
    <w:p>
      <w:pPr>
        <w:pStyle w:val="ListBullet"/>
        <w:spacing w:before="0" w:after="40" w:line="312" w:lineRule="auto"/>
        <w:ind w:left="567" w:hanging="283"/>
        <w:jc w:val="both"/>
      </w:pPr>
      <w:r>
        <w:rPr>
          <w:rFonts w:ascii="Times New Roman" w:hAnsi="Times New Roman" w:eastAsia="Times New Roman"/>
          <w:b w:val="0"/>
          <w:i w:val="0"/>
          <w:sz w:val="24"/>
        </w:rPr>
        <w:t>Changed the code to write all values in the first insert.</w:t>
      </w:r>
    </w:p>
    <w:p>
      <w:pPr>
        <w:pStyle w:val="ListBullet"/>
        <w:spacing w:before="0" w:after="40" w:line="312" w:lineRule="auto"/>
        <w:ind w:left="567" w:hanging="283"/>
        <w:jc w:val="both"/>
      </w:pPr>
      <w:r>
        <w:rPr>
          <w:rFonts w:ascii="Times New Roman" w:hAnsi="Times New Roman" w:eastAsia="Times New Roman"/>
          <w:b w:val="0"/>
          <w:i w:val="0"/>
          <w:sz w:val="24"/>
        </w:rPr>
        <w:t>Added the missing update permission needed for alert updates.</w:t>
      </w:r>
    </w:p>
    <w:p>
      <w:pPr>
        <w:pStyle w:val="ListBullet"/>
        <w:spacing w:before="0" w:after="40" w:line="312" w:lineRule="auto"/>
        <w:ind w:left="567" w:hanging="283"/>
        <w:jc w:val="both"/>
      </w:pPr>
      <w:r>
        <w:rPr>
          <w:rFonts w:ascii="Times New Roman" w:hAnsi="Times New Roman" w:eastAsia="Times New Roman"/>
          <w:b w:val="0"/>
          <w:i w:val="0"/>
          <w:sz w:val="24"/>
        </w:rPr>
        <w:t>Added source-level tests and clear comments explaining the rule.</w:t>
      </w:r>
    </w:p>
    <w:p>
      <w:pPr>
        <w:pStyle w:val="Heading2"/>
        <w:keepNext/>
        <w:spacing w:before="200" w:after="120" w:line="276" w:lineRule="auto"/>
        <w:jc w:val="left"/>
      </w:pPr>
      <w:r>
        <w:rPr>
          <w:rFonts w:ascii="Times New Roman" w:hAnsi="Times New Roman" w:eastAsia="Times New Roman"/>
          <w:b/>
          <w:i w:val="0"/>
          <w:sz w:val="24"/>
        </w:rPr>
        <w:t>9.9 Security Controls That Did Nothing</w:t>
      </w:r>
    </w:p>
    <w:p>
      <w:pPr>
        <w:spacing w:before="0" w:after="120" w:line="360" w:lineRule="auto"/>
        <w:jc w:val="both"/>
      </w:pPr>
      <w:r>
        <w:rPr>
          <w:rFonts w:ascii="Times New Roman" w:hAnsi="Times New Roman" w:eastAsia="Times New Roman"/>
          <w:b w:val="0"/>
          <w:i w:val="0"/>
          <w:sz w:val="24"/>
        </w:rPr>
        <w:t>Some security controls looked correct but were not working. The rate limit was set in the configuration, but the component that enforces it had never been installed, so it limited nothing. The measured-exceedance scan checked only uranium above 30 ppb, which never happens, so it matched zero wells. Earlier, the signup page accepted a role chosen by the user, and admin login details were found built into the portal code.</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Installed the rate-limit middleware and added a test that makes 30 quick logins and checks that they are refused.</w:t>
      </w:r>
    </w:p>
    <w:p>
      <w:pPr>
        <w:pStyle w:val="ListBullet"/>
        <w:spacing w:before="0" w:after="40" w:line="312" w:lineRule="auto"/>
        <w:ind w:left="567" w:hanging="283"/>
        <w:jc w:val="both"/>
      </w:pPr>
      <w:r>
        <w:rPr>
          <w:rFonts w:ascii="Times New Roman" w:hAnsi="Times New Roman" w:eastAsia="Times New Roman"/>
          <w:b w:val="0"/>
          <w:i w:val="0"/>
          <w:sz w:val="24"/>
        </w:rPr>
        <w:t>Changed the scan to check all health substances and tiers.</w:t>
      </w:r>
    </w:p>
    <w:p>
      <w:pPr>
        <w:pStyle w:val="ListBullet"/>
        <w:spacing w:before="0" w:after="40" w:line="312" w:lineRule="auto"/>
        <w:ind w:left="567" w:hanging="283"/>
        <w:jc w:val="both"/>
      </w:pPr>
      <w:r>
        <w:rPr>
          <w:rFonts w:ascii="Times New Roman" w:hAnsi="Times New Roman" w:eastAsia="Times New Roman"/>
          <w:b w:val="0"/>
          <w:i w:val="0"/>
          <w:sz w:val="24"/>
        </w:rPr>
        <w:t>Closed the signup hole and moved to five roles with database enforcement.</w:t>
      </w:r>
    </w:p>
    <w:p>
      <w:pPr>
        <w:pStyle w:val="ListBullet"/>
        <w:spacing w:before="0" w:after="40" w:line="312" w:lineRule="auto"/>
        <w:ind w:left="567" w:hanging="283"/>
        <w:jc w:val="both"/>
      </w:pPr>
      <w:r>
        <w:rPr>
          <w:rFonts w:ascii="Times New Roman" w:hAnsi="Times New Roman" w:eastAsia="Times New Roman"/>
          <w:b w:val="0"/>
          <w:i w:val="0"/>
          <w:sz w:val="24"/>
        </w:rPr>
        <w:t>Added a build guard that fails if any secret reaches the portal code.</w:t>
      </w:r>
    </w:p>
    <w:p>
      <w:pPr>
        <w:pStyle w:val="Heading2"/>
        <w:keepNext/>
        <w:spacing w:before="200" w:after="120" w:line="276" w:lineRule="auto"/>
        <w:jc w:val="left"/>
      </w:pPr>
      <w:r>
        <w:rPr>
          <w:rFonts w:ascii="Times New Roman" w:hAnsi="Times New Roman" w:eastAsia="Times New Roman"/>
          <w:b/>
          <w:i w:val="0"/>
          <w:sz w:val="24"/>
        </w:rPr>
        <w:t>9.10 Email Alert Delivery on Free Hosting</w:t>
      </w:r>
    </w:p>
    <w:p>
      <w:pPr>
        <w:spacing w:before="0" w:after="120" w:line="360" w:lineRule="auto"/>
        <w:jc w:val="both"/>
      </w:pPr>
      <w:r>
        <w:rPr>
          <w:rFonts w:ascii="Times New Roman" w:hAnsi="Times New Roman" w:eastAsia="Times New Roman"/>
          <w:b w:val="0"/>
          <w:i w:val="0"/>
          <w:sz w:val="24"/>
        </w:rPr>
        <w:t>Setting up email delivery on the deployed system took several attempts. The hosting service silently blocked the usual email port (587), so connections timed out. The email relay needed a special login name, not the account email address. The relay’s IP allow-list rejected the hosting server, whose address changes. Also, a failed email was marked as failed forever and never retried.</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Switched to port 2525, which the host allows.</w:t>
      </w:r>
    </w:p>
    <w:p>
      <w:pPr>
        <w:pStyle w:val="ListBullet"/>
        <w:spacing w:before="0" w:after="40" w:line="312" w:lineRule="auto"/>
        <w:ind w:left="567" w:hanging="283"/>
        <w:jc w:val="both"/>
      </w:pPr>
      <w:r>
        <w:rPr>
          <w:rFonts w:ascii="Times New Roman" w:hAnsi="Times New Roman" w:eastAsia="Times New Roman"/>
          <w:b w:val="0"/>
          <w:i w:val="0"/>
          <w:sz w:val="24"/>
        </w:rPr>
        <w:t>Used the relay’s own SMTP login and key.</w:t>
      </w:r>
    </w:p>
    <w:p>
      <w:pPr>
        <w:pStyle w:val="ListBullet"/>
        <w:spacing w:before="0" w:after="40" w:line="312" w:lineRule="auto"/>
        <w:ind w:left="567" w:hanging="283"/>
        <w:jc w:val="both"/>
      </w:pPr>
      <w:r>
        <w:rPr>
          <w:rFonts w:ascii="Times New Roman" w:hAnsi="Times New Roman" w:eastAsia="Times New Roman"/>
          <w:b w:val="0"/>
          <w:i w:val="0"/>
          <w:sz w:val="24"/>
        </w:rPr>
        <w:t>Removed the IP restriction, since the host has no fixed address.</w:t>
      </w:r>
    </w:p>
    <w:p>
      <w:pPr>
        <w:pStyle w:val="ListBullet"/>
        <w:spacing w:before="0" w:after="40" w:line="312" w:lineRule="auto"/>
        <w:ind w:left="567" w:hanging="283"/>
        <w:jc w:val="both"/>
      </w:pPr>
      <w:r>
        <w:rPr>
          <w:rFonts w:ascii="Times New Roman" w:hAnsi="Times New Roman" w:eastAsia="Times New Roman"/>
          <w:b w:val="0"/>
          <w:i w:val="0"/>
          <w:sz w:val="24"/>
        </w:rPr>
        <w:t>Changed the delivery code so that failed emails are retried, and added a test for it.</w:t>
      </w:r>
    </w:p>
    <w:p>
      <w:pPr>
        <w:pStyle w:val="Heading2"/>
        <w:keepNext/>
        <w:spacing w:before="200" w:after="120" w:line="276" w:lineRule="auto"/>
        <w:jc w:val="left"/>
      </w:pPr>
      <w:r>
        <w:rPr>
          <w:rFonts w:ascii="Times New Roman" w:hAnsi="Times New Roman" w:eastAsia="Times New Roman"/>
          <w:b/>
          <w:i w:val="0"/>
          <w:sz w:val="24"/>
        </w:rPr>
        <w:t>9.11 Limits of Free Cloud Hosting</w:t>
      </w:r>
    </w:p>
    <w:p>
      <w:pPr>
        <w:spacing w:before="0" w:after="120" w:line="360" w:lineRule="auto"/>
        <w:jc w:val="both"/>
      </w:pPr>
      <w:r>
        <w:rPr>
          <w:rFonts w:ascii="Times New Roman" w:hAnsi="Times New Roman" w:eastAsia="Times New Roman"/>
          <w:b w:val="0"/>
          <w:i w:val="0"/>
          <w:sz w:val="24"/>
        </w:rPr>
        <w:t>The backend runs on a free hosting tier. The service sleeps when idle and takes about 53 seconds to wake. A single engine run takes about 4 seconds there, compared with 0.2 seconds locally. One long request (a lifecycle with 48 evaluations) was cut off by the hosting gateway.</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Split long requests into smaller ones (one chemical per request).</w:t>
      </w:r>
    </w:p>
    <w:p>
      <w:pPr>
        <w:pStyle w:val="ListBullet"/>
        <w:spacing w:before="0" w:after="40" w:line="312" w:lineRule="auto"/>
        <w:ind w:left="567" w:hanging="283"/>
        <w:jc w:val="both"/>
      </w:pPr>
      <w:r>
        <w:rPr>
          <w:rFonts w:ascii="Times New Roman" w:hAnsi="Times New Roman" w:eastAsia="Times New Roman"/>
          <w:b w:val="0"/>
          <w:i w:val="0"/>
          <w:sz w:val="24"/>
        </w:rPr>
        <w:t>Fixed the chart sections that did not render on the slow free tier, after walking every screen on the deployed system.</w:t>
      </w:r>
    </w:p>
    <w:p>
      <w:pPr>
        <w:pStyle w:val="ListBullet"/>
        <w:spacing w:before="0" w:after="40" w:line="312" w:lineRule="auto"/>
        <w:ind w:left="567" w:hanging="283"/>
        <w:jc w:val="both"/>
      </w:pPr>
      <w:r>
        <w:rPr>
          <w:rFonts w:ascii="Times New Roman" w:hAnsi="Times New Roman" w:eastAsia="Times New Roman"/>
          <w:b w:val="0"/>
          <w:i w:val="0"/>
          <w:sz w:val="24"/>
        </w:rPr>
        <w:t>Kept the design simple (engine inside the backend, no extra services) to fit the free tier.</w:t>
      </w:r>
    </w:p>
    <w:p>
      <w:pPr>
        <w:pStyle w:val="Heading2"/>
        <w:keepNext/>
        <w:spacing w:before="200" w:after="120" w:line="276" w:lineRule="auto"/>
        <w:jc w:val="left"/>
      </w:pPr>
      <w:r>
        <w:rPr>
          <w:rFonts w:ascii="Times New Roman" w:hAnsi="Times New Roman" w:eastAsia="Times New Roman"/>
          <w:b/>
          <w:i w:val="0"/>
          <w:sz w:val="24"/>
        </w:rPr>
        <w:t>9.12 Learning a New Subject</w:t>
      </w:r>
    </w:p>
    <w:p>
      <w:pPr>
        <w:spacing w:before="0" w:after="120" w:line="360" w:lineRule="auto"/>
        <w:jc w:val="both"/>
      </w:pPr>
      <w:r>
        <w:rPr>
          <w:rFonts w:ascii="Times New Roman" w:hAnsi="Times New Roman" w:eastAsia="Times New Roman"/>
          <w:b w:val="0"/>
          <w:i w:val="0"/>
          <w:sz w:val="24"/>
        </w:rPr>
        <w:t>The project needed knowledge of hydrogeology, groundwater chemistry, contaminant transport and mining regulation, none of which is part of the Information Technology course.</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Self-study of textbooks, government reports and research papers from the first month.</w:t>
      </w:r>
    </w:p>
    <w:p>
      <w:pPr>
        <w:pStyle w:val="ListBullet"/>
        <w:spacing w:before="0" w:after="40" w:line="312" w:lineRule="auto"/>
        <w:ind w:left="567" w:hanging="283"/>
        <w:jc w:val="both"/>
      </w:pPr>
      <w:r>
        <w:rPr>
          <w:rFonts w:ascii="Times New Roman" w:hAnsi="Times New Roman" w:eastAsia="Times New Roman"/>
          <w:b w:val="0"/>
          <w:i w:val="0"/>
          <w:sz w:val="24"/>
        </w:rPr>
        <w:t>Used published equations and standards instead of inventing new ones.</w:t>
      </w:r>
    </w:p>
    <w:p>
      <w:pPr>
        <w:pStyle w:val="ListBullet"/>
        <w:spacing w:before="0" w:after="40" w:line="312" w:lineRule="auto"/>
        <w:ind w:left="567" w:hanging="283"/>
        <w:jc w:val="both"/>
      </w:pPr>
      <w:r>
        <w:rPr>
          <w:rFonts w:ascii="Times New Roman" w:hAnsi="Times New Roman" w:eastAsia="Times New Roman"/>
          <w:b w:val="0"/>
          <w:i w:val="0"/>
          <w:sz w:val="24"/>
        </w:rPr>
        <w:t>Wrote down every assumption and its source in the code and documents.</w:t>
      </w:r>
    </w:p>
    <w:p>
      <w:pPr>
        <w:pStyle w:val="ListBullet"/>
        <w:spacing w:before="0" w:after="40" w:line="312" w:lineRule="auto"/>
        <w:ind w:left="567" w:hanging="283"/>
        <w:jc w:val="both"/>
      </w:pPr>
      <w:r>
        <w:rPr>
          <w:rFonts w:ascii="Times New Roman" w:hAnsi="Times New Roman" w:eastAsia="Times New Roman"/>
          <w:b w:val="0"/>
          <w:i w:val="0"/>
          <w:sz w:val="24"/>
        </w:rPr>
        <w:t>Discussed the direction of the work with the mentor.</w:t>
      </w:r>
    </w:p>
    <w:p>
      <w:pPr>
        <w:pStyle w:val="Heading2"/>
        <w:keepNext/>
        <w:spacing w:before="200" w:after="120" w:line="276" w:lineRule="auto"/>
        <w:jc w:val="left"/>
      </w:pPr>
      <w:r>
        <w:rPr>
          <w:rFonts w:ascii="Times New Roman" w:hAnsi="Times New Roman" w:eastAsia="Times New Roman"/>
          <w:b/>
          <w:i w:val="0"/>
          <w:sz w:val="24"/>
        </w:rPr>
        <w:t>9.13 Lessons Learned</w:t>
      </w:r>
    </w:p>
    <w:p>
      <w:pPr>
        <w:spacing w:before="0" w:after="120" w:line="360" w:lineRule="auto"/>
        <w:jc w:val="both"/>
      </w:pPr>
      <w:r>
        <w:rPr>
          <w:rFonts w:ascii="Times New Roman" w:hAnsi="Times New Roman" w:eastAsia="Times New Roman"/>
          <w:b w:val="0"/>
          <w:i w:val="0"/>
          <w:sz w:val="24"/>
        </w:rPr>
        <w:t>The challenges of this fellowship gave practical experience in data engineering, scientific modelling, machine learning, database security and deployment. The most important lessons were:</w:t>
      </w:r>
    </w:p>
    <w:p>
      <w:pPr>
        <w:pStyle w:val="ListBullet"/>
        <w:spacing w:before="0" w:after="40" w:line="312" w:lineRule="auto"/>
        <w:ind w:left="567" w:hanging="283"/>
        <w:jc w:val="both"/>
      </w:pPr>
      <w:r>
        <w:rPr>
          <w:rFonts w:ascii="Times New Roman" w:hAnsi="Times New Roman" w:eastAsia="Times New Roman"/>
          <w:b w:val="0"/>
          <w:i w:val="0"/>
          <w:sz w:val="24"/>
        </w:rPr>
        <w:t>A good accuracy score does not prove that a model has learned the right thing; the data behind it must be checked.</w:t>
      </w:r>
    </w:p>
    <w:p>
      <w:pPr>
        <w:pStyle w:val="ListBullet"/>
        <w:spacing w:before="0" w:after="40" w:line="312" w:lineRule="auto"/>
        <w:ind w:left="567" w:hanging="283"/>
        <w:jc w:val="both"/>
      </w:pPr>
      <w:r>
        <w:rPr>
          <w:rFonts w:ascii="Times New Roman" w:hAnsi="Times New Roman" w:eastAsia="Times New Roman"/>
          <w:b w:val="0"/>
          <w:i w:val="0"/>
          <w:sz w:val="24"/>
        </w:rPr>
        <w:t>A control that looks correct in the code may still do nothing; it must be measured.</w:t>
      </w:r>
    </w:p>
    <w:p>
      <w:pPr>
        <w:pStyle w:val="ListBullet"/>
        <w:spacing w:before="0" w:after="40" w:line="312" w:lineRule="auto"/>
        <w:ind w:left="567" w:hanging="283"/>
        <w:jc w:val="both"/>
      </w:pPr>
      <w:r>
        <w:rPr>
          <w:rFonts w:ascii="Times New Roman" w:hAnsi="Times New Roman" w:eastAsia="Times New Roman"/>
          <w:b w:val="0"/>
          <w:i w:val="0"/>
          <w:sz w:val="24"/>
        </w:rPr>
        <w:t>Missing data should be shown as missing, never as safe.</w:t>
      </w:r>
    </w:p>
    <w:p>
      <w:pPr>
        <w:pStyle w:val="ListBullet"/>
        <w:spacing w:before="0" w:after="40" w:line="312" w:lineRule="auto"/>
        <w:ind w:left="567" w:hanging="283"/>
        <w:jc w:val="both"/>
      </w:pPr>
      <w:r>
        <w:rPr>
          <w:rFonts w:ascii="Times New Roman" w:hAnsi="Times New Roman" w:eastAsia="Times New Roman"/>
          <w:b w:val="0"/>
          <w:i w:val="0"/>
          <w:sz w:val="24"/>
        </w:rPr>
        <w:t>Every assumption should be written down with its source, so that it can be checked and replaced later.</w:t>
      </w:r>
    </w:p>
    <w:p>
      <w:pPr>
        <w:spacing w:before="0" w:after="120" w:line="360" w:lineRule="auto"/>
        <w:jc w:val="both"/>
      </w:pPr>
      <w:r>
        <w:rPr>
          <w:rFonts w:ascii="Times New Roman" w:hAnsi="Times New Roman" w:eastAsia="Times New Roman"/>
          <w:b w:val="0"/>
          <w:i w:val="0"/>
          <w:sz w:val="24"/>
        </w:rPr>
        <w:t>The experience gained will be useful for future work on environmental monitoring systems and data-driven tools for the mining sector.</w:t>
      </w:r>
    </w:p>
    <w:p>
      <w:r>
        <w:br w:type="page"/>
      </w:r>
    </w:p>
    <w:p>
      <w:pPr>
        <w:pStyle w:val="Heading1"/>
        <w:keepNext/>
        <w:spacing w:before="0" w:after="240" w:line="276" w:lineRule="auto"/>
        <w:jc w:val="left"/>
      </w:pPr>
      <w:r>
        <w:rPr>
          <w:rFonts w:ascii="Times New Roman" w:hAnsi="Times New Roman" w:eastAsia="Times New Roman"/>
          <w:b/>
          <w:i w:val="0"/>
          <w:sz w:val="28"/>
        </w:rPr>
        <w:t>10. EXPENDITURE / FINANCIAL UTILIZATION</w:t>
      </w:r>
    </w:p>
    <w:p>
      <w:pPr>
        <w:spacing w:before="0" w:after="120" w:line="360" w:lineRule="auto"/>
        <w:jc w:val="both"/>
      </w:pPr>
      <w:r>
        <w:rPr>
          <w:rFonts w:ascii="Times New Roman" w:hAnsi="Times New Roman" w:eastAsia="Times New Roman"/>
          <w:b w:val="0"/>
          <w:i w:val="0"/>
          <w:sz w:val="24"/>
        </w:rPr>
        <w:t>JalDrishti is a software project, so no hardware components were purchased. The fellowship funds were used for research tools and subscriptions, books and e-books on hydrogeology and contaminant modelling, and cloud hosting for deployment. The amounts below are taken from the “Utilization of Fellowship / Grant” section of each monthly progress report (MPR). Each MPR records ₹10,000 as the fellowship amount received.</w:t>
      </w:r>
    </w:p>
    <w:p>
      <w:pPr>
        <w:pStyle w:val="Heading2"/>
        <w:keepNext/>
        <w:spacing w:before="200" w:after="120" w:line="276" w:lineRule="auto"/>
        <w:jc w:val="left"/>
      </w:pPr>
      <w:r>
        <w:rPr>
          <w:rFonts w:ascii="Times New Roman" w:hAnsi="Times New Roman" w:eastAsia="Times New Roman"/>
          <w:b/>
          <w:i w:val="0"/>
          <w:sz w:val="24"/>
        </w:rPr>
        <w:t>10.1 Month-wise Expenditure</w:t>
      </w:r>
    </w:p>
    <w:p>
      <w:pPr>
        <w:keepNext/>
        <w:spacing w:before="120" w:after="80" w:line="240" w:lineRule="auto"/>
        <w:jc w:val="center"/>
      </w:pPr>
      <w:r>
        <w:rPr>
          <w:rFonts w:ascii="Times New Roman" w:hAnsi="Times New Roman" w:eastAsia="Times New Roman"/>
          <w:b/>
          <w:i w:val="0"/>
          <w:sz w:val="22"/>
        </w:rPr>
        <w:t>Table 10.1: Month-wise utilization of the fellowship grant (as recorded in the MPRs)</w:t>
      </w:r>
    </w:p>
    <w:tbl>
      <w:tblPr>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79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Sl. No.</w:t>
            </w:r>
          </w:p>
        </w:tc>
        <w:tc>
          <w:tcPr>
            <w:tcW w:type="dxa" w:w="147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Month</w:t>
            </w:r>
          </w:p>
        </w:tc>
        <w:tc>
          <w:tcPr>
            <w:tcW w:type="dxa" w:w="4989"/>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 of utilization</w:t>
            </w:r>
          </w:p>
        </w:tc>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Amount (₹)</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Nov 2025</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 applicable (no expenditure)</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Dec 2025</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 applicable (no expenditure)</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Jan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Advanced research tools for understanding hydrogeology and plume modelling</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1,600.00</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Feb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Claude Pro subscription for research and system design</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2,196.00</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Mar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 applicable (no expenditure)</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Apr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 applicable (no expenditure)</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May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Claude Pro subscription, and books and e-books (₹2,226 + ₹5,120)</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7,346.00</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Jun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Claude Pro subscription</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2,273.00</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Jul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Claude Pro subscription (research and system design)</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__________</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Aug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Cloud hosting and deployment (Neon, Render, Cloudflare); Claude Pro subscription</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__________</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Total recorded (Nov 2025 – Jun 2026)</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13,415.00</w:t>
            </w:r>
          </w:p>
        </w:tc>
      </w:tr>
      <w:tr>
        <w:trPr>
          <w:cantSplit w:val="true"/>
        </w:trPr>
        <w:tc>
          <w:tcPr>
            <w:tcW w:type="dxa" w:w="794"/>
            <w:tcBorders>
              <w:top w:val="single" w:sz="6" w:color="000000"/>
              <w:left w:val="single" w:sz="6" w:color="000000"/>
              <w:bottom w:val="single" w:sz="6" w:color="000000"/>
              <w:right w:val="single" w:sz="6" w:color="000000"/>
            </w:tcBorders>
          </w:tcPr>
          <w:p>
            <w:pPr>
              <w:spacing w:before="0" w:after="0" w:line="240" w:lineRule="auto"/>
              <w:jc w:val="left"/>
            </w:pPr>
            <w:r/>
          </w:p>
        </w:tc>
        <w:tc>
          <w:tcPr>
            <w:tcW w:type="dxa" w:w="1474"/>
            <w:tcBorders>
              <w:top w:val="single" w:sz="6" w:color="000000"/>
              <w:left w:val="single" w:sz="6" w:color="000000"/>
              <w:bottom w:val="single" w:sz="6" w:color="000000"/>
              <w:right w:val="single" w:sz="6" w:color="000000"/>
            </w:tcBorders>
          </w:tcPr>
          <w:p>
            <w:pPr>
              <w:spacing w:before="0" w:after="0" w:line="240" w:lineRule="auto"/>
              <w:jc w:val="left"/>
            </w:pPr>
            <w:r/>
          </w:p>
        </w:tc>
        <w:tc>
          <w:tcPr>
            <w:tcW w:type="dxa" w:w="4989"/>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i w:val="0"/>
                <w:sz w:val="22"/>
              </w:rPr>
              <w:t>Total including July and August 2026</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i w:val="0"/>
                <w:sz w:val="22"/>
              </w:rPr>
              <w:t>__________</w:t>
            </w:r>
          </w:p>
        </w:tc>
      </w:tr>
    </w:tbl>
    <w:p>
      <w:pPr>
        <w:spacing w:after="40"/>
      </w:pPr>
    </w:p>
    <w:p>
      <w:pPr>
        <w:pStyle w:val="Heading2"/>
        <w:keepNext/>
        <w:spacing w:before="200" w:after="120" w:line="276" w:lineRule="auto"/>
        <w:jc w:val="left"/>
      </w:pPr>
      <w:r>
        <w:rPr>
          <w:rFonts w:ascii="Times New Roman" w:hAnsi="Times New Roman" w:eastAsia="Times New Roman"/>
          <w:b/>
          <w:i w:val="0"/>
          <w:sz w:val="24"/>
        </w:rPr>
        <w:t>10.2 Expenditure Summary</w:t>
      </w:r>
    </w:p>
    <w:p>
      <w:pPr>
        <w:spacing w:before="0" w:after="120" w:line="360" w:lineRule="auto"/>
        <w:jc w:val="both"/>
      </w:pPr>
      <w:r>
        <w:rPr>
          <w:rFonts w:ascii="Times New Roman" w:hAnsi="Times New Roman" w:eastAsia="Times New Roman"/>
          <w:b w:val="0"/>
          <w:i w:val="0"/>
          <w:sz w:val="24"/>
        </w:rPr>
        <w:t>Most of the expenditure was on research resources: books and e-books for learning hydrogeology and contaminant transport, a research tool subscription, and an AI research and system-design subscription used from February onwards. Because the project is entirely software-based, no electronic components or fabrication materials were needed. The backend was hosted on free cloud tiers wherever possible, and the August MPR records spending on cloud hosting and deployment.</w:t>
      </w:r>
    </w:p>
    <w:p>
      <w:pPr>
        <w:spacing w:before="0" w:after="120" w:line="360" w:lineRule="auto"/>
        <w:jc w:val="both"/>
      </w:pPr>
      <w:r>
        <w:rPr>
          <w:rFonts w:ascii="Times New Roman" w:hAnsi="Times New Roman" w:eastAsia="Times New Roman"/>
          <w:b w:val="0"/>
          <w:i w:val="0"/>
          <w:sz w:val="24"/>
        </w:rPr>
        <w:t>The amounts for July and August 2026 were not filled in the MPRs and are to be completed from the corresponding bills. All expenditure was made only for project-related purposes, and the purchase bills and invoices are attached as supporting documents in Annexure F.</w:t>
      </w:r>
    </w:p>
    <w:p>
      <w:r>
        <w:br w:type="page"/>
      </w:r>
    </w:p>
    <w:p>
      <w:pPr>
        <w:pStyle w:val="Heading1"/>
        <w:keepNext/>
        <w:spacing w:before="0" w:after="240" w:line="276" w:lineRule="auto"/>
        <w:jc w:val="left"/>
      </w:pPr>
      <w:r>
        <w:rPr>
          <w:rFonts w:ascii="Times New Roman" w:hAnsi="Times New Roman" w:eastAsia="Times New Roman"/>
          <w:b/>
          <w:i w:val="0"/>
          <w:sz w:val="28"/>
        </w:rPr>
        <w:t>11. CONCLUSION</w:t>
      </w:r>
    </w:p>
    <w:p>
      <w:pPr>
        <w:spacing w:before="0" w:after="120" w:line="360" w:lineRule="auto"/>
        <w:jc w:val="both"/>
      </w:pPr>
      <w:r>
        <w:rPr>
          <w:rFonts w:ascii="Times New Roman" w:hAnsi="Times New Roman" w:eastAsia="Times New Roman"/>
          <w:b w:val="0"/>
          <w:i w:val="0"/>
          <w:sz w:val="24"/>
        </w:rPr>
        <w:t>The aim of this fellowship project was to build a system that can screen how groundwater contamination from a hypothetical ISR uranium operation would behave in Jharkhand, check what the existing groundwater record says, find where monitoring is weakest, and inform the people concerned. The project achieved this through JalDrishti, a web-based decision-support system that is deployed and working.</w:t>
      </w:r>
    </w:p>
    <w:p>
      <w:pPr>
        <w:spacing w:before="0" w:after="120" w:line="360" w:lineRule="auto"/>
        <w:jc w:val="both"/>
      </w:pPr>
      <w:r>
        <w:rPr>
          <w:rFonts w:ascii="Times New Roman" w:hAnsi="Times New Roman" w:eastAsia="Times New Roman"/>
          <w:b w:val="0"/>
          <w:i w:val="0"/>
          <w:sz w:val="24"/>
        </w:rPr>
        <w:t>The most important step of the project was a change of method. The first five months followed the proposal and trained machine learning models on measured and synthetic water-quality data. In June 2026 a careful check showed that these models were not learning how contamination spreads, because the measured data had no information about distance or time. The prediction core was rebuilt as a physics-based contaminant transport engine, using the Domenico and Ogata–Banks solutions adapted for fractured hard rock, with dual-porosity slowing, matrix diffusion, a leach zone, restoration based on Texas ISR records, uranium attenuation and the NUREG-1569 2-of-3 excursion test. The engine uses real Jharkhand data: aquifer maps, a groundwater flow field from 398 CGWB stations, a fracture field from GSI lineaments, NAQUIM layers and uranium deposit grades. An XGBoost surrogate trained on 18,000 engine scenarios gives fast answers with calibrated 80% uncertainty bands.</w:t>
      </w:r>
    </w:p>
    <w:p>
      <w:pPr>
        <w:spacing w:before="0" w:after="120" w:line="360" w:lineRule="auto"/>
        <w:jc w:val="both"/>
      </w:pPr>
      <w:r>
        <w:rPr>
          <w:rFonts w:ascii="Times New Roman" w:hAnsi="Times New Roman" w:eastAsia="Times New Roman"/>
          <w:b w:val="0"/>
          <w:i w:val="0"/>
          <w:sz w:val="24"/>
        </w:rPr>
        <w:t>The main results are:</w:t>
      </w:r>
    </w:p>
    <w:p>
      <w:pPr>
        <w:pStyle w:val="ListBullet"/>
        <w:spacing w:before="0" w:after="40" w:line="312" w:lineRule="auto"/>
        <w:ind w:left="567" w:hanging="283"/>
        <w:jc w:val="both"/>
      </w:pPr>
      <w:r>
        <w:rPr>
          <w:rFonts w:ascii="Times New Roman" w:hAnsi="Times New Roman" w:eastAsia="Times New Roman"/>
          <w:b w:val="0"/>
          <w:i w:val="0"/>
          <w:sz w:val="24"/>
        </w:rPr>
        <w:t>The ML surrogate reproduces the physics engine with an R² (log scale) of 0.89 to 0.95, performs better than all baseline models, and keeps its 80% coverage on real-location test cases. The radium results do not meet the target and are reported openly.</w:t>
      </w:r>
    </w:p>
    <w:p>
      <w:pPr>
        <w:pStyle w:val="ListBullet"/>
        <w:spacing w:before="0" w:after="40" w:line="312" w:lineRule="auto"/>
        <w:ind w:left="567" w:hanging="283"/>
        <w:jc w:val="both"/>
      </w:pPr>
      <w:r>
        <w:rPr>
          <w:rFonts w:ascii="Times New Roman" w:hAnsi="Times New Roman" w:eastAsia="Times New Roman"/>
          <w:b w:val="0"/>
          <w:i w:val="0"/>
          <w:sz w:val="24"/>
        </w:rPr>
        <w:t>The engine matches an exact numerical solution after a missing formula term was found and restored.</w:t>
      </w:r>
    </w:p>
    <w:p>
      <w:pPr>
        <w:pStyle w:val="ListBullet"/>
        <w:spacing w:before="0" w:after="40" w:line="312" w:lineRule="auto"/>
        <w:ind w:left="567" w:hanging="283"/>
        <w:jc w:val="both"/>
      </w:pPr>
      <w:r>
        <w:rPr>
          <w:rFonts w:ascii="Times New Roman" w:hAnsi="Times New Roman" w:eastAsia="Times New Roman"/>
          <w:b w:val="0"/>
          <w:i w:val="0"/>
          <w:sz w:val="24"/>
        </w:rPr>
        <w:t>In the measured record, uranium is within its limit at every tested well, while nitrate (22 wells) and fluoride (32 wells) are the real health concerns, in 14 of 24 districts. Iron, arsenic and manganese have never been tested.</w:t>
      </w:r>
    </w:p>
    <w:p>
      <w:pPr>
        <w:pStyle w:val="ListBullet"/>
        <w:spacing w:before="0" w:after="40" w:line="312" w:lineRule="auto"/>
        <w:ind w:left="567" w:hanging="283"/>
        <w:jc w:val="both"/>
      </w:pPr>
      <w:r>
        <w:rPr>
          <w:rFonts w:ascii="Times New Roman" w:hAnsi="Times New Roman" w:eastAsia="Times New Roman"/>
          <w:b w:val="0"/>
          <w:i w:val="0"/>
          <w:sz w:val="24"/>
        </w:rPr>
        <w:t>At the hypothetical Jaduguda site, uranium spreads about 20 m in 20 years, sulphate 73 m and TDS 254 m. The chemical indicators, not uranium, give the first warning.</w:t>
      </w:r>
    </w:p>
    <w:p>
      <w:pPr>
        <w:pStyle w:val="ListBullet"/>
        <w:spacing w:before="0" w:after="40" w:line="312" w:lineRule="auto"/>
        <w:ind w:left="567" w:hanging="283"/>
        <w:jc w:val="both"/>
      </w:pPr>
      <w:r>
        <w:rPr>
          <w:rFonts w:ascii="Times New Roman" w:hAnsi="Times New Roman" w:eastAsia="Times New Roman"/>
          <w:b w:val="0"/>
          <w:i w:val="0"/>
          <w:sz w:val="24"/>
        </w:rPr>
        <w:t>The shallow-aquifer screening gives a high index (0.62) with a breakthrough time of about 18.7 years at the registered site.</w:t>
      </w:r>
    </w:p>
    <w:p>
      <w:pPr>
        <w:pStyle w:val="ListBullet"/>
        <w:spacing w:before="0" w:after="40" w:line="312" w:lineRule="auto"/>
        <w:ind w:left="567" w:hanging="283"/>
        <w:jc w:val="both"/>
      </w:pPr>
      <w:r>
        <w:rPr>
          <w:rFonts w:ascii="Times New Roman" w:hAnsi="Times New Roman" w:eastAsia="Times New Roman"/>
          <w:b w:val="0"/>
          <w:i w:val="0"/>
          <w:sz w:val="24"/>
        </w:rPr>
        <w:t>The 25 most poorly monitored blocks all lie in the uranium belt.</w:t>
      </w:r>
    </w:p>
    <w:p>
      <w:pPr>
        <w:pStyle w:val="ListBullet"/>
        <w:spacing w:before="0" w:after="40" w:line="312" w:lineRule="auto"/>
        <w:ind w:left="567" w:hanging="283"/>
        <w:jc w:val="both"/>
      </w:pPr>
      <w:r>
        <w:rPr>
          <w:rFonts w:ascii="Times New Roman" w:hAnsi="Times New Roman" w:eastAsia="Times New Roman"/>
          <w:b w:val="0"/>
          <w:i w:val="0"/>
          <w:sz w:val="24"/>
        </w:rPr>
        <w:t>The alert system raises 53 tiered alerts from the measured data and delivers them to residents by email.</w:t>
      </w:r>
    </w:p>
    <w:p>
      <w:pPr>
        <w:pStyle w:val="ListBullet"/>
        <w:spacing w:before="0" w:after="40" w:line="312" w:lineRule="auto"/>
        <w:ind w:left="567" w:hanging="283"/>
        <w:jc w:val="both"/>
      </w:pPr>
      <w:r>
        <w:rPr>
          <w:rFonts w:ascii="Times New Roman" w:hAnsi="Times New Roman" w:eastAsia="Times New Roman"/>
          <w:b w:val="0"/>
          <w:i w:val="0"/>
          <w:sz w:val="24"/>
        </w:rPr>
        <w:t>The system is supported by 373 engine tests and 522 backend tests and runs online with five secure user roles.</w:t>
      </w:r>
    </w:p>
    <w:p>
      <w:pPr>
        <w:spacing w:before="0" w:after="120" w:line="360" w:lineRule="auto"/>
        <w:jc w:val="both"/>
      </w:pPr>
      <w:r>
        <w:rPr>
          <w:rFonts w:ascii="Times New Roman" w:hAnsi="Times New Roman" w:eastAsia="Times New Roman"/>
          <w:b w:val="0"/>
          <w:i w:val="0"/>
          <w:sz w:val="24"/>
        </w:rPr>
        <w:t>The project also has clear limits. No real ISR plume exists in Jharkhand, so the model cannot be validated against a measured plume, and its uncertainty bands cover only the uncertainty of the input values, not errors in the model itself. The two inputs that control the plume extent most, hydraulic conductivity and the matrix storage ratio β, are not measured at ore depth in the shear zone. Trend forecasting of health-related water quality was not possible, because no repeated measurements exist. The system works on the manual monitoring network; it is a decision-support tool ready for sensors, not a live sensor network.</w:t>
      </w:r>
    </w:p>
    <w:p>
      <w:pPr>
        <w:spacing w:before="0" w:after="120" w:line="360" w:lineRule="auto"/>
        <w:jc w:val="both"/>
      </w:pPr>
      <w:r>
        <w:rPr>
          <w:rFonts w:ascii="Times New Roman" w:hAnsi="Times New Roman" w:eastAsia="Times New Roman"/>
          <w:b w:val="0"/>
          <w:i w:val="0"/>
          <w:sz w:val="24"/>
        </w:rPr>
        <w:t>In conclusion, JalDrishti shows that a useful and honest groundwater contamination screening tool can be built for hard-rock India from open data, standard groundwater physics and machine learning, and deployed at low cost. Its main strength is not only the model but the discipline around it: every modelled number comes with its uncertainty and its source, measured and modelled results are kept apart, missing data is never shown as safe, and the places where more monitoring is needed are clearly identified.</w:t>
      </w:r>
    </w:p>
    <w:p>
      <w:r>
        <w:br w:type="page"/>
      </w:r>
    </w:p>
    <w:p>
      <w:pPr>
        <w:pStyle w:val="Heading1"/>
        <w:keepNext/>
        <w:spacing w:before="0" w:after="240" w:line="276" w:lineRule="auto"/>
        <w:jc w:val="left"/>
      </w:pPr>
      <w:r>
        <w:rPr>
          <w:rFonts w:ascii="Times New Roman" w:hAnsi="Times New Roman" w:eastAsia="Times New Roman"/>
          <w:b/>
          <w:i w:val="0"/>
          <w:sz w:val="28"/>
        </w:rPr>
        <w:t>12. FUTURE SCOPE</w:t>
      </w:r>
    </w:p>
    <w:p>
      <w:pPr>
        <w:spacing w:before="0" w:after="120" w:line="360" w:lineRule="auto"/>
        <w:jc w:val="both"/>
      </w:pPr>
      <w:r>
        <w:rPr>
          <w:rFonts w:ascii="Times New Roman" w:hAnsi="Times New Roman" w:eastAsia="Times New Roman"/>
          <w:b w:val="0"/>
          <w:i w:val="0"/>
          <w:sz w:val="24"/>
        </w:rPr>
        <w:t>JalDrishti provides a base for more advanced groundwater monitoring and screening in the mining sector. The current prototype works well within the limits of the available data. Several improvements can make it more accurate and more useful.</w:t>
      </w:r>
    </w:p>
    <w:p>
      <w:pPr>
        <w:pStyle w:val="Heading2"/>
        <w:keepNext/>
        <w:spacing w:before="200" w:after="120" w:line="276" w:lineRule="auto"/>
        <w:jc w:val="left"/>
      </w:pPr>
      <w:r>
        <w:rPr>
          <w:rFonts w:ascii="Times New Roman" w:hAnsi="Times New Roman" w:eastAsia="Times New Roman"/>
          <w:b/>
          <w:i w:val="0"/>
          <w:sz w:val="24"/>
        </w:rPr>
        <w:t>12.1 Field Measurements in the Uranium Belt</w:t>
      </w:r>
    </w:p>
    <w:p>
      <w:pPr>
        <w:spacing w:before="0" w:after="120" w:line="360" w:lineRule="auto"/>
        <w:jc w:val="both"/>
      </w:pPr>
      <w:r>
        <w:rPr>
          <w:rFonts w:ascii="Times New Roman" w:hAnsi="Times New Roman" w:eastAsia="Times New Roman"/>
          <w:b w:val="0"/>
          <w:i w:val="0"/>
          <w:sz w:val="24"/>
        </w:rPr>
        <w:t>The sensitivity analysis showed that the plume extent depends mostly on hydraulic conductivity and the matrix storage ratio β, which are not measured at ore depth in the Singhbhum shear zone.</w:t>
      </w:r>
    </w:p>
    <w:p>
      <w:pPr>
        <w:spacing w:before="0" w:after="120" w:line="360" w:lineRule="auto"/>
        <w:jc w:val="both"/>
      </w:pPr>
      <w:r>
        <w:rPr>
          <w:rFonts w:ascii="Times New Roman" w:hAnsi="Times New Roman" w:eastAsia="Times New Roman"/>
          <w:b w:val="0"/>
          <w:i w:val="0"/>
          <w:sz w:val="24"/>
        </w:rPr>
        <w:t>Possible work includes:</w:t>
      </w:r>
    </w:p>
    <w:p>
      <w:pPr>
        <w:pStyle w:val="ListBullet"/>
        <w:spacing w:before="0" w:after="40" w:line="312" w:lineRule="auto"/>
        <w:ind w:left="567" w:hanging="283"/>
        <w:jc w:val="both"/>
      </w:pPr>
      <w:r>
        <w:rPr>
          <w:rFonts w:ascii="Times New Roman" w:hAnsi="Times New Roman" w:eastAsia="Times New Roman"/>
          <w:b w:val="0"/>
          <w:i w:val="0"/>
          <w:sz w:val="24"/>
        </w:rPr>
        <w:t>A tracer test or packer test in the shear zone to measure β, fracture opening and matrix diffusion.</w:t>
      </w:r>
    </w:p>
    <w:p>
      <w:pPr>
        <w:pStyle w:val="ListBullet"/>
        <w:spacing w:before="0" w:after="40" w:line="312" w:lineRule="auto"/>
        <w:ind w:left="567" w:hanging="283"/>
        <w:jc w:val="both"/>
      </w:pPr>
      <w:r>
        <w:rPr>
          <w:rFonts w:ascii="Times New Roman" w:hAnsi="Times New Roman" w:eastAsia="Times New Roman"/>
          <w:b w:val="0"/>
          <w:i w:val="0"/>
          <w:sz w:val="24"/>
        </w:rPr>
        <w:t>Deep piezometers under the belt to measure the upward head difference that controls the shallow-aquifer screening.</w:t>
      </w:r>
    </w:p>
    <w:p>
      <w:pPr>
        <w:pStyle w:val="ListBullet"/>
        <w:spacing w:before="0" w:after="40" w:line="312" w:lineRule="auto"/>
        <w:ind w:left="567" w:hanging="283"/>
        <w:jc w:val="both"/>
      </w:pPr>
      <w:r>
        <w:rPr>
          <w:rFonts w:ascii="Times New Roman" w:hAnsi="Times New Roman" w:eastAsia="Times New Roman"/>
          <w:b w:val="0"/>
          <w:i w:val="0"/>
          <w:sz w:val="24"/>
        </w:rPr>
        <w:t>Updating the model inputs and retraining the surrogate with the new values.</w:t>
      </w:r>
    </w:p>
    <w:p>
      <w:pPr>
        <w:pStyle w:val="Heading2"/>
        <w:keepNext/>
        <w:spacing w:before="200" w:after="120" w:line="276" w:lineRule="auto"/>
        <w:jc w:val="left"/>
      </w:pPr>
      <w:r>
        <w:rPr>
          <w:rFonts w:ascii="Times New Roman" w:hAnsi="Times New Roman" w:eastAsia="Times New Roman"/>
          <w:b/>
          <w:i w:val="0"/>
          <w:sz w:val="24"/>
        </w:rPr>
        <w:t>12.2 Better Monitoring Data</w:t>
      </w:r>
    </w:p>
    <w:p>
      <w:pPr>
        <w:spacing w:before="0" w:after="120" w:line="360" w:lineRule="auto"/>
        <w:jc w:val="both"/>
      </w:pPr>
      <w:r>
        <w:rPr>
          <w:rFonts w:ascii="Times New Roman" w:hAnsi="Times New Roman" w:eastAsia="Times New Roman"/>
          <w:b w:val="0"/>
          <w:i w:val="0"/>
          <w:sz w:val="24"/>
        </w:rPr>
        <w:t>Many of the gaps found in this project can be closed with low-cost changes to the sampling programme.</w:t>
      </w:r>
    </w:p>
    <w:p>
      <w:pPr>
        <w:spacing w:before="0" w:after="120" w:line="360" w:lineRule="auto"/>
        <w:jc w:val="both"/>
      </w:pPr>
      <w:r>
        <w:rPr>
          <w:rFonts w:ascii="Times New Roman" w:hAnsi="Times New Roman" w:eastAsia="Times New Roman"/>
          <w:b w:val="0"/>
          <w:i w:val="0"/>
          <w:sz w:val="24"/>
        </w:rPr>
        <w:t>Recommended steps include:</w:t>
      </w:r>
    </w:p>
    <w:p>
      <w:pPr>
        <w:pStyle w:val="ListBullet"/>
        <w:spacing w:before="0" w:after="40" w:line="312" w:lineRule="auto"/>
        <w:ind w:left="567" w:hanging="283"/>
        <w:jc w:val="both"/>
      </w:pPr>
      <w:r>
        <w:rPr>
          <w:rFonts w:ascii="Times New Roman" w:hAnsi="Times New Roman" w:eastAsia="Times New Roman"/>
          <w:b w:val="0"/>
          <w:i w:val="0"/>
          <w:sz w:val="24"/>
        </w:rPr>
        <w:t>Testing the 55 existing Singhbhum samples for uranium.</w:t>
      </w:r>
    </w:p>
    <w:p>
      <w:pPr>
        <w:pStyle w:val="ListBullet"/>
        <w:spacing w:before="0" w:after="40" w:line="312" w:lineRule="auto"/>
        <w:ind w:left="567" w:hanging="283"/>
        <w:jc w:val="both"/>
      </w:pPr>
      <w:r>
        <w:rPr>
          <w:rFonts w:ascii="Times New Roman" w:hAnsi="Times New Roman" w:eastAsia="Times New Roman"/>
          <w:b w:val="0"/>
          <w:i w:val="0"/>
          <w:sz w:val="24"/>
        </w:rPr>
        <w:t>Adding iron, manganese and arsenic to the statewide testing panel.</w:t>
      </w:r>
    </w:p>
    <w:p>
      <w:pPr>
        <w:pStyle w:val="ListBullet"/>
        <w:spacing w:before="0" w:after="40" w:line="312" w:lineRule="auto"/>
        <w:ind w:left="567" w:hanging="283"/>
        <w:jc w:val="both"/>
      </w:pPr>
      <w:r>
        <w:rPr>
          <w:rFonts w:ascii="Times New Roman" w:hAnsi="Times New Roman" w:eastAsia="Times New Roman"/>
          <w:b w:val="0"/>
          <w:i w:val="0"/>
          <w:sz w:val="24"/>
        </w:rPr>
        <w:t>Repeating sampling at the same wells every year, so that trends and rate-of-change alerts become possible.</w:t>
      </w:r>
    </w:p>
    <w:p>
      <w:pPr>
        <w:pStyle w:val="ListBullet"/>
        <w:spacing w:before="0" w:after="40" w:line="312" w:lineRule="auto"/>
        <w:ind w:left="567" w:hanging="283"/>
        <w:jc w:val="both"/>
      </w:pPr>
      <w:r>
        <w:rPr>
          <w:rFonts w:ascii="Times New Roman" w:hAnsi="Times New Roman" w:eastAsia="Times New Roman"/>
          <w:b w:val="0"/>
          <w:i w:val="0"/>
          <w:sz w:val="24"/>
        </w:rPr>
        <w:t>Recording well depth and screen depth with every sample.</w:t>
      </w:r>
    </w:p>
    <w:p>
      <w:pPr>
        <w:pStyle w:val="ListBullet"/>
        <w:spacing w:before="0" w:after="40" w:line="312" w:lineRule="auto"/>
        <w:ind w:left="567" w:hanging="283"/>
        <w:jc w:val="both"/>
      </w:pPr>
      <w:r>
        <w:rPr>
          <w:rFonts w:ascii="Times New Roman" w:hAnsi="Times New Roman" w:eastAsia="Times New Roman"/>
          <w:b w:val="0"/>
          <w:i w:val="0"/>
          <w:sz w:val="24"/>
        </w:rPr>
        <w:t>Adding wells in the 53 blocks with no well and level stations in the 83 blocks with none, starting from the priority ranking.</w:t>
      </w:r>
    </w:p>
    <w:p>
      <w:pPr>
        <w:pStyle w:val="Heading2"/>
        <w:keepNext/>
        <w:spacing w:before="200" w:after="120" w:line="276" w:lineRule="auto"/>
        <w:jc w:val="left"/>
      </w:pPr>
      <w:r>
        <w:rPr>
          <w:rFonts w:ascii="Times New Roman" w:hAnsi="Times New Roman" w:eastAsia="Times New Roman"/>
          <w:b/>
          <w:i w:val="0"/>
          <w:sz w:val="24"/>
        </w:rPr>
        <w:t>12.3 Integration of Real-Time Sensors</w:t>
      </w:r>
    </w:p>
    <w:p>
      <w:pPr>
        <w:spacing w:before="0" w:after="120" w:line="360" w:lineRule="auto"/>
        <w:jc w:val="both"/>
      </w:pPr>
      <w:r>
        <w:rPr>
          <w:rFonts w:ascii="Times New Roman" w:hAnsi="Times New Roman" w:eastAsia="Times New Roman"/>
          <w:b w:val="0"/>
          <w:i w:val="0"/>
          <w:sz w:val="24"/>
        </w:rPr>
        <w:t>The data layer of JalDrishti is ready to accept new data. If water-quality or water-level sensors are installed in the belt, the system can become a true cyber-physical system [57].</w:t>
      </w:r>
    </w:p>
    <w:p>
      <w:pPr>
        <w:spacing w:before="0" w:after="120" w:line="360" w:lineRule="auto"/>
        <w:jc w:val="both"/>
      </w:pPr>
      <w:r>
        <w:rPr>
          <w:rFonts w:ascii="Times New Roman" w:hAnsi="Times New Roman" w:eastAsia="Times New Roman"/>
          <w:b w:val="0"/>
          <w:i w:val="0"/>
          <w:sz w:val="24"/>
        </w:rPr>
        <w:t>Possible applications include:</w:t>
      </w:r>
    </w:p>
    <w:p>
      <w:pPr>
        <w:pStyle w:val="ListBullet"/>
        <w:spacing w:before="0" w:after="40" w:line="312" w:lineRule="auto"/>
        <w:ind w:left="567" w:hanging="283"/>
        <w:jc w:val="both"/>
      </w:pPr>
      <w:r>
        <w:rPr>
          <w:rFonts w:ascii="Times New Roman" w:hAnsi="Times New Roman" w:eastAsia="Times New Roman"/>
          <w:b w:val="0"/>
          <w:i w:val="0"/>
          <w:sz w:val="24"/>
        </w:rPr>
        <w:t>Automatic intake of sensor readings through a data interface</w:t>
      </w:r>
    </w:p>
    <w:p>
      <w:pPr>
        <w:pStyle w:val="ListBullet"/>
        <w:spacing w:before="0" w:after="40" w:line="312" w:lineRule="auto"/>
        <w:ind w:left="567" w:hanging="283"/>
        <w:jc w:val="both"/>
      </w:pPr>
      <w:r>
        <w:rPr>
          <w:rFonts w:ascii="Times New Roman" w:hAnsi="Times New Roman" w:eastAsia="Times New Roman"/>
          <w:b w:val="0"/>
          <w:i w:val="0"/>
          <w:sz w:val="24"/>
        </w:rPr>
        <w:t>Live alerts when a sensor value crosses a limit</w:t>
      </w:r>
    </w:p>
    <w:p>
      <w:pPr>
        <w:pStyle w:val="ListBullet"/>
        <w:spacing w:before="0" w:after="40" w:line="312" w:lineRule="auto"/>
        <w:ind w:left="567" w:hanging="283"/>
        <w:jc w:val="both"/>
      </w:pPr>
      <w:r>
        <w:rPr>
          <w:rFonts w:ascii="Times New Roman" w:hAnsi="Times New Roman" w:eastAsia="Times New Roman"/>
          <w:b w:val="0"/>
          <w:i w:val="0"/>
          <w:sz w:val="24"/>
        </w:rPr>
        <w:t>Comparison of sensor trends with the modelled plume</w:t>
      </w:r>
    </w:p>
    <w:p>
      <w:pPr>
        <w:pStyle w:val="Heading2"/>
        <w:keepNext/>
        <w:spacing w:before="200" w:after="120" w:line="276" w:lineRule="auto"/>
        <w:jc w:val="left"/>
      </w:pPr>
      <w:r>
        <w:rPr>
          <w:rFonts w:ascii="Times New Roman" w:hAnsi="Times New Roman" w:eastAsia="Times New Roman"/>
          <w:b/>
          <w:i w:val="0"/>
          <w:sz w:val="24"/>
        </w:rPr>
        <w:t>12.4 Water Quality Trend Forecasting</w:t>
      </w:r>
    </w:p>
    <w:p>
      <w:pPr>
        <w:spacing w:before="0" w:after="120" w:line="360" w:lineRule="auto"/>
        <w:jc w:val="both"/>
      </w:pPr>
      <w:r>
        <w:rPr>
          <w:rFonts w:ascii="Times New Roman" w:hAnsi="Times New Roman" w:eastAsia="Times New Roman"/>
          <w:b w:val="0"/>
          <w:i w:val="0"/>
          <w:sz w:val="24"/>
        </w:rPr>
        <w:t>When repeated measurements of nitrate, fluoride and other health substances become available, the existing trend module can be extended to forecast water quality and to raise alerts when values rise quickly.</w:t>
      </w:r>
    </w:p>
    <w:p>
      <w:pPr>
        <w:pStyle w:val="Heading2"/>
        <w:keepNext/>
        <w:spacing w:before="200" w:after="120" w:line="276" w:lineRule="auto"/>
        <w:jc w:val="left"/>
      </w:pPr>
      <w:r>
        <w:rPr>
          <w:rFonts w:ascii="Times New Roman" w:hAnsi="Times New Roman" w:eastAsia="Times New Roman"/>
          <w:b/>
          <w:i w:val="0"/>
          <w:sz w:val="24"/>
        </w:rPr>
        <w:t>12.5 Improved Radium Model</w:t>
      </w:r>
    </w:p>
    <w:p>
      <w:pPr>
        <w:spacing w:before="0" w:after="120" w:line="360" w:lineRule="auto"/>
        <w:jc w:val="both"/>
      </w:pPr>
      <w:r>
        <w:rPr>
          <w:rFonts w:ascii="Times New Roman" w:hAnsi="Times New Roman" w:eastAsia="Times New Roman"/>
          <w:b w:val="0"/>
          <w:i w:val="0"/>
          <w:sz w:val="24"/>
        </w:rPr>
        <w:t>A two-stage ML model can be built for radium: the first stage decides whether radium moves at all, and the second estimates how far. This is expected to fix the low accuracy of the current radium surrogate.</w:t>
      </w:r>
    </w:p>
    <w:p>
      <w:pPr>
        <w:pStyle w:val="Heading2"/>
        <w:keepNext/>
        <w:spacing w:before="200" w:after="120" w:line="276" w:lineRule="auto"/>
        <w:jc w:val="left"/>
      </w:pPr>
      <w:r>
        <w:rPr>
          <w:rFonts w:ascii="Times New Roman" w:hAnsi="Times New Roman" w:eastAsia="Times New Roman"/>
          <w:b/>
          <w:i w:val="0"/>
          <w:sz w:val="24"/>
        </w:rPr>
        <w:t>12.6 Cross-Check with a Numerical Groundwater Model</w:t>
      </w:r>
    </w:p>
    <w:p>
      <w:pPr>
        <w:spacing w:before="0" w:after="120" w:line="360" w:lineRule="auto"/>
        <w:jc w:val="both"/>
      </w:pPr>
      <w:r>
        <w:rPr>
          <w:rFonts w:ascii="Times New Roman" w:hAnsi="Times New Roman" w:eastAsia="Times New Roman"/>
          <w:b w:val="0"/>
          <w:i w:val="0"/>
          <w:sz w:val="24"/>
        </w:rPr>
        <w:t>A detailed numerical model (such as MODFLOW with MT3D, or a discrete fracture network model) can be built for one site to measure how far the analytical engine differs from a more complete model.</w:t>
      </w:r>
    </w:p>
    <w:p>
      <w:pPr>
        <w:pStyle w:val="Heading2"/>
        <w:keepNext/>
        <w:spacing w:before="200" w:after="120" w:line="276" w:lineRule="auto"/>
        <w:jc w:val="left"/>
      </w:pPr>
      <w:r>
        <w:rPr>
          <w:rFonts w:ascii="Times New Roman" w:hAnsi="Times New Roman" w:eastAsia="Times New Roman"/>
          <w:b/>
          <w:i w:val="0"/>
          <w:sz w:val="24"/>
        </w:rPr>
        <w:t>12.7 More Ways to Reach Residents</w:t>
      </w:r>
    </w:p>
    <w:p>
      <w:pPr>
        <w:spacing w:before="0" w:after="120" w:line="360" w:lineRule="auto"/>
        <w:jc w:val="both"/>
      </w:pPr>
      <w:r>
        <w:rPr>
          <w:rFonts w:ascii="Times New Roman" w:hAnsi="Times New Roman" w:eastAsia="Times New Roman"/>
          <w:b w:val="0"/>
          <w:i w:val="0"/>
          <w:sz w:val="24"/>
        </w:rPr>
        <w:t>Many residents in rural Jharkhand may not use email. Future versions can add:</w:t>
      </w:r>
    </w:p>
    <w:p>
      <w:pPr>
        <w:pStyle w:val="ListBullet"/>
        <w:spacing w:before="0" w:after="40" w:line="312" w:lineRule="auto"/>
        <w:ind w:left="567" w:hanging="283"/>
        <w:jc w:val="both"/>
      </w:pPr>
      <w:r>
        <w:rPr>
          <w:rFonts w:ascii="Times New Roman" w:hAnsi="Times New Roman" w:eastAsia="Times New Roman"/>
          <w:b w:val="0"/>
          <w:i w:val="0"/>
          <w:sz w:val="24"/>
        </w:rPr>
        <w:t>SMS alerts</w:t>
      </w:r>
    </w:p>
    <w:p>
      <w:pPr>
        <w:pStyle w:val="ListBullet"/>
        <w:spacing w:before="0" w:after="40" w:line="312" w:lineRule="auto"/>
        <w:ind w:left="567" w:hanging="283"/>
        <w:jc w:val="both"/>
      </w:pPr>
      <w:r>
        <w:rPr>
          <w:rFonts w:ascii="Times New Roman" w:hAnsi="Times New Roman" w:eastAsia="Times New Roman"/>
          <w:b w:val="0"/>
          <w:i w:val="0"/>
          <w:sz w:val="24"/>
        </w:rPr>
        <w:t>Alerts in Hindi and other regional languages</w:t>
      </w:r>
    </w:p>
    <w:p>
      <w:pPr>
        <w:pStyle w:val="ListBullet"/>
        <w:spacing w:before="0" w:after="40" w:line="312" w:lineRule="auto"/>
        <w:ind w:left="567" w:hanging="283"/>
        <w:jc w:val="both"/>
      </w:pPr>
      <w:r>
        <w:rPr>
          <w:rFonts w:ascii="Times New Roman" w:hAnsi="Times New Roman" w:eastAsia="Times New Roman"/>
          <w:b w:val="0"/>
          <w:i w:val="0"/>
          <w:sz w:val="24"/>
        </w:rPr>
        <w:t>A mobile-friendly app for field officers and residents</w:t>
      </w:r>
    </w:p>
    <w:p>
      <w:pPr>
        <w:pStyle w:val="ListBullet"/>
        <w:spacing w:before="0" w:after="40" w:line="312" w:lineRule="auto"/>
        <w:ind w:left="567" w:hanging="283"/>
        <w:jc w:val="both"/>
      </w:pPr>
      <w:r>
        <w:rPr>
          <w:rFonts w:ascii="Times New Roman" w:hAnsi="Times New Roman" w:eastAsia="Times New Roman"/>
          <w:b w:val="0"/>
          <w:i w:val="0"/>
          <w:sz w:val="24"/>
        </w:rPr>
        <w:t>Paid hosting, so that the scheduler never sleeps</w:t>
      </w:r>
    </w:p>
    <w:p>
      <w:pPr>
        <w:pStyle w:val="Heading2"/>
        <w:keepNext/>
        <w:spacing w:before="200" w:after="120" w:line="276" w:lineRule="auto"/>
        <w:jc w:val="left"/>
      </w:pPr>
      <w:r>
        <w:rPr>
          <w:rFonts w:ascii="Times New Roman" w:hAnsi="Times New Roman" w:eastAsia="Times New Roman"/>
          <w:b/>
          <w:i w:val="0"/>
          <w:sz w:val="24"/>
        </w:rPr>
        <w:t>12.8 Other Mining Contexts</w:t>
      </w:r>
    </w:p>
    <w:p>
      <w:pPr>
        <w:spacing w:before="0" w:after="120" w:line="360" w:lineRule="auto"/>
        <w:jc w:val="both"/>
      </w:pPr>
      <w:r>
        <w:rPr>
          <w:rFonts w:ascii="Times New Roman" w:hAnsi="Times New Roman" w:eastAsia="Times New Roman"/>
          <w:b w:val="0"/>
          <w:i w:val="0"/>
          <w:sz w:val="24"/>
        </w:rPr>
        <w:t>The chemical list in the engine is modular. The system can be extended to other mining problems, such as acid drainage from coal mines (sulphate, iron and manganese), after the model is checked for those conditions.</w:t>
      </w:r>
    </w:p>
    <w:p>
      <w:pPr>
        <w:keepNext/>
        <w:spacing w:before="120" w:after="80" w:line="276" w:lineRule="auto"/>
        <w:jc w:val="left"/>
      </w:pPr>
      <w:r>
        <w:rPr>
          <w:rFonts w:ascii="Times New Roman" w:hAnsi="Times New Roman" w:eastAsia="Times New Roman"/>
          <w:b/>
          <w:i w:val="0"/>
          <w:sz w:val="24"/>
        </w:rPr>
        <w:t>Future Vision</w:t>
      </w:r>
    </w:p>
    <w:p>
      <w:pPr>
        <w:spacing w:before="0" w:after="120" w:line="360" w:lineRule="auto"/>
        <w:jc w:val="both"/>
      </w:pPr>
      <w:r>
        <w:rPr>
          <w:rFonts w:ascii="Times New Roman" w:hAnsi="Times New Roman" w:eastAsia="Times New Roman"/>
          <w:b w:val="0"/>
          <w:i w:val="0"/>
          <w:sz w:val="24"/>
        </w:rPr>
        <w:t>The long-term vision of this project is a groundwater safety platform for the mining regions of Jharkhand that combines field measurements, sensors, physics-based models and machine learning. Such a platform can help regulators plan monitoring before any new mining begins, give residents timely and clear information about the water they drink, and support safe and sustainable mining in the state.</w:t>
      </w:r>
    </w:p>
    <w:p>
      <w:r>
        <w:br w:type="page"/>
      </w:r>
    </w:p>
    <w:p>
      <w:pPr>
        <w:pStyle w:val="Heading1"/>
        <w:keepNext/>
        <w:spacing w:before="0" w:after="240" w:line="276" w:lineRule="auto"/>
        <w:jc w:val="left"/>
      </w:pPr>
      <w:r>
        <w:rPr>
          <w:rFonts w:ascii="Times New Roman" w:hAnsi="Times New Roman" w:eastAsia="Times New Roman"/>
          <w:b/>
          <w:i w:val="0"/>
          <w:sz w:val="28"/>
        </w:rPr>
        <w:t>13. REFERENCES</w:t>
      </w:r>
    </w:p>
    <w:p>
      <w:pPr>
        <w:tabs>
          <w:tab w:pos="567" w:val="left"/>
        </w:tabs>
        <w:spacing w:before="0" w:after="80" w:line="288" w:lineRule="auto"/>
        <w:ind w:left="567" w:hanging="567"/>
        <w:jc w:val="both"/>
      </w:pPr>
      <w:r>
        <w:rPr>
          <w:rFonts w:ascii="Times New Roman" w:hAnsi="Times New Roman" w:eastAsia="Times New Roman"/>
          <w:b w:val="0"/>
          <w:i w:val="0"/>
          <w:sz w:val="24"/>
        </w:rPr>
        <w:t>[1]</w:t>
        <w:tab/>
        <w:t xml:space="preserve">Central Ground Water Board, </w:t>
      </w:r>
      <w:r>
        <w:rPr>
          <w:rFonts w:ascii="Times New Roman" w:hAnsi="Times New Roman" w:eastAsia="Times New Roman"/>
          <w:b w:val="0"/>
          <w:i/>
          <w:sz w:val="24"/>
        </w:rPr>
        <w:t>Aquifer Maps and Ground Water Management Plan</w:t>
      </w:r>
      <w:r>
        <w:rPr>
          <w:rFonts w:ascii="Times New Roman" w:hAnsi="Times New Roman" w:eastAsia="Times New Roman"/>
          <w:b w:val="0"/>
          <w:i w:val="0"/>
          <w:sz w:val="24"/>
        </w:rPr>
        <w:t xml:space="preserve"> (NAQUIM) reports for Jharkhand districts and blocks, State Unit Office Ranchi, 2016–2022 (22 reports). Downloaded July 2026.</w:t>
      </w:r>
    </w:p>
    <w:p>
      <w:pPr>
        <w:tabs>
          <w:tab w:pos="567" w:val="left"/>
        </w:tabs>
        <w:spacing w:before="0" w:after="80" w:line="288" w:lineRule="auto"/>
        <w:ind w:left="567" w:hanging="567"/>
        <w:jc w:val="both"/>
      </w:pPr>
      <w:r>
        <w:rPr>
          <w:rFonts w:ascii="Times New Roman" w:hAnsi="Times New Roman" w:eastAsia="Times New Roman"/>
          <w:b w:val="0"/>
          <w:i w:val="0"/>
          <w:sz w:val="24"/>
        </w:rPr>
        <w:t>[2]</w:t>
        <w:tab/>
        <w:t xml:space="preserve">Central Ground Water Board, </w:t>
      </w:r>
      <w:r>
        <w:rPr>
          <w:rFonts w:ascii="Times New Roman" w:hAnsi="Times New Roman" w:eastAsia="Times New Roman"/>
          <w:b w:val="0"/>
          <w:i/>
          <w:sz w:val="24"/>
        </w:rPr>
        <w:t>Ground Water Information Booklet: East Singhbhum District, Jharkhand State</w:t>
      </w:r>
      <w:r>
        <w:rPr>
          <w:rFonts w:ascii="Times New Roman" w:hAnsi="Times New Roman" w:eastAsia="Times New Roman"/>
          <w:b w:val="0"/>
          <w:i w:val="0"/>
          <w:sz w:val="24"/>
        </w:rPr>
        <w:t>, S. Toppo, State Unit Office Ranchi, Sept. 2013.</w:t>
      </w:r>
    </w:p>
    <w:p>
      <w:pPr>
        <w:tabs>
          <w:tab w:pos="567" w:val="left"/>
        </w:tabs>
        <w:spacing w:before="0" w:after="80" w:line="288" w:lineRule="auto"/>
        <w:ind w:left="567" w:hanging="567"/>
        <w:jc w:val="both"/>
      </w:pPr>
      <w:r>
        <w:rPr>
          <w:rFonts w:ascii="Times New Roman" w:hAnsi="Times New Roman" w:eastAsia="Times New Roman"/>
          <w:b w:val="0"/>
          <w:i w:val="0"/>
          <w:sz w:val="24"/>
        </w:rPr>
        <w:t>[3]</w:t>
        <w:tab/>
        <w:t>Central Ground Water Board, Ministry of Jal Shakti, “CGWB – Changes in Depth to Water Level,” India-WRIS (https://indiawris.gov.in), as redistributed by the India Data Portal; Jharkhand rows 2013–2021. Accessed Jan.–Feb. 2026.</w:t>
      </w:r>
    </w:p>
    <w:p>
      <w:pPr>
        <w:tabs>
          <w:tab w:pos="567" w:val="left"/>
        </w:tabs>
        <w:spacing w:before="0" w:after="80" w:line="288" w:lineRule="auto"/>
        <w:ind w:left="567" w:hanging="567"/>
        <w:jc w:val="both"/>
      </w:pPr>
      <w:r>
        <w:rPr>
          <w:rFonts w:ascii="Times New Roman" w:hAnsi="Times New Roman" w:eastAsia="Times New Roman"/>
          <w:b w:val="0"/>
          <w:i w:val="0"/>
          <w:sz w:val="24"/>
        </w:rPr>
        <w:t>[4]</w:t>
        <w:tab/>
        <w:t xml:space="preserve">International Atomic Energy Agency, </w:t>
      </w:r>
      <w:r>
        <w:rPr>
          <w:rFonts w:ascii="Times New Roman" w:hAnsi="Times New Roman" w:eastAsia="Times New Roman"/>
          <w:b w:val="0"/>
          <w:i/>
          <w:sz w:val="24"/>
        </w:rPr>
        <w:t>World Distribution of Uranium Deposits (UDEPO)</w:t>
      </w:r>
      <w:r>
        <w:rPr>
          <w:rFonts w:ascii="Times New Roman" w:hAnsi="Times New Roman" w:eastAsia="Times New Roman"/>
          <w:b w:val="0"/>
          <w:i w:val="0"/>
          <w:sz w:val="24"/>
        </w:rPr>
        <w:t>, INFCIS online database (now UThDEPO), India export. Accessed July 2026.</w:t>
      </w:r>
    </w:p>
    <w:p>
      <w:pPr>
        <w:tabs>
          <w:tab w:pos="567" w:val="left"/>
        </w:tabs>
        <w:spacing w:before="0" w:after="80" w:line="288" w:lineRule="auto"/>
        <w:ind w:left="567" w:hanging="567"/>
        <w:jc w:val="both"/>
      </w:pPr>
      <w:r>
        <w:rPr>
          <w:rFonts w:ascii="Times New Roman" w:hAnsi="Times New Roman" w:eastAsia="Times New Roman"/>
          <w:b w:val="0"/>
          <w:i w:val="0"/>
          <w:sz w:val="24"/>
        </w:rPr>
        <w:t>[5]</w:t>
        <w:tab/>
        <w:t xml:space="preserve">R. M. Tripathi, S. K. Sahoo, V. N. Jha, A. H. Khan, and V. D. Puranik, “Assessment of environmental radioactivity at uranium mining, processing and tailings management facility at Jaduguda, India,” </w:t>
      </w:r>
      <w:r>
        <w:rPr>
          <w:rFonts w:ascii="Times New Roman" w:hAnsi="Times New Roman" w:eastAsia="Times New Roman"/>
          <w:b w:val="0"/>
          <w:i/>
          <w:sz w:val="24"/>
        </w:rPr>
        <w:t>Applied Radiation and Isotopes</w:t>
      </w:r>
      <w:r>
        <w:rPr>
          <w:rFonts w:ascii="Times New Roman" w:hAnsi="Times New Roman" w:eastAsia="Times New Roman"/>
          <w:b w:val="0"/>
          <w:i w:val="0"/>
          <w:sz w:val="24"/>
        </w:rPr>
        <w:t>, vol. 66, no. 11, pp. 1666–1670, 2008.</w:t>
      </w:r>
    </w:p>
    <w:p>
      <w:pPr>
        <w:tabs>
          <w:tab w:pos="567" w:val="left"/>
        </w:tabs>
        <w:spacing w:before="0" w:after="80" w:line="288" w:lineRule="auto"/>
        <w:ind w:left="567" w:hanging="567"/>
        <w:jc w:val="both"/>
      </w:pPr>
      <w:r>
        <w:rPr>
          <w:rFonts w:ascii="Times New Roman" w:hAnsi="Times New Roman" w:eastAsia="Times New Roman"/>
          <w:b w:val="0"/>
          <w:i w:val="0"/>
          <w:sz w:val="24"/>
        </w:rPr>
        <w:t>[6]</w:t>
        <w:tab/>
        <w:t xml:space="preserve">D. C. Pal and D. Rhede, “Geochemistry and chemical dating of uraninite in the Jaduguda uranium deposit, Singhbhum Shear Zone, India,” </w:t>
      </w:r>
      <w:r>
        <w:rPr>
          <w:rFonts w:ascii="Times New Roman" w:hAnsi="Times New Roman" w:eastAsia="Times New Roman"/>
          <w:b w:val="0"/>
          <w:i/>
          <w:sz w:val="24"/>
        </w:rPr>
        <w:t>Economic Geology</w:t>
      </w:r>
      <w:r>
        <w:rPr>
          <w:rFonts w:ascii="Times New Roman" w:hAnsi="Times New Roman" w:eastAsia="Times New Roman"/>
          <w:b w:val="0"/>
          <w:i w:val="0"/>
          <w:sz w:val="24"/>
        </w:rPr>
        <w:t>, vol. 108, no. 6, pp. 1499–1515, 2013, doi: 10.2113/econgeo.108.6.1499.</w:t>
      </w:r>
    </w:p>
    <w:p>
      <w:pPr>
        <w:tabs>
          <w:tab w:pos="567" w:val="left"/>
        </w:tabs>
        <w:spacing w:before="0" w:after="80" w:line="288" w:lineRule="auto"/>
        <w:ind w:left="567" w:hanging="567"/>
        <w:jc w:val="both"/>
      </w:pPr>
      <w:r>
        <w:rPr>
          <w:rFonts w:ascii="Times New Roman" w:hAnsi="Times New Roman" w:eastAsia="Times New Roman"/>
          <w:b w:val="0"/>
          <w:i w:val="0"/>
          <w:sz w:val="24"/>
        </w:rPr>
        <w:t>[7]</w:t>
        <w:tab/>
        <w:t xml:space="preserve">D. C. Pal, T. Sarkar, B. Mishra, and A. K. Sarangi, “Chemical and sulphur isotope compositions of pyrite in the Jaduguda U (–Cu–Fe) deposit, Singhbhum shear zone, eastern India: Implications for sulphide mineralization,” </w:t>
      </w:r>
      <w:r>
        <w:rPr>
          <w:rFonts w:ascii="Times New Roman" w:hAnsi="Times New Roman" w:eastAsia="Times New Roman"/>
          <w:b w:val="0"/>
          <w:i/>
          <w:sz w:val="24"/>
        </w:rPr>
        <w:t>Journal of Earth System Science</w:t>
      </w:r>
      <w:r>
        <w:rPr>
          <w:rFonts w:ascii="Times New Roman" w:hAnsi="Times New Roman" w:eastAsia="Times New Roman"/>
          <w:b w:val="0"/>
          <w:i w:val="0"/>
          <w:sz w:val="24"/>
        </w:rPr>
        <w:t>, vol. 120, no. 3, pp. 475–488, 2011, doi: 10.1007/s12040-011-0080-7.</w:t>
      </w:r>
    </w:p>
    <w:p>
      <w:pPr>
        <w:tabs>
          <w:tab w:pos="567" w:val="left"/>
        </w:tabs>
        <w:spacing w:before="0" w:after="80" w:line="288" w:lineRule="auto"/>
        <w:ind w:left="567" w:hanging="567"/>
        <w:jc w:val="both"/>
      </w:pPr>
      <w:r>
        <w:rPr>
          <w:rFonts w:ascii="Times New Roman" w:hAnsi="Times New Roman" w:eastAsia="Times New Roman"/>
          <w:b w:val="0"/>
          <w:i w:val="0"/>
          <w:sz w:val="24"/>
        </w:rPr>
        <w:t>[8]</w:t>
        <w:tab/>
        <w:t>World Nuclear Association, “In Situ Leach Mining of Uranium,” Information Library, updated 20 Jan. 2026. [Online]. Available: https://world-nuclear.org/information-library/nuclear-fuel-cycle/mining-of-uranium/in-situ-leach-mining-of-uranium</w:t>
      </w:r>
    </w:p>
    <w:p>
      <w:pPr>
        <w:tabs>
          <w:tab w:pos="567" w:val="left"/>
        </w:tabs>
        <w:spacing w:before="0" w:after="80" w:line="288" w:lineRule="auto"/>
        <w:ind w:left="567" w:hanging="567"/>
        <w:jc w:val="both"/>
      </w:pPr>
      <w:r>
        <w:rPr>
          <w:rFonts w:ascii="Times New Roman" w:hAnsi="Times New Roman" w:eastAsia="Times New Roman"/>
          <w:b w:val="0"/>
          <w:i w:val="0"/>
          <w:sz w:val="24"/>
        </w:rPr>
        <w:t>[9]</w:t>
        <w:tab/>
        <w:t>S. M. Hall and T. B. Hennesy, “Historic groundwater quality of in situ recovery (ISR) uranium mines, Texas,” U.S. Geological Survey data release, doi: 10.5066/F74T6GC4. Accessed Apr. 2026.</w:t>
      </w:r>
    </w:p>
    <w:p>
      <w:pPr>
        <w:tabs>
          <w:tab w:pos="567" w:val="left"/>
        </w:tabs>
        <w:spacing w:before="0" w:after="80" w:line="288" w:lineRule="auto"/>
        <w:ind w:left="567" w:hanging="567"/>
        <w:jc w:val="both"/>
      </w:pPr>
      <w:r>
        <w:rPr>
          <w:rFonts w:ascii="Times New Roman" w:hAnsi="Times New Roman" w:eastAsia="Times New Roman"/>
          <w:b w:val="0"/>
          <w:i w:val="0"/>
          <w:sz w:val="24"/>
        </w:rPr>
        <w:t>[10]</w:t>
        <w:tab/>
        <w:t xml:space="preserve">S. M. Hall, </w:t>
      </w:r>
      <w:r>
        <w:rPr>
          <w:rFonts w:ascii="Times New Roman" w:hAnsi="Times New Roman" w:eastAsia="Times New Roman"/>
          <w:b w:val="0"/>
          <w:i/>
          <w:sz w:val="24"/>
        </w:rPr>
        <w:t>Groundwater Restoration at Uranium In-Situ Recovery Mines, South Texas Coastal Plain</w:t>
      </w:r>
      <w:r>
        <w:rPr>
          <w:rFonts w:ascii="Times New Roman" w:hAnsi="Times New Roman" w:eastAsia="Times New Roman"/>
          <w:b w:val="0"/>
          <w:i w:val="0"/>
          <w:sz w:val="24"/>
        </w:rPr>
        <w:t>, U.S. Geological Survey Open-File Report 2009-1143, 2009.</w:t>
      </w:r>
    </w:p>
    <w:p>
      <w:pPr>
        <w:tabs>
          <w:tab w:pos="567" w:val="left"/>
        </w:tabs>
        <w:spacing w:before="0" w:after="80" w:line="288" w:lineRule="auto"/>
        <w:ind w:left="567" w:hanging="567"/>
        <w:jc w:val="both"/>
      </w:pPr>
      <w:r>
        <w:rPr>
          <w:rFonts w:ascii="Times New Roman" w:hAnsi="Times New Roman" w:eastAsia="Times New Roman"/>
          <w:b w:val="0"/>
          <w:i w:val="0"/>
          <w:sz w:val="24"/>
        </w:rPr>
        <w:t>[11]</w:t>
        <w:tab/>
        <w:t xml:space="preserve">J. A. Saunders, B. E. Pivetz, N. Voorhies, and R. T. Wilkin, “Potential aquifer vulnerability in regions down-gradient from uranium in situ recovery (ISR) sites,” </w:t>
      </w:r>
      <w:r>
        <w:rPr>
          <w:rFonts w:ascii="Times New Roman" w:hAnsi="Times New Roman" w:eastAsia="Times New Roman"/>
          <w:b w:val="0"/>
          <w:i/>
          <w:sz w:val="24"/>
        </w:rPr>
        <w:t>Journal of Environmental Management</w:t>
      </w:r>
      <w:r>
        <w:rPr>
          <w:rFonts w:ascii="Times New Roman" w:hAnsi="Times New Roman" w:eastAsia="Times New Roman"/>
          <w:b w:val="0"/>
          <w:i w:val="0"/>
          <w:sz w:val="24"/>
        </w:rPr>
        <w:t>, vol. 183, pp. 67–83, 2016, doi: 10.1016/j.jenvman.2016.08.049.</w:t>
      </w:r>
    </w:p>
    <w:p>
      <w:pPr>
        <w:tabs>
          <w:tab w:pos="567" w:val="left"/>
        </w:tabs>
        <w:spacing w:before="0" w:after="80" w:line="288" w:lineRule="auto"/>
        <w:ind w:left="567" w:hanging="567"/>
        <w:jc w:val="both"/>
      </w:pPr>
      <w:r>
        <w:rPr>
          <w:rFonts w:ascii="Times New Roman" w:hAnsi="Times New Roman" w:eastAsia="Times New Roman"/>
          <w:b w:val="0"/>
          <w:i w:val="0"/>
          <w:sz w:val="24"/>
        </w:rPr>
        <w:t>[12]</w:t>
        <w:tab/>
        <w:t xml:space="preserve">U.S. Nuclear Regulatory Commission, </w:t>
      </w:r>
      <w:r>
        <w:rPr>
          <w:rFonts w:ascii="Times New Roman" w:hAnsi="Times New Roman" w:eastAsia="Times New Roman"/>
          <w:b w:val="0"/>
          <w:i/>
          <w:sz w:val="24"/>
        </w:rPr>
        <w:t>Standard Review Plan for In Situ Leach Uranium Extraction License Applications</w:t>
      </w:r>
      <w:r>
        <w:rPr>
          <w:rFonts w:ascii="Times New Roman" w:hAnsi="Times New Roman" w:eastAsia="Times New Roman"/>
          <w:b w:val="0"/>
          <w:i w:val="0"/>
          <w:sz w:val="24"/>
        </w:rPr>
        <w:t>, NUREG-1569, Final Report, June 2003.</w:t>
      </w:r>
    </w:p>
    <w:p>
      <w:pPr>
        <w:tabs>
          <w:tab w:pos="567" w:val="left"/>
        </w:tabs>
        <w:spacing w:before="0" w:after="80" w:line="288" w:lineRule="auto"/>
        <w:ind w:left="567" w:hanging="567"/>
        <w:jc w:val="both"/>
      </w:pPr>
      <w:r>
        <w:rPr>
          <w:rFonts w:ascii="Times New Roman" w:hAnsi="Times New Roman" w:eastAsia="Times New Roman"/>
          <w:b w:val="0"/>
          <w:i w:val="0"/>
          <w:sz w:val="24"/>
        </w:rPr>
        <w:t>[13]</w:t>
        <w:tab/>
        <w:t xml:space="preserve">Bureau of Indian Standards, </w:t>
      </w:r>
      <w:r>
        <w:rPr>
          <w:rFonts w:ascii="Times New Roman" w:hAnsi="Times New Roman" w:eastAsia="Times New Roman"/>
          <w:b w:val="0"/>
          <w:i/>
          <w:sz w:val="24"/>
        </w:rPr>
        <w:t>IS 10500:2012 — Drinking Water — Specification (Second Revision)</w:t>
      </w:r>
      <w:r>
        <w:rPr>
          <w:rFonts w:ascii="Times New Roman" w:hAnsi="Times New Roman" w:eastAsia="Times New Roman"/>
          <w:b w:val="0"/>
          <w:i w:val="0"/>
          <w:sz w:val="24"/>
        </w:rPr>
        <w:t>, New Delhi, 2012, with amendments.</w:t>
      </w:r>
    </w:p>
    <w:p>
      <w:pPr>
        <w:tabs>
          <w:tab w:pos="567" w:val="left"/>
        </w:tabs>
        <w:spacing w:before="0" w:after="80" w:line="288" w:lineRule="auto"/>
        <w:ind w:left="567" w:hanging="567"/>
        <w:jc w:val="both"/>
      </w:pPr>
      <w:r>
        <w:rPr>
          <w:rFonts w:ascii="Times New Roman" w:hAnsi="Times New Roman" w:eastAsia="Times New Roman"/>
          <w:b w:val="0"/>
          <w:i w:val="0"/>
          <w:sz w:val="24"/>
        </w:rPr>
        <w:t>[14]</w:t>
        <w:tab/>
        <w:t xml:space="preserve">Central Ground Water Board, </w:t>
      </w:r>
      <w:r>
        <w:rPr>
          <w:rFonts w:ascii="Times New Roman" w:hAnsi="Times New Roman" w:eastAsia="Times New Roman"/>
          <w:b w:val="0"/>
          <w:i/>
          <w:sz w:val="24"/>
        </w:rPr>
        <w:t>Annual Ground Water Quality Report 2024</w:t>
      </w:r>
      <w:r>
        <w:rPr>
          <w:rFonts w:ascii="Times New Roman" w:hAnsi="Times New Roman" w:eastAsia="Times New Roman"/>
          <w:b w:val="0"/>
          <w:i w:val="0"/>
          <w:sz w:val="24"/>
        </w:rPr>
        <w:t>, Ministry of Jal Shakti, Dec. 2024 (2023 sampling); Jharkhand state table (397 locations).</w:t>
      </w:r>
    </w:p>
    <w:p>
      <w:pPr>
        <w:tabs>
          <w:tab w:pos="567" w:val="left"/>
        </w:tabs>
        <w:spacing w:before="0" w:after="80" w:line="288" w:lineRule="auto"/>
        <w:ind w:left="567" w:hanging="567"/>
        <w:jc w:val="both"/>
      </w:pPr>
      <w:r>
        <w:rPr>
          <w:rFonts w:ascii="Times New Roman" w:hAnsi="Times New Roman" w:eastAsia="Times New Roman"/>
          <w:b w:val="0"/>
          <w:i w:val="0"/>
          <w:sz w:val="24"/>
        </w:rPr>
        <w:t>[15]</w:t>
        <w:tab/>
        <w:t xml:space="preserve">S. Sahoo and M. K. Jha, “Groundwater-level prediction using multiple linear regression and artificial neural network techniques: a comparative assessment,” </w:t>
      </w:r>
      <w:r>
        <w:rPr>
          <w:rFonts w:ascii="Times New Roman" w:hAnsi="Times New Roman" w:eastAsia="Times New Roman"/>
          <w:b w:val="0"/>
          <w:i/>
          <w:sz w:val="24"/>
        </w:rPr>
        <w:t>Hydrogeology Journal</w:t>
      </w:r>
      <w:r>
        <w:rPr>
          <w:rFonts w:ascii="Times New Roman" w:hAnsi="Times New Roman" w:eastAsia="Times New Roman"/>
          <w:b w:val="0"/>
          <w:i w:val="0"/>
          <w:sz w:val="24"/>
        </w:rPr>
        <w:t>, vol. 21, no. 8, pp. 1865–1887, 2013.</w:t>
      </w:r>
    </w:p>
    <w:p>
      <w:pPr>
        <w:tabs>
          <w:tab w:pos="567" w:val="left"/>
        </w:tabs>
        <w:spacing w:before="0" w:after="80" w:line="288" w:lineRule="auto"/>
        <w:ind w:left="567" w:hanging="567"/>
        <w:jc w:val="both"/>
      </w:pPr>
      <w:r>
        <w:rPr>
          <w:rFonts w:ascii="Times New Roman" w:hAnsi="Times New Roman" w:eastAsia="Times New Roman"/>
          <w:b w:val="0"/>
          <w:i w:val="0"/>
          <w:sz w:val="24"/>
        </w:rPr>
        <w:t>[16]</w:t>
        <w:tab/>
        <w:t xml:space="preserve">T. Rajaee, H. Ebrahimi, and V. Nourani, “A review of the artificial intelligence methods in groundwater level modeling,” </w:t>
      </w:r>
      <w:r>
        <w:rPr>
          <w:rFonts w:ascii="Times New Roman" w:hAnsi="Times New Roman" w:eastAsia="Times New Roman"/>
          <w:b w:val="0"/>
          <w:i/>
          <w:sz w:val="24"/>
        </w:rPr>
        <w:t>Journal of Hydrology</w:t>
      </w:r>
      <w:r>
        <w:rPr>
          <w:rFonts w:ascii="Times New Roman" w:hAnsi="Times New Roman" w:eastAsia="Times New Roman"/>
          <w:b w:val="0"/>
          <w:i w:val="0"/>
          <w:sz w:val="24"/>
        </w:rPr>
        <w:t>, vol. 572, pp. 336–351, 2019.</w:t>
      </w:r>
    </w:p>
    <w:p>
      <w:pPr>
        <w:tabs>
          <w:tab w:pos="567" w:val="left"/>
        </w:tabs>
        <w:spacing w:before="0" w:after="80" w:line="288" w:lineRule="auto"/>
        <w:ind w:left="567" w:hanging="567"/>
        <w:jc w:val="both"/>
      </w:pPr>
      <w:r>
        <w:rPr>
          <w:rFonts w:ascii="Times New Roman" w:hAnsi="Times New Roman" w:eastAsia="Times New Roman"/>
          <w:b w:val="0"/>
          <w:i w:val="0"/>
          <w:sz w:val="24"/>
        </w:rPr>
        <w:t>[17]</w:t>
        <w:tab/>
        <w:t xml:space="preserve">L. Aller, T. Bennett, J. H. Lehr, R. J. Petty, and G. Hackett, </w:t>
      </w:r>
      <w:r>
        <w:rPr>
          <w:rFonts w:ascii="Times New Roman" w:hAnsi="Times New Roman" w:eastAsia="Times New Roman"/>
          <w:b w:val="0"/>
          <w:i/>
          <w:sz w:val="24"/>
        </w:rPr>
        <w:t>DRASTIC: A Standardized System for Evaluating Ground Water Pollution Potential Using Hydrogeologic Settings</w:t>
      </w:r>
      <w:r>
        <w:rPr>
          <w:rFonts w:ascii="Times New Roman" w:hAnsi="Times New Roman" w:eastAsia="Times New Roman"/>
          <w:b w:val="0"/>
          <w:i w:val="0"/>
          <w:sz w:val="24"/>
        </w:rPr>
        <w:t>, EPA/600/2-87/035, U.S. EPA, 1987.</w:t>
      </w:r>
    </w:p>
    <w:p>
      <w:pPr>
        <w:tabs>
          <w:tab w:pos="567" w:val="left"/>
        </w:tabs>
        <w:spacing w:before="0" w:after="80" w:line="288" w:lineRule="auto"/>
        <w:ind w:left="567" w:hanging="567"/>
        <w:jc w:val="both"/>
      </w:pPr>
      <w:r>
        <w:rPr>
          <w:rFonts w:ascii="Times New Roman" w:hAnsi="Times New Roman" w:eastAsia="Times New Roman"/>
          <w:b w:val="0"/>
          <w:i w:val="0"/>
          <w:sz w:val="24"/>
        </w:rPr>
        <w:t>[18]</w:t>
        <w:tab/>
        <w:t xml:space="preserve">Minnesota Department of Agriculture, Monitoring &amp; Assessment Unit, </w:t>
      </w:r>
      <w:r>
        <w:rPr>
          <w:rFonts w:ascii="Times New Roman" w:hAnsi="Times New Roman" w:eastAsia="Times New Roman"/>
          <w:b w:val="0"/>
          <w:i/>
          <w:sz w:val="24"/>
        </w:rPr>
        <w:t>Groundwater Monitoring Network Design (Revised)</w:t>
      </w:r>
      <w:r>
        <w:rPr>
          <w:rFonts w:ascii="Times New Roman" w:hAnsi="Times New Roman" w:eastAsia="Times New Roman"/>
          <w:b w:val="0"/>
          <w:i w:val="0"/>
          <w:sz w:val="24"/>
        </w:rPr>
        <w:t>, St. Paul, MN, USA, July 2011.</w:t>
      </w:r>
    </w:p>
    <w:p>
      <w:pPr>
        <w:tabs>
          <w:tab w:pos="567" w:val="left"/>
        </w:tabs>
        <w:spacing w:before="0" w:after="80" w:line="288" w:lineRule="auto"/>
        <w:ind w:left="567" w:hanging="567"/>
        <w:jc w:val="both"/>
      </w:pPr>
      <w:r>
        <w:rPr>
          <w:rFonts w:ascii="Times New Roman" w:hAnsi="Times New Roman" w:eastAsia="Times New Roman"/>
          <w:b w:val="0"/>
          <w:i w:val="0"/>
          <w:sz w:val="24"/>
        </w:rPr>
        <w:t>[19]</w:t>
        <w:tab/>
        <w:t xml:space="preserve">J. D. Hem, </w:t>
      </w:r>
      <w:r>
        <w:rPr>
          <w:rFonts w:ascii="Times New Roman" w:hAnsi="Times New Roman" w:eastAsia="Times New Roman"/>
          <w:b w:val="0"/>
          <w:i/>
          <w:sz w:val="24"/>
        </w:rPr>
        <w:t>Study and Interpretation of the Chemical Characteristics of Natural Water</w:t>
      </w:r>
      <w:r>
        <w:rPr>
          <w:rFonts w:ascii="Times New Roman" w:hAnsi="Times New Roman" w:eastAsia="Times New Roman"/>
          <w:b w:val="0"/>
          <w:i w:val="0"/>
          <w:sz w:val="24"/>
        </w:rPr>
        <w:t>, 3rd ed., U.S. Geological Survey Water-Supply Paper 2254, 1985.</w:t>
      </w:r>
    </w:p>
    <w:p>
      <w:pPr>
        <w:tabs>
          <w:tab w:pos="567" w:val="left"/>
        </w:tabs>
        <w:spacing w:before="0" w:after="80" w:line="288" w:lineRule="auto"/>
        <w:ind w:left="567" w:hanging="567"/>
        <w:jc w:val="both"/>
      </w:pPr>
      <w:r>
        <w:rPr>
          <w:rFonts w:ascii="Times New Roman" w:hAnsi="Times New Roman" w:eastAsia="Times New Roman"/>
          <w:b w:val="0"/>
          <w:i w:val="0"/>
          <w:sz w:val="24"/>
        </w:rPr>
        <w:t>[20]</w:t>
        <w:tab/>
        <w:t xml:space="preserve">European Space Agency, </w:t>
      </w:r>
      <w:r>
        <w:rPr>
          <w:rFonts w:ascii="Times New Roman" w:hAnsi="Times New Roman" w:eastAsia="Times New Roman"/>
          <w:b w:val="0"/>
          <w:i/>
          <w:sz w:val="24"/>
        </w:rPr>
        <w:t>Copernicus Global Digital Elevation Model (GLO-30)</w:t>
      </w:r>
      <w:r>
        <w:rPr>
          <w:rFonts w:ascii="Times New Roman" w:hAnsi="Times New Roman" w:eastAsia="Times New Roman"/>
          <w:b w:val="0"/>
          <w:i w:val="0"/>
          <w:sz w:val="24"/>
        </w:rPr>
        <w:t>, distributed by OpenTopography, doi: 10.5069/G9028PQB. Downloaded July 2026.</w:t>
      </w:r>
    </w:p>
    <w:p>
      <w:pPr>
        <w:tabs>
          <w:tab w:pos="567" w:val="left"/>
        </w:tabs>
        <w:spacing w:before="0" w:after="80" w:line="288" w:lineRule="auto"/>
        <w:ind w:left="567" w:hanging="567"/>
        <w:jc w:val="both"/>
      </w:pPr>
      <w:r>
        <w:rPr>
          <w:rFonts w:ascii="Times New Roman" w:hAnsi="Times New Roman" w:eastAsia="Times New Roman"/>
          <w:b w:val="0"/>
          <w:i w:val="0"/>
          <w:sz w:val="24"/>
        </w:rPr>
        <w:t>[21]</w:t>
        <w:tab/>
        <w:t>Geological Survey of India and National Remote Sensing Centre (ISRO), National Geomorphology and Lineament Mapping on 1:50,000 scale, Jharkhand layer JH_LN50K_0506, Bhuvan WMS; method in NRSC Technical Report NRSC-RSAA-ERG-G&amp;GD-SEP'12-TR-445, Sept. 2012. Harvested July 2026.</w:t>
      </w:r>
    </w:p>
    <w:p>
      <w:pPr>
        <w:tabs>
          <w:tab w:pos="567" w:val="left"/>
        </w:tabs>
        <w:spacing w:before="0" w:after="80" w:line="288" w:lineRule="auto"/>
        <w:ind w:left="567" w:hanging="567"/>
        <w:jc w:val="both"/>
      </w:pPr>
      <w:r>
        <w:rPr>
          <w:rFonts w:ascii="Times New Roman" w:hAnsi="Times New Roman" w:eastAsia="Times New Roman"/>
          <w:b w:val="0"/>
          <w:i w:val="0"/>
          <w:sz w:val="24"/>
        </w:rPr>
        <w:t>[22]</w:t>
        <w:tab/>
        <w:t xml:space="preserve">K. V. Mardia and P. E. Jupp, </w:t>
      </w:r>
      <w:r>
        <w:rPr>
          <w:rFonts w:ascii="Times New Roman" w:hAnsi="Times New Roman" w:eastAsia="Times New Roman"/>
          <w:b w:val="0"/>
          <w:i/>
          <w:sz w:val="24"/>
        </w:rPr>
        <w:t>Directional Statistics</w:t>
      </w:r>
      <w:r>
        <w:rPr>
          <w:rFonts w:ascii="Times New Roman" w:hAnsi="Times New Roman" w:eastAsia="Times New Roman"/>
          <w:b w:val="0"/>
          <w:i w:val="0"/>
          <w:sz w:val="24"/>
        </w:rPr>
        <w:t>. Chichester, U.K.: Wiley, 2000.</w:t>
      </w:r>
    </w:p>
    <w:p>
      <w:pPr>
        <w:tabs>
          <w:tab w:pos="567" w:val="left"/>
        </w:tabs>
        <w:spacing w:before="0" w:after="80" w:line="288" w:lineRule="auto"/>
        <w:ind w:left="567" w:hanging="567"/>
        <w:jc w:val="both"/>
      </w:pPr>
      <w:r>
        <w:rPr>
          <w:rFonts w:ascii="Times New Roman" w:hAnsi="Times New Roman" w:eastAsia="Times New Roman"/>
          <w:b w:val="0"/>
          <w:i w:val="0"/>
          <w:sz w:val="24"/>
        </w:rPr>
        <w:t>[23]</w:t>
        <w:tab/>
        <w:t>U.S. Geological Survey, “Data compiled on historical water use, spatial land disturbance, aquifer disturbance and uranium produced by in situ recovery of uranium from sandstone-hosted uranium deposits in the South Texas Coastal Plain, USA,” data release, 2022, doi: 10.5066/P9U7QKC1. Accessed Apr. 2026.</w:t>
      </w:r>
    </w:p>
    <w:p>
      <w:pPr>
        <w:tabs>
          <w:tab w:pos="567" w:val="left"/>
        </w:tabs>
        <w:spacing w:before="0" w:after="80" w:line="288" w:lineRule="auto"/>
        <w:ind w:left="567" w:hanging="567"/>
        <w:jc w:val="both"/>
      </w:pPr>
      <w:r>
        <w:rPr>
          <w:rFonts w:ascii="Times New Roman" w:hAnsi="Times New Roman" w:eastAsia="Times New Roman"/>
          <w:b w:val="0"/>
          <w:i w:val="0"/>
          <w:sz w:val="24"/>
        </w:rPr>
        <w:t>[24]</w:t>
        <w:tab/>
        <w:t xml:space="preserve">B. Lehner and G. Grill, “Global river hydrography and network routing: baseline data and new approaches to study the world’s large river systems,” </w:t>
      </w:r>
      <w:r>
        <w:rPr>
          <w:rFonts w:ascii="Times New Roman" w:hAnsi="Times New Roman" w:eastAsia="Times New Roman"/>
          <w:b w:val="0"/>
          <w:i/>
          <w:sz w:val="24"/>
        </w:rPr>
        <w:t>Hydrological Processes</w:t>
      </w:r>
      <w:r>
        <w:rPr>
          <w:rFonts w:ascii="Times New Roman" w:hAnsi="Times New Roman" w:eastAsia="Times New Roman"/>
          <w:b w:val="0"/>
          <w:i w:val="0"/>
          <w:sz w:val="24"/>
        </w:rPr>
        <w:t>, vol. 27, no. 15, pp. 2171–2186, 2013, doi: 10.1002/hyp.9740.</w:t>
      </w:r>
    </w:p>
    <w:p>
      <w:pPr>
        <w:tabs>
          <w:tab w:pos="567" w:val="left"/>
        </w:tabs>
        <w:spacing w:before="0" w:after="80" w:line="288" w:lineRule="auto"/>
        <w:ind w:left="567" w:hanging="567"/>
        <w:jc w:val="both"/>
      </w:pPr>
      <w:r>
        <w:rPr>
          <w:rFonts w:ascii="Times New Roman" w:hAnsi="Times New Roman" w:eastAsia="Times New Roman"/>
          <w:b w:val="0"/>
          <w:i w:val="0"/>
          <w:sz w:val="24"/>
        </w:rPr>
        <w:t>[25]</w:t>
        <w:tab/>
        <w:t xml:space="preserve">R. A. Freeze and J. A. Cherry, </w:t>
      </w:r>
      <w:r>
        <w:rPr>
          <w:rFonts w:ascii="Times New Roman" w:hAnsi="Times New Roman" w:eastAsia="Times New Roman"/>
          <w:b w:val="0"/>
          <w:i/>
          <w:sz w:val="24"/>
        </w:rPr>
        <w:t>Groundwater</w:t>
      </w:r>
      <w:r>
        <w:rPr>
          <w:rFonts w:ascii="Times New Roman" w:hAnsi="Times New Roman" w:eastAsia="Times New Roman"/>
          <w:b w:val="0"/>
          <w:i w:val="0"/>
          <w:sz w:val="24"/>
        </w:rPr>
        <w:t>. Englewood Cliffs, NJ, USA: Prentice-Hall, 1979.</w:t>
      </w:r>
    </w:p>
    <w:p>
      <w:pPr>
        <w:tabs>
          <w:tab w:pos="567" w:val="left"/>
        </w:tabs>
        <w:spacing w:before="0" w:after="80" w:line="288" w:lineRule="auto"/>
        <w:ind w:left="567" w:hanging="567"/>
        <w:jc w:val="both"/>
      </w:pPr>
      <w:r>
        <w:rPr>
          <w:rFonts w:ascii="Times New Roman" w:hAnsi="Times New Roman" w:eastAsia="Times New Roman"/>
          <w:b w:val="0"/>
          <w:i w:val="0"/>
          <w:sz w:val="24"/>
        </w:rPr>
        <w:t>[26]</w:t>
        <w:tab/>
        <w:t xml:space="preserve">U.S. Environmental Protection Agency, </w:t>
      </w:r>
      <w:r>
        <w:rPr>
          <w:rFonts w:ascii="Times New Roman" w:hAnsi="Times New Roman" w:eastAsia="Times New Roman"/>
          <w:b w:val="0"/>
          <w:i/>
          <w:sz w:val="24"/>
        </w:rPr>
        <w:t>Understanding Variation in Partition Coefficient, K_d, Values</w:t>
      </w:r>
      <w:r>
        <w:rPr>
          <w:rFonts w:ascii="Times New Roman" w:hAnsi="Times New Roman" w:eastAsia="Times New Roman"/>
          <w:b w:val="0"/>
          <w:i w:val="0"/>
          <w:sz w:val="24"/>
        </w:rPr>
        <w:t>, Vols. I–III, EPA 402-R-99-004A/B (1999) and EPA 402-R-04-002C (2004).</w:t>
      </w:r>
    </w:p>
    <w:p>
      <w:pPr>
        <w:tabs>
          <w:tab w:pos="567" w:val="left"/>
        </w:tabs>
        <w:spacing w:before="0" w:after="80" w:line="288" w:lineRule="auto"/>
        <w:ind w:left="567" w:hanging="567"/>
        <w:jc w:val="both"/>
      </w:pPr>
      <w:r>
        <w:rPr>
          <w:rFonts w:ascii="Times New Roman" w:hAnsi="Times New Roman" w:eastAsia="Times New Roman"/>
          <w:b w:val="0"/>
          <w:i w:val="0"/>
          <w:sz w:val="24"/>
        </w:rPr>
        <w:t>[27]</w:t>
        <w:tab/>
        <w:t xml:space="preserve">I. Javandel and C.-F. Tsang, “Capture-zone type curves: A tool for aquifer cleanup,” </w:t>
      </w:r>
      <w:r>
        <w:rPr>
          <w:rFonts w:ascii="Times New Roman" w:hAnsi="Times New Roman" w:eastAsia="Times New Roman"/>
          <w:b w:val="0"/>
          <w:i/>
          <w:sz w:val="24"/>
        </w:rPr>
        <w:t>Ground Water</w:t>
      </w:r>
      <w:r>
        <w:rPr>
          <w:rFonts w:ascii="Times New Roman" w:hAnsi="Times New Roman" w:eastAsia="Times New Roman"/>
          <w:b w:val="0"/>
          <w:i w:val="0"/>
          <w:sz w:val="24"/>
        </w:rPr>
        <w:t>, vol. 24, no. 5, pp. 616–625, 1986.</w:t>
      </w:r>
    </w:p>
    <w:p>
      <w:pPr>
        <w:tabs>
          <w:tab w:pos="567" w:val="left"/>
        </w:tabs>
        <w:spacing w:before="0" w:after="80" w:line="288" w:lineRule="auto"/>
        <w:ind w:left="567" w:hanging="567"/>
        <w:jc w:val="both"/>
      </w:pPr>
      <w:r>
        <w:rPr>
          <w:rFonts w:ascii="Times New Roman" w:hAnsi="Times New Roman" w:eastAsia="Times New Roman"/>
          <w:b w:val="0"/>
          <w:i w:val="0"/>
          <w:sz w:val="24"/>
        </w:rPr>
        <w:t>[28]</w:t>
        <w:tab/>
        <w:t xml:space="preserve">M. N. Goltz and P. V. Roberts, “Three-dimensional solutions for solute transport in an infinite medium with mobile and immobile zones,” </w:t>
      </w:r>
      <w:r>
        <w:rPr>
          <w:rFonts w:ascii="Times New Roman" w:hAnsi="Times New Roman" w:eastAsia="Times New Roman"/>
          <w:b w:val="0"/>
          <w:i/>
          <w:sz w:val="24"/>
        </w:rPr>
        <w:t>Water Resources Research</w:t>
      </w:r>
      <w:r>
        <w:rPr>
          <w:rFonts w:ascii="Times New Roman" w:hAnsi="Times New Roman" w:eastAsia="Times New Roman"/>
          <w:b w:val="0"/>
          <w:i w:val="0"/>
          <w:sz w:val="24"/>
        </w:rPr>
        <w:t>, vol. 22, no. 7, pp. 1139–1148, 1986.</w:t>
      </w:r>
    </w:p>
    <w:p>
      <w:pPr>
        <w:tabs>
          <w:tab w:pos="567" w:val="left"/>
        </w:tabs>
        <w:spacing w:before="0" w:after="80" w:line="288" w:lineRule="auto"/>
        <w:ind w:left="567" w:hanging="567"/>
        <w:jc w:val="both"/>
      </w:pPr>
      <w:r>
        <w:rPr>
          <w:rFonts w:ascii="Times New Roman" w:hAnsi="Times New Roman" w:eastAsia="Times New Roman"/>
          <w:b w:val="0"/>
          <w:i w:val="0"/>
          <w:sz w:val="24"/>
        </w:rPr>
        <w:t>[29]</w:t>
        <w:tab/>
        <w:t xml:space="preserve">P. A. Domenico, “An analytical model for multidimensional transport of a decaying contaminant species,” </w:t>
      </w:r>
      <w:r>
        <w:rPr>
          <w:rFonts w:ascii="Times New Roman" w:hAnsi="Times New Roman" w:eastAsia="Times New Roman"/>
          <w:b w:val="0"/>
          <w:i/>
          <w:sz w:val="24"/>
        </w:rPr>
        <w:t>Journal of Hydrology</w:t>
      </w:r>
      <w:r>
        <w:rPr>
          <w:rFonts w:ascii="Times New Roman" w:hAnsi="Times New Roman" w:eastAsia="Times New Roman"/>
          <w:b w:val="0"/>
          <w:i w:val="0"/>
          <w:sz w:val="24"/>
        </w:rPr>
        <w:t>, vol. 91, no. 1–2, pp. 49–58, 1987.</w:t>
      </w:r>
    </w:p>
    <w:p>
      <w:pPr>
        <w:tabs>
          <w:tab w:pos="567" w:val="left"/>
        </w:tabs>
        <w:spacing w:before="0" w:after="80" w:line="288" w:lineRule="auto"/>
        <w:ind w:left="567" w:hanging="567"/>
        <w:jc w:val="both"/>
      </w:pPr>
      <w:r>
        <w:rPr>
          <w:rFonts w:ascii="Times New Roman" w:hAnsi="Times New Roman" w:eastAsia="Times New Roman"/>
          <w:b w:val="0"/>
          <w:i w:val="0"/>
          <w:sz w:val="24"/>
        </w:rPr>
        <w:t>[30]</w:t>
        <w:tab/>
        <w:t>A. Ogata and R. B. Banks, “A solution of the differential equation of longitudinal dispersion in porous media,” U.S. Geological Survey Professional Paper 411-A, 1961.</w:t>
      </w:r>
    </w:p>
    <w:p>
      <w:pPr>
        <w:tabs>
          <w:tab w:pos="567" w:val="left"/>
        </w:tabs>
        <w:spacing w:before="0" w:after="80" w:line="288" w:lineRule="auto"/>
        <w:ind w:left="567" w:hanging="567"/>
        <w:jc w:val="both"/>
      </w:pPr>
      <w:r>
        <w:rPr>
          <w:rFonts w:ascii="Times New Roman" w:hAnsi="Times New Roman" w:eastAsia="Times New Roman"/>
          <w:b w:val="0"/>
          <w:i w:val="0"/>
          <w:sz w:val="24"/>
        </w:rPr>
        <w:t>[31]</w:t>
        <w:tab/>
        <w:t xml:space="preserve">M. Xu and Y. Eckstein, “Use of weighted least-squares method in evaluation of the relationship between dispersivity and field scale,” </w:t>
      </w:r>
      <w:r>
        <w:rPr>
          <w:rFonts w:ascii="Times New Roman" w:hAnsi="Times New Roman" w:eastAsia="Times New Roman"/>
          <w:b w:val="0"/>
          <w:i/>
          <w:sz w:val="24"/>
        </w:rPr>
        <w:t>Ground Water</w:t>
      </w:r>
      <w:r>
        <w:rPr>
          <w:rFonts w:ascii="Times New Roman" w:hAnsi="Times New Roman" w:eastAsia="Times New Roman"/>
          <w:b w:val="0"/>
          <w:i w:val="0"/>
          <w:sz w:val="24"/>
        </w:rPr>
        <w:t>, vol. 33, no. 6, pp. 905–908, 1995.</w:t>
      </w:r>
    </w:p>
    <w:p>
      <w:pPr>
        <w:tabs>
          <w:tab w:pos="567" w:val="left"/>
        </w:tabs>
        <w:spacing w:before="0" w:after="80" w:line="288" w:lineRule="auto"/>
        <w:ind w:left="567" w:hanging="567"/>
        <w:jc w:val="both"/>
      </w:pPr>
      <w:r>
        <w:rPr>
          <w:rFonts w:ascii="Times New Roman" w:hAnsi="Times New Roman" w:eastAsia="Times New Roman"/>
          <w:b w:val="0"/>
          <w:i w:val="0"/>
          <w:sz w:val="24"/>
        </w:rPr>
        <w:t>[32]</w:t>
        <w:tab/>
        <w:t xml:space="preserve">L. W. Gelhar, C. Welty, and K. R. Rehfeldt, “A critical review of data on field-scale dispersion in aquifers,” </w:t>
      </w:r>
      <w:r>
        <w:rPr>
          <w:rFonts w:ascii="Times New Roman" w:hAnsi="Times New Roman" w:eastAsia="Times New Roman"/>
          <w:b w:val="0"/>
          <w:i/>
          <w:sz w:val="24"/>
        </w:rPr>
        <w:t>Water Resources Research</w:t>
      </w:r>
      <w:r>
        <w:rPr>
          <w:rFonts w:ascii="Times New Roman" w:hAnsi="Times New Roman" w:eastAsia="Times New Roman"/>
          <w:b w:val="0"/>
          <w:i w:val="0"/>
          <w:sz w:val="24"/>
        </w:rPr>
        <w:t>, vol. 28, no. 7, pp. 1955–1974, 1992.</w:t>
      </w:r>
    </w:p>
    <w:p>
      <w:pPr>
        <w:tabs>
          <w:tab w:pos="567" w:val="left"/>
        </w:tabs>
        <w:spacing w:before="0" w:after="80" w:line="288" w:lineRule="auto"/>
        <w:ind w:left="567" w:hanging="567"/>
        <w:jc w:val="both"/>
      </w:pPr>
      <w:r>
        <w:rPr>
          <w:rFonts w:ascii="Times New Roman" w:hAnsi="Times New Roman" w:eastAsia="Times New Roman"/>
          <w:b w:val="0"/>
          <w:i w:val="0"/>
          <w:sz w:val="24"/>
        </w:rPr>
        <w:t>[33]</w:t>
        <w:tab/>
        <w:t xml:space="preserve">D. H. Tang, E. O. Frind, and E. A. Sudicky, “Contaminant transport in fractured porous media: Analytical solution for a single fracture,” </w:t>
      </w:r>
      <w:r>
        <w:rPr>
          <w:rFonts w:ascii="Times New Roman" w:hAnsi="Times New Roman" w:eastAsia="Times New Roman"/>
          <w:b w:val="0"/>
          <w:i/>
          <w:sz w:val="24"/>
        </w:rPr>
        <w:t>Water Resources Research</w:t>
      </w:r>
      <w:r>
        <w:rPr>
          <w:rFonts w:ascii="Times New Roman" w:hAnsi="Times New Roman" w:eastAsia="Times New Roman"/>
          <w:b w:val="0"/>
          <w:i w:val="0"/>
          <w:sz w:val="24"/>
        </w:rPr>
        <w:t>, vol. 17, no. 3, pp. 555–564, 1981.</w:t>
      </w:r>
    </w:p>
    <w:p>
      <w:pPr>
        <w:tabs>
          <w:tab w:pos="567" w:val="left"/>
        </w:tabs>
        <w:spacing w:before="0" w:after="80" w:line="288" w:lineRule="auto"/>
        <w:ind w:left="567" w:hanging="567"/>
        <w:jc w:val="both"/>
      </w:pPr>
      <w:r>
        <w:rPr>
          <w:rFonts w:ascii="Times New Roman" w:hAnsi="Times New Roman" w:eastAsia="Times New Roman"/>
          <w:b w:val="0"/>
          <w:i w:val="0"/>
          <w:sz w:val="24"/>
        </w:rPr>
        <w:t>[34]</w:t>
        <w:tab/>
        <w:t xml:space="preserve">T. J. Gallegos et al., “Persistent U(IV) and U(VI) following in-situ recovery (ISR) mining of a sandstone uranium deposit, Wyoming, USA,” </w:t>
      </w:r>
      <w:r>
        <w:rPr>
          <w:rFonts w:ascii="Times New Roman" w:hAnsi="Times New Roman" w:eastAsia="Times New Roman"/>
          <w:b w:val="0"/>
          <w:i/>
          <w:sz w:val="24"/>
        </w:rPr>
        <w:t>Applied Geochemistry</w:t>
      </w:r>
      <w:r>
        <w:rPr>
          <w:rFonts w:ascii="Times New Roman" w:hAnsi="Times New Roman" w:eastAsia="Times New Roman"/>
          <w:b w:val="0"/>
          <w:i w:val="0"/>
          <w:sz w:val="24"/>
        </w:rPr>
        <w:t>, vol. 63, pp. 222–234, 2015.</w:t>
      </w:r>
    </w:p>
    <w:p>
      <w:pPr>
        <w:tabs>
          <w:tab w:pos="567" w:val="left"/>
        </w:tabs>
        <w:spacing w:before="0" w:after="80" w:line="288" w:lineRule="auto"/>
        <w:ind w:left="567" w:hanging="567"/>
        <w:jc w:val="both"/>
      </w:pPr>
      <w:r>
        <w:rPr>
          <w:rFonts w:ascii="Times New Roman" w:hAnsi="Times New Roman" w:eastAsia="Times New Roman"/>
          <w:b w:val="0"/>
          <w:i w:val="0"/>
          <w:sz w:val="24"/>
        </w:rPr>
        <w:t>[35]</w:t>
        <w:tab/>
        <w:t xml:space="preserve">C. J. Newell, H. S. Rifai, J. T. Wilson, J. A. Connor, J. A. Aziz, and M. P. Suarez, </w:t>
      </w:r>
      <w:r>
        <w:rPr>
          <w:rFonts w:ascii="Times New Roman" w:hAnsi="Times New Roman" w:eastAsia="Times New Roman"/>
          <w:b w:val="0"/>
          <w:i/>
          <w:sz w:val="24"/>
        </w:rPr>
        <w:t>Calculation and Use of First-Order Rate Constants for Monitored Natural Attenuation Studies</w:t>
      </w:r>
      <w:r>
        <w:rPr>
          <w:rFonts w:ascii="Times New Roman" w:hAnsi="Times New Roman" w:eastAsia="Times New Roman"/>
          <w:b w:val="0"/>
          <w:i w:val="0"/>
          <w:sz w:val="24"/>
        </w:rPr>
        <w:t>, EPA/540/S-02/500, U.S. EPA, 2002.</w:t>
      </w:r>
    </w:p>
    <w:p>
      <w:pPr>
        <w:tabs>
          <w:tab w:pos="567" w:val="left"/>
        </w:tabs>
        <w:spacing w:before="0" w:after="80" w:line="288" w:lineRule="auto"/>
        <w:ind w:left="567" w:hanging="567"/>
        <w:jc w:val="both"/>
      </w:pPr>
      <w:r>
        <w:rPr>
          <w:rFonts w:ascii="Times New Roman" w:hAnsi="Times New Roman" w:eastAsia="Times New Roman"/>
          <w:b w:val="0"/>
          <w:i w:val="0"/>
          <w:sz w:val="24"/>
        </w:rPr>
        <w:t>[36]</w:t>
        <w:tab/>
        <w:t xml:space="preserve">P. W. Reimus, M. A. Dangelmayr, J. T. Clay, and K. R. Chamberlain, “Uranium natural attenuation downgradient of an in situ recovery mine inferred from a cross-hole field test,” </w:t>
      </w:r>
      <w:r>
        <w:rPr>
          <w:rFonts w:ascii="Times New Roman" w:hAnsi="Times New Roman" w:eastAsia="Times New Roman"/>
          <w:b w:val="0"/>
          <w:i/>
          <w:sz w:val="24"/>
        </w:rPr>
        <w:t>Environmental Science &amp; Technology</w:t>
      </w:r>
      <w:r>
        <w:rPr>
          <w:rFonts w:ascii="Times New Roman" w:hAnsi="Times New Roman" w:eastAsia="Times New Roman"/>
          <w:b w:val="0"/>
          <w:i w:val="0"/>
          <w:sz w:val="24"/>
        </w:rPr>
        <w:t>, vol. 53, no. 13, pp. 7483–7493, 2019.</w:t>
      </w:r>
    </w:p>
    <w:p>
      <w:pPr>
        <w:tabs>
          <w:tab w:pos="567" w:val="left"/>
        </w:tabs>
        <w:spacing w:before="0" w:after="80" w:line="288" w:lineRule="auto"/>
        <w:ind w:left="567" w:hanging="567"/>
        <w:jc w:val="both"/>
      </w:pPr>
      <w:r>
        <w:rPr>
          <w:rFonts w:ascii="Times New Roman" w:hAnsi="Times New Roman" w:eastAsia="Times New Roman"/>
          <w:b w:val="0"/>
          <w:i w:val="0"/>
          <w:sz w:val="24"/>
        </w:rPr>
        <w:t>[37]</w:t>
        <w:tab/>
        <w:t xml:space="preserve">T. Chen and C. Guestrin, “XGBoost: A scalable tree boosting system,” in </w:t>
      </w:r>
      <w:r>
        <w:rPr>
          <w:rFonts w:ascii="Times New Roman" w:hAnsi="Times New Roman" w:eastAsia="Times New Roman"/>
          <w:b w:val="0"/>
          <w:i/>
          <w:sz w:val="24"/>
        </w:rPr>
        <w:t>Proc. 22nd ACM SIGKDD Int. Conf. Knowledge Discovery and Data Mining</w:t>
      </w:r>
      <w:r>
        <w:rPr>
          <w:rFonts w:ascii="Times New Roman" w:hAnsi="Times New Roman" w:eastAsia="Times New Roman"/>
          <w:b w:val="0"/>
          <w:i w:val="0"/>
          <w:sz w:val="24"/>
        </w:rPr>
        <w:t>, 2016, pp. 785–794.</w:t>
      </w:r>
    </w:p>
    <w:p>
      <w:pPr>
        <w:tabs>
          <w:tab w:pos="567" w:val="left"/>
        </w:tabs>
        <w:spacing w:before="0" w:after="80" w:line="288" w:lineRule="auto"/>
        <w:ind w:left="567" w:hanging="567"/>
        <w:jc w:val="both"/>
      </w:pPr>
      <w:r>
        <w:rPr>
          <w:rFonts w:ascii="Times New Roman" w:hAnsi="Times New Roman" w:eastAsia="Times New Roman"/>
          <w:b w:val="0"/>
          <w:i w:val="0"/>
          <w:sz w:val="24"/>
        </w:rPr>
        <w:t>[38]</w:t>
        <w:tab/>
        <w:t xml:space="preserve">R. Koenker and G. Bassett, “Regression quantiles,” </w:t>
      </w:r>
      <w:r>
        <w:rPr>
          <w:rFonts w:ascii="Times New Roman" w:hAnsi="Times New Roman" w:eastAsia="Times New Roman"/>
          <w:b w:val="0"/>
          <w:i/>
          <w:sz w:val="24"/>
        </w:rPr>
        <w:t>Econometrica</w:t>
      </w:r>
      <w:r>
        <w:rPr>
          <w:rFonts w:ascii="Times New Roman" w:hAnsi="Times New Roman" w:eastAsia="Times New Roman"/>
          <w:b w:val="0"/>
          <w:i w:val="0"/>
          <w:sz w:val="24"/>
        </w:rPr>
        <w:t>, vol. 46, no. 1, pp. 33–50, 1978.</w:t>
      </w:r>
    </w:p>
    <w:p>
      <w:pPr>
        <w:tabs>
          <w:tab w:pos="567" w:val="left"/>
        </w:tabs>
        <w:spacing w:before="0" w:after="80" w:line="288" w:lineRule="auto"/>
        <w:ind w:left="567" w:hanging="567"/>
        <w:jc w:val="both"/>
      </w:pPr>
      <w:r>
        <w:rPr>
          <w:rFonts w:ascii="Times New Roman" w:hAnsi="Times New Roman" w:eastAsia="Times New Roman"/>
          <w:b w:val="0"/>
          <w:i w:val="0"/>
          <w:sz w:val="24"/>
        </w:rPr>
        <w:t>[39]</w:t>
        <w:tab/>
        <w:t xml:space="preserve">Y. Romano, E. Patterson, and E. J. Candès, “Conformalized quantile regression,” in </w:t>
      </w:r>
      <w:r>
        <w:rPr>
          <w:rFonts w:ascii="Times New Roman" w:hAnsi="Times New Roman" w:eastAsia="Times New Roman"/>
          <w:b w:val="0"/>
          <w:i/>
          <w:sz w:val="24"/>
        </w:rPr>
        <w:t>Advances in Neural Information Processing Systems 32 (NeurIPS 2019)</w:t>
      </w:r>
      <w:r>
        <w:rPr>
          <w:rFonts w:ascii="Times New Roman" w:hAnsi="Times New Roman" w:eastAsia="Times New Roman"/>
          <w:b w:val="0"/>
          <w:i w:val="0"/>
          <w:sz w:val="24"/>
        </w:rPr>
        <w:t>, 2019.</w:t>
      </w:r>
    </w:p>
    <w:p>
      <w:pPr>
        <w:tabs>
          <w:tab w:pos="567" w:val="left"/>
        </w:tabs>
        <w:spacing w:before="0" w:after="80" w:line="288" w:lineRule="auto"/>
        <w:ind w:left="567" w:hanging="567"/>
        <w:jc w:val="both"/>
      </w:pPr>
      <w:r>
        <w:rPr>
          <w:rFonts w:ascii="Times New Roman" w:hAnsi="Times New Roman" w:eastAsia="Times New Roman"/>
          <w:b w:val="0"/>
          <w:i w:val="0"/>
          <w:sz w:val="24"/>
        </w:rPr>
        <w:t>[40]</w:t>
        <w:tab/>
        <w:t xml:space="preserve">V. Vovk, A. Gammerman, and G. Shafer, </w:t>
      </w:r>
      <w:r>
        <w:rPr>
          <w:rFonts w:ascii="Times New Roman" w:hAnsi="Times New Roman" w:eastAsia="Times New Roman"/>
          <w:b w:val="0"/>
          <w:i/>
          <w:sz w:val="24"/>
        </w:rPr>
        <w:t>Algorithmic Learning in a Random World</w:t>
      </w:r>
      <w:r>
        <w:rPr>
          <w:rFonts w:ascii="Times New Roman" w:hAnsi="Times New Roman" w:eastAsia="Times New Roman"/>
          <w:b w:val="0"/>
          <w:i w:val="0"/>
          <w:sz w:val="24"/>
        </w:rPr>
        <w:t>. New York, NY, USA: Springer, 2005.</w:t>
      </w:r>
    </w:p>
    <w:p>
      <w:pPr>
        <w:tabs>
          <w:tab w:pos="567" w:val="left"/>
        </w:tabs>
        <w:spacing w:before="0" w:after="80" w:line="288" w:lineRule="auto"/>
        <w:ind w:left="567" w:hanging="567"/>
        <w:jc w:val="both"/>
      </w:pPr>
      <w:r>
        <w:rPr>
          <w:rFonts w:ascii="Times New Roman" w:hAnsi="Times New Roman" w:eastAsia="Times New Roman"/>
          <w:b w:val="0"/>
          <w:i w:val="0"/>
          <w:sz w:val="24"/>
        </w:rPr>
        <w:t>[41]</w:t>
        <w:tab/>
        <w:t xml:space="preserve">S. M. Lundberg and S.-I. Lee, “A unified approach to interpreting model predictions,” in </w:t>
      </w:r>
      <w:r>
        <w:rPr>
          <w:rFonts w:ascii="Times New Roman" w:hAnsi="Times New Roman" w:eastAsia="Times New Roman"/>
          <w:b w:val="0"/>
          <w:i/>
          <w:sz w:val="24"/>
        </w:rPr>
        <w:t>Advances in Neural Information Processing Systems 30 (NeurIPS 2017)</w:t>
      </w:r>
      <w:r>
        <w:rPr>
          <w:rFonts w:ascii="Times New Roman" w:hAnsi="Times New Roman" w:eastAsia="Times New Roman"/>
          <w:b w:val="0"/>
          <w:i w:val="0"/>
          <w:sz w:val="24"/>
        </w:rPr>
        <w:t>, 2017.</w:t>
      </w:r>
    </w:p>
    <w:p>
      <w:pPr>
        <w:tabs>
          <w:tab w:pos="567" w:val="left"/>
        </w:tabs>
        <w:spacing w:before="0" w:after="80" w:line="288" w:lineRule="auto"/>
        <w:ind w:left="567" w:hanging="567"/>
        <w:jc w:val="both"/>
      </w:pPr>
      <w:r>
        <w:rPr>
          <w:rFonts w:ascii="Times New Roman" w:hAnsi="Times New Roman" w:eastAsia="Times New Roman"/>
          <w:b w:val="0"/>
          <w:i w:val="0"/>
          <w:sz w:val="24"/>
        </w:rPr>
        <w:t>[42]</w:t>
        <w:tab/>
        <w:t xml:space="preserve">World Health Organization, </w:t>
      </w:r>
      <w:r>
        <w:rPr>
          <w:rFonts w:ascii="Times New Roman" w:hAnsi="Times New Roman" w:eastAsia="Times New Roman"/>
          <w:b w:val="0"/>
          <w:i/>
          <w:sz w:val="24"/>
        </w:rPr>
        <w:t>Guidelines for Drinking-water Quality</w:t>
      </w:r>
      <w:r>
        <w:rPr>
          <w:rFonts w:ascii="Times New Roman" w:hAnsi="Times New Roman" w:eastAsia="Times New Roman"/>
          <w:b w:val="0"/>
          <w:i w:val="0"/>
          <w:sz w:val="24"/>
        </w:rPr>
        <w:t>, 4th ed. incorporating the 1st addendum. Geneva, Switzerland: WHO, 2017.</w:t>
      </w:r>
    </w:p>
    <w:p>
      <w:pPr>
        <w:tabs>
          <w:tab w:pos="567" w:val="left"/>
        </w:tabs>
        <w:spacing w:before="0" w:after="80" w:line="288" w:lineRule="auto"/>
        <w:ind w:left="567" w:hanging="567"/>
        <w:jc w:val="both"/>
      </w:pPr>
      <w:r>
        <w:rPr>
          <w:rFonts w:ascii="Times New Roman" w:hAnsi="Times New Roman" w:eastAsia="Times New Roman"/>
          <w:b w:val="0"/>
          <w:i w:val="0"/>
          <w:sz w:val="24"/>
        </w:rPr>
        <w:t>[43]</w:t>
        <w:tab/>
        <w:t xml:space="preserve">R. M. Brown, N. I. McClelland, R. A. Deininger, and R. G. Tozer, “A water quality index — do we dare?,” </w:t>
      </w:r>
      <w:r>
        <w:rPr>
          <w:rFonts w:ascii="Times New Roman" w:hAnsi="Times New Roman" w:eastAsia="Times New Roman"/>
          <w:b w:val="0"/>
          <w:i/>
          <w:sz w:val="24"/>
        </w:rPr>
        <w:t>Water &amp; Sewage Works</w:t>
      </w:r>
      <w:r>
        <w:rPr>
          <w:rFonts w:ascii="Times New Roman" w:hAnsi="Times New Roman" w:eastAsia="Times New Roman"/>
          <w:b w:val="0"/>
          <w:i w:val="0"/>
          <w:sz w:val="24"/>
        </w:rPr>
        <w:t>, vol. 117, no. 10, pp. 339–343, 1970.</w:t>
      </w:r>
    </w:p>
    <w:p>
      <w:pPr>
        <w:tabs>
          <w:tab w:pos="567" w:val="left"/>
        </w:tabs>
        <w:spacing w:before="0" w:after="80" w:line="288" w:lineRule="auto"/>
        <w:ind w:left="567" w:hanging="567"/>
        <w:jc w:val="both"/>
      </w:pPr>
      <w:r>
        <w:rPr>
          <w:rFonts w:ascii="Times New Roman" w:hAnsi="Times New Roman" w:eastAsia="Times New Roman"/>
          <w:b w:val="0"/>
          <w:i w:val="0"/>
          <w:sz w:val="24"/>
        </w:rPr>
        <w:t>[44]</w:t>
        <w:tab/>
        <w:t xml:space="preserve">H. Theil, “A rank-invariant method of linear and polynomial regression analysis, I, II, III,” </w:t>
      </w:r>
      <w:r>
        <w:rPr>
          <w:rFonts w:ascii="Times New Roman" w:hAnsi="Times New Roman" w:eastAsia="Times New Roman"/>
          <w:b w:val="0"/>
          <w:i/>
          <w:sz w:val="24"/>
        </w:rPr>
        <w:t>Proc. Koninklijke Nederlandse Akademie van Wetenschappen, Series A</w:t>
      </w:r>
      <w:r>
        <w:rPr>
          <w:rFonts w:ascii="Times New Roman" w:hAnsi="Times New Roman" w:eastAsia="Times New Roman"/>
          <w:b w:val="0"/>
          <w:i w:val="0"/>
          <w:sz w:val="24"/>
        </w:rPr>
        <w:t>, vol. 53, pp. 386–392, 521–525, 1397–1412, 1950.</w:t>
      </w:r>
    </w:p>
    <w:p>
      <w:pPr>
        <w:tabs>
          <w:tab w:pos="567" w:val="left"/>
        </w:tabs>
        <w:spacing w:before="0" w:after="80" w:line="288" w:lineRule="auto"/>
        <w:ind w:left="567" w:hanging="567"/>
        <w:jc w:val="both"/>
      </w:pPr>
      <w:r>
        <w:rPr>
          <w:rFonts w:ascii="Times New Roman" w:hAnsi="Times New Roman" w:eastAsia="Times New Roman"/>
          <w:b w:val="0"/>
          <w:i w:val="0"/>
          <w:sz w:val="24"/>
        </w:rPr>
        <w:t>[45]</w:t>
        <w:tab/>
        <w:t xml:space="preserve">P. K. Sen, “Estimates of the regression coefficient based on Kendall’s tau,” </w:t>
      </w:r>
      <w:r>
        <w:rPr>
          <w:rFonts w:ascii="Times New Roman" w:hAnsi="Times New Roman" w:eastAsia="Times New Roman"/>
          <w:b w:val="0"/>
          <w:i/>
          <w:sz w:val="24"/>
        </w:rPr>
        <w:t>Journal of the American Statistical Association</w:t>
      </w:r>
      <w:r>
        <w:rPr>
          <w:rFonts w:ascii="Times New Roman" w:hAnsi="Times New Roman" w:eastAsia="Times New Roman"/>
          <w:b w:val="0"/>
          <w:i w:val="0"/>
          <w:sz w:val="24"/>
        </w:rPr>
        <w:t>, vol. 63, no. 324, pp. 1379–1389, 1968.</w:t>
      </w:r>
    </w:p>
    <w:p>
      <w:pPr>
        <w:tabs>
          <w:tab w:pos="567" w:val="left"/>
        </w:tabs>
        <w:spacing w:before="0" w:after="80" w:line="288" w:lineRule="auto"/>
        <w:ind w:left="567" w:hanging="567"/>
        <w:jc w:val="both"/>
      </w:pPr>
      <w:r>
        <w:rPr>
          <w:rFonts w:ascii="Times New Roman" w:hAnsi="Times New Roman" w:eastAsia="Times New Roman"/>
          <w:b w:val="0"/>
          <w:i w:val="0"/>
          <w:sz w:val="24"/>
        </w:rPr>
        <w:t>[46]</w:t>
        <w:tab/>
        <w:t xml:space="preserve">H. B. Mann, “Nonparametric tests against trend,” </w:t>
      </w:r>
      <w:r>
        <w:rPr>
          <w:rFonts w:ascii="Times New Roman" w:hAnsi="Times New Roman" w:eastAsia="Times New Roman"/>
          <w:b w:val="0"/>
          <w:i/>
          <w:sz w:val="24"/>
        </w:rPr>
        <w:t>Econometrica</w:t>
      </w:r>
      <w:r>
        <w:rPr>
          <w:rFonts w:ascii="Times New Roman" w:hAnsi="Times New Roman" w:eastAsia="Times New Roman"/>
          <w:b w:val="0"/>
          <w:i w:val="0"/>
          <w:sz w:val="24"/>
        </w:rPr>
        <w:t>, vol. 13, no. 3, pp. 245–259, 1945.</w:t>
      </w:r>
    </w:p>
    <w:p>
      <w:pPr>
        <w:tabs>
          <w:tab w:pos="567" w:val="left"/>
        </w:tabs>
        <w:spacing w:before="0" w:after="80" w:line="288" w:lineRule="auto"/>
        <w:ind w:left="567" w:hanging="567"/>
        <w:jc w:val="both"/>
      </w:pPr>
      <w:r>
        <w:rPr>
          <w:rFonts w:ascii="Times New Roman" w:hAnsi="Times New Roman" w:eastAsia="Times New Roman"/>
          <w:b w:val="0"/>
          <w:i w:val="0"/>
          <w:sz w:val="24"/>
        </w:rPr>
        <w:t>[47]</w:t>
        <w:tab/>
        <w:t>Central Ground Water Board via National Water Informatics Centre, “Ground Water Quality Chemical Parameters CGWB Jharkhand (1961–2025) Manual” and “… Physical Parameters …,” National Water Data Portal, https://nwdp.nwic.gov.in. Downloaded 20 Sept. 2026.</w:t>
      </w:r>
    </w:p>
    <w:p>
      <w:pPr>
        <w:tabs>
          <w:tab w:pos="567" w:val="left"/>
        </w:tabs>
        <w:spacing w:before="0" w:after="80" w:line="288" w:lineRule="auto"/>
        <w:ind w:left="567" w:hanging="567"/>
        <w:jc w:val="both"/>
      </w:pPr>
      <w:r>
        <w:rPr>
          <w:rFonts w:ascii="Times New Roman" w:hAnsi="Times New Roman" w:eastAsia="Times New Roman"/>
          <w:b w:val="0"/>
          <w:i w:val="0"/>
          <w:sz w:val="24"/>
        </w:rPr>
        <w:t>[48]</w:t>
        <w:tab/>
        <w:t xml:space="preserve">I. M. Sobol’, “Sensitivity estimates for nonlinear mathematical models,” </w:t>
      </w:r>
      <w:r>
        <w:rPr>
          <w:rFonts w:ascii="Times New Roman" w:hAnsi="Times New Roman" w:eastAsia="Times New Roman"/>
          <w:b w:val="0"/>
          <w:i/>
          <w:sz w:val="24"/>
        </w:rPr>
        <w:t>Mathematical Modelling and Computational Experiments</w:t>
      </w:r>
      <w:r>
        <w:rPr>
          <w:rFonts w:ascii="Times New Roman" w:hAnsi="Times New Roman" w:eastAsia="Times New Roman"/>
          <w:b w:val="0"/>
          <w:i w:val="0"/>
          <w:sz w:val="24"/>
        </w:rPr>
        <w:t>, vol. 1, no. 4, pp. 407–414, 1993.</w:t>
      </w:r>
    </w:p>
    <w:p>
      <w:pPr>
        <w:tabs>
          <w:tab w:pos="567" w:val="left"/>
        </w:tabs>
        <w:spacing w:before="0" w:after="80" w:line="288" w:lineRule="auto"/>
        <w:ind w:left="567" w:hanging="567"/>
        <w:jc w:val="both"/>
      </w:pPr>
      <w:r>
        <w:rPr>
          <w:rFonts w:ascii="Times New Roman" w:hAnsi="Times New Roman" w:eastAsia="Times New Roman"/>
          <w:b w:val="0"/>
          <w:i w:val="0"/>
          <w:sz w:val="24"/>
        </w:rPr>
        <w:t>[49]</w:t>
        <w:tab/>
        <w:t xml:space="preserve">A. Saltelli, P. Annoni, I. Azzini, F. Campolongo, M. Ratto, and S. Tarantola, “Variance based sensitivity analysis of model output. Design and estimator for the total sensitivity index,” </w:t>
      </w:r>
      <w:r>
        <w:rPr>
          <w:rFonts w:ascii="Times New Roman" w:hAnsi="Times New Roman" w:eastAsia="Times New Roman"/>
          <w:b w:val="0"/>
          <w:i/>
          <w:sz w:val="24"/>
        </w:rPr>
        <w:t>Computer Physics Communications</w:t>
      </w:r>
      <w:r>
        <w:rPr>
          <w:rFonts w:ascii="Times New Roman" w:hAnsi="Times New Roman" w:eastAsia="Times New Roman"/>
          <w:b w:val="0"/>
          <w:i w:val="0"/>
          <w:sz w:val="24"/>
        </w:rPr>
        <w:t>, vol. 181, no. 2, pp. 259–270, 2010.</w:t>
      </w:r>
    </w:p>
    <w:p>
      <w:pPr>
        <w:tabs>
          <w:tab w:pos="567" w:val="left"/>
        </w:tabs>
        <w:spacing w:before="0" w:after="80" w:line="288" w:lineRule="auto"/>
        <w:ind w:left="567" w:hanging="567"/>
        <w:jc w:val="both"/>
      </w:pPr>
      <w:r>
        <w:rPr>
          <w:rFonts w:ascii="Times New Roman" w:hAnsi="Times New Roman" w:eastAsia="Times New Roman"/>
          <w:b w:val="0"/>
          <w:i w:val="0"/>
          <w:sz w:val="24"/>
        </w:rPr>
        <w:t>[50]</w:t>
        <w:tab/>
        <w:t xml:space="preserve">S. Ramírez, </w:t>
      </w:r>
      <w:r>
        <w:rPr>
          <w:rFonts w:ascii="Times New Roman" w:hAnsi="Times New Roman" w:eastAsia="Times New Roman"/>
          <w:b w:val="0"/>
          <w:i/>
          <w:sz w:val="24"/>
        </w:rPr>
        <w:t>FastAPI Documentation</w:t>
      </w:r>
      <w:r>
        <w:rPr>
          <w:rFonts w:ascii="Times New Roman" w:hAnsi="Times New Roman" w:eastAsia="Times New Roman"/>
          <w:b w:val="0"/>
          <w:i w:val="0"/>
          <w:sz w:val="24"/>
        </w:rPr>
        <w:t>, 2025. [Online]. Available: https://fastapi.tiangolo.com</w:t>
      </w:r>
    </w:p>
    <w:p>
      <w:pPr>
        <w:tabs>
          <w:tab w:pos="567" w:val="left"/>
        </w:tabs>
        <w:spacing w:before="0" w:after="80" w:line="288" w:lineRule="auto"/>
        <w:ind w:left="567" w:hanging="567"/>
        <w:jc w:val="both"/>
      </w:pPr>
      <w:r>
        <w:rPr>
          <w:rFonts w:ascii="Times New Roman" w:hAnsi="Times New Roman" w:eastAsia="Times New Roman"/>
          <w:b w:val="0"/>
          <w:i w:val="0"/>
          <w:sz w:val="24"/>
        </w:rPr>
        <w:t>[51]</w:t>
        <w:tab/>
        <w:t xml:space="preserve">PostGIS Project Steering Committee, </w:t>
      </w:r>
      <w:r>
        <w:rPr>
          <w:rFonts w:ascii="Times New Roman" w:hAnsi="Times New Roman" w:eastAsia="Times New Roman"/>
          <w:b w:val="0"/>
          <w:i/>
          <w:sz w:val="24"/>
        </w:rPr>
        <w:t>PostGIS Documentation</w:t>
      </w:r>
      <w:r>
        <w:rPr>
          <w:rFonts w:ascii="Times New Roman" w:hAnsi="Times New Roman" w:eastAsia="Times New Roman"/>
          <w:b w:val="0"/>
          <w:i w:val="0"/>
          <w:sz w:val="24"/>
        </w:rPr>
        <w:t>, 2025. [Online]. Available: https://postgis.net/documentation/</w:t>
      </w:r>
    </w:p>
    <w:p>
      <w:pPr>
        <w:tabs>
          <w:tab w:pos="567" w:val="left"/>
        </w:tabs>
        <w:spacing w:before="0" w:after="80" w:line="288" w:lineRule="auto"/>
        <w:ind w:left="567" w:hanging="567"/>
        <w:jc w:val="both"/>
      </w:pPr>
      <w:r>
        <w:rPr>
          <w:rFonts w:ascii="Times New Roman" w:hAnsi="Times New Roman" w:eastAsia="Times New Roman"/>
          <w:b w:val="0"/>
          <w:i w:val="0"/>
          <w:sz w:val="24"/>
        </w:rPr>
        <w:t>[52]</w:t>
        <w:tab/>
        <w:t xml:space="preserve">Meta Platforms, </w:t>
      </w:r>
      <w:r>
        <w:rPr>
          <w:rFonts w:ascii="Times New Roman" w:hAnsi="Times New Roman" w:eastAsia="Times New Roman"/>
          <w:b w:val="0"/>
          <w:i/>
          <w:sz w:val="24"/>
        </w:rPr>
        <w:t>React Documentation</w:t>
      </w:r>
      <w:r>
        <w:rPr>
          <w:rFonts w:ascii="Times New Roman" w:hAnsi="Times New Roman" w:eastAsia="Times New Roman"/>
          <w:b w:val="0"/>
          <w:i w:val="0"/>
          <w:sz w:val="24"/>
        </w:rPr>
        <w:t>, 2025. [Online]. Available: https://react.dev</w:t>
      </w:r>
    </w:p>
    <w:p>
      <w:pPr>
        <w:tabs>
          <w:tab w:pos="567" w:val="left"/>
        </w:tabs>
        <w:spacing w:before="0" w:after="80" w:line="288" w:lineRule="auto"/>
        <w:ind w:left="567" w:hanging="567"/>
        <w:jc w:val="both"/>
      </w:pPr>
      <w:r>
        <w:rPr>
          <w:rFonts w:ascii="Times New Roman" w:hAnsi="Times New Roman" w:eastAsia="Times New Roman"/>
          <w:b w:val="0"/>
          <w:i w:val="0"/>
          <w:sz w:val="24"/>
        </w:rPr>
        <w:t>[53]</w:t>
        <w:tab/>
        <w:t xml:space="preserve">V. Agafonkin et al., </w:t>
      </w:r>
      <w:r>
        <w:rPr>
          <w:rFonts w:ascii="Times New Roman" w:hAnsi="Times New Roman" w:eastAsia="Times New Roman"/>
          <w:b w:val="0"/>
          <w:i/>
          <w:sz w:val="24"/>
        </w:rPr>
        <w:t>Leaflet Documentation</w:t>
      </w:r>
      <w:r>
        <w:rPr>
          <w:rFonts w:ascii="Times New Roman" w:hAnsi="Times New Roman" w:eastAsia="Times New Roman"/>
          <w:b w:val="0"/>
          <w:i w:val="0"/>
          <w:sz w:val="24"/>
        </w:rPr>
        <w:t>, 2025. [Online]. Available: https://leafletjs.com</w:t>
      </w:r>
    </w:p>
    <w:p>
      <w:pPr>
        <w:tabs>
          <w:tab w:pos="567" w:val="left"/>
        </w:tabs>
        <w:spacing w:before="0" w:after="80" w:line="288" w:lineRule="auto"/>
        <w:ind w:left="567" w:hanging="567"/>
        <w:jc w:val="both"/>
      </w:pPr>
      <w:r>
        <w:rPr>
          <w:rFonts w:ascii="Times New Roman" w:hAnsi="Times New Roman" w:eastAsia="Times New Roman"/>
          <w:b w:val="0"/>
          <w:i w:val="0"/>
          <w:sz w:val="24"/>
        </w:rPr>
        <w:t>[54]</w:t>
        <w:tab/>
        <w:t xml:space="preserve">N. K. Sethy et al., “Dissolved uranium, ²²⁶Ra in the mine water effluent: A case study in Jaduguda,” </w:t>
      </w:r>
      <w:r>
        <w:rPr>
          <w:rFonts w:ascii="Times New Roman" w:hAnsi="Times New Roman" w:eastAsia="Times New Roman"/>
          <w:b w:val="0"/>
          <w:i/>
          <w:sz w:val="24"/>
        </w:rPr>
        <w:t>Radiation Protection and Environment</w:t>
      </w:r>
      <w:r>
        <w:rPr>
          <w:rFonts w:ascii="Times New Roman" w:hAnsi="Times New Roman" w:eastAsia="Times New Roman"/>
          <w:b w:val="0"/>
          <w:i w:val="0"/>
          <w:sz w:val="24"/>
        </w:rPr>
        <w:t>, vol. 36, no. 1, pp. 32–37, 2013.</w:t>
      </w:r>
    </w:p>
    <w:p>
      <w:pPr>
        <w:tabs>
          <w:tab w:pos="567" w:val="left"/>
        </w:tabs>
        <w:spacing w:before="0" w:after="80" w:line="288" w:lineRule="auto"/>
        <w:ind w:left="567" w:hanging="567"/>
        <w:jc w:val="both"/>
      </w:pPr>
      <w:r>
        <w:rPr>
          <w:rFonts w:ascii="Times New Roman" w:hAnsi="Times New Roman" w:eastAsia="Times New Roman"/>
          <w:b w:val="0"/>
          <w:i w:val="0"/>
          <w:sz w:val="24"/>
        </w:rPr>
        <w:t>[55]</w:t>
        <w:tab/>
        <w:t xml:space="preserve">S. Giri, M. K. Mahato, G. Singh, and V. N. Jha, “Risk assessment due to intake of heavy metals through the ingestion of groundwater around two proposed uranium mining areas in Jharkhand, India,” </w:t>
      </w:r>
      <w:r>
        <w:rPr>
          <w:rFonts w:ascii="Times New Roman" w:hAnsi="Times New Roman" w:eastAsia="Times New Roman"/>
          <w:b w:val="0"/>
          <w:i/>
          <w:sz w:val="24"/>
        </w:rPr>
        <w:t>Environmental Monitoring and Assessment</w:t>
      </w:r>
      <w:r>
        <w:rPr>
          <w:rFonts w:ascii="Times New Roman" w:hAnsi="Times New Roman" w:eastAsia="Times New Roman"/>
          <w:b w:val="0"/>
          <w:i w:val="0"/>
          <w:sz w:val="24"/>
        </w:rPr>
        <w:t>, vol. 184, no. 3, pp. 1351–1358, 2012.</w:t>
      </w:r>
    </w:p>
    <w:p>
      <w:pPr>
        <w:tabs>
          <w:tab w:pos="567" w:val="left"/>
        </w:tabs>
        <w:spacing w:before="0" w:after="80" w:line="288" w:lineRule="auto"/>
        <w:ind w:left="567" w:hanging="567"/>
        <w:jc w:val="both"/>
      </w:pPr>
      <w:r>
        <w:rPr>
          <w:rFonts w:ascii="Times New Roman" w:hAnsi="Times New Roman" w:eastAsia="Times New Roman"/>
          <w:b w:val="0"/>
          <w:i w:val="0"/>
          <w:sz w:val="24"/>
        </w:rPr>
        <w:t>[56]</w:t>
        <w:tab/>
        <w:t xml:space="preserve">M. R. West, B. H. Kueper, and M. J. Ungs, “On the use and error of approximation in the Domenico (1987) solution,” </w:t>
      </w:r>
      <w:r>
        <w:rPr>
          <w:rFonts w:ascii="Times New Roman" w:hAnsi="Times New Roman" w:eastAsia="Times New Roman"/>
          <w:b w:val="0"/>
          <w:i/>
          <w:sz w:val="24"/>
        </w:rPr>
        <w:t>Ground Water</w:t>
      </w:r>
      <w:r>
        <w:rPr>
          <w:rFonts w:ascii="Times New Roman" w:hAnsi="Times New Roman" w:eastAsia="Times New Roman"/>
          <w:b w:val="0"/>
          <w:i w:val="0"/>
          <w:sz w:val="24"/>
        </w:rPr>
        <w:t>, vol. 45, no. 2, pp. 126–135, 2007.</w:t>
      </w:r>
    </w:p>
    <w:p>
      <w:pPr>
        <w:tabs>
          <w:tab w:pos="567" w:val="left"/>
        </w:tabs>
        <w:spacing w:before="0" w:after="80" w:line="288" w:lineRule="auto"/>
        <w:ind w:left="567" w:hanging="567"/>
        <w:jc w:val="both"/>
      </w:pPr>
      <w:r>
        <w:rPr>
          <w:rFonts w:ascii="Times New Roman" w:hAnsi="Times New Roman" w:eastAsia="Times New Roman"/>
          <w:b w:val="0"/>
          <w:i w:val="0"/>
          <w:sz w:val="24"/>
        </w:rPr>
        <w:t>[57]</w:t>
        <w:tab/>
        <w:t xml:space="preserve">E. A. Lee, “Cyber physical systems: Design challenges,” in </w:t>
      </w:r>
      <w:r>
        <w:rPr>
          <w:rFonts w:ascii="Times New Roman" w:hAnsi="Times New Roman" w:eastAsia="Times New Roman"/>
          <w:b w:val="0"/>
          <w:i/>
          <w:sz w:val="24"/>
        </w:rPr>
        <w:t>Proc. 11th IEEE Int. Symp. Object and Component-Oriented Real-Time Distributed Computing (ISORC)</w:t>
      </w:r>
      <w:r>
        <w:rPr>
          <w:rFonts w:ascii="Times New Roman" w:hAnsi="Times New Roman" w:eastAsia="Times New Roman"/>
          <w:b w:val="0"/>
          <w:i w:val="0"/>
          <w:sz w:val="24"/>
        </w:rPr>
        <w:t>, 2008, pp. 363–369.</w:t>
      </w:r>
    </w:p>
    <w:p>
      <w:r>
        <w:br w:type="page"/>
      </w:r>
    </w:p>
    <w:p>
      <w:pPr>
        <w:pStyle w:val="Heading1"/>
        <w:keepNext/>
        <w:spacing w:before="0" w:after="240" w:line="276" w:lineRule="auto"/>
        <w:jc w:val="left"/>
      </w:pPr>
      <w:r>
        <w:rPr>
          <w:rFonts w:ascii="Times New Roman" w:hAnsi="Times New Roman" w:eastAsia="Times New Roman"/>
          <w:b/>
          <w:i w:val="0"/>
          <w:sz w:val="28"/>
        </w:rPr>
        <w:t>14. ANNEXURES</w:t>
      </w:r>
    </w:p>
    <w:p>
      <w:pPr>
        <w:spacing w:before="0" w:after="120" w:line="360" w:lineRule="auto"/>
        <w:jc w:val="both"/>
      </w:pPr>
      <w:r>
        <w:rPr>
          <w:rFonts w:ascii="Times New Roman" w:hAnsi="Times New Roman" w:eastAsia="Times New Roman"/>
          <w:b w:val="0"/>
          <w:i w:val="0"/>
          <w:sz w:val="24"/>
        </w:rPr>
        <w:t>The following annexures give supporting information, technical details, code excerpts, screenshots and records related to the development of JalDrishti.</w:t>
      </w:r>
    </w:p>
    <w:p>
      <w:pPr>
        <w:pStyle w:val="Heading2"/>
        <w:keepNext/>
        <w:spacing w:before="200" w:after="120" w:line="276" w:lineRule="auto"/>
        <w:jc w:val="left"/>
      </w:pPr>
      <w:r>
        <w:rPr>
          <w:rFonts w:ascii="Times New Roman" w:hAnsi="Times New Roman" w:eastAsia="Times New Roman"/>
          <w:b/>
          <w:i w:val="0"/>
          <w:sz w:val="24"/>
        </w:rPr>
        <w:t>Annexure A: Datasets Used</w:t>
      </w:r>
    </w:p>
    <w:p>
      <w:pPr>
        <w:keepNext/>
        <w:spacing w:before="120" w:after="80" w:line="240" w:lineRule="auto"/>
        <w:jc w:val="center"/>
      </w:pPr>
      <w:r>
        <w:rPr>
          <w:rFonts w:ascii="Times New Roman" w:hAnsi="Times New Roman" w:eastAsia="Times New Roman"/>
          <w:b/>
          <w:i w:val="0"/>
          <w:sz w:val="22"/>
        </w:rPr>
        <w:t>Table 14.1: Datasets used in JalDrishti, with size and use</w:t>
      </w:r>
    </w:p>
    <w:tbl>
      <w:tblPr>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198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Dataset</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Provider</w:t>
            </w:r>
          </w:p>
        </w:tc>
        <w:tc>
          <w:tcPr>
            <w:tcW w:type="dxa" w:w="232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Size / extent</w:t>
            </w:r>
          </w:p>
        </w:tc>
        <w:tc>
          <w:tcPr>
            <w:tcW w:type="dxa" w:w="306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File in the project</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quality, 2023</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397 wells, 24 districts, 17 substances, one sample per well</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waterQuality_jharkhand.csv</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quality, 2000–2021</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via NWDP</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1,632 analyses at 366 stations</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cgwb_gwq_chemical_jharkhand_2000_2021.csv (+ physical file)</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levels, 2013–2021</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 India-WRIS</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9,583 readings at 398 stations</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cgwb_waterlevel_jharkhand.csv</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Aquifer polygons</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24 polygons, 12 rock types</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Aquifers_Jharkhand.geojson</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District and block boundaries</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Government of India</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24 districts, 264 blocks used (275 loaded)</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District_ and Sub_District_Boundary_JH.geojson</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NAQUIM aquifer layer table</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NAQUIM reports and booklet</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24 districts</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naquim_vertical.csv</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Lineaments</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GSI and NRSC (Bhuvan)</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1,889 features (1,826 structural used)</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jharkhand_lineaments.geojson</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Perennial rivers</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HydroRIVERS</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4,577 river reaches</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jharkhand_rivers.geojson</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 deposits</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Project-digitised outlines; IAEA UDEPO grades</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 deposits + belt envelope</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jharkhand_uranium_deposits.csv, udepo_uranium_deposits.xlsx</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Elevation model</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ESA Copernicus GLO-30 via OpenTopography</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Whole state, 30 m</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jharkhand_glo30_dem.tif</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Texas ISR water quality</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USGS</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Baseline 86, end-of-mining 9, post-restoration 86 rows</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TX_ISR_Final.xlsx</w:t>
            </w:r>
          </w:p>
        </w:tc>
      </w:tr>
      <w:tr>
        <w:trPr>
          <w:cantSplit w:val="true"/>
        </w:trPr>
        <w:tc>
          <w:tcPr>
            <w:tcW w:type="dxa" w:w="198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Texas ISR operations</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USGS</w:t>
            </w:r>
          </w:p>
        </w:tc>
        <w:tc>
          <w:tcPr>
            <w:tcW w:type="dxa" w:w="232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13 restoration records and operating tables</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Restoration.csv and related files</w:t>
            </w:r>
          </w:p>
        </w:tc>
      </w:tr>
      <w:tr>
        <w:trPr>
          <w:cantSplit w:val="true"/>
        </w:trPr>
        <w:tc>
          <w:tcPr>
            <w:tcW w:type="dxa" w:w="198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Training set (generated)</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This project</w:t>
            </w:r>
          </w:p>
        </w:tc>
        <w:tc>
          <w:tcPr>
            <w:tcW w:type="dxa" w:w="232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900 scenarios × 5 times × 4 chemicals = 18,000 rows</w:t>
            </w:r>
          </w:p>
        </w:tc>
        <w:tc>
          <w:tcPr>
            <w:tcW w:type="dxa" w:w="306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regenerated from a fixed seed</w:t>
            </w:r>
          </w:p>
        </w:tc>
      </w:tr>
    </w:tbl>
    <w:p>
      <w:pPr>
        <w:spacing w:after="40"/>
      </w:pPr>
    </w:p>
    <w:p>
      <w:pPr>
        <w:pStyle w:val="Heading2"/>
        <w:keepNext/>
        <w:spacing w:before="200" w:after="120" w:line="276" w:lineRule="auto"/>
        <w:jc w:val="left"/>
      </w:pPr>
      <w:r>
        <w:rPr>
          <w:rFonts w:ascii="Times New Roman" w:hAnsi="Times New Roman" w:eastAsia="Times New Roman"/>
          <w:b/>
          <w:i w:val="0"/>
          <w:sz w:val="24"/>
        </w:rPr>
        <w:t>Annexure B: Database Tables and Migrations</w:t>
      </w:r>
    </w:p>
    <w:p>
      <w:pPr>
        <w:spacing w:before="0" w:after="120" w:line="360" w:lineRule="auto"/>
        <w:jc w:val="both"/>
      </w:pPr>
      <w:r>
        <w:rPr>
          <w:rFonts w:ascii="Times New Roman" w:hAnsi="Times New Roman" w:eastAsia="Times New Roman"/>
          <w:b w:val="0"/>
          <w:i w:val="0"/>
          <w:sz w:val="24"/>
        </w:rPr>
        <w:t>The main database tables are:</w:t>
      </w:r>
    </w:p>
    <w:p>
      <w:pPr>
        <w:pStyle w:val="ListBullet"/>
        <w:spacing w:before="0" w:after="40" w:line="312" w:lineRule="auto"/>
        <w:ind w:left="567" w:hanging="283"/>
        <w:jc w:val="both"/>
      </w:pPr>
      <w:r>
        <w:rPr>
          <w:rFonts w:ascii="Times New Roman" w:hAnsi="Times New Roman" w:eastAsia="Times New Roman"/>
          <w:b/>
          <w:i w:val="0"/>
          <w:sz w:val="24"/>
        </w:rPr>
        <w:t>users, orgs:</w:t>
      </w:r>
      <w:r>
        <w:rPr>
          <w:rFonts w:ascii="Times New Roman" w:hAnsi="Times New Roman" w:eastAsia="Times New Roman"/>
          <w:b w:val="0"/>
          <w:i w:val="0"/>
          <w:sz w:val="24"/>
        </w:rPr>
        <w:t xml:space="preserve"> accounts (with home block and email opt-in) and organisations</w:t>
      </w:r>
    </w:p>
    <w:p>
      <w:pPr>
        <w:pStyle w:val="ListBullet"/>
        <w:spacing w:before="0" w:after="40" w:line="312" w:lineRule="auto"/>
        <w:ind w:left="567" w:hanging="283"/>
        <w:jc w:val="both"/>
      </w:pPr>
      <w:r>
        <w:rPr>
          <w:rFonts w:ascii="Times New Roman" w:hAnsi="Times New Roman" w:eastAsia="Times New Roman"/>
          <w:b/>
          <w:i w:val="0"/>
          <w:sz w:val="24"/>
        </w:rPr>
        <w:t>districts, blocks, aquifers:</w:t>
      </w:r>
      <w:r>
        <w:rPr>
          <w:rFonts w:ascii="Times New Roman" w:hAnsi="Times New Roman" w:eastAsia="Times New Roman"/>
          <w:b w:val="0"/>
          <w:i w:val="0"/>
          <w:sz w:val="24"/>
        </w:rPr>
        <w:t xml:space="preserve"> administrative and aquifer geometry</w:t>
      </w:r>
    </w:p>
    <w:p>
      <w:pPr>
        <w:pStyle w:val="ListBullet"/>
        <w:spacing w:before="0" w:after="40" w:line="312" w:lineRule="auto"/>
        <w:ind w:left="567" w:hanging="283"/>
        <w:jc w:val="both"/>
      </w:pPr>
      <w:r>
        <w:rPr>
          <w:rFonts w:ascii="Times New Roman" w:hAnsi="Times New Roman" w:eastAsia="Times New Roman"/>
          <w:b/>
          <w:i w:val="0"/>
          <w:sz w:val="24"/>
        </w:rPr>
        <w:t>monitoring_wells, water_samples, monitoring_stations:</w:t>
      </w:r>
      <w:r>
        <w:rPr>
          <w:rFonts w:ascii="Times New Roman" w:hAnsi="Times New Roman" w:eastAsia="Times New Roman"/>
          <w:b w:val="0"/>
          <w:i w:val="0"/>
          <w:sz w:val="24"/>
        </w:rPr>
        <w:t xml:space="preserve"> measured data, with the source of every row</w:t>
      </w:r>
    </w:p>
    <w:p>
      <w:pPr>
        <w:pStyle w:val="ListBullet"/>
        <w:spacing w:before="0" w:after="40" w:line="312" w:lineRule="auto"/>
        <w:ind w:left="567" w:hanging="283"/>
        <w:jc w:val="both"/>
      </w:pPr>
      <w:r>
        <w:rPr>
          <w:rFonts w:ascii="Times New Roman" w:hAnsi="Times New Roman" w:eastAsia="Times New Roman"/>
          <w:b/>
          <w:i w:val="0"/>
          <w:sz w:val="24"/>
        </w:rPr>
        <w:t>data_sources, dataset_versions:</w:t>
      </w:r>
      <w:r>
        <w:rPr>
          <w:rFonts w:ascii="Times New Roman" w:hAnsi="Times New Roman" w:eastAsia="Times New Roman"/>
          <w:b w:val="0"/>
          <w:i w:val="0"/>
          <w:sz w:val="24"/>
        </w:rPr>
        <w:t xml:space="preserve"> checksums and versions of loaded files</w:t>
      </w:r>
    </w:p>
    <w:p>
      <w:pPr>
        <w:pStyle w:val="ListBullet"/>
        <w:spacing w:before="0" w:after="40" w:line="312" w:lineRule="auto"/>
        <w:ind w:left="567" w:hanging="283"/>
        <w:jc w:val="both"/>
      </w:pPr>
      <w:r>
        <w:rPr>
          <w:rFonts w:ascii="Times New Roman" w:hAnsi="Times New Roman" w:eastAsia="Times New Roman"/>
          <w:b/>
          <w:i w:val="0"/>
          <w:sz w:val="24"/>
        </w:rPr>
        <w:t>isr_points:</w:t>
      </w:r>
      <w:r>
        <w:rPr>
          <w:rFonts w:ascii="Times New Roman" w:hAnsi="Times New Roman" w:eastAsia="Times New Roman"/>
          <w:b w:val="0"/>
          <w:i w:val="0"/>
          <w:sz w:val="24"/>
        </w:rPr>
        <w:t xml:space="preserve"> hypothetical sites with operating settings and injection start date</w:t>
      </w:r>
    </w:p>
    <w:p>
      <w:pPr>
        <w:pStyle w:val="ListBullet"/>
        <w:spacing w:before="0" w:after="40" w:line="312" w:lineRule="auto"/>
        <w:ind w:left="567" w:hanging="283"/>
        <w:jc w:val="both"/>
      </w:pPr>
      <w:r>
        <w:rPr>
          <w:rFonts w:ascii="Times New Roman" w:hAnsi="Times New Roman" w:eastAsia="Times New Roman"/>
          <w:b/>
          <w:i w:val="0"/>
          <w:sz w:val="24"/>
        </w:rPr>
        <w:t>scenarios, simulation_runs:</w:t>
      </w:r>
      <w:r>
        <w:rPr>
          <w:rFonts w:ascii="Times New Roman" w:hAnsi="Times New Roman" w:eastAsia="Times New Roman"/>
          <w:b w:val="0"/>
          <w:i w:val="0"/>
          <w:sz w:val="24"/>
        </w:rPr>
        <w:t xml:space="preserve"> saved scenarios and runs, with plume geometry, timeline frames, vertical screening and the model version used</w:t>
      </w:r>
    </w:p>
    <w:p>
      <w:pPr>
        <w:pStyle w:val="ListBullet"/>
        <w:spacing w:before="0" w:after="40" w:line="312" w:lineRule="auto"/>
        <w:ind w:left="567" w:hanging="283"/>
        <w:jc w:val="both"/>
      </w:pPr>
      <w:r>
        <w:rPr>
          <w:rFonts w:ascii="Times New Roman" w:hAnsi="Times New Roman" w:eastAsia="Times New Roman"/>
          <w:b/>
          <w:i w:val="0"/>
          <w:sz w:val="24"/>
        </w:rPr>
        <w:t>advisories:</w:t>
      </w:r>
      <w:r>
        <w:rPr>
          <w:rFonts w:ascii="Times New Roman" w:hAnsi="Times New Roman" w:eastAsia="Times New Roman"/>
          <w:b w:val="0"/>
          <w:i w:val="0"/>
          <w:sz w:val="24"/>
        </w:rPr>
        <w:t xml:space="preserve"> screenings with their status (draft, published, withdrawn)</w:t>
      </w:r>
    </w:p>
    <w:p>
      <w:pPr>
        <w:pStyle w:val="ListBullet"/>
        <w:spacing w:before="0" w:after="40" w:line="312" w:lineRule="auto"/>
        <w:ind w:left="567" w:hanging="283"/>
        <w:jc w:val="both"/>
      </w:pPr>
      <w:r>
        <w:rPr>
          <w:rFonts w:ascii="Times New Roman" w:hAnsi="Times New Roman" w:eastAsia="Times New Roman"/>
          <w:b/>
          <w:i w:val="0"/>
          <w:sz w:val="24"/>
        </w:rPr>
        <w:t>alerts, alert_deliveries, block_subscriptions:</w:t>
      </w:r>
      <w:r>
        <w:rPr>
          <w:rFonts w:ascii="Times New Roman" w:hAnsi="Times New Roman" w:eastAsia="Times New Roman"/>
          <w:b w:val="0"/>
          <w:i w:val="0"/>
          <w:sz w:val="24"/>
        </w:rPr>
        <w:t xml:space="preserve"> alerts with tier and explanation, the email delivery log, and residents’ followed blocks</w:t>
      </w:r>
    </w:p>
    <w:p>
      <w:pPr>
        <w:pStyle w:val="ListBullet"/>
        <w:spacing w:before="0" w:after="40" w:line="312" w:lineRule="auto"/>
        <w:ind w:left="567" w:hanging="283"/>
        <w:jc w:val="both"/>
      </w:pPr>
      <w:r>
        <w:rPr>
          <w:rFonts w:ascii="Times New Roman" w:hAnsi="Times New Roman" w:eastAsia="Times New Roman"/>
          <w:b/>
          <w:i w:val="0"/>
          <w:sz w:val="24"/>
        </w:rPr>
        <w:t>field_observations:</w:t>
      </w:r>
      <w:r>
        <w:rPr>
          <w:rFonts w:ascii="Times New Roman" w:hAnsi="Times New Roman" w:eastAsia="Times New Roman"/>
          <w:b w:val="0"/>
          <w:i w:val="0"/>
          <w:sz w:val="24"/>
        </w:rPr>
        <w:t xml:space="preserve"> submissions from field officers and their review</w:t>
      </w:r>
    </w:p>
    <w:p>
      <w:pPr>
        <w:pStyle w:val="ListBullet"/>
        <w:spacing w:before="0" w:after="40" w:line="312" w:lineRule="auto"/>
        <w:ind w:left="567" w:hanging="283"/>
        <w:jc w:val="both"/>
      </w:pPr>
      <w:r>
        <w:rPr>
          <w:rFonts w:ascii="Times New Roman" w:hAnsi="Times New Roman" w:eastAsia="Times New Roman"/>
          <w:b/>
          <w:i w:val="0"/>
          <w:sz w:val="24"/>
        </w:rPr>
        <w:t>audit_log:</w:t>
      </w:r>
      <w:r>
        <w:rPr>
          <w:rFonts w:ascii="Times New Roman" w:hAnsi="Times New Roman" w:eastAsia="Times New Roman"/>
          <w:b w:val="0"/>
          <w:i w:val="0"/>
          <w:sz w:val="24"/>
        </w:rPr>
        <w:t xml:space="preserve"> record of every important action (cannot be edited or deleted)</w:t>
      </w:r>
    </w:p>
    <w:p>
      <w:pPr>
        <w:spacing w:before="0" w:after="120" w:line="360" w:lineRule="auto"/>
        <w:jc w:val="both"/>
      </w:pPr>
      <w:r>
        <w:rPr>
          <w:rFonts w:ascii="Times New Roman" w:hAnsi="Times New Roman" w:eastAsia="Times New Roman"/>
          <w:b w:val="0"/>
          <w:i w:val="0"/>
          <w:sz w:val="24"/>
        </w:rPr>
        <w:t>The schema was built through 26 Alembic migrations, from 0001_initial to 0026_alert_tiers_and_explanation. Important steps included: 0004 (wells and samples), 0007 (organisations, provenance and audit log), 0009 (row-level security), 0011 (fix of swapped district coordinates), 0012 (simulation runs), 0017 (advisories), 0018 (resident alerts), 0022 (single admin and restored regulator role), 0025 (home block and email delivery log) and 0026 (alert tiers and explanations).</w:t>
      </w:r>
    </w:p>
    <w:p>
      <w:pPr>
        <w:pStyle w:val="Heading2"/>
        <w:keepNext/>
        <w:spacing w:before="200" w:after="120" w:line="276" w:lineRule="auto"/>
        <w:jc w:val="left"/>
      </w:pPr>
      <w:r>
        <w:rPr>
          <w:rFonts w:ascii="Times New Roman" w:hAnsi="Times New Roman" w:eastAsia="Times New Roman"/>
          <w:b/>
          <w:i w:val="0"/>
          <w:sz w:val="24"/>
        </w:rPr>
        <w:t>Annexure C: Source Code Excerpts</w:t>
      </w:r>
    </w:p>
    <w:p>
      <w:pPr>
        <w:spacing w:before="0" w:after="120" w:line="360" w:lineRule="auto"/>
        <w:jc w:val="both"/>
      </w:pPr>
      <w:r>
        <w:rPr>
          <w:rFonts w:ascii="Times New Roman" w:hAnsi="Times New Roman" w:eastAsia="Times New Roman"/>
          <w:b w:val="0"/>
          <w:i w:val="0"/>
          <w:sz w:val="24"/>
        </w:rPr>
        <w:t>The following excerpts are taken from the project’s source code. Long comments have been shortened; the code lines are unchanged.</w:t>
      </w:r>
    </w:p>
    <w:p>
      <w:pPr>
        <w:keepNext/>
        <w:spacing w:before="120" w:after="80" w:line="276" w:lineRule="auto"/>
        <w:jc w:val="left"/>
      </w:pPr>
      <w:r>
        <w:rPr>
          <w:rFonts w:ascii="Times New Roman" w:hAnsi="Times New Roman" w:eastAsia="Times New Roman"/>
          <w:b/>
          <w:i w:val="0"/>
          <w:sz w:val="24"/>
        </w:rPr>
        <w:t>C.1 Plume shape: Ogata–Banks and Domenico factors (ml_pipeline/physics/transport.py)</w:t>
      </w:r>
    </w:p>
    <w:p>
      <w:pPr>
        <w:spacing w:before="80" w:after="0" w:line="240" w:lineRule="auto"/>
        <w:ind w:left="170"/>
        <w:jc w:val="left"/>
        <w:shd w:val="clear" w:color="auto" w:fill="F2F2F2"/>
      </w:pPr>
      <w:r>
        <w:rPr>
          <w:rFonts w:ascii="Consolas" w:hAnsi="Consolas" w:eastAsia="Consolas"/>
          <w:sz w:val="17"/>
        </w:rPr>
        <w:t>def _ogata_banks_second_term(X, Xc, aL):</w:t>
      </w:r>
    </w:p>
    <w:p>
      <w:pPr>
        <w:spacing w:before="0" w:after="0" w:line="240" w:lineRule="auto"/>
        <w:ind w:left="170"/>
        <w:jc w:val="left"/>
        <w:shd w:val="clear" w:color="auto" w:fill="F2F2F2"/>
      </w:pPr>
      <w:r>
        <w:rPr>
          <w:rFonts w:ascii="Consolas" w:hAnsi="Consolas" w:eastAsia="Consolas"/>
          <w:sz w:val="17"/>
        </w:rPr>
        <w:t xml:space="preserve">    """Second Ogata-Banks (1961) term (comment shortened)."""</w:t>
      </w:r>
    </w:p>
    <w:p>
      <w:pPr>
        <w:spacing w:before="0" w:after="0" w:line="240" w:lineRule="auto"/>
        <w:ind w:left="170"/>
        <w:jc w:val="left"/>
        <w:shd w:val="clear" w:color="auto" w:fill="F2F2F2"/>
      </w:pPr>
      <w:r>
        <w:rPr>
          <w:rFonts w:ascii="Consolas" w:hAnsi="Consolas" w:eastAsia="Consolas"/>
          <w:sz w:val="17"/>
        </w:rPr>
        <w:t xml:space="preserve">    expo = X / aL</w:t>
      </w:r>
    </w:p>
    <w:p>
      <w:pPr>
        <w:spacing w:before="0" w:after="0" w:line="240" w:lineRule="auto"/>
        <w:ind w:left="170"/>
        <w:jc w:val="left"/>
        <w:shd w:val="clear" w:color="auto" w:fill="F2F2F2"/>
      </w:pPr>
      <w:r>
        <w:rPr>
          <w:rFonts w:ascii="Consolas" w:hAnsi="Consolas" w:eastAsia="Consolas"/>
          <w:sz w:val="17"/>
        </w:rPr>
        <w:t xml:space="preserve">    safe = (expo &lt; 700.0) &amp; (X &gt; 0.0)</w:t>
      </w:r>
    </w:p>
    <w:p>
      <w:pPr>
        <w:spacing w:before="0" w:after="0" w:line="240" w:lineRule="auto"/>
        <w:ind w:left="170"/>
        <w:jc w:val="left"/>
        <w:shd w:val="clear" w:color="auto" w:fill="F2F2F2"/>
      </w:pPr>
      <w:r>
        <w:rPr>
          <w:rFonts w:ascii="Consolas" w:hAnsi="Consolas" w:eastAsia="Consolas"/>
          <w:sz w:val="17"/>
        </w:rPr>
        <w:t xml:space="preserve">    arg2 = (X + Xc) / (2.0 * np.sqrt(aL * Xc))</w:t>
      </w:r>
    </w:p>
    <w:p>
      <w:pPr>
        <w:spacing w:before="0" w:after="0" w:line="240" w:lineRule="auto"/>
        <w:ind w:left="170"/>
        <w:jc w:val="left"/>
        <w:shd w:val="clear" w:color="auto" w:fill="F2F2F2"/>
      </w:pPr>
      <w:r>
        <w:rPr>
          <w:rFonts w:ascii="Consolas" w:hAnsi="Consolas" w:eastAsia="Consolas"/>
          <w:sz w:val="17"/>
        </w:rPr>
        <w:t xml:space="preserve">    return np.where(safe, 0.5 * np.exp(np.where(safe, expo, 0.0)) * erfc(arg2), 0.0)</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def _long_factor(X: np.ndarray, Xc: float, aL: float) -&gt; np.ndarray:</w:t>
      </w:r>
    </w:p>
    <w:p>
      <w:pPr>
        <w:spacing w:before="0" w:after="0" w:line="240" w:lineRule="auto"/>
        <w:ind w:left="170"/>
        <w:jc w:val="left"/>
        <w:shd w:val="clear" w:color="auto" w:fill="F2F2F2"/>
      </w:pPr>
      <w:r>
        <w:rPr>
          <w:rFonts w:ascii="Consolas" w:hAnsi="Consolas" w:eastAsia="Consolas"/>
          <w:sz w:val="17"/>
        </w:rPr>
        <w:t xml:space="preserve">    Xc = max(Xc, 1e-3)</w:t>
      </w:r>
    </w:p>
    <w:p>
      <w:pPr>
        <w:spacing w:before="0" w:after="0" w:line="240" w:lineRule="auto"/>
        <w:ind w:left="170"/>
        <w:jc w:val="left"/>
        <w:shd w:val="clear" w:color="auto" w:fill="F2F2F2"/>
      </w:pPr>
      <w:r>
        <w:rPr>
          <w:rFonts w:ascii="Consolas" w:hAnsi="Consolas" w:eastAsia="Consolas"/>
          <w:sz w:val="17"/>
        </w:rPr>
        <w:t xml:space="preserve">    aL = max(aL, 1e-3)</w:t>
      </w:r>
    </w:p>
    <w:p>
      <w:pPr>
        <w:spacing w:before="0" w:after="0" w:line="240" w:lineRule="auto"/>
        <w:ind w:left="170"/>
        <w:jc w:val="left"/>
        <w:shd w:val="clear" w:color="auto" w:fill="F2F2F2"/>
      </w:pPr>
      <w:r>
        <w:rPr>
          <w:rFonts w:ascii="Consolas" w:hAnsi="Consolas" w:eastAsia="Consolas"/>
          <w:sz w:val="17"/>
        </w:rPr>
        <w:t xml:space="preserve">    return np.clip(0.5 * erfc((X - Xc) / (2.0 * np.sqrt(aL * Xc)))</w:t>
      </w:r>
    </w:p>
    <w:p>
      <w:pPr>
        <w:spacing w:before="0" w:after="0" w:line="240" w:lineRule="auto"/>
        <w:ind w:left="170"/>
        <w:jc w:val="left"/>
        <w:shd w:val="clear" w:color="auto" w:fill="F2F2F2"/>
      </w:pPr>
      <w:r>
        <w:rPr>
          <w:rFonts w:ascii="Consolas" w:hAnsi="Consolas" w:eastAsia="Consolas"/>
          <w:sz w:val="17"/>
        </w:rPr>
        <w:t xml:space="preserve">                   + _ogata_banks_second_term(X, Xc, aL), 0.0, 1.0)</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def _tran_factor(X: np.ndarray, Y: np.ndarray, aT: float, W: float) -&gt; np.ndarray:</w:t>
      </w:r>
    </w:p>
    <w:p>
      <w:pPr>
        <w:spacing w:before="0" w:after="0" w:line="240" w:lineRule="auto"/>
        <w:ind w:left="170"/>
        <w:jc w:val="left"/>
        <w:shd w:val="clear" w:color="auto" w:fill="F2F2F2"/>
      </w:pPr>
      <w:r>
        <w:rPr>
          <w:rFonts w:ascii="Consolas" w:hAnsi="Consolas" w:eastAsia="Consolas"/>
          <w:sz w:val="17"/>
        </w:rPr>
        <w:t xml:space="preserve">    aT = max(aT, 1e-4)</w:t>
      </w:r>
    </w:p>
    <w:p>
      <w:pPr>
        <w:spacing w:before="0" w:after="0" w:line="240" w:lineRule="auto"/>
        <w:ind w:left="170"/>
        <w:jc w:val="left"/>
        <w:shd w:val="clear" w:color="auto" w:fill="F2F2F2"/>
      </w:pPr>
      <w:r>
        <w:rPr>
          <w:rFonts w:ascii="Consolas" w:hAnsi="Consolas" w:eastAsia="Consolas"/>
          <w:sz w:val="17"/>
        </w:rPr>
        <w:t xml:space="preserve">    Xpos = np.where(X &gt; 0.1, X, 0.1)</w:t>
      </w:r>
    </w:p>
    <w:p>
      <w:pPr>
        <w:spacing w:before="0" w:after="0" w:line="240" w:lineRule="auto"/>
        <w:ind w:left="170"/>
        <w:jc w:val="left"/>
        <w:shd w:val="clear" w:color="auto" w:fill="F2F2F2"/>
      </w:pPr>
      <w:r>
        <w:rPr>
          <w:rFonts w:ascii="Consolas" w:hAnsi="Consolas" w:eastAsia="Consolas"/>
          <w:sz w:val="17"/>
        </w:rPr>
        <w:t xml:space="preserve">    tw = 2.0 * np.sqrt(aT * Xpos)</w:t>
      </w:r>
    </w:p>
    <w:p>
      <w:pPr>
        <w:spacing w:before="0" w:after="120" w:line="240" w:lineRule="auto"/>
        <w:ind w:left="170"/>
        <w:jc w:val="left"/>
        <w:shd w:val="clear" w:color="auto" w:fill="F2F2F2"/>
      </w:pPr>
      <w:r>
        <w:rPr>
          <w:rFonts w:ascii="Consolas" w:hAnsi="Consolas" w:eastAsia="Consolas"/>
          <w:sz w:val="17"/>
        </w:rPr>
        <w:t xml:space="preserve">    return 0.5 * (erf((Y + W / 2.0) / tw) - erf((Y - W / 2.0) / tw))</w:t>
      </w:r>
    </w:p>
    <w:p>
      <w:pPr>
        <w:keepNext/>
        <w:spacing w:before="120" w:after="80" w:line="276" w:lineRule="auto"/>
        <w:jc w:val="left"/>
      </w:pPr>
      <w:r>
        <w:rPr>
          <w:rFonts w:ascii="Times New Roman" w:hAnsi="Times New Roman" w:eastAsia="Times New Roman"/>
          <w:b/>
          <w:i w:val="0"/>
          <w:sz w:val="24"/>
        </w:rPr>
        <w:t>C.2 Dual-porosity slowing: the retarded clock (ml_pipeline/physics/transport.py)</w:t>
      </w:r>
    </w:p>
    <w:p>
      <w:pPr>
        <w:spacing w:before="80" w:after="0" w:line="240" w:lineRule="auto"/>
        <w:ind w:left="170"/>
        <w:jc w:val="left"/>
        <w:shd w:val="clear" w:color="auto" w:fill="F2F2F2"/>
      </w:pPr>
      <w:r>
        <w:rPr>
          <w:rFonts w:ascii="Consolas" w:hAnsi="Consolas" w:eastAsia="Consolas"/>
          <w:sz w:val="17"/>
        </w:rPr>
        <w:t>def apparent_retardation(t_days: float, beta: float, omega: float) -&gt; float:</w:t>
      </w:r>
    </w:p>
    <w:p>
      <w:pPr>
        <w:spacing w:before="0" w:after="0" w:line="240" w:lineRule="auto"/>
        <w:ind w:left="170"/>
        <w:jc w:val="left"/>
        <w:shd w:val="clear" w:color="auto" w:fill="F2F2F2"/>
      </w:pPr>
      <w:r>
        <w:rPr>
          <w:rFonts w:ascii="Consolas" w:hAnsi="Consolas" w:eastAsia="Consolas"/>
          <w:sz w:val="17"/>
        </w:rPr>
        <w:t xml:space="preserve">    """R_app(t) = 1 + beta*(1 - e^(-a t)), a = omega*(1+beta)/beta.</w:t>
      </w:r>
    </w:p>
    <w:p>
      <w:pPr>
        <w:spacing w:before="0" w:after="0" w:line="240" w:lineRule="auto"/>
        <w:ind w:left="170"/>
        <w:jc w:val="left"/>
        <w:shd w:val="clear" w:color="auto" w:fill="F2F2F2"/>
      </w:pPr>
      <w:r>
        <w:rPr>
          <w:rFonts w:ascii="Consolas" w:hAnsi="Consolas" w:eastAsia="Consolas"/>
          <w:sz w:val="17"/>
        </w:rPr>
        <w:t xml:space="preserve">    [Goltz &amp; Roberts 1986] (comment shortened)"""</w:t>
      </w:r>
    </w:p>
    <w:p>
      <w:pPr>
        <w:spacing w:before="0" w:after="0" w:line="240" w:lineRule="auto"/>
        <w:ind w:left="170"/>
        <w:jc w:val="left"/>
        <w:shd w:val="clear" w:color="auto" w:fill="F2F2F2"/>
      </w:pPr>
      <w:r>
        <w:rPr>
          <w:rFonts w:ascii="Consolas" w:hAnsi="Consolas" w:eastAsia="Consolas"/>
          <w:sz w:val="17"/>
        </w:rPr>
        <w:t xml:space="preserve">    if beta &lt;= 0.0 or omega &lt;= 0.0:</w:t>
      </w:r>
    </w:p>
    <w:p>
      <w:pPr>
        <w:spacing w:before="0" w:after="0" w:line="240" w:lineRule="auto"/>
        <w:ind w:left="170"/>
        <w:jc w:val="left"/>
        <w:shd w:val="clear" w:color="auto" w:fill="F2F2F2"/>
      </w:pPr>
      <w:r>
        <w:rPr>
          <w:rFonts w:ascii="Consolas" w:hAnsi="Consolas" w:eastAsia="Consolas"/>
          <w:sz w:val="17"/>
        </w:rPr>
        <w:t xml:space="preserve">        return 1.0</w:t>
      </w:r>
    </w:p>
    <w:p>
      <w:pPr>
        <w:spacing w:before="0" w:after="0" w:line="240" w:lineRule="auto"/>
        <w:ind w:left="170"/>
        <w:jc w:val="left"/>
        <w:shd w:val="clear" w:color="auto" w:fill="F2F2F2"/>
      </w:pPr>
      <w:r>
        <w:rPr>
          <w:rFonts w:ascii="Consolas" w:hAnsi="Consolas" w:eastAsia="Consolas"/>
          <w:sz w:val="17"/>
        </w:rPr>
        <w:t xml:space="preserve">    a = omega * (1.0 + beta) / beta</w:t>
      </w:r>
    </w:p>
    <w:p>
      <w:pPr>
        <w:spacing w:before="0" w:after="0" w:line="240" w:lineRule="auto"/>
        <w:ind w:left="170"/>
        <w:jc w:val="left"/>
        <w:shd w:val="clear" w:color="auto" w:fill="F2F2F2"/>
      </w:pPr>
      <w:r>
        <w:rPr>
          <w:rFonts w:ascii="Consolas" w:hAnsi="Consolas" w:eastAsia="Consolas"/>
          <w:sz w:val="17"/>
        </w:rPr>
        <w:t xml:space="preserve">    return 1.0 + beta * (1.0 - math.exp(-a * max(t_days, 0.0)))</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def retarded_clock(t_days: float, beta: float, omega: float) -&gt; float:</w:t>
      </w:r>
    </w:p>
    <w:p>
      <w:pPr>
        <w:spacing w:before="0" w:after="0" w:line="240" w:lineRule="auto"/>
        <w:ind w:left="170"/>
        <w:jc w:val="left"/>
        <w:shd w:val="clear" w:color="auto" w:fill="F2F2F2"/>
      </w:pPr>
      <w:r>
        <w:rPr>
          <w:rFonts w:ascii="Consolas" w:hAnsi="Consolas" w:eastAsia="Consolas"/>
          <w:sz w:val="17"/>
        </w:rPr>
        <w:t xml:space="preserve">    """Closed-form I(t) = int_0^t dt'/R_app(t') [days] (comment shortened)."""</w:t>
      </w:r>
    </w:p>
    <w:p>
      <w:pPr>
        <w:spacing w:before="0" w:after="0" w:line="240" w:lineRule="auto"/>
        <w:ind w:left="170"/>
        <w:jc w:val="left"/>
        <w:shd w:val="clear" w:color="auto" w:fill="F2F2F2"/>
      </w:pPr>
      <w:r>
        <w:rPr>
          <w:rFonts w:ascii="Consolas" w:hAnsi="Consolas" w:eastAsia="Consolas"/>
          <w:sz w:val="17"/>
        </w:rPr>
        <w:t xml:space="preserve">    t = max(t_days, 0.0)</w:t>
      </w:r>
    </w:p>
    <w:p>
      <w:pPr>
        <w:spacing w:before="0" w:after="0" w:line="240" w:lineRule="auto"/>
        <w:ind w:left="170"/>
        <w:jc w:val="left"/>
        <w:shd w:val="clear" w:color="auto" w:fill="F2F2F2"/>
      </w:pPr>
      <w:r>
        <w:rPr>
          <w:rFonts w:ascii="Consolas" w:hAnsi="Consolas" w:eastAsia="Consolas"/>
          <w:sz w:val="17"/>
        </w:rPr>
        <w:t xml:space="preserve">    if beta &lt;= 0.0 or omega &lt;= 0.0:</w:t>
      </w:r>
    </w:p>
    <w:p>
      <w:pPr>
        <w:spacing w:before="0" w:after="0" w:line="240" w:lineRule="auto"/>
        <w:ind w:left="170"/>
        <w:jc w:val="left"/>
        <w:shd w:val="clear" w:color="auto" w:fill="F2F2F2"/>
      </w:pPr>
      <w:r>
        <w:rPr>
          <w:rFonts w:ascii="Consolas" w:hAnsi="Consolas" w:eastAsia="Consolas"/>
          <w:sz w:val="17"/>
        </w:rPr>
        <w:t xml:space="preserve">        return t</w:t>
      </w:r>
    </w:p>
    <w:p>
      <w:pPr>
        <w:spacing w:before="0" w:after="0" w:line="240" w:lineRule="auto"/>
        <w:ind w:left="170"/>
        <w:jc w:val="left"/>
        <w:shd w:val="clear" w:color="auto" w:fill="F2F2F2"/>
      </w:pPr>
      <w:r>
        <w:rPr>
          <w:rFonts w:ascii="Consolas" w:hAnsi="Consolas" w:eastAsia="Consolas"/>
          <w:sz w:val="17"/>
        </w:rPr>
        <w:t xml:space="preserve">    a = omega * (1.0 + beta) / beta</w:t>
      </w:r>
    </w:p>
    <w:p>
      <w:pPr>
        <w:spacing w:before="0" w:after="0" w:line="240" w:lineRule="auto"/>
        <w:ind w:left="170"/>
        <w:jc w:val="left"/>
        <w:shd w:val="clear" w:color="auto" w:fill="F2F2F2"/>
      </w:pPr>
      <w:r>
        <w:rPr>
          <w:rFonts w:ascii="Consolas" w:hAnsi="Consolas" w:eastAsia="Consolas"/>
          <w:sz w:val="17"/>
        </w:rPr>
        <w:t xml:space="preserve">    I = t / (1.0 + beta) + math.log1p(-beta * math.expm1(-a * t)) / (a * (1.0 + beta))</w:t>
      </w:r>
    </w:p>
    <w:p>
      <w:pPr>
        <w:spacing w:before="0" w:after="0" w:line="240" w:lineRule="auto"/>
        <w:ind w:left="170"/>
        <w:jc w:val="left"/>
        <w:shd w:val="clear" w:color="auto" w:fill="F2F2F2"/>
      </w:pPr>
      <w:r>
        <w:rPr>
          <w:rFonts w:ascii="Consolas" w:hAnsi="Consolas" w:eastAsia="Consolas"/>
          <w:sz w:val="17"/>
        </w:rPr>
        <w:t xml:space="preserve">    if not math.isfinite(I) or I &lt; 0.0:                # unreachable by construction</w:t>
      </w:r>
    </w:p>
    <w:p>
      <w:pPr>
        <w:spacing w:before="0" w:after="0" w:line="240" w:lineRule="auto"/>
        <w:ind w:left="170"/>
        <w:jc w:val="left"/>
        <w:shd w:val="clear" w:color="auto" w:fill="F2F2F2"/>
      </w:pPr>
      <w:r>
        <w:rPr>
          <w:rFonts w:ascii="Consolas" w:hAnsi="Consolas" w:eastAsia="Consolas"/>
          <w:sz w:val="17"/>
        </w:rPr>
        <w:t xml:space="preserve">        raise ValueError(f"retarded_clock non-finite: t={t}, beta={beta}, omega={omega}")</w:t>
      </w:r>
    </w:p>
    <w:p>
      <w:pPr>
        <w:spacing w:before="0" w:after="120" w:line="240" w:lineRule="auto"/>
        <w:ind w:left="170"/>
        <w:jc w:val="left"/>
        <w:shd w:val="clear" w:color="auto" w:fill="F2F2F2"/>
      </w:pPr>
      <w:r>
        <w:rPr>
          <w:rFonts w:ascii="Consolas" w:hAnsi="Consolas" w:eastAsia="Consolas"/>
          <w:sz w:val="17"/>
        </w:rPr>
        <w:t xml:space="preserve">    return I</w:t>
      </w:r>
    </w:p>
    <w:p>
      <w:pPr>
        <w:keepNext/>
        <w:spacing w:before="120" w:after="80" w:line="276" w:lineRule="auto"/>
        <w:jc w:val="left"/>
      </w:pPr>
      <w:r>
        <w:rPr>
          <w:rFonts w:ascii="Times New Roman" w:hAnsi="Times New Roman" w:eastAsia="Times New Roman"/>
          <w:b/>
          <w:i w:val="0"/>
          <w:sz w:val="24"/>
        </w:rPr>
        <w:t>C.3 The 2-of-3 excursion test (ml_pipeline/dashboard/isr_excursion.py)</w:t>
      </w:r>
    </w:p>
    <w:p>
      <w:pPr>
        <w:spacing w:before="80" w:after="0" w:line="240" w:lineRule="auto"/>
        <w:ind w:left="170"/>
        <w:jc w:val="left"/>
        <w:shd w:val="clear" w:color="auto" w:fill="F2F2F2"/>
      </w:pPr>
      <w:r>
        <w:rPr>
          <w:rFonts w:ascii="Consolas" w:hAnsi="Consolas" w:eastAsia="Consolas"/>
          <w:sz w:val="17"/>
        </w:rPr>
        <w:t xml:space="preserve">    indicators, n_over = [], 0</w:t>
      </w:r>
    </w:p>
    <w:p>
      <w:pPr>
        <w:spacing w:before="0" w:after="0" w:line="240" w:lineRule="auto"/>
        <w:ind w:left="170"/>
        <w:jc w:val="left"/>
        <w:shd w:val="clear" w:color="auto" w:fill="F2F2F2"/>
      </w:pPr>
      <w:r>
        <w:rPr>
          <w:rFonts w:ascii="Consolas" w:hAnsi="Consolas" w:eastAsia="Consolas"/>
          <w:sz w:val="17"/>
        </w:rPr>
        <w:t xml:space="preserve">    for sp in P.ISR_EXCURSION_INDICATORS:</w:t>
      </w:r>
    </w:p>
    <w:p>
      <w:pPr>
        <w:spacing w:before="0" w:after="0" w:line="240" w:lineRule="auto"/>
        <w:ind w:left="170"/>
        <w:jc w:val="left"/>
        <w:shd w:val="clear" w:color="auto" w:fill="F2F2F2"/>
      </w:pPr>
      <w:r>
        <w:rPr>
          <w:rFonts w:ascii="Consolas" w:hAnsi="Consolas" w:eastAsia="Consolas"/>
          <w:sz w:val="17"/>
        </w:rPr>
        <w:t xml:space="preserve">        try:</w:t>
      </w:r>
    </w:p>
    <w:p>
      <w:pPr>
        <w:spacing w:before="0" w:after="0" w:line="240" w:lineRule="auto"/>
        <w:ind w:left="170"/>
        <w:jc w:val="left"/>
        <w:shd w:val="clear" w:color="auto" w:fill="F2F2F2"/>
      </w:pPr>
      <w:r>
        <w:rPr>
          <w:rFonts w:ascii="Consolas" w:hAnsi="Consolas" w:eastAsia="Consolas"/>
          <w:sz w:val="17"/>
        </w:rPr>
        <w:t xml:space="preserve">            r = _ring_concentration(payload, sp, ring)</w:t>
      </w:r>
    </w:p>
    <w:p>
      <w:pPr>
        <w:spacing w:before="0" w:after="0" w:line="240" w:lineRule="auto"/>
        <w:ind w:left="170"/>
        <w:jc w:val="left"/>
        <w:shd w:val="clear" w:color="auto" w:fill="F2F2F2"/>
      </w:pPr>
      <w:r>
        <w:rPr>
          <w:rFonts w:ascii="Consolas" w:hAnsi="Consolas" w:eastAsia="Consolas"/>
          <w:sz w:val="17"/>
        </w:rPr>
        <w:t xml:space="preserve">        except Exception as e:                       # never break the main answer</w:t>
      </w:r>
    </w:p>
    <w:p>
      <w:pPr>
        <w:spacing w:before="0" w:after="0" w:line="240" w:lineRule="auto"/>
        <w:ind w:left="170"/>
        <w:jc w:val="left"/>
        <w:shd w:val="clear" w:color="auto" w:fill="F2F2F2"/>
      </w:pPr>
      <w:r>
        <w:rPr>
          <w:rFonts w:ascii="Consolas" w:hAnsi="Consolas" w:eastAsia="Consolas"/>
          <w:sz w:val="17"/>
        </w:rPr>
        <w:t xml:space="preserve">            indicators.append({"species": sp, "status": f"unavailable: {e}"})</w:t>
      </w:r>
    </w:p>
    <w:p>
      <w:pPr>
        <w:spacing w:before="0" w:after="0" w:line="240" w:lineRule="auto"/>
        <w:ind w:left="170"/>
        <w:jc w:val="left"/>
        <w:shd w:val="clear" w:color="auto" w:fill="F2F2F2"/>
      </w:pPr>
      <w:r>
        <w:rPr>
          <w:rFonts w:ascii="Consolas" w:hAnsi="Consolas" w:eastAsia="Consolas"/>
          <w:sz w:val="17"/>
        </w:rPr>
        <w:t xml:space="preserve">            continue</w:t>
      </w:r>
    </w:p>
    <w:p>
      <w:pPr>
        <w:spacing w:before="0" w:after="0" w:line="240" w:lineRule="auto"/>
        <w:ind w:left="170"/>
        <w:jc w:val="left"/>
        <w:shd w:val="clear" w:color="auto" w:fill="F2F2F2"/>
      </w:pPr>
      <w:r>
        <w:rPr>
          <w:rFonts w:ascii="Consolas" w:hAnsi="Consolas" w:eastAsia="Consolas"/>
          <w:sz w:val="17"/>
        </w:rPr>
        <w:t xml:space="preserve">        ucl = P.isr_upper_control_limit(r["baseline"], r["lixiviant_C0"], inc)</w:t>
      </w:r>
    </w:p>
    <w:p>
      <w:pPr>
        <w:spacing w:before="0" w:after="0" w:line="240" w:lineRule="auto"/>
        <w:ind w:left="170"/>
        <w:jc w:val="left"/>
        <w:shd w:val="clear" w:color="auto" w:fill="F2F2F2"/>
      </w:pPr>
      <w:r>
        <w:rPr>
          <w:rFonts w:ascii="Consolas" w:hAnsi="Consolas" w:eastAsia="Consolas"/>
          <w:sz w:val="17"/>
        </w:rPr>
        <w:t xml:space="preserve">        over = bool(r["ring_conc"] &gt;= ucl) if ucl == ucl and ucl != float("inf") else False</w:t>
      </w:r>
    </w:p>
    <w:p>
      <w:pPr>
        <w:spacing w:before="0" w:after="0" w:line="240" w:lineRule="auto"/>
        <w:ind w:left="170"/>
        <w:jc w:val="left"/>
        <w:shd w:val="clear" w:color="auto" w:fill="F2F2F2"/>
      </w:pPr>
      <w:r>
        <w:rPr>
          <w:rFonts w:ascii="Consolas" w:hAnsi="Consolas" w:eastAsia="Consolas"/>
          <w:sz w:val="17"/>
        </w:rPr>
        <w:t xml:space="preserve">        n_over += int(over)</w:t>
      </w:r>
    </w:p>
    <w:p>
      <w:pPr>
        <w:spacing w:before="0" w:after="0" w:line="240" w:lineRule="auto"/>
        <w:ind w:left="170"/>
        <w:jc w:val="left"/>
        <w:shd w:val="clear" w:color="auto" w:fill="F2F2F2"/>
      </w:pPr>
      <w:r>
        <w:rPr>
          <w:rFonts w:ascii="Consolas" w:hAnsi="Consolas" w:eastAsia="Consolas"/>
          <w:sz w:val="17"/>
        </w:rPr>
        <w:t xml:space="preserve">        # ... (output fields omitted)</w:t>
      </w:r>
    </w:p>
    <w:p>
      <w:pPr>
        <w:spacing w:before="0" w:after="0" w:line="240" w:lineRule="auto"/>
        <w:ind w:left="170"/>
        <w:jc w:val="left"/>
        <w:shd w:val="clear" w:color="auto" w:fill="F2F2F2"/>
      </w:pPr>
      <w:r>
        <w:rPr>
          <w:rFonts w:ascii="Consolas" w:hAnsi="Consolas" w:eastAsia="Consolas"/>
          <w:sz w:val="17"/>
        </w:rPr>
        <w:t xml:space="preserve">        indicators.append(r)</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 xml:space="preserve">    n_available = sum(1 for i in indicators if "status" not in i)</w:t>
      </w:r>
    </w:p>
    <w:p>
      <w:pPr>
        <w:spacing w:before="0" w:after="120" w:line="240" w:lineRule="auto"/>
        <w:ind w:left="170"/>
        <w:jc w:val="left"/>
        <w:shd w:val="clear" w:color="auto" w:fill="F2F2F2"/>
      </w:pPr>
      <w:r>
        <w:rPr>
          <w:rFonts w:ascii="Consolas" w:hAnsi="Consolas" w:eastAsia="Consolas"/>
          <w:sz w:val="17"/>
        </w:rPr>
        <w:t xml:space="preserve">    declared = n_over &gt;= P.ISR_EXCURSION_MIN_INDICATORS</w:t>
      </w:r>
    </w:p>
    <w:p>
      <w:pPr>
        <w:pStyle w:val="Heading2"/>
        <w:keepNext/>
        <w:spacing w:before="200" w:after="120" w:line="276" w:lineRule="auto"/>
        <w:jc w:val="left"/>
      </w:pPr>
      <w:r>
        <w:rPr>
          <w:rFonts w:ascii="Times New Roman" w:hAnsi="Times New Roman" w:eastAsia="Times New Roman"/>
          <w:b/>
          <w:i w:val="0"/>
          <w:sz w:val="24"/>
        </w:rPr>
        <w:t>Annexure D: Sample Alert Record and Assumption Register</w:t>
      </w:r>
    </w:p>
    <w:p>
      <w:pPr>
        <w:keepNext/>
        <w:spacing w:before="120" w:after="80" w:line="276" w:lineRule="auto"/>
        <w:jc w:val="left"/>
      </w:pPr>
      <w:r>
        <w:rPr>
          <w:rFonts w:ascii="Times New Roman" w:hAnsi="Times New Roman" w:eastAsia="Times New Roman"/>
          <w:b/>
          <w:i w:val="0"/>
          <w:sz w:val="24"/>
        </w:rPr>
        <w:t>D.1 One alert of each type, shown as the seven-field record</w:t>
      </w:r>
    </w:p>
    <w:p>
      <w:pPr>
        <w:keepNext/>
        <w:spacing w:before="120" w:after="80" w:line="240" w:lineRule="auto"/>
        <w:jc w:val="center"/>
      </w:pPr>
      <w:r>
        <w:rPr>
          <w:rFonts w:ascii="Times New Roman" w:hAnsi="Times New Roman" w:eastAsia="Times New Roman"/>
          <w:b/>
          <w:i w:val="0"/>
          <w:sz w:val="22"/>
        </w:rPr>
        <w:t>Table 14.2: Sample alerts (measured and modelled)</w:t>
      </w:r>
    </w:p>
    <w:tbl>
      <w:tblPr>
        <w:tblW w:type="auto" w:w="0"/>
        <w:jc w:val="center"/>
        <w:tblLayout w:type="fixed"/>
        <w:tblLook w:firstColumn="1" w:firstRow="1" w:lastColumn="0" w:lastRow="0" w:noHBand="0" w:noVBand="1" w:val="04A0"/>
      </w:tblPr>
      <w:tblGrid>
        <w:gridCol w:w="2929"/>
        <w:gridCol w:w="2929"/>
        <w:gridCol w:w="2929"/>
      </w:tblGrid>
      <w:tr>
        <w:trPr>
          <w:tblHeader w:val="true"/>
          <w:cantSplit w:val="true"/>
        </w:trPr>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Field</w:t>
            </w:r>
          </w:p>
        </w:tc>
        <w:tc>
          <w:tcPr>
            <w:tcW w:type="dxa" w:w="368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Measured alert: Biru, Simdega</w:t>
            </w:r>
          </w:p>
        </w:tc>
        <w:tc>
          <w:tcPr>
            <w:tcW w:type="dxa" w:w="368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Modelled alert: Jaduguda screening, an East Singhbhum block</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Basis</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observed</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modelled</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Driver</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nitrate 121 mg/L; limit 45 mg/L (no relaxation); 2.7 times the limit</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 modelled P50 footprint touches the block; excursion probability 0.00</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Where</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Biru block, Simdega district; well “Biru”</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block in East Singhbhum district; footprint about 9 ha</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Tier</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critical (at least 2 times the limit; project-defined rule)</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notice (a modelled alert can never be critical)</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Confidence</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laboratory result, sampled 2023</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engine value 20.5 m; ML band 2.7–100 m; no extrapolation</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Next action</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re-sample; nitrate is not removed by boiling; test for iron, arsenic and manganese; consider another water source</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 monitoring well lies inside the P90 reach; the ring is first expected to exceed on the indicator panel at year 12</w:t>
            </w:r>
          </w:p>
        </w:tc>
      </w:tr>
      <w:tr>
        <w:trPr>
          <w:cantSplit w:val="true"/>
        </w:trPr>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What happened</w:t>
            </w:r>
          </w:p>
        </w:tc>
        <w:tc>
          <w:tcPr>
            <w:tcW w:type="dxa" w:w="368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government monitoring well in this block was tested and found nitrate 2.7 times the drinking-water limit</w:t>
            </w:r>
          </w:p>
        </w:tc>
        <w:tc>
          <w:tcPr>
            <w:tcW w:type="dxa" w:w="368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hypothetical screening was published for a block the modelled footprint touches; no mine exists</w:t>
            </w:r>
          </w:p>
        </w:tc>
      </w:tr>
    </w:tbl>
    <w:p>
      <w:pPr>
        <w:spacing w:after="40"/>
      </w:pPr>
    </w:p>
    <w:p>
      <w:pPr>
        <w:keepNext/>
        <w:spacing w:before="120" w:after="80" w:line="276" w:lineRule="auto"/>
        <w:jc w:val="left"/>
      </w:pPr>
      <w:r>
        <w:rPr>
          <w:rFonts w:ascii="Times New Roman" w:hAnsi="Times New Roman" w:eastAsia="Times New Roman"/>
          <w:b/>
          <w:i w:val="0"/>
          <w:sz w:val="24"/>
        </w:rPr>
        <w:t>D.2 Assumption register (constants with no local measurement)</w:t>
      </w:r>
    </w:p>
    <w:p>
      <w:pPr>
        <w:keepNext/>
        <w:spacing w:before="120" w:after="80" w:line="240" w:lineRule="auto"/>
        <w:jc w:val="center"/>
      </w:pPr>
      <w:r>
        <w:rPr>
          <w:rFonts w:ascii="Times New Roman" w:hAnsi="Times New Roman" w:eastAsia="Times New Roman"/>
          <w:b/>
          <w:i w:val="0"/>
          <w:sz w:val="22"/>
        </w:rPr>
        <w:t>Table 14.3: The 12 unmeasured constants listed in the assumption register</w:t>
      </w:r>
    </w:p>
    <w:tbl>
      <w:tblPr>
        <w:tblW w:type="auto" w:w="0"/>
        <w:jc w:val="center"/>
        <w:tblLayout w:type="fixed"/>
        <w:tblLook w:firstColumn="1" w:firstRow="1" w:lastColumn="0" w:lastRow="0" w:noHBand="0" w:noVBand="1" w:val="04A0"/>
      </w:tblPr>
      <w:tblGrid>
        <w:gridCol w:w="2929"/>
        <w:gridCol w:w="2929"/>
        <w:gridCol w:w="2929"/>
      </w:tblGrid>
      <w:tr>
        <w:trPr>
          <w:tblHeader w:val="true"/>
          <w:cantSplit w:val="true"/>
        </w:trPr>
        <w:tc>
          <w:tcPr>
            <w:tcW w:type="dxa" w:w="260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Constant</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Value used</w:t>
            </w:r>
          </w:p>
        </w:tc>
        <w:tc>
          <w:tcPr>
            <w:tcW w:type="dxa" w:w="4762"/>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What would replace it with a measurement</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Leach-zone growth gain</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0.40</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Field data on how far lixiviant spreads beyond the well pattern</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Leach-zone growth scale</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 bulk volumes</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Same as above</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Attribution floor</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 of the limit</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 regulator’s rule on how much of a poor baseline a mine is responsible for</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Control-limit increase</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 over baseline</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Repeated baseline samples at each monitoring well</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Matrix storage ratio β (range)</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0.3 to 20; central value from porosities</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 tracer test in the Singhbhum shear zone</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Matrix exchange rate ω</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0.001 per day</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Same as above</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Fracture opening</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0.1 to 0.5 mm</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 packer test in the shear zone</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Matrix diffusion coefficient</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 × 10⁻⁶ m²/day</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 defensible range exists yet</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Vertical to horizontal permeability ratio</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0.03 (fractured), 0.008 (porous)</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Structural analysis or packer tests</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Upward hydraulic gradient</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0.005</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Deep piezometers in the belt</w:t>
            </w:r>
          </w:p>
        </w:tc>
      </w:tr>
      <w:tr>
        <w:trPr>
          <w:cantSplit w:val="true"/>
        </w:trPr>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Old-well failure probability</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0.05</w:t>
            </w:r>
          </w:p>
        </w:tc>
        <w:tc>
          <w:tcPr>
            <w:tcW w:type="dxa" w:w="476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Failure statistics of ISR wells</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Pump downtime and drift ranges</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operating ranges</w:t>
            </w:r>
          </w:p>
        </w:tc>
        <w:tc>
          <w:tcPr>
            <w:tcW w:type="dxa" w:w="4762"/>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Records of real excursions and downtime</w:t>
            </w:r>
          </w:p>
        </w:tc>
      </w:tr>
    </w:tbl>
    <w:p>
      <w:pPr>
        <w:spacing w:after="40"/>
      </w:pPr>
    </w:p>
    <w:p>
      <w:pPr>
        <w:pStyle w:val="Heading2"/>
        <w:keepNext/>
        <w:spacing w:before="200" w:after="120" w:line="276" w:lineRule="auto"/>
        <w:jc w:val="left"/>
      </w:pPr>
      <w:r>
        <w:rPr>
          <w:rFonts w:ascii="Times New Roman" w:hAnsi="Times New Roman" w:eastAsia="Times New Roman"/>
          <w:b/>
          <w:i w:val="0"/>
          <w:sz w:val="24"/>
        </w:rPr>
        <w:t>Annexure E: Software Screenshots</w:t>
      </w:r>
    </w:p>
    <w:p>
      <w:pPr>
        <w:keepNext/>
        <w:spacing w:before="120" w:after="40" w:line="240" w:lineRule="auto"/>
        <w:jc w:val="center"/>
      </w:pPr>
      <w:r>
        <w:drawing>
          <wp:inline xmlns:a="http://schemas.openxmlformats.org/drawingml/2006/main" xmlns:pic="http://schemas.openxmlformats.org/drawingml/2006/picture">
            <wp:extent cx="5040000" cy="2833468"/>
            <wp:docPr id="17" name="Picture 17"/>
            <wp:cNvGraphicFramePr>
              <a:graphicFrameLocks noChangeAspect="1"/>
            </wp:cNvGraphicFramePr>
            <a:graphic>
              <a:graphicData uri="http://schemas.openxmlformats.org/drawingml/2006/picture">
                <pic:pic>
                  <pic:nvPicPr>
                    <pic:cNvPr id="0" name="feb_blocks_page.png"/>
                    <pic:cNvPicPr/>
                  </pic:nvPicPr>
                  <pic:blipFill>
                    <a:blip r:embed="rId26"/>
                    <a:stretch>
                      <a:fillRect/>
                    </a:stretch>
                  </pic:blipFill>
                  <pic:spPr>
                    <a:xfrm>
                      <a:off x="0" y="0"/>
                      <a:ext cx="5040000" cy="2833468"/>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14.1: Blocks page of the early platform (February 2026), listing Dhanbad blocks with aquifer properties.</w:t>
      </w:r>
    </w:p>
    <w:p>
      <w:pPr>
        <w:keepNext/>
        <w:spacing w:before="120" w:after="40" w:line="240" w:lineRule="auto"/>
        <w:jc w:val="center"/>
      </w:pPr>
      <w:r>
        <w:drawing>
          <wp:inline xmlns:a="http://schemas.openxmlformats.org/drawingml/2006/main" xmlns:pic="http://schemas.openxmlformats.org/drawingml/2006/picture">
            <wp:extent cx="5400000" cy="3038722"/>
            <wp:docPr id="18" name="Picture 18"/>
            <wp:cNvGraphicFramePr>
              <a:graphicFrameLocks noChangeAspect="1"/>
            </wp:cNvGraphicFramePr>
            <a:graphic>
              <a:graphicData uri="http://schemas.openxmlformats.org/drawingml/2006/picture">
                <pic:pic>
                  <pic:nvPicPr>
                    <pic:cNvPr id="0" name="jun_engine_satellite.png"/>
                    <pic:cNvPicPr/>
                  </pic:nvPicPr>
                  <pic:blipFill>
                    <a:blip r:embed="rId27"/>
                    <a:stretch>
                      <a:fillRect/>
                    </a:stretch>
                  </pic:blipFill>
                  <pic:spPr>
                    <a:xfrm>
                      <a:off x="0" y="0"/>
                      <a:ext cx="5400000" cy="3038722"/>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14.2: The June 2026 engine view on satellite imagery, with the hypothetical site and its plume.</w:t>
      </w:r>
    </w:p>
    <w:p>
      <w:pPr>
        <w:keepNext/>
        <w:spacing w:before="120" w:after="40" w:line="240" w:lineRule="auto"/>
        <w:jc w:val="center"/>
      </w:pPr>
      <w:r>
        <w:drawing>
          <wp:inline xmlns:a="http://schemas.openxmlformats.org/drawingml/2006/main" xmlns:pic="http://schemas.openxmlformats.org/drawingml/2006/picture">
            <wp:extent cx="4680000" cy="1337143"/>
            <wp:docPr id="19" name="Picture 19"/>
            <wp:cNvGraphicFramePr>
              <a:graphicFrameLocks noChangeAspect="1"/>
            </wp:cNvGraphicFramePr>
            <a:graphic>
              <a:graphicData uri="http://schemas.openxmlformats.org/drawingml/2006/picture">
                <pic:pic>
                  <pic:nvPicPr>
                    <pic:cNvPr id="0" name="fig_sens_belt_uranium.png"/>
                    <pic:cNvPicPr/>
                  </pic:nvPicPr>
                  <pic:blipFill>
                    <a:blip r:embed="rId28"/>
                    <a:stretch>
                      <a:fillRect/>
                    </a:stretch>
                  </pic:blipFill>
                  <pic:spPr>
                    <a:xfrm>
                      <a:off x="0" y="0"/>
                      <a:ext cx="4680000" cy="1337143"/>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14.3: Sobol sensitivity indices for uranium at the belt location, where β becomes the most important input for travel distance.</w:t>
      </w:r>
    </w:p>
    <w:p>
      <w:pPr>
        <w:keepNext/>
        <w:spacing w:before="120" w:after="40" w:line="240" w:lineRule="auto"/>
        <w:jc w:val="center"/>
      </w:pPr>
      <w:r>
        <w:drawing>
          <wp:inline xmlns:a="http://schemas.openxmlformats.org/drawingml/2006/main" xmlns:pic="http://schemas.openxmlformats.org/drawingml/2006/picture">
            <wp:extent cx="4680000" cy="1337143"/>
            <wp:docPr id="20" name="Picture 20"/>
            <wp:cNvGraphicFramePr>
              <a:graphicFrameLocks noChangeAspect="1"/>
            </wp:cNvGraphicFramePr>
            <a:graphic>
              <a:graphicData uri="http://schemas.openxmlformats.org/drawingml/2006/picture">
                <pic:pic>
                  <pic:nvPicPr>
                    <pic:cNvPr id="0" name="fig_sens_jaduguda_sulfate.png"/>
                    <pic:cNvPicPr/>
                  </pic:nvPicPr>
                  <pic:blipFill>
                    <a:blip r:embed="rId29"/>
                    <a:stretch>
                      <a:fillRect/>
                    </a:stretch>
                  </pic:blipFill>
                  <pic:spPr>
                    <a:xfrm>
                      <a:off x="0" y="0"/>
                      <a:ext cx="4680000" cy="1337143"/>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14.4: Sobol sensitivity indices for sulphate at the Jaduguda deposit location.</w:t>
      </w:r>
    </w:p>
    <w:p>
      <w:pPr>
        <w:pStyle w:val="Heading2"/>
        <w:keepNext/>
        <w:spacing w:before="200" w:after="120" w:line="276" w:lineRule="auto"/>
        <w:jc w:val="left"/>
      </w:pPr>
      <w:r>
        <w:rPr>
          <w:rFonts w:ascii="Times New Roman" w:hAnsi="Times New Roman" w:eastAsia="Times New Roman"/>
          <w:b/>
          <w:i w:val="0"/>
          <w:sz w:val="24"/>
        </w:rPr>
        <w:t>Annexure F: Financial Documents</w:t>
      </w:r>
    </w:p>
    <w:p>
      <w:pPr>
        <w:spacing w:before="0" w:after="120" w:line="360" w:lineRule="auto"/>
        <w:jc w:val="both"/>
      </w:pPr>
      <w:r>
        <w:rPr>
          <w:rFonts w:ascii="Times New Roman" w:hAnsi="Times New Roman" w:eastAsia="Times New Roman"/>
          <w:b w:val="0"/>
          <w:i w:val="0"/>
          <w:sz w:val="24"/>
        </w:rPr>
        <w:t>The purchase bills, subscription invoices and payment receipts for the expenditure listed in Chapter 10 are attached after this page.</w:t>
      </w:r>
    </w:p>
    <w:p>
      <w:pPr>
        <w:keepNext/>
        <w:spacing w:before="120" w:after="80" w:line="240" w:lineRule="auto"/>
        <w:jc w:val="center"/>
      </w:pPr>
      <w:r>
        <w:rPr>
          <w:rFonts w:ascii="Times New Roman" w:hAnsi="Times New Roman" w:eastAsia="Times New Roman"/>
          <w:b/>
          <w:i w:val="0"/>
          <w:sz w:val="22"/>
        </w:rPr>
        <w:t>Table 14.4: List of attached financial documents</w:t>
      </w:r>
    </w:p>
    <w:tbl>
      <w:tblPr>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90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Sl. No.</w:t>
            </w:r>
          </w:p>
        </w:tc>
        <w:tc>
          <w:tcPr>
            <w:tcW w:type="dxa" w:w="362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Document</w:t>
            </w:r>
          </w:p>
        </w:tc>
        <w:tc>
          <w:tcPr>
            <w:tcW w:type="dxa" w:w="260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Month</w:t>
            </w:r>
          </w:p>
        </w:tc>
        <w:tc>
          <w:tcPr>
            <w:tcW w:type="dxa" w:w="192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Amount (₹)</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w:t>
            </w:r>
          </w:p>
        </w:tc>
        <w:tc>
          <w:tcPr>
            <w:tcW w:type="dxa" w:w="36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Invoice: research tools (hydrogeology and plume modelling)</w:t>
            </w:r>
          </w:p>
        </w:tc>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January 2026</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1,600.00</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w:t>
            </w:r>
          </w:p>
        </w:tc>
        <w:tc>
          <w:tcPr>
            <w:tcW w:type="dxa" w:w="36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Invoice: Claude Pro subscription</w:t>
            </w:r>
          </w:p>
        </w:tc>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February 2026</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2,196.00</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w:t>
            </w:r>
          </w:p>
        </w:tc>
        <w:tc>
          <w:tcPr>
            <w:tcW w:type="dxa" w:w="36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Invoices and bills: Claude Pro subscription, and books and e-books</w:t>
            </w:r>
          </w:p>
        </w:tc>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May 2026</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7,346.00 (2,226 + 5,120)</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w:t>
            </w:r>
          </w:p>
        </w:tc>
        <w:tc>
          <w:tcPr>
            <w:tcW w:type="dxa" w:w="36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Invoice: Claude Pro subscription</w:t>
            </w:r>
          </w:p>
        </w:tc>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June 2026</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2,273.00</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w:t>
            </w:r>
          </w:p>
        </w:tc>
        <w:tc>
          <w:tcPr>
            <w:tcW w:type="dxa" w:w="36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Invoice: Claude Pro subscription</w:t>
            </w:r>
          </w:p>
        </w:tc>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July 2026</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__________</w:t>
            </w:r>
          </w:p>
        </w:tc>
      </w:tr>
      <w:tr>
        <w:trPr>
          <w:cantSplit w:val="true"/>
        </w:trPr>
        <w:tc>
          <w:tcPr>
            <w:tcW w:type="dxa" w:w="90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6</w:t>
            </w:r>
          </w:p>
        </w:tc>
        <w:tc>
          <w:tcPr>
            <w:tcW w:type="dxa" w:w="36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Invoices: cloud hosting (Neon, Render, Cloudflare) and Claude Pro subscription</w:t>
            </w:r>
          </w:p>
        </w:tc>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August 2026</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__________</w:t>
            </w:r>
          </w:p>
        </w:tc>
      </w:tr>
    </w:tbl>
    <w:p>
      <w:pPr>
        <w:spacing w:after="40"/>
      </w:pPr>
    </w:p>
    <w:p>
      <w:r>
        <w:br w:type="page"/>
      </w:r>
    </w:p>
    <w:p>
      <w:pPr>
        <w:spacing w:before="480" w:after="280" w:line="276" w:lineRule="auto"/>
        <w:jc w:val="left"/>
      </w:pPr>
      <w:r>
        <w:rPr>
          <w:rFonts w:ascii="Times New Roman" w:hAnsi="Times New Roman" w:eastAsia="Times New Roman"/>
          <w:b/>
          <w:i w:val="0"/>
          <w:sz w:val="28"/>
        </w:rPr>
        <w:t>MENTOR’S REMARKS &amp; RECOMMENDATION</w:t>
      </w:r>
    </w:p>
    <w:p>
      <w:pPr>
        <w:spacing w:before="0" w:after="120" w:line="360" w:lineRule="auto"/>
        <w:jc w:val="both"/>
      </w:pPr>
      <w:r>
        <w:rPr>
          <w:rFonts w:ascii="Times New Roman" w:hAnsi="Times New Roman" w:eastAsia="Times New Roman"/>
          <w:b w:val="0"/>
          <w:i w:val="0"/>
          <w:sz w:val="24"/>
        </w:rPr>
        <w:t xml:space="preserve">The student has completed the project titled </w:t>
      </w:r>
      <w:r>
        <w:rPr>
          <w:rFonts w:ascii="Times New Roman" w:hAnsi="Times New Roman" w:eastAsia="Times New Roman"/>
          <w:b/>
          <w:i w:val="0"/>
          <w:sz w:val="24"/>
        </w:rPr>
        <w:t>“Smart Water Monitoring: Machine Learning and CPS for Safe &amp; Sustainable Mining (JalDrishti)”</w:t>
      </w:r>
      <w:r>
        <w:rPr>
          <w:rFonts w:ascii="Times New Roman" w:hAnsi="Times New Roman" w:eastAsia="Times New Roman"/>
          <w:b w:val="0"/>
          <w:i w:val="0"/>
          <w:sz w:val="24"/>
        </w:rPr>
        <w:t xml:space="preserve"> under the UDAAN UG Fellowship Programme. The work was carried out sincerely and the project objectives were achieved. The student showed good technical understanding, problem-solving ability and commitment throughout the fellowship period.</w:t>
      </w:r>
    </w:p>
    <w:p>
      <w:pPr>
        <w:spacing w:before="160" w:after="80" w:line="360" w:lineRule="auto"/>
        <w:jc w:val="left"/>
      </w:pPr>
      <w:r>
        <w:rPr>
          <w:rFonts w:ascii="Times New Roman" w:hAnsi="Times New Roman" w:eastAsia="Times New Roman"/>
          <w:b/>
          <w:i w:val="0"/>
          <w:sz w:val="24"/>
        </w:rPr>
        <w:t>Remarks:</w:t>
      </w:r>
      <w:r>
        <w:rPr>
          <w:rFonts w:ascii="Times New Roman" w:hAnsi="Times New Roman" w:eastAsia="Times New Roman"/>
          <w:b w:val="0"/>
          <w:i w:val="0"/>
          <w:sz w:val="24"/>
        </w:rPr>
        <w:t xml:space="preserve"> ____________________________________________________</w:t>
      </w:r>
    </w:p>
    <w:p>
      <w:pPr>
        <w:spacing w:before="160" w:after="80" w:line="360" w:lineRule="auto"/>
        <w:jc w:val="left"/>
      </w:pPr>
      <w:r>
        <w:rPr>
          <w:rFonts w:ascii="Times New Roman" w:hAnsi="Times New Roman" w:eastAsia="Times New Roman"/>
          <w:b w:val="0"/>
          <w:i w:val="0"/>
          <w:sz w:val="24"/>
        </w:rPr>
        <w:t>_________________________________________________________________</w:t>
      </w:r>
    </w:p>
    <w:p>
      <w:pPr>
        <w:spacing w:before="160" w:after="80" w:line="360" w:lineRule="auto"/>
        <w:jc w:val="left"/>
      </w:pPr>
      <w:r>
        <w:rPr>
          <w:rFonts w:ascii="Times New Roman" w:hAnsi="Times New Roman" w:eastAsia="Times New Roman"/>
          <w:b/>
          <w:i w:val="0"/>
          <w:sz w:val="24"/>
        </w:rPr>
        <w:t>Recommendation:</w:t>
      </w:r>
      <w:r>
        <w:rPr>
          <w:rFonts w:ascii="Times New Roman" w:hAnsi="Times New Roman" w:eastAsia="Times New Roman"/>
          <w:b w:val="0"/>
          <w:i w:val="0"/>
          <w:sz w:val="24"/>
        </w:rPr>
        <w:t xml:space="preserve">   ☐ Satisfactory      ☐ Needs Improvement      ☐ Excellent</w:t>
      </w:r>
    </w:p>
    <w:p>
      <w:pPr>
        <w:spacing w:before="160" w:after="80" w:line="360" w:lineRule="auto"/>
        <w:jc w:val="left"/>
      </w:pPr>
      <w:r>
        <w:rPr>
          <w:rFonts w:ascii="Times New Roman" w:hAnsi="Times New Roman" w:eastAsia="Times New Roman"/>
          <w:b/>
          <w:i w:val="0"/>
          <w:sz w:val="24"/>
        </w:rPr>
        <w:t>Signature of Mentor:</w:t>
      </w:r>
      <w:r>
        <w:rPr>
          <w:rFonts w:ascii="Times New Roman" w:hAnsi="Times New Roman" w:eastAsia="Times New Roman"/>
          <w:b w:val="0"/>
          <w:i w:val="0"/>
          <w:sz w:val="24"/>
        </w:rPr>
        <w:t xml:space="preserve"> ____________________________</w:t>
      </w:r>
    </w:p>
    <w:p>
      <w:pPr>
        <w:spacing w:before="160" w:after="80" w:line="360" w:lineRule="auto"/>
        <w:jc w:val="left"/>
      </w:pPr>
      <w:r>
        <w:rPr>
          <w:rFonts w:ascii="Times New Roman" w:hAnsi="Times New Roman" w:eastAsia="Times New Roman"/>
          <w:b/>
          <w:i w:val="0"/>
          <w:sz w:val="24"/>
        </w:rPr>
        <w:t>Asst. Prof. Mukesh Chandra</w:t>
      </w:r>
    </w:p>
    <w:p>
      <w:pPr>
        <w:spacing w:before="160" w:after="80" w:line="360" w:lineRule="auto"/>
        <w:jc w:val="left"/>
      </w:pPr>
      <w:r>
        <w:rPr>
          <w:rFonts w:ascii="Times New Roman" w:hAnsi="Times New Roman" w:eastAsia="Times New Roman"/>
          <w:b/>
          <w:i w:val="0"/>
          <w:sz w:val="24"/>
        </w:rPr>
        <w:t>Date:</w:t>
      </w:r>
      <w:r>
        <w:rPr>
          <w:rFonts w:ascii="Times New Roman" w:hAnsi="Times New Roman" w:eastAsia="Times New Roman"/>
          <w:b w:val="0"/>
          <w:i w:val="0"/>
          <w:sz w:val="24"/>
        </w:rPr>
        <w:t xml:space="preserve"> _______________________</w:t>
      </w:r>
    </w:p>
    <w:p>
      <w:r>
        <w:br w:type="page"/>
      </w:r>
    </w:p>
    <w:p>
      <w:pPr>
        <w:spacing w:before="480" w:after="280" w:line="276" w:lineRule="auto"/>
        <w:jc w:val="center"/>
      </w:pPr>
      <w:r>
        <w:rPr>
          <w:rFonts w:ascii="Times New Roman" w:hAnsi="Times New Roman" w:eastAsia="Times New Roman"/>
          <w:b/>
          <w:i w:val="0"/>
          <w:sz w:val="28"/>
          <w:u w:val="single"/>
        </w:rPr>
        <w:t>CERTIFICATE OF APPROVAL</w:t>
      </w:r>
    </w:p>
    <w:p>
      <w:pPr>
        <w:spacing w:before="0" w:after="120" w:line="360" w:lineRule="auto"/>
        <w:jc w:val="both"/>
      </w:pPr>
      <w:r>
        <w:rPr>
          <w:rFonts w:ascii="Times New Roman" w:hAnsi="Times New Roman" w:eastAsia="Times New Roman"/>
          <w:b w:val="0"/>
          <w:i w:val="0"/>
          <w:sz w:val="24"/>
        </w:rPr>
        <w:t xml:space="preserve">The foregoing project report entitled </w:t>
      </w:r>
      <w:r>
        <w:rPr>
          <w:rFonts w:ascii="Times New Roman" w:hAnsi="Times New Roman" w:eastAsia="Times New Roman"/>
          <w:b/>
          <w:i w:val="0"/>
          <w:sz w:val="24"/>
        </w:rPr>
        <w:t>“Smart Water Monitoring: Machine Learning and CPS for Safe &amp; Sustainable Mining (JalDrishti)”</w:t>
      </w:r>
      <w:r>
        <w:rPr>
          <w:rFonts w:ascii="Times New Roman" w:hAnsi="Times New Roman" w:eastAsia="Times New Roman"/>
          <w:b w:val="0"/>
          <w:i w:val="0"/>
          <w:sz w:val="24"/>
        </w:rPr>
        <w:t xml:space="preserve"> is hereby approved as a creditable piece of work carried out under the </w:t>
      </w:r>
      <w:r>
        <w:rPr>
          <w:rFonts w:ascii="Times New Roman" w:hAnsi="Times New Roman" w:eastAsia="Times New Roman"/>
          <w:b/>
          <w:i w:val="0"/>
          <w:sz w:val="24"/>
        </w:rPr>
        <w:t>UDAAN Fellowship Program</w:t>
      </w:r>
      <w:r>
        <w:rPr>
          <w:rFonts w:ascii="Times New Roman" w:hAnsi="Times New Roman" w:eastAsia="Times New Roman"/>
          <w:b w:val="0"/>
          <w:i w:val="0"/>
          <w:sz w:val="24"/>
        </w:rPr>
        <w:t>. The project has been completed and presented in a satisfactory manner and is considered worthy of acceptance as fulfilment of the requirements of the fellowship.</w:t>
      </w:r>
    </w:p>
    <w:p>
      <w:pPr>
        <w:spacing w:before="0" w:after="120" w:line="360" w:lineRule="auto"/>
        <w:jc w:val="both"/>
      </w:pPr>
      <w:r>
        <w:rPr>
          <w:rFonts w:ascii="Times New Roman" w:hAnsi="Times New Roman" w:eastAsia="Times New Roman"/>
          <w:b w:val="0"/>
          <w:i w:val="0"/>
          <w:sz w:val="24"/>
        </w:rPr>
        <w:t>It is understood that by this approval, the undersigned do not necessarily endorse every conclusion drawn or opinion expressed therein, but approve the report for the purpose for which it is submitted.</w:t>
      </w:r>
    </w:p>
    <w:tbl>
      <w:tblPr>
        <w:tblLayout w:type="fixed"/>
        <w:tblLook w:firstColumn="1" w:firstRow="1" w:lastColumn="0" w:lastRow="0" w:noHBand="0" w:noVBand="1" w:val="04A0"/>
        <w:tblLayout w:type="fixed"/>
        <w:tblW w:w="8788" w:type="dxa"/>
      </w:tblPr>
      <w:tblGrid>
        <w:gridCol w:w="4394"/>
        <w:gridCol w:w="4394"/>
      </w:tblGrid>
      <w:tr>
        <w:tc>
          <w:tcPr>
            <w:tcW w:type="dxa" w:w="4535"/>
            <w:tcBorders>
              <w:top w:val="nil"/>
              <w:left w:val="nil"/>
              <w:bottom w:val="nil"/>
              <w:right w:val="nil"/>
            </w:tcBorders>
          </w:tcPr>
          <w:p>
            <w:pPr>
              <w:spacing w:before="1200" w:after="40" w:line="276" w:lineRule="auto"/>
              <w:jc w:val="left"/>
            </w:pPr>
            <w:r/>
            <w:r>
              <w:rPr>
                <w:rFonts w:ascii="Times New Roman" w:hAnsi="Times New Roman" w:eastAsia="Times New Roman"/>
                <w:b/>
                <w:i w:val="0"/>
                <w:sz w:val="24"/>
              </w:rPr>
              <w:t>Asst. Prof. Mukesh Chandra</w:t>
            </w:r>
          </w:p>
          <w:p>
            <w:pPr>
              <w:spacing w:before="0" w:after="40" w:line="276" w:lineRule="auto"/>
              <w:jc w:val="left"/>
            </w:pPr>
            <w:r>
              <w:rPr>
                <w:rFonts w:ascii="Times New Roman" w:hAnsi="Times New Roman" w:eastAsia="Times New Roman"/>
                <w:b w:val="0"/>
                <w:i w:val="0"/>
                <w:sz w:val="24"/>
              </w:rPr>
              <w:t>Mentor</w:t>
            </w:r>
          </w:p>
          <w:p>
            <w:pPr>
              <w:spacing w:before="0" w:after="40" w:line="276" w:lineRule="auto"/>
              <w:jc w:val="left"/>
            </w:pPr>
            <w:r>
              <w:rPr>
                <w:rFonts w:ascii="Times New Roman" w:hAnsi="Times New Roman" w:eastAsia="Times New Roman"/>
                <w:b w:val="0"/>
                <w:i w:val="0"/>
                <w:sz w:val="24"/>
              </w:rPr>
              <w:t>Department of Production and Industrial Engineering</w:t>
            </w:r>
          </w:p>
          <w:p>
            <w:pPr>
              <w:spacing w:before="0" w:after="40" w:line="276" w:lineRule="auto"/>
              <w:jc w:val="left"/>
            </w:pPr>
            <w:r>
              <w:rPr>
                <w:rFonts w:ascii="Times New Roman" w:hAnsi="Times New Roman" w:eastAsia="Times New Roman"/>
                <w:b w:val="0"/>
                <w:i w:val="0"/>
                <w:sz w:val="24"/>
              </w:rPr>
              <w:t>BIT Sindri, Dhanbad</w:t>
            </w:r>
          </w:p>
          <w:p>
            <w:pPr>
              <w:spacing w:before="0" w:after="40" w:line="276" w:lineRule="auto"/>
              <w:jc w:val="left"/>
            </w:pPr>
            <w:r>
              <w:rPr>
                <w:rFonts w:ascii="Times New Roman" w:hAnsi="Times New Roman" w:eastAsia="Times New Roman"/>
                <w:b w:val="0"/>
                <w:i w:val="0"/>
                <w:sz w:val="24"/>
              </w:rPr>
              <w:t>Date: ____________________</w:t>
            </w:r>
          </w:p>
        </w:tc>
        <w:tc>
          <w:tcPr>
            <w:tcW w:type="dxa" w:w="4535"/>
            <w:tcBorders>
              <w:top w:val="nil"/>
              <w:left w:val="nil"/>
              <w:bottom w:val="nil"/>
              <w:right w:val="nil"/>
            </w:tcBorders>
          </w:tcPr>
          <w:p>
            <w:pPr>
              <w:spacing w:before="1200" w:after="40" w:line="276" w:lineRule="auto"/>
              <w:jc w:val="left"/>
            </w:pPr>
            <w:r/>
            <w:r>
              <w:rPr>
                <w:rFonts w:ascii="Times New Roman" w:hAnsi="Times New Roman" w:eastAsia="Times New Roman"/>
                <w:b/>
                <w:i w:val="0"/>
                <w:sz w:val="24"/>
              </w:rPr>
              <w:t>Dr. Prakash Kumar</w:t>
            </w:r>
          </w:p>
          <w:p>
            <w:pPr>
              <w:spacing w:before="0" w:after="40" w:line="276" w:lineRule="auto"/>
              <w:jc w:val="left"/>
            </w:pPr>
            <w:r>
              <w:rPr>
                <w:rFonts w:ascii="Times New Roman" w:hAnsi="Times New Roman" w:eastAsia="Times New Roman"/>
                <w:b w:val="0"/>
                <w:i w:val="0"/>
                <w:sz w:val="24"/>
              </w:rPr>
              <w:t>Project Coordinator,</w:t>
            </w:r>
          </w:p>
          <w:p>
            <w:pPr>
              <w:spacing w:before="0" w:after="40" w:line="276" w:lineRule="auto"/>
              <w:jc w:val="left"/>
            </w:pPr>
            <w:r>
              <w:rPr>
                <w:rFonts w:ascii="Times New Roman" w:hAnsi="Times New Roman" w:eastAsia="Times New Roman"/>
                <w:b w:val="0"/>
                <w:i w:val="0"/>
                <w:sz w:val="24"/>
              </w:rPr>
              <w:t>TEXMiN-BIT Sindri CPS CoE</w:t>
            </w:r>
          </w:p>
          <w:p>
            <w:pPr>
              <w:spacing w:before="0" w:after="40" w:line="276" w:lineRule="auto"/>
              <w:jc w:val="left"/>
            </w:pPr>
            <w:r>
              <w:rPr>
                <w:rFonts w:ascii="Times New Roman" w:hAnsi="Times New Roman" w:eastAsia="Times New Roman"/>
                <w:b w:val="0"/>
                <w:i w:val="0"/>
                <w:sz w:val="24"/>
              </w:rPr>
              <w:t>BIT Sindri, Dhanbad</w:t>
            </w:r>
          </w:p>
          <w:p>
            <w:pPr>
              <w:spacing w:before="0" w:after="40" w:line="276" w:lineRule="auto"/>
              <w:jc w:val="left"/>
            </w:pPr>
            <w:r>
              <w:rPr>
                <w:rFonts w:ascii="Times New Roman" w:hAnsi="Times New Roman" w:eastAsia="Times New Roman"/>
                <w:b w:val="0"/>
                <w:i w:val="0"/>
                <w:sz w:val="24"/>
              </w:rPr>
              <w:t>Date: ____________________</w:t>
            </w:r>
          </w:p>
        </w:tc>
      </w:tr>
    </w:tbl>
    <w:p>
      <w:r>
        <w:br w:type="page"/>
      </w:r>
    </w:p>
    <w:p>
      <w:pPr>
        <w:spacing w:before="480" w:after="280" w:line="276" w:lineRule="auto"/>
        <w:jc w:val="left"/>
      </w:pPr>
      <w:r>
        <w:rPr>
          <w:rFonts w:ascii="Times New Roman" w:hAnsi="Times New Roman" w:eastAsia="Times New Roman"/>
          <w:b/>
          <w:i w:val="0"/>
          <w:sz w:val="28"/>
        </w:rPr>
        <w:t>SUBMISSION CHECKLIST</w:t>
      </w:r>
    </w:p>
    <w:p>
      <w:pPr>
        <w:spacing w:before="0" w:after="120" w:line="360" w:lineRule="auto"/>
        <w:jc w:val="both"/>
      </w:pPr>
      <w:r>
        <w:rPr>
          <w:rFonts w:ascii="Times New Roman" w:hAnsi="Times New Roman" w:eastAsia="Times New Roman"/>
          <w:b w:val="0"/>
          <w:i w:val="0"/>
          <w:sz w:val="24"/>
        </w:rPr>
        <w:t>The following documents and materials have been submitted along with the fellowship report:</w:t>
      </w:r>
    </w:p>
    <w:tbl>
      <w:tblPr>
        <w:tblW w:type="auto" w:w="0"/>
        <w:jc w:val="center"/>
        <w:tblLayout w:type="fixed"/>
        <w:tblLook w:firstColumn="1" w:firstRow="1" w:lastColumn="0" w:lastRow="0" w:noHBand="0" w:noVBand="1" w:val="04A0"/>
      </w:tblPr>
      <w:tblGrid>
        <w:gridCol w:w="2929"/>
        <w:gridCol w:w="2929"/>
        <w:gridCol w:w="2929"/>
      </w:tblGrid>
      <w:tr>
        <w:trPr>
          <w:tblHeader w:val="true"/>
          <w:cantSplit w:val="true"/>
        </w:trPr>
        <w:tc>
          <w:tcPr>
            <w:tcW w:type="dxa" w:w="1134"/>
            <w:tcBorders>
              <w:top w:val="nil"/>
              <w:left w:val="nil"/>
              <w:bottom w:val="nil"/>
              <w:right w:val="nil"/>
            </w:tcBorders>
          </w:tcPr>
          <w:p>
            <w:pPr>
              <w:spacing w:before="60" w:after="60" w:line="240" w:lineRule="auto"/>
              <w:jc w:val="center"/>
            </w:pPr>
            <w:r/>
            <w:r>
              <w:rPr>
                <w:rFonts w:ascii="Times New Roman" w:hAnsi="Times New Roman" w:eastAsia="Times New Roman"/>
                <w:b/>
                <w:i w:val="0"/>
                <w:sz w:val="24"/>
              </w:rPr>
              <w:t>Sl. No.</w:t>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i w:val="0"/>
                <w:sz w:val="24"/>
              </w:rPr>
              <w:t>Item Submitted</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i w:val="0"/>
                <w:sz w:val="24"/>
              </w:rPr>
              <w:t>Status (✓/✗)</w:t>
            </w:r>
          </w:p>
        </w:tc>
      </w:tr>
      <w:tr>
        <w:trPr>
          <w:cantSplit w:val="true"/>
        </w:trPr>
        <w:tc>
          <w:tcPr>
            <w:tcW w:type="dxa" w:w="1134"/>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1</w:t>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i w:val="0"/>
                <w:sz w:val="24"/>
              </w:rPr>
              <w:t>Final prototype (deployed software system)</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Web portal (public site and role-based portal)</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Backend API with database</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Contamination model and trained ML model files</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Source code repository (GitHub)</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Datasets used, with their sources</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2</w:t>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i w:val="0"/>
                <w:sz w:val="24"/>
              </w:rPr>
              <w:t>Purchase Bills / Invoices</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3</w:t>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i w:val="0"/>
                <w:sz w:val="24"/>
              </w:rPr>
              <w:t>Monthly reports</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November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December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January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February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March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April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May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June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July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August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4</w:t>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i w:val="0"/>
                <w:sz w:val="24"/>
              </w:rPr>
              <w:t>Final presentation slides</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bl>
    <w:p>
      <w:pPr>
        <w:spacing w:after="40"/>
      </w:pP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