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Customer shall pay all outstanding amounts within 30 days of invoice. Late payments accrue interest at four percent per annum.</w:t>
      </w:r>
      <w:r>
        <w:br w:type="page"/>
      </w:r>
    </w:p>
    <w:p>
      <w:r>
        <w:t>Neither party shall be liable for indirect or consequential damages arising out of this agreement. The total liability cap is AED 100,000.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