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SERVICES AGREEMENT - REDLINE TEST</w:t>
      </w:r>
    </w:p>
    <w:p>
      <w:pPr>
        <w:jc w:val="center"/>
      </w:pPr>
      <w:r>
        <w:rPr>
          <w:i/>
        </w:rPr>
        <w:t>Synthetic DOCX fixture for Verbatim tracked-change testing</w:t>
      </w:r>
    </w:p>
    <w:p>
      <w:r>
        <w:rPr>
          <w:b/>
          <w:sz w:val="24"/>
        </w:rPr>
        <w:t>1. Fees and Payment</w:t>
      </w:r>
    </w:p>
    <w:p>
      <w:r>
        <w:t>Customer will pay undisputed invoices within 30 days of receipt. The implementation fee is AED 100,000. Late undisputed amounts may accrue interest at 1.0% per month.</w:t>
      </w:r>
    </w:p>
    <w:p/>
    <w:p>
      <w:r>
        <w:rPr>
          <w:b/>
          <w:sz w:val="24"/>
        </w:rPr>
        <w:t>2. Limitation of Liability</w:t>
      </w:r>
    </w:p>
    <w:p>
      <w:r>
        <w:t>Except for liability that cannot lawfully be limited, each party’s aggregate liability arising out of or relating to this Agreement will not exceed AED 100,000. Neither party will be liable for indirect, incidental, special, consequential or punitive damages.</w:t>
      </w:r>
    </w:p>
    <w:p/>
    <w:p>
      <w:r>
        <w:rPr>
          <w:b/>
          <w:sz w:val="24"/>
        </w:rPr>
        <w:t>3. Confidentiality</w:t>
      </w:r>
    </w:p>
    <w:p>
      <w:r>
        <w:t>Each party shall protect the other party’s Confidential Information using at least reasonable care and shall use it only to perform or receive services under this Agreement.</w:t>
      </w:r>
    </w:p>
    <w:p/>
    <w:p>
      <w:r>
        <w:rPr>
          <w:b/>
          <w:sz w:val="24"/>
        </w:rPr>
        <w:t>4. Security Incident Notice</w:t>
      </w:r>
    </w:p>
    <w:p>
      <w:r>
        <w:t>Supplier shall notify Customer of a confirmed security incident affecting Customer Data within 48 hours after confirmation and shall provide a written incident report.</w:t>
      </w:r>
    </w:p>
    <w:p/>
    <w:p>
      <w:r>
        <w:rPr>
          <w:b/>
          <w:sz w:val="24"/>
        </w:rPr>
        <w:t>5. Termination</w:t>
      </w:r>
    </w:p>
    <w:p>
      <w:r>
        <w:t>Either party may terminate for material breach if the breach is not cured within 30 days after written notice. Customer may terminate an SOW for convenience on 15 days written notice.</w:t>
      </w:r>
    </w:p>
    <w:p/>
    <w:p>
      <w:r>
        <w:rPr>
          <w:b/>
          <w:sz w:val="24"/>
        </w:rPr>
        <w:t>6. Governing Law</w:t>
      </w:r>
    </w:p>
    <w:p>
      <w:r>
        <w:t>This Agreement is governed by the laws of the United Arab Emirates. Disputes will be submitted to arbitration seated in Dubai, United Arab Emirates, in English.</w:t>
      </w:r>
    </w:p>
    <w:p/>
    <w:p>
      <w:r>
        <w:rPr>
          <w:b/>
          <w:sz w:val="24"/>
        </w:rPr>
        <w:t>7. Intellectual Property</w:t>
      </w:r>
    </w:p>
    <w:p>
      <w:r>
        <w:t>Customer retains ownership of Customer Materials. Subject to payment of applicable fees, Supplier assigns to Customer the intellectual property rights in project-specific deliverables created specifically for Customer under an SOW.</w:t>
      </w:r>
    </w:p>
    <w:p/>
    <w:p>
      <w:r>
        <w:rPr>
          <w:b/>
          <w:sz w:val="24"/>
        </w:rPr>
        <w:t>TEST FORMATTING</w:t>
      </w:r>
    </w:p>
    <w:p>
      <w:r>
        <w:rPr>
          <w:b/>
        </w:rPr>
        <w:t xml:space="preserve">Important text: </w:t>
      </w:r>
      <w:r>
        <w:t xml:space="preserve">Supplier will maintain commercially reasonable safeguards. </w:t>
      </w:r>
      <w:r>
        <w:rPr>
          <w:b/>
        </w:rPr>
        <w:t>This sentence contains bold text.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