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is entered into between Client and Supplier.</w:t>
      </w:r>
    </w:p>
    <w:p>
      <w:pPr>
        <w:pStyle w:val="Heading1"/>
      </w:pPr>
      <w:r>
        <w:t>Section 1. Scope of Work</w:t>
      </w:r>
    </w:p>
    <w:p>
      <w:r>
        <w:t>1. Supplier shall provide software development and consulting services.</w:t>
      </w:r>
    </w:p>
    <w:p>
      <w:r>
        <w:t>2. Deliverables shall be provided in accordance with the project schedule.</w:t>
      </w:r>
    </w:p>
    <w:p>
      <w:pPr>
        <w:pStyle w:val="Heading1"/>
      </w:pPr>
      <w:r>
        <w:t>Section 2. Limitation of Liability</w:t>
      </w:r>
    </w:p>
    <w:p>
      <w:r>
        <w:t>Supplier's aggregate liability under this Agreement shall not exceed AED 100,000.</w:t>
      </w:r>
    </w:p>
    <w:p>
      <w:pPr>
        <w:pStyle w:val="Heading1"/>
      </w:pPr>
      <w:r>
        <w:t>Section 3. 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Amount (AED)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Initial Architecture &amp; Spike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Core Ingestion Engine</w:t>
            </w:r>
          </w:p>
        </w:tc>
        <w:tc>
          <w:tcPr>
            <w:tcW w:type="dxa" w:w="2880"/>
          </w:tcPr>
          <w:p>
            <w:r>
              <w:t>35,000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Final Acceptance &amp; Deployment</w:t>
            </w:r>
          </w:p>
        </w:tc>
        <w:tc>
          <w:tcPr>
            <w:tcW w:type="dxa" w:w="2880"/>
          </w:tcPr>
          <w:p>
            <w:r>
              <w:t>40,000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