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Use Case: End-user (The Consumer)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095500" cy="19240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19145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Sign-up/Login to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End-user,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To have a user account for the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 user must sign-up by using their Google Account. The Google oAuth system will provide an access token to the application which will then allow our system to confirm their identity, and provide us with a unique identifier for our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If the user denies access then the system will disallow the user inside the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19145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Browse Feed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To allow the user to scroll through the beacons they have passed.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user to see the beacons they have passed and the data associated with it in a clean, readable way.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An Empty feed if no beacons are passed.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22002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Save/Favourite Beacon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To allow the user to save their favourite beacons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user to save the beacon and the information associated with it in order to come back to it quickly.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Secondary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Use Case: End-user (Business Owner)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428875" cy="21145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1914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right="-75"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right="-75"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Signup/Login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End-user,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Register For the System to provide beacon data as well confirm their registration with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 user must sign-up by using their Google Account. The Google oAuth system will provide an access token to the application which will then allow our system to confirm their identity, and provide us with a unique identifier for our system. The Access token will also be used for login.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2200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Business Owner adds new Beacon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insert new data into their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create or beacon data in order to broadcast their sales and deals to the consumers.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22002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Business Owner modifies Beacon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modify the data of their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modify the beacon data to broadcast.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95525" cy="16287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Business Owner deletes Beacon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End-user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delete one of their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Allows the Business Owners to delete the entry for one or all of their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Primary</w:t>
            </w:r>
          </w:p>
        </w:tc>
      </w:tr>
    </w:tbl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/>
      </w:pPr>
      <w:r w:rsidDel="00000000" w:rsidR="00000000" w:rsidRPr="00000000">
        <w:drawing>
          <wp:inline distB="19050" distT="19050" distL="19050" distR="19050">
            <wp:extent cx="4394200" cy="8496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5" Type="http://schemas.openxmlformats.org/officeDocument/2006/relationships/image" Target="media/image04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05.png"/></Relationships>
</file>