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 Edison O&amp;M Expense Summary – Test Year Analysis</w:t>
      </w:r>
    </w:p>
    <w:p>
      <w:r>
        <w:t>Overview:</w:t>
      </w:r>
    </w:p>
    <w:p>
      <w:r>
        <w:t>Con Edison has proposed an increase in Operating &amp; Maintenance (O&amp;M) expenses for the upcoming test year. The company attributes the increase to inflationary pressures, workforce adjustments, and higher property maintenance requirements.</w:t>
      </w:r>
    </w:p>
    <w:p/>
    <w:p>
      <w:r>
        <w:t>Key Drivers of the O&amp;M Increase:</w:t>
      </w:r>
    </w:p>
    <w:p>
      <w:r>
        <w:t>1. Inflation: ConEd cites general inflation of 4.2%, which affects material costs, contractor labor, and purchased services.</w:t>
      </w:r>
    </w:p>
    <w:p>
      <w:r>
        <w:t>2. Workforce Adjustments: Additional staffing needed for safety compliance, modernization projects, and customer operations.</w:t>
      </w:r>
    </w:p>
    <w:p>
      <w:r>
        <w:t>3. Property Maintenance: Aging infrastructure requires increased spending on substations, feeders, and overhead systems.</w:t>
      </w:r>
    </w:p>
    <w:p>
      <w:r>
        <w:t>4. Storm Hardening: New investments in storm resilience contribute to higher forecasted O&amp;M.</w:t>
      </w:r>
    </w:p>
    <w:p/>
    <w:p>
      <w:r>
        <w:t>Comparison With Prior Years:</w:t>
      </w:r>
    </w:p>
    <w:p>
      <w:r>
        <w:t>- The prior year actual O&amp;M expenses were $2.31 billion.</w:t>
      </w:r>
    </w:p>
    <w:p>
      <w:r>
        <w:t>- The proposed test year O&amp;M is $2.55 billion, representing a 10.4% increase.</w:t>
      </w:r>
    </w:p>
    <w:p>
      <w:r>
        <w:t>- The largest increases are in field operations (+12%), property maintenance (+15%), and environmental compliance (+9%).</w:t>
      </w:r>
    </w:p>
    <w:p/>
    <w:p>
      <w:r>
        <w:t>Justification Summary:</w:t>
      </w:r>
    </w:p>
    <w:p>
      <w:r>
        <w:t>ConEd states that the test year increase is necessary to maintain system reliability, meet regulatory safety requirements, and prevent service disruptions. The company also notes that a portion of the increase reflects deferred maintenance from the prior two years.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