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Billing Software — Requirements Specification</w:t>
      </w:r>
    </w:p>
    <w:p>
      <w:pPr>
        <w:jc w:val="center"/>
      </w:pPr>
      <w:r>
        <w:rPr>
          <w:i/>
          <w:sz w:val="20"/>
        </w:rPr>
        <w:t>Superset functional baseline derived from Zoho Cloud Suite, Vyapar, MyBillBook-class products, and common SMB/enterprise billing practice.</w:t>
        <w:br/>
        <w:t>Document version 1.0 • Generated for internal planning</w:t>
      </w:r>
    </w:p>
    <w:p>
      <w:r>
        <w:br w:type="page"/>
      </w:r>
    </w:p>
    <w:p>
      <w:pPr>
        <w:pStyle w:val="Heading1"/>
      </w:pPr>
      <w:r>
        <w:t>1. References &amp; inspiration</w:t>
      </w:r>
    </w:p>
    <w:p>
      <w:pPr>
        <w:pStyle w:val="ListBullet"/>
      </w:pPr>
      <w:r>
        <w:t>The following public product positioning pages informed this superset (feature names are generalized; implement per jurisdiction):</w:t>
      </w:r>
    </w:p>
    <w:p>
      <w:pPr>
        <w:pStyle w:val="ListBullet"/>
      </w:pPr>
      <w:r>
        <w:t>Zoho — Cloud software suite for businesses: https://www.zoho.com/ (CRM, Books, unified apps).</w:t>
      </w:r>
    </w:p>
    <w:p>
      <w:pPr>
        <w:pStyle w:val="ListBullet"/>
      </w:pPr>
      <w:r>
        <w:t>Vyapar — GST billing, inventory &amp; accounting for Indian SMEs: https://vyaparapp.in/</w:t>
      </w:r>
    </w:p>
    <w:p>
      <w:pPr>
        <w:pStyle w:val="ListBullet"/>
      </w:pPr>
      <w:r>
        <w:t>MyBillBook — SMB GST billing segment (trial funnel): https://freetrial.mybillbook.in/</w:t>
      </w:r>
    </w:p>
    <w:p>
      <w:pPr>
        <w:pStyle w:val="Heading1"/>
      </w:pPr>
      <w:r>
        <w:t>2. Figures — DFD &amp; conceptual diagrams</w:t>
      </w:r>
    </w:p>
    <w:p>
      <w:r>
        <w:t>Structured analysis uses Data Flow Diagrams (DFD) to show boundaries, processes, and data stores. Lifecycle diagrams explain document sequencing.</w:t>
      </w:r>
    </w:p>
    <w:p>
      <w:pPr>
        <w:pStyle w:val="ListNumber"/>
      </w:pPr>
      <w:r>
        <w:t>Context diagram (Level 0): external entities vs the billing suite.</w:t>
      </w:r>
    </w:p>
    <w:p>
      <w:r>
        <w:drawing>
          <wp:inline xmlns:a="http://schemas.openxmlformats.org/drawingml/2006/main" xmlns:pic="http://schemas.openxmlformats.org/drawingml/2006/picture">
            <wp:extent cx="5760720" cy="3932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Level 1 DFD: core processes and logical data stores.</w:t>
      </w:r>
    </w:p>
    <w:p>
      <w:r>
        <w:drawing>
          <wp:inline xmlns:a="http://schemas.openxmlformats.org/drawingml/2006/main" xmlns:pic="http://schemas.openxmlformats.org/drawingml/2006/picture">
            <wp:extent cx="5760720" cy="4042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Billing lifecycle: quotation through payment and returns.</w:t>
      </w:r>
    </w:p>
    <w:p>
      <w:r>
        <w:drawing>
          <wp:inline xmlns:a="http://schemas.openxmlformats.org/drawingml/2006/main" xmlns:pic="http://schemas.openxmlformats.org/drawingml/2006/picture">
            <wp:extent cx="5760720" cy="2453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Capability domain map (market superset).</w:t>
      </w:r>
    </w:p>
    <w:p>
      <w:r>
        <w:drawing>
          <wp:inline xmlns:a="http://schemas.openxmlformats.org/drawingml/2006/main" xmlns:pic="http://schemas.openxmlformats.org/drawingml/2006/picture">
            <wp:extent cx="5760720" cy="334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Superset feature catalog (must-have themes)</w:t>
      </w:r>
    </w:p>
    <w:p>
      <w:r>
        <w:t>Consolidated themes spanning Zoho-style breadth (multi-app business suite), Vyapar-style GST retail depth, and typical Indian SMB billing (MyBillBook-like flows). Use as a checklist; prioritize by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Superset scope notes</w:t>
            </w:r>
          </w:p>
        </w:tc>
      </w:tr>
      <w:tr>
        <w:tc>
          <w:tcPr>
            <w:tcW w:type="dxa" w:w="4320"/>
          </w:tcPr>
          <w:p>
            <w:r>
              <w:t>Core documents</w:t>
            </w:r>
          </w:p>
        </w:tc>
        <w:tc>
          <w:tcPr>
            <w:tcW w:type="dxa" w:w="4320"/>
          </w:tcPr>
          <w:p>
            <w:r>
              <w:t>Invoice, quote/estimate, proforma, delivery challan, credit/debit note, receipt, purchase bill/GRN, PO, work orders.</w:t>
            </w:r>
          </w:p>
        </w:tc>
      </w:tr>
      <w:tr>
        <w:tc>
          <w:tcPr>
            <w:tcW w:type="dxa" w:w="4320"/>
          </w:tcPr>
          <w:p>
            <w:r>
              <w:t>Tax &amp; compliance</w:t>
            </w:r>
          </w:p>
        </w:tc>
        <w:tc>
          <w:tcPr>
            <w:tcW w:type="dxa" w:w="4320"/>
          </w:tcPr>
          <w:p>
            <w:r>
              <w:t>GST/VAT slabs, HSN/SAC, TDS/TCS, e-invoice IRN/QR, e-way generation/cancel hooks, statutory registers.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SKU, variants, batch/MRP/expiry, serial nos., multi-UOM, barcode/scanning, adjust/transfer, reorder alerts.</w:t>
            </w:r>
          </w:p>
        </w:tc>
      </w:tr>
      <w:tr>
        <w:tc>
          <w:tcPr>
            <w:tcW w:type="dxa" w:w="4320"/>
          </w:tcPr>
          <w:p>
            <w:r>
              <w:t>Parties &amp; pricing</w:t>
            </w:r>
          </w:p>
        </w:tc>
        <w:tc>
          <w:tcPr>
            <w:tcW w:type="dxa" w:w="4320"/>
          </w:tcPr>
          <w:p>
            <w:r>
              <w:t>Customer/vendor masters, credit limits &amp; stops, price lists, discounts, schemes, ship-to/bill-to.</w:t>
            </w:r>
          </w:p>
        </w:tc>
      </w:tr>
      <w:tr>
        <w:tc>
          <w:tcPr>
            <w:tcW w:type="dxa" w:w="4320"/>
          </w:tcPr>
          <w:p>
            <w:r>
              <w:t>Payments &amp; banking</w:t>
            </w:r>
          </w:p>
        </w:tc>
        <w:tc>
          <w:tcPr>
            <w:tcW w:type="dxa" w:w="4320"/>
          </w:tcPr>
          <w:p>
            <w:r>
              <w:t>Cash/bank/UPI/card/cheque/wallet, split tenders, allocations, FX gains/losses if multi-currency.</w:t>
            </w:r>
          </w:p>
        </w:tc>
      </w:tr>
      <w:tr>
        <w:tc>
          <w:tcPr>
            <w:tcW w:type="dxa" w:w="4320"/>
          </w:tcPr>
          <w:p>
            <w:r>
              <w:t>AR/AP &amp; collections</w:t>
            </w:r>
          </w:p>
        </w:tc>
        <w:tc>
          <w:tcPr>
            <w:tcW w:type="dxa" w:w="4320"/>
          </w:tcPr>
          <w:p>
            <w:r>
              <w:t>Outstanding, aging, dunning cadence, payment links, bulk reminders (SMS/WhatsApp/email).</w:t>
            </w:r>
          </w:p>
        </w:tc>
      </w:tr>
      <w:tr>
        <w:tc>
          <w:tcPr>
            <w:tcW w:type="dxa" w:w="4320"/>
          </w:tcPr>
          <w:p>
            <w:r>
              <w:t>Retail / POS</w:t>
            </w:r>
          </w:p>
        </w:tc>
        <w:tc>
          <w:tcPr>
            <w:tcW w:type="dxa" w:w="4320"/>
          </w:tcPr>
          <w:p>
            <w:r>
              <w:t>Quick billing, park/hold, returns/exchange, cashier shifts, thermal/A4, offline-capable.</w:t>
            </w:r>
          </w:p>
        </w:tc>
      </w:tr>
      <w:tr>
        <w:tc>
          <w:tcPr>
            <w:tcW w:type="dxa" w:w="4320"/>
          </w:tcPr>
          <w:p>
            <w:r>
              <w:t>Purchasing &amp; expenses</w:t>
            </w:r>
          </w:p>
        </w:tc>
        <w:tc>
          <w:tcPr>
            <w:tcW w:type="dxa" w:w="4320"/>
          </w:tcPr>
          <w:p>
            <w:r>
              <w:t>Vendor bills, landed cost, GRNI, expense claims GST/non-GST, approvals.</w:t>
            </w:r>
          </w:p>
        </w:tc>
      </w:tr>
      <w:tr>
        <w:tc>
          <w:tcPr>
            <w:tcW w:type="dxa" w:w="4320"/>
          </w:tcPr>
          <w:p>
            <w:r>
              <w:t>Reporting &amp; BI</w:t>
            </w:r>
          </w:p>
        </w:tc>
        <w:tc>
          <w:tcPr>
            <w:tcW w:type="dxa" w:w="4320"/>
          </w:tcPr>
          <w:p>
            <w:r>
              <w:t>Financial statements, registers, MIS dashboards, cohort/item profitability, scheduled exports.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Multi-org/fiscal years/branches/warehouses, RBAC, field-level audit, backups encryption.</w:t>
            </w:r>
          </w:p>
        </w:tc>
      </w:tr>
      <w:tr>
        <w:tc>
          <w:tcPr>
            <w:tcW w:type="dxa" w:w="4320"/>
          </w:tcPr>
          <w:p>
            <w:r>
              <w:t>Digital extensions</w:t>
            </w:r>
          </w:p>
        </w:tc>
        <w:tc>
          <w:tcPr>
            <w:tcW w:type="dxa" w:w="4320"/>
          </w:tcPr>
          <w:p>
            <w:r>
              <w:t>Online storefront/catalog orders, PG settlements import, OCR for expense snaps.</w:t>
            </w:r>
          </w:p>
        </w:tc>
      </w:tr>
      <w:tr>
        <w:tc>
          <w:tcPr>
            <w:tcW w:type="dxa" w:w="4320"/>
          </w:tcPr>
          <w:p>
            <w:r>
              <w:t>CRM / projects (optional)</w:t>
            </w:r>
          </w:p>
        </w:tc>
        <w:tc>
          <w:tcPr>
            <w:tcW w:type="dxa" w:w="4320"/>
          </w:tcPr>
          <w:p>
            <w:r>
              <w:t>Leads/deals pipeline; quotes tied to opportunities; time &amp; milestone billing.</w:t>
            </w:r>
          </w:p>
        </w:tc>
      </w:tr>
      <w:tr>
        <w:tc>
          <w:tcPr>
            <w:tcW w:type="dxa" w:w="4320"/>
          </w:tcPr>
          <w:p>
            <w:r>
              <w:t>Subscriptions &amp; recurring</w:t>
            </w:r>
          </w:p>
        </w:tc>
        <w:tc>
          <w:tcPr>
            <w:tcW w:type="dxa" w:w="4320"/>
          </w:tcPr>
          <w:p>
            <w:r>
              <w:t>Recurring invoices, usage tiers, proration, dunning for SaaS/service.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Email SMTP, SMS gateways, accounting bridges, payment gateways, e-commerce carts.</w:t>
            </w:r>
          </w:p>
        </w:tc>
      </w:tr>
      <w:tr>
        <w:tc>
          <w:tcPr>
            <w:tcW w:type="dxa" w:w="4320"/>
          </w:tcPr>
          <w:p>
            <w:r>
              <w:t>HR/Payroll (optional)</w:t>
            </w:r>
          </w:p>
        </w:tc>
        <w:tc>
          <w:tcPr>
            <w:tcW w:type="dxa" w:w="4320"/>
          </w:tcPr>
          <w:p>
            <w:r>
              <w:t>Salary payouts, statutory deductions summaries feeding GL.</w:t>
            </w:r>
          </w:p>
        </w:tc>
      </w:tr>
    </w:tbl>
    <w:p>
      <w:r>
        <w:br w:type="page"/>
      </w:r>
    </w:p>
    <w:p>
      <w:pPr>
        <w:pStyle w:val="Heading1"/>
      </w:pPr>
      <w:r>
        <w:t>4. Detailed functional requirements</w:t>
      </w:r>
    </w:p>
    <w:p>
      <w:r>
        <w:rPr>
          <w:b/>
          <w:sz w:val="22"/>
        </w:rPr>
        <w:t>FR-DOC-01 — Document authoring &amp; templates</w:t>
      </w:r>
    </w:p>
    <w:p>
      <w:pPr>
        <w:pStyle w:val="ListBullet"/>
      </w:pPr>
      <w:r>
        <w:t>Configurable numbering series per branch/document type with gaps/audit.</w:t>
      </w:r>
    </w:p>
    <w:p>
      <w:pPr>
        <w:pStyle w:val="ListBullet"/>
      </w:pPr>
      <w:r>
        <w:t>Multiple print themes (A4/A5, thermal 2"/3"); logo, footer, terms.</w:t>
      </w:r>
    </w:p>
    <w:p>
      <w:pPr>
        <w:pStyle w:val="ListBullet"/>
      </w:pPr>
      <w:r>
        <w:t>Convert estimate→SO→DC→invoice without re-keying; preserve linkage IDs.</w:t>
      </w:r>
    </w:p>
    <w:p>
      <w:pPr>
        <w:pStyle w:val="ListBullet"/>
      </w:pPr>
      <w:r>
        <w:t>Digital share: PDF, email, WhatsApp deep-link placeholders.</w:t>
      </w:r>
    </w:p>
    <w:p>
      <w:r>
        <w:rPr>
          <w:b/>
          <w:sz w:val="22"/>
        </w:rPr>
        <w:t>FR-TAX-02 — Tax engine</w:t>
      </w:r>
    </w:p>
    <w:p>
      <w:pPr>
        <w:pStyle w:val="ListBullet"/>
      </w:pPr>
      <w:r>
        <w:t>Line-level tax breakdown (CGST/SGST/IGST or VAT/sales tax per region).</w:t>
      </w:r>
    </w:p>
    <w:p>
      <w:pPr>
        <w:pStyle w:val="ListBullet"/>
      </w:pPr>
      <w:r>
        <w:t>Place-of-supply rules for interstate/intrastate.</w:t>
      </w:r>
    </w:p>
    <w:p>
      <w:pPr>
        <w:pStyle w:val="ListBullet"/>
      </w:pPr>
      <w:r>
        <w:t>E-invoice payload generation &amp; IRN storage when jurisdiction mandates.</w:t>
      </w:r>
    </w:p>
    <w:p>
      <w:pPr>
        <w:pStyle w:val="ListBullet"/>
      </w:pPr>
      <w:r>
        <w:t>Credit/debit note referencing original invoice for compliance.</w:t>
      </w:r>
    </w:p>
    <w:p>
      <w:r>
        <w:rPr>
          <w:b/>
          <w:sz w:val="22"/>
        </w:rPr>
        <w:t>FR-INV-03 — Inventory coupling</w:t>
      </w:r>
    </w:p>
    <w:p>
      <w:pPr>
        <w:pStyle w:val="ListBullet"/>
      </w:pPr>
      <w:r>
        <w:t>Real-time stock reservation or deduction policy per document stage.</w:t>
      </w:r>
    </w:p>
    <w:p>
      <w:pPr>
        <w:pStyle w:val="ListBullet"/>
      </w:pPr>
      <w:r>
        <w:t>Negative stock policy configurable per SKU/category.</w:t>
      </w:r>
    </w:p>
    <w:p>
      <w:pPr>
        <w:pStyle w:val="ListBullet"/>
      </w:pPr>
      <w:r>
        <w:t>Batch/expiry picking logic for FEFO/FIFO hints.</w:t>
      </w:r>
    </w:p>
    <w:p>
      <w:pPr>
        <w:pStyle w:val="ListBullet"/>
      </w:pPr>
      <w:r>
        <w:t>Physical stocktake workflow with variance posting.</w:t>
      </w:r>
    </w:p>
    <w:p>
      <w:r>
        <w:rPr>
          <w:b/>
          <w:sz w:val="22"/>
        </w:rPr>
        <w:t>FR-PAY-04 — Payments &amp; settlement</w:t>
      </w:r>
    </w:p>
    <w:p>
      <w:pPr>
        <w:pStyle w:val="ListBullet"/>
      </w:pPr>
      <w:r>
        <w:t>Split tenders on POS; partial invoice settlements.</w:t>
      </w:r>
    </w:p>
    <w:p>
      <w:pPr>
        <w:pStyle w:val="ListBullet"/>
      </w:pPr>
      <w:r>
        <w:t>Vendor payments with TDS tracking placeholders.</w:t>
      </w:r>
    </w:p>
    <w:p>
      <w:pPr>
        <w:pStyle w:val="ListBullet"/>
      </w:pPr>
      <w:r>
        <w:t>Cheque lifecycle (issued/received/cleared/bounced).</w:t>
      </w:r>
    </w:p>
    <w:p>
      <w:pPr>
        <w:pStyle w:val="ListBullet"/>
      </w:pPr>
      <w:r>
        <w:t>UPI QR on invoice template + reconciliation reference capture.</w:t>
      </w:r>
    </w:p>
    <w:p>
      <w:r>
        <w:rPr>
          <w:b/>
          <w:sz w:val="22"/>
        </w:rPr>
        <w:t>FR-BANK-05 — Banking reconciliation</w:t>
      </w:r>
    </w:p>
    <w:p>
      <w:pPr>
        <w:pStyle w:val="ListBullet"/>
      </w:pPr>
      <w:r>
        <w:t>Import CSV/OFX; suggest matches by amount/date/reference.</w:t>
      </w:r>
    </w:p>
    <w:p>
      <w:pPr>
        <w:pStyle w:val="ListBullet"/>
      </w:pPr>
      <w:r>
        <w:t>Manual match UI with audit.</w:t>
      </w:r>
    </w:p>
    <w:p>
      <w:pPr>
        <w:pStyle w:val="ListBullet"/>
      </w:pPr>
      <w:r>
        <w:t>Roll-forward unreconciled items.</w:t>
      </w:r>
    </w:p>
    <w:p>
      <w:r>
        <w:rPr>
          <w:b/>
          <w:sz w:val="22"/>
        </w:rPr>
        <w:t>FR-REP-06 — Reporting</w:t>
      </w:r>
    </w:p>
    <w:p>
      <w:pPr>
        <w:pStyle w:val="ListBullet"/>
      </w:pPr>
      <w:r>
        <w:t>Trial balance, day book, cash/bank books.</w:t>
      </w:r>
    </w:p>
    <w:p>
      <w:pPr>
        <w:pStyle w:val="ListBullet"/>
      </w:pPr>
      <w:r>
        <w:t>GST summary mimicking GSTR-1/3B data cuts (labels per country pack).</w:t>
      </w:r>
    </w:p>
    <w:p>
      <w:pPr>
        <w:pStyle w:val="ListBullet"/>
      </w:pPr>
      <w:r>
        <w:t>Dashboard KPIs: sales, gross margin, stock aging, outstanding.</w:t>
      </w:r>
    </w:p>
    <w:p>
      <w:pPr>
        <w:pStyle w:val="ListBullet"/>
      </w:pPr>
      <w:r>
        <w:t>Scheduled email reports optional.</w:t>
      </w:r>
    </w:p>
    <w:p>
      <w:r>
        <w:rPr>
          <w:b/>
          <w:sz w:val="22"/>
        </w:rPr>
        <w:t>FR-SEC-07 — Security &amp; governance</w:t>
      </w:r>
    </w:p>
    <w:p>
      <w:pPr>
        <w:pStyle w:val="ListBullet"/>
      </w:pPr>
      <w:r>
        <w:t>Role-based permissions down to action (create/approve/void).</w:t>
      </w:r>
    </w:p>
    <w:p>
      <w:pPr>
        <w:pStyle w:val="ListBullet"/>
      </w:pPr>
      <w:r>
        <w:t>Immutable audit log for masters &amp; financial docs.</w:t>
      </w:r>
    </w:p>
    <w:p>
      <w:pPr>
        <w:pStyle w:val="ListBullet"/>
      </w:pPr>
      <w:r>
        <w:t>Company-level data isolation; encryption at rest for secrets.</w:t>
      </w:r>
    </w:p>
    <w:p>
      <w:pPr>
        <w:pStyle w:val="ListBullet"/>
      </w:pPr>
      <w:r>
        <w:t>Backup/restore: local + cloud destination support.</w:t>
      </w:r>
    </w:p>
    <w:p>
      <w:r>
        <w:rPr>
          <w:b/>
          <w:sz w:val="22"/>
        </w:rPr>
        <w:t>FR-SYNC-08 — Connectivity</w:t>
      </w:r>
    </w:p>
    <w:p>
      <w:pPr>
        <w:pStyle w:val="ListBullet"/>
      </w:pPr>
      <w:r>
        <w:t>Offline-first mobile/desktop sync model where required.</w:t>
      </w:r>
    </w:p>
    <w:p>
      <w:pPr>
        <w:pStyle w:val="ListBullet"/>
      </w:pPr>
      <w:r>
        <w:t>REST/webhooks for orders/payments with idempotency keys.</w:t>
      </w:r>
    </w:p>
    <w:p>
      <w:pPr>
        <w:pStyle w:val="ListBullet"/>
      </w:pPr>
      <w:r>
        <w:t>Webhook retries &amp; DLQ monitoring.</w:t>
      </w:r>
    </w:p>
    <w:p>
      <w:r>
        <w:rPr>
          <w:b/>
          <w:sz w:val="22"/>
        </w:rPr>
        <w:t>FR-MAS-09 — Master data management</w:t>
      </w:r>
    </w:p>
    <w:p>
      <w:pPr>
        <w:pStyle w:val="ListBullet"/>
      </w:pPr>
      <w:r>
        <w:t>Items with categories, brands, attributes, alternate units, MRP tracking.</w:t>
      </w:r>
    </w:p>
    <w:p>
      <w:pPr>
        <w:pStyle w:val="ListBullet"/>
      </w:pPr>
      <w:r>
        <w:t>Party KYC fields: GSTIN/PAN, MSME flag, default payment terms.</w:t>
      </w:r>
    </w:p>
    <w:p>
      <w:pPr>
        <w:pStyle w:val="ListBullet"/>
      </w:pPr>
      <w:r>
        <w:t>Warehouse/bin hierarchy; transfer templates.</w:t>
      </w:r>
    </w:p>
    <w:p>
      <w:pPr>
        <w:pStyle w:val="ListBullet"/>
      </w:pPr>
      <w:r>
        <w:t>Import/export CSV for bulk onboarding.</w:t>
      </w:r>
    </w:p>
    <w:p>
      <w:r>
        <w:rPr>
          <w:b/>
          <w:sz w:val="22"/>
        </w:rPr>
        <w:t>FR-POS-10 — Point of sale</w:t>
      </w:r>
    </w:p>
    <w:p>
      <w:pPr>
        <w:pStyle w:val="ListBullet"/>
      </w:pPr>
      <w:r>
        <w:t>Keyboard shortcuts &amp; barcode-first item entry.</w:t>
      </w:r>
    </w:p>
    <w:p>
      <w:pPr>
        <w:pStyle w:val="ListBullet"/>
      </w:pPr>
      <w:r>
        <w:t>Shift open/close with cash denomination summary.</w:t>
      </w:r>
    </w:p>
    <w:p>
      <w:pPr>
        <w:pStyle w:val="ListBullet"/>
      </w:pPr>
      <w:r>
        <w:t>Returns with reference to historical bill.</w:t>
      </w:r>
    </w:p>
    <w:p>
      <w:pPr>
        <w:pStyle w:val="ListBullet"/>
      </w:pPr>
      <w:r>
        <w:t>Weighing scale integration hook (optional hardware profile).</w:t>
      </w:r>
    </w:p>
    <w:p>
      <w:r>
        <w:rPr>
          <w:b/>
          <w:sz w:val="22"/>
        </w:rPr>
        <w:t>FR-EWAY-11 — Logistics compliance</w:t>
      </w:r>
    </w:p>
    <w:p>
      <w:pPr>
        <w:pStyle w:val="ListBullet"/>
      </w:pPr>
      <w:r>
        <w:t>E-way payload assembly from invoice/DC including transporter ID &amp; vehicle.</w:t>
      </w:r>
    </w:p>
    <w:p>
      <w:pPr>
        <w:pStyle w:val="ListBullet"/>
      </w:pPr>
      <w:r>
        <w:t>Part-B updates &amp; cancellation lifecycle.</w:t>
      </w:r>
    </w:p>
    <w:p>
      <w:pPr>
        <w:pStyle w:val="ListBullet"/>
      </w:pPr>
      <w:r>
        <w:t>Distance/pin validation per API provider rules.</w:t>
      </w:r>
    </w:p>
    <w:p>
      <w:r>
        <w:rPr>
          <w:b/>
          <w:sz w:val="22"/>
        </w:rPr>
        <w:t>FR-MCUR-12 — Multi-currency &amp; overseas (Zoho Books–class)</w:t>
      </w:r>
    </w:p>
    <w:p>
      <w:pPr>
        <w:pStyle w:val="ListBullet"/>
      </w:pPr>
      <w:r>
        <w:t>Transaction currency vs base currency with daily FX rate table.</w:t>
      </w:r>
    </w:p>
    <w:p>
      <w:pPr>
        <w:pStyle w:val="ListBullet"/>
      </w:pPr>
      <w:r>
        <w:t>Realized/unrealized gain/loss postings optional module.</w:t>
      </w:r>
    </w:p>
    <w:p>
      <w:pPr>
        <w:pStyle w:val="ListBullet"/>
      </w:pPr>
      <w:r>
        <w:t>Export packing list / commercial invoice templates.</w:t>
      </w:r>
    </w:p>
    <w:p>
      <w:r>
        <w:rPr>
          <w:b/>
          <w:sz w:val="22"/>
        </w:rPr>
        <w:t>FR-REC-13 — Recurring revenue</w:t>
      </w:r>
    </w:p>
    <w:p>
      <w:pPr>
        <w:pStyle w:val="ListBullet"/>
      </w:pPr>
      <w:r>
        <w:t>Subscription schedules generating invoices on cron.</w:t>
      </w:r>
    </w:p>
    <w:p>
      <w:pPr>
        <w:pStyle w:val="ListBullet"/>
      </w:pPr>
      <w:r>
        <w:t>Pause/resume; proration policies.</w:t>
      </w:r>
    </w:p>
    <w:p>
      <w:pPr>
        <w:pStyle w:val="ListBullet"/>
      </w:pPr>
      <w:r>
        <w:t>Retry failed charges with customer notification templates.</w:t>
      </w:r>
    </w:p>
    <w:p>
      <w:r>
        <w:rPr>
          <w:b/>
          <w:sz w:val="22"/>
        </w:rPr>
        <w:t>FR-COLL-14 — Collections automation</w:t>
      </w:r>
    </w:p>
    <w:p>
      <w:pPr>
        <w:pStyle w:val="ListBullet"/>
      </w:pPr>
      <w:r>
        <w:t>Configurable reminder templates per aging bucket.</w:t>
      </w:r>
    </w:p>
    <w:p>
      <w:pPr>
        <w:pStyle w:val="ListBullet"/>
      </w:pPr>
      <w:r>
        <w:t>Bulk send with rate limiting per channel.</w:t>
      </w:r>
    </w:p>
    <w:p>
      <w:pPr>
        <w:pStyle w:val="ListBullet"/>
      </w:pPr>
      <w:r>
        <w:t>Payment receipt auto-match via references/UPI RRNs.</w:t>
      </w:r>
    </w:p>
    <w:p>
      <w:r>
        <w:rPr>
          <w:b/>
          <w:sz w:val="22"/>
        </w:rPr>
        <w:t>FR-DASH-15 — Executive dashboards</w:t>
      </w:r>
    </w:p>
    <w:p>
      <w:pPr>
        <w:pStyle w:val="ListBullet"/>
      </w:pPr>
      <w:r>
        <w:t>Configurable widgets: sales vs target, top SKUs, stock-outs.</w:t>
      </w:r>
    </w:p>
    <w:p>
      <w:pPr>
        <w:pStyle w:val="ListBullet"/>
      </w:pPr>
      <w:r>
        <w:t>Role-specific landing layouts.</w:t>
      </w:r>
    </w:p>
    <w:p>
      <w:pPr>
        <w:pStyle w:val="ListBullet"/>
      </w:pPr>
      <w:r>
        <w:t>Drill-down to voucher level.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rPr>
          <w:b/>
        </w:rPr>
        <w:t xml:space="preserve">NFR-PERF: </w:t>
      </w:r>
      <w:r>
        <w:t>P95 invoice save &lt; 300 ms LAN; POS scan-to-bill under 2 s median.</w:t>
      </w:r>
    </w:p>
    <w:p>
      <w:pPr>
        <w:pStyle w:val="ListBullet"/>
      </w:pPr>
      <w:r>
        <w:rPr>
          <w:b/>
        </w:rPr>
        <w:t xml:space="preserve">NFR-REL: </w:t>
      </w:r>
      <w:r>
        <w:t>RPO ≤ 15 minutes with automated backups; RTO target defined per deployment.</w:t>
      </w:r>
    </w:p>
    <w:p>
      <w:pPr>
        <w:pStyle w:val="ListBullet"/>
      </w:pPr>
      <w:r>
        <w:rPr>
          <w:b/>
        </w:rPr>
        <w:t xml:space="preserve">NFR-ACC: </w:t>
      </w:r>
      <w:r>
        <w:t>Monetary calculations decimal-safe; rounding policy documented per currency.</w:t>
      </w:r>
    </w:p>
    <w:p>
      <w:pPr>
        <w:pStyle w:val="ListBullet"/>
      </w:pPr>
      <w:r>
        <w:rPr>
          <w:b/>
        </w:rPr>
        <w:t xml:space="preserve">NFR-LEG: </w:t>
      </w:r>
      <w:r>
        <w:t>Localization packs for tax/document wording; timezone-aware timestamps.</w:t>
      </w:r>
    </w:p>
    <w:p>
      <w:pPr>
        <w:pStyle w:val="ListBullet"/>
      </w:pPr>
      <w:r>
        <w:rPr>
          <w:b/>
        </w:rPr>
        <w:t xml:space="preserve">NFR-A11Y: </w:t>
      </w:r>
      <w:r>
        <w:t>WCAG-oriented targets for web UI where applicable.</w:t>
      </w:r>
    </w:p>
    <w:p>
      <w:pPr>
        <w:pStyle w:val="Heading1"/>
      </w:pPr>
      <w:r>
        <w:t>6. Data dictionary (logical)</w:t>
      </w:r>
    </w:p>
    <w:p>
      <w:r>
        <w:t>Maps to Figure 2 stores: D1 masters (parties, items, tax schemas, warehouses); D2 transactional headers/lines/payments; D3 quantity ledger &amp; costing layers; D4 GL postings derived from sub-ledgers. Physical schema is implementation-specific.</w:t>
      </w:r>
    </w:p>
    <w:p>
      <w:pPr>
        <w:pStyle w:val="Heading1"/>
      </w:pPr>
      <w:r>
        <w:t>7. Traceability note</w:t>
      </w:r>
    </w:p>
    <w:p>
      <w:r>
        <w:t>Map FR-* IDs to epics in your backlog. Phase 1 typically covers FR-DOC, FR-TAX subset, FR-INV basics, FR-PAY core, FR-REP minimal; Phase 2 adds POS depth, bank recon, e-invoice automation, CRM/project overlaps.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