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AF2C5">
      <w:pPr>
        <w:spacing w:before="0" w:after="800"/>
      </w:pPr>
    </w:p>
    <w:p w14:paraId="3AE9EAB0">
      <w:pPr>
        <w:spacing w:before="0" w:after="80"/>
        <w:jc w:val="center"/>
      </w:pPr>
      <w:r>
        <w:rPr>
          <w:rFonts w:ascii="Arial" w:hAnsi="Arial" w:eastAsia="Arial" w:cs="Arial"/>
          <w:b/>
          <w:bCs/>
          <w:caps/>
          <w:color w:val="1B4F8A"/>
          <w:sz w:val="44"/>
          <w:szCs w:val="44"/>
        </w:rPr>
        <w:t>PROJECT DOCUMENTATION</w:t>
      </w:r>
    </w:p>
    <w:p w14:paraId="72007CF2">
      <w:pPr>
        <w:spacing w:before="0" w:after="200"/>
        <w:jc w:val="center"/>
      </w:pPr>
      <w:r>
        <w:rPr>
          <w:rFonts w:ascii="Arial" w:hAnsi="Arial" w:eastAsia="Arial" w:cs="Arial"/>
          <w:b/>
          <w:bCs/>
          <w:color w:val="2E75B6"/>
          <w:sz w:val="32"/>
          <w:szCs w:val="32"/>
        </w:rPr>
        <w:t>MedNova Pharmaceuticals Pvt. Ltd.</w:t>
      </w:r>
    </w:p>
    <w:p w14:paraId="5C151367">
      <w:pPr>
        <w:spacing w:before="0" w:after="100"/>
        <w:jc w:val="center"/>
      </w:pPr>
      <w:r>
        <w:rPr>
          <w:rFonts w:ascii="Arial" w:hAnsi="Arial" w:eastAsia="Arial" w:cs="Arial"/>
          <w:b w:val="0"/>
          <w:bCs w:val="0"/>
          <w:color w:val="666666"/>
          <w:sz w:val="28"/>
          <w:szCs w:val="28"/>
        </w:rPr>
        <w:t>SAP ERP Procure-to-Pay (P2P) Process Implementation</w:t>
      </w:r>
    </w:p>
    <w:p w14:paraId="3FB6AE73">
      <w:pPr>
        <w:pBdr>
          <w:bottom w:val="single" w:color="2E75B6" w:sz="6" w:space="1"/>
        </w:pBdr>
        <w:spacing w:before="0" w:after="400"/>
        <w:jc w:val="center"/>
      </w:pPr>
    </w:p>
    <w:p w14:paraId="257984E6">
      <w:pPr>
        <w:spacing w:before="0" w:after="300"/>
      </w:pPr>
    </w:p>
    <w:p w14:paraId="08290685">
      <w:pPr>
        <w:spacing w:before="60" w:after="60"/>
        <w:jc w:val="center"/>
      </w:pPr>
      <w:r>
        <w:rPr>
          <w:rFonts w:ascii="Arial" w:hAnsi="Arial" w:eastAsia="Arial" w:cs="Arial"/>
          <w:color w:val="666666"/>
          <w:sz w:val="24"/>
          <w:szCs w:val="24"/>
        </w:rPr>
        <w:t>Submitted by:</w:t>
      </w:r>
    </w:p>
    <w:p w14:paraId="48FEDD33">
      <w:pPr>
        <w:spacing w:before="0" w:after="60"/>
        <w:jc w:val="center"/>
      </w:pPr>
      <w:r>
        <w:rPr>
          <w:rFonts w:ascii="Arial" w:hAnsi="Arial" w:eastAsia="Arial" w:cs="Arial"/>
          <w:b/>
          <w:bCs/>
          <w:color w:val="000000"/>
          <w:sz w:val="28"/>
          <w:szCs w:val="28"/>
        </w:rPr>
        <w:t>Vishalakshya Tiwari [2306080]</w:t>
      </w:r>
    </w:p>
    <w:p w14:paraId="6D9AF67C">
      <w:pPr>
        <w:spacing w:before="0" w:after="60"/>
        <w:jc w:val="center"/>
      </w:pPr>
      <w:r>
        <w:rPr>
          <w:rFonts w:ascii="Arial" w:hAnsi="Arial" w:eastAsia="Arial" w:cs="Arial"/>
          <w:color w:val="666666"/>
          <w:sz w:val="24"/>
          <w:szCs w:val="24"/>
        </w:rPr>
        <w:t>Module: SAP BTP</w:t>
      </w:r>
    </w:p>
    <w:p w14:paraId="62F8A06A">
      <w:pPr>
        <w:spacing w:before="0" w:after="60"/>
        <w:jc w:val="center"/>
      </w:pPr>
      <w:r>
        <w:rPr>
          <w:rFonts w:ascii="Arial" w:hAnsi="Arial" w:eastAsia="Arial" w:cs="Arial"/>
          <w:color w:val="666666"/>
          <w:sz w:val="24"/>
          <w:szCs w:val="24"/>
        </w:rPr>
        <w:t>KIIT University, Bhubaneswar</w:t>
      </w:r>
    </w:p>
    <w:p w14:paraId="5E96210C">
      <w:pPr>
        <w:spacing w:before="0" w:after="60"/>
        <w:jc w:val="center"/>
      </w:pPr>
      <w:r>
        <w:rPr>
          <w:rFonts w:ascii="Arial" w:hAnsi="Arial" w:eastAsia="Arial" w:cs="Arial"/>
          <w:color w:val="666666"/>
          <w:sz w:val="24"/>
          <w:szCs w:val="24"/>
        </w:rPr>
        <w:t>Academic Year: 2025 – 2026</w:t>
      </w:r>
    </w:p>
    <w:p w14:paraId="2D91DC43">
      <w:pPr>
        <w:spacing w:before="0" w:after="600"/>
      </w:pPr>
    </w:p>
    <w:p w14:paraId="596A7F88">
      <w:pPr>
        <w:spacing w:before="0" w:after="40"/>
        <w:jc w:val="center"/>
      </w:pPr>
      <w:r>
        <w:rPr>
          <w:rFonts w:ascii="Arial" w:hAnsi="Arial" w:eastAsia="Arial" w:cs="Arial"/>
          <w:i/>
          <w:iCs/>
          <w:color w:val="666666"/>
          <w:sz w:val="22"/>
          <w:szCs w:val="22"/>
        </w:rPr>
        <w:t>Submitted in partial fulfillment of B.Tech degree requirements</w:t>
      </w:r>
    </w:p>
    <w:p w14:paraId="196BAEE9">
      <w:r>
        <w:br w:type="page"/>
      </w:r>
    </w:p>
    <w:p w14:paraId="1DE1CABB">
      <w:pPr>
        <w:sectPr>
          <w:pgSz w:w="11906" w:h="16838"/>
          <w:pgMar w:top="1440" w:right="1440" w:bottom="1440" w:left="1440" w:header="708" w:footer="708" w:gutter="0"/>
          <w:cols w:space="720" w:num="1"/>
          <w:docGrid w:linePitch="360" w:charSpace="0"/>
        </w:sectPr>
      </w:pPr>
    </w:p>
    <w:p w14:paraId="1877DA87">
      <w:pPr>
        <w:pStyle w:val="2"/>
        <w:spacing w:before="320" w:after="160"/>
      </w:pPr>
      <w:r>
        <w:rPr>
          <w:rFonts w:ascii="Arial" w:hAnsi="Arial" w:eastAsia="Arial" w:cs="Arial"/>
          <w:b/>
          <w:bCs/>
          <w:color w:val="1B4F8A"/>
          <w:sz w:val="30"/>
          <w:szCs w:val="30"/>
        </w:rPr>
        <w:t>1. Project Title &amp; Overview</w:t>
      </w:r>
    </w:p>
    <w:p w14:paraId="63CF8FC9">
      <w:pPr>
        <w:pBdr>
          <w:bottom w:val="single" w:color="2E75B6" w:sz="4" w:space="1"/>
        </w:pBdr>
        <w:spacing w:before="160" w:after="160"/>
      </w:pPr>
    </w:p>
    <w:p w14:paraId="437D40BE">
      <w:pPr>
        <w:spacing w:before="0" w:after="80"/>
      </w:pPr>
    </w:p>
    <w:p w14:paraId="5502C7B8">
      <w:pPr>
        <w:spacing w:before="80" w:after="80"/>
        <w:jc w:val="center"/>
      </w:pPr>
      <w:r>
        <w:rPr>
          <w:rFonts w:ascii="Arial" w:hAnsi="Arial" w:eastAsia="Arial" w:cs="Arial"/>
          <w:b/>
          <w:bCs/>
          <w:color w:val="1B4F8A"/>
          <w:sz w:val="30"/>
          <w:szCs w:val="30"/>
        </w:rPr>
        <w:t>SAP ERP Procure-to-Pay (P2P) Implementation</w:t>
      </w:r>
    </w:p>
    <w:p w14:paraId="5D06AFF9">
      <w:pPr>
        <w:spacing w:before="0" w:after="200"/>
        <w:jc w:val="center"/>
      </w:pPr>
      <w:r>
        <w:rPr>
          <w:rFonts w:ascii="Arial" w:hAnsi="Arial" w:eastAsia="Arial" w:cs="Arial"/>
          <w:b w:val="0"/>
          <w:bCs w:val="0"/>
          <w:color w:val="2E75B6"/>
          <w:sz w:val="28"/>
          <w:szCs w:val="28"/>
        </w:rPr>
        <w:t>for MedNova Pharmaceuticals Pvt. Ltd.</w:t>
      </w:r>
    </w:p>
    <w:p w14:paraId="33431767">
      <w:pPr>
        <w:spacing w:before="60" w:after="100" w:line="276" w:lineRule="auto"/>
        <w:jc w:val="both"/>
      </w:pPr>
      <w:r>
        <w:rPr>
          <w:rFonts w:ascii="Arial" w:hAnsi="Arial" w:eastAsia="Arial" w:cs="Arial"/>
          <w:color w:val="000000"/>
          <w:sz w:val="24"/>
          <w:szCs w:val="24"/>
        </w:rPr>
        <w:t>MedNova Pharmaceuticals Pvt. Ltd. is a fictional, mid-sized Indian pharmaceutical company engaged in manufacturing and distribution of generic medicines, Active Pharmaceutical Ingredients (APIs), and over-the-counter (OTC) healthcare products. Headquartered in Hyderabad with plants in Pune and Ahmedabad, the company employs 3,200+ personnel and generates approximately INR 850 Crores in annual turnover.</w:t>
      </w:r>
    </w:p>
    <w:p w14:paraId="38ED66F4">
      <w:pPr>
        <w:spacing w:before="0" w:after="60"/>
      </w:pPr>
    </w:p>
    <w:p w14:paraId="1E98B414">
      <w:pPr>
        <w:spacing w:before="60" w:after="100" w:line="276" w:lineRule="auto"/>
        <w:jc w:val="both"/>
      </w:pPr>
      <w:r>
        <w:rPr>
          <w:rFonts w:ascii="Arial" w:hAnsi="Arial" w:eastAsia="Arial" w:cs="Arial"/>
          <w:color w:val="000000"/>
          <w:sz w:val="24"/>
          <w:szCs w:val="24"/>
        </w:rPr>
        <w:t>This project implements SAP ERP — specifically the SAP Materials Management (MM) module — to digitise and automate MedNova's Procure-to-Pay (P2P) business process. The implementation spans from Purchase Requisition creation to final vendor payment, encompassing all intermediate steps: RFQ management, quotation comparison, Purchase Order creation, Goods Receipt, and Invoice Verification.</w:t>
      </w:r>
    </w:p>
    <w:p w14:paraId="4BB69C94">
      <w:pPr>
        <w:spacing w:before="0" w:after="80"/>
      </w:pPr>
    </w:p>
    <w:p w14:paraId="44DE23F6">
      <w:pPr>
        <w:pStyle w:val="3"/>
        <w:spacing w:before="240" w:after="120"/>
      </w:pPr>
      <w:r>
        <w:rPr>
          <w:rFonts w:ascii="Arial" w:hAnsi="Arial" w:eastAsia="Arial" w:cs="Arial"/>
          <w:b/>
          <w:bCs/>
          <w:color w:val="2E75B6"/>
          <w:sz w:val="28"/>
          <w:szCs w:val="28"/>
        </w:rPr>
        <w:t>Project Scope at a Glance</w:t>
      </w:r>
    </w:p>
    <w:p w14:paraId="05DD1DF7">
      <w:pPr>
        <w:spacing w:before="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2DC5A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B4F8A"/>
            <w:tcMar>
              <w:top w:w="80" w:type="dxa"/>
              <w:left w:w="120" w:type="dxa"/>
              <w:bottom w:w="80" w:type="dxa"/>
              <w:right w:w="120" w:type="dxa"/>
            </w:tcMar>
            <w:vAlign w:val="center"/>
          </w:tcPr>
          <w:p w14:paraId="2086FB22">
            <w:pPr>
              <w:jc w:val="center"/>
            </w:pPr>
            <w:r>
              <w:rPr>
                <w:rFonts w:ascii="Arial" w:hAnsi="Arial" w:eastAsia="Arial" w:cs="Arial"/>
                <w:b/>
                <w:bCs/>
                <w:color w:val="FFFFFF"/>
                <w:sz w:val="24"/>
                <w:szCs w:val="24"/>
              </w:rPr>
              <w:t>Parameter</w:t>
            </w:r>
          </w:p>
        </w:tc>
        <w:tc>
          <w:tcPr>
            <w:tcW w:w="6026" w:type="dxa"/>
            <w:tcBorders>
              <w:top w:val="single" w:color="CCCCCC" w:sz="0" w:space="0"/>
              <w:left w:val="single" w:color="CCCCCC" w:sz="0" w:space="0"/>
              <w:bottom w:val="single" w:color="CCCCCC" w:sz="0" w:space="0"/>
              <w:right w:val="single" w:color="CCCCCC" w:sz="0" w:space="0"/>
            </w:tcBorders>
            <w:shd w:val="clear" w:color="auto" w:fill="1B4F8A"/>
            <w:tcMar>
              <w:top w:w="80" w:type="dxa"/>
              <w:left w:w="120" w:type="dxa"/>
              <w:bottom w:w="80" w:type="dxa"/>
              <w:right w:w="120" w:type="dxa"/>
            </w:tcMar>
            <w:vAlign w:val="center"/>
          </w:tcPr>
          <w:p w14:paraId="526282B1">
            <w:pPr>
              <w:jc w:val="center"/>
            </w:pPr>
            <w:r>
              <w:rPr>
                <w:rFonts w:ascii="Arial" w:hAnsi="Arial" w:eastAsia="Arial" w:cs="Arial"/>
                <w:b/>
                <w:bCs/>
                <w:color w:val="FFFFFF"/>
                <w:sz w:val="24"/>
                <w:szCs w:val="24"/>
              </w:rPr>
              <w:t>Details</w:t>
            </w:r>
          </w:p>
        </w:tc>
      </w:tr>
      <w:tr w14:paraId="5E9FD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B03AD5">
            <w:pPr>
              <w:jc w:val="left"/>
            </w:pPr>
            <w:r>
              <w:rPr>
                <w:rFonts w:ascii="Arial" w:hAnsi="Arial" w:eastAsia="Arial" w:cs="Arial"/>
                <w:color w:val="000000"/>
                <w:sz w:val="22"/>
                <w:szCs w:val="22"/>
              </w:rPr>
              <w:t>Company</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652B23">
            <w:pPr>
              <w:jc w:val="left"/>
            </w:pPr>
            <w:r>
              <w:rPr>
                <w:rFonts w:ascii="Arial" w:hAnsi="Arial" w:eastAsia="Arial" w:cs="Arial"/>
                <w:color w:val="000000"/>
                <w:sz w:val="22"/>
                <w:szCs w:val="22"/>
              </w:rPr>
              <w:t>MedNova Pharmaceuticals Pvt. Ltd. (Fictional)</w:t>
            </w:r>
          </w:p>
        </w:tc>
      </w:tr>
      <w:tr w14:paraId="520EC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5412EED8">
            <w:pPr>
              <w:jc w:val="left"/>
            </w:pPr>
            <w:r>
              <w:rPr>
                <w:rFonts w:ascii="Arial" w:hAnsi="Arial" w:eastAsia="Arial" w:cs="Arial"/>
                <w:color w:val="000000"/>
                <w:sz w:val="22"/>
                <w:szCs w:val="22"/>
              </w:rPr>
              <w:t>ERP System</w:t>
            </w:r>
          </w:p>
        </w:tc>
        <w:tc>
          <w:tcPr>
            <w:tcW w:w="6026"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3036BD2B">
            <w:pPr>
              <w:jc w:val="left"/>
            </w:pPr>
            <w:r>
              <w:rPr>
                <w:rFonts w:ascii="Arial" w:hAnsi="Arial" w:eastAsia="Arial" w:cs="Arial"/>
                <w:color w:val="000000"/>
                <w:sz w:val="22"/>
                <w:szCs w:val="22"/>
              </w:rPr>
              <w:t>SAP ERP (SAP MM Module)</w:t>
            </w:r>
          </w:p>
        </w:tc>
      </w:tr>
      <w:tr w14:paraId="04B4B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FC4140">
            <w:pPr>
              <w:jc w:val="left"/>
            </w:pPr>
            <w:r>
              <w:rPr>
                <w:rFonts w:ascii="Arial" w:hAnsi="Arial" w:eastAsia="Arial" w:cs="Arial"/>
                <w:color w:val="000000"/>
                <w:sz w:val="22"/>
                <w:szCs w:val="22"/>
              </w:rPr>
              <w:t>Process</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BD7454">
            <w:pPr>
              <w:jc w:val="left"/>
            </w:pPr>
            <w:r>
              <w:rPr>
                <w:rFonts w:ascii="Arial" w:hAnsi="Arial" w:eastAsia="Arial" w:cs="Arial"/>
                <w:color w:val="000000"/>
                <w:sz w:val="22"/>
                <w:szCs w:val="22"/>
              </w:rPr>
              <w:t>Procure-to-Pay (P2P) — End-to-End</w:t>
            </w:r>
          </w:p>
        </w:tc>
      </w:tr>
      <w:tr w14:paraId="5C6E7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0D40B913">
            <w:pPr>
              <w:jc w:val="left"/>
            </w:pPr>
            <w:r>
              <w:rPr>
                <w:rFonts w:ascii="Arial" w:hAnsi="Arial" w:eastAsia="Arial" w:cs="Arial"/>
                <w:color w:val="000000"/>
                <w:sz w:val="22"/>
                <w:szCs w:val="22"/>
              </w:rPr>
              <w:t>Plants Covered</w:t>
            </w:r>
          </w:p>
        </w:tc>
        <w:tc>
          <w:tcPr>
            <w:tcW w:w="6026"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7D23889B">
            <w:pPr>
              <w:jc w:val="left"/>
            </w:pPr>
            <w:r>
              <w:rPr>
                <w:rFonts w:ascii="Arial" w:hAnsi="Arial" w:eastAsia="Arial" w:cs="Arial"/>
                <w:color w:val="000000"/>
                <w:sz w:val="22"/>
                <w:szCs w:val="22"/>
              </w:rPr>
              <w:t>Hyderabad (MN01), Pune (MN02), Ahmedabad (MN03)</w:t>
            </w:r>
          </w:p>
        </w:tc>
      </w:tr>
      <w:tr w14:paraId="132E4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DDDB88">
            <w:pPr>
              <w:jc w:val="left"/>
            </w:pPr>
            <w:r>
              <w:rPr>
                <w:rFonts w:ascii="Arial" w:hAnsi="Arial" w:eastAsia="Arial" w:cs="Arial"/>
                <w:color w:val="000000"/>
                <w:sz w:val="22"/>
                <w:szCs w:val="22"/>
              </w:rPr>
              <w:t>Academic Institution</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D1BD64">
            <w:pPr>
              <w:jc w:val="left"/>
            </w:pPr>
            <w:r>
              <w:rPr>
                <w:rFonts w:ascii="Arial" w:hAnsi="Arial" w:eastAsia="Arial" w:cs="Arial"/>
                <w:color w:val="000000"/>
                <w:sz w:val="22"/>
                <w:szCs w:val="22"/>
              </w:rPr>
              <w:t>KIIT University, Bhubaneswar</w:t>
            </w:r>
          </w:p>
        </w:tc>
      </w:tr>
      <w:tr w14:paraId="7E28C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2865FA73">
            <w:pPr>
              <w:jc w:val="left"/>
            </w:pPr>
            <w:r>
              <w:rPr>
                <w:rFonts w:ascii="Arial" w:hAnsi="Arial" w:eastAsia="Arial" w:cs="Arial"/>
                <w:color w:val="000000"/>
                <w:sz w:val="22"/>
                <w:szCs w:val="22"/>
              </w:rPr>
              <w:t>Module</w:t>
            </w:r>
          </w:p>
        </w:tc>
        <w:tc>
          <w:tcPr>
            <w:tcW w:w="6026"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0C6FA178">
            <w:pPr>
              <w:jc w:val="left"/>
            </w:pPr>
            <w:r>
              <w:rPr>
                <w:rFonts w:ascii="Arial" w:hAnsi="Arial" w:eastAsia="Arial" w:cs="Arial"/>
                <w:color w:val="000000"/>
                <w:sz w:val="22"/>
                <w:szCs w:val="22"/>
              </w:rPr>
              <w:t>SAP Business Technology Platform (BTP)</w:t>
            </w:r>
          </w:p>
        </w:tc>
      </w:tr>
      <w:tr w14:paraId="3DD41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D3F533">
            <w:pPr>
              <w:jc w:val="left"/>
            </w:pPr>
            <w:r>
              <w:rPr>
                <w:rFonts w:ascii="Arial" w:hAnsi="Arial" w:eastAsia="Arial" w:cs="Arial"/>
                <w:color w:val="000000"/>
                <w:sz w:val="22"/>
                <w:szCs w:val="22"/>
              </w:rPr>
              <w:t>Academic Year</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8F278F">
            <w:pPr>
              <w:jc w:val="left"/>
            </w:pPr>
            <w:r>
              <w:rPr>
                <w:rFonts w:ascii="Arial" w:hAnsi="Arial" w:eastAsia="Arial" w:cs="Arial"/>
                <w:color w:val="000000"/>
                <w:sz w:val="22"/>
                <w:szCs w:val="22"/>
              </w:rPr>
              <w:t>2025 – 2026</w:t>
            </w:r>
          </w:p>
        </w:tc>
      </w:tr>
      <w:tr w14:paraId="68B04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4D5C1267">
            <w:pPr>
              <w:jc w:val="left"/>
            </w:pPr>
            <w:r>
              <w:rPr>
                <w:rFonts w:ascii="Arial" w:hAnsi="Arial" w:eastAsia="Arial" w:cs="Arial"/>
                <w:color w:val="000000"/>
                <w:sz w:val="22"/>
                <w:szCs w:val="22"/>
              </w:rPr>
              <w:t>Student</w:t>
            </w:r>
          </w:p>
        </w:tc>
        <w:tc>
          <w:tcPr>
            <w:tcW w:w="6026"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1A87A4CE">
            <w:pPr>
              <w:jc w:val="left"/>
            </w:pPr>
            <w:r>
              <w:rPr>
                <w:rFonts w:ascii="Arial" w:hAnsi="Arial" w:eastAsia="Arial" w:cs="Arial"/>
                <w:color w:val="000000"/>
                <w:sz w:val="22"/>
                <w:szCs w:val="22"/>
              </w:rPr>
              <w:t>Vishalakshya Tiwari [2306080]</w:t>
            </w:r>
          </w:p>
        </w:tc>
      </w:tr>
    </w:tbl>
    <w:p w14:paraId="1E720877">
      <w:pPr>
        <w:spacing w:before="0" w:after="120"/>
      </w:pPr>
    </w:p>
    <w:p w14:paraId="7FB9988D">
      <w:r>
        <w:br w:type="page"/>
      </w:r>
    </w:p>
    <w:p w14:paraId="7922020B">
      <w:pPr>
        <w:pStyle w:val="2"/>
        <w:spacing w:before="320" w:after="160"/>
      </w:pPr>
      <w:r>
        <w:rPr>
          <w:rFonts w:ascii="Arial" w:hAnsi="Arial" w:eastAsia="Arial" w:cs="Arial"/>
          <w:b/>
          <w:bCs/>
          <w:color w:val="1B4F8A"/>
          <w:sz w:val="30"/>
          <w:szCs w:val="30"/>
        </w:rPr>
        <w:t>2. Problem Statement</w:t>
      </w:r>
    </w:p>
    <w:p w14:paraId="34E35B95">
      <w:pPr>
        <w:pBdr>
          <w:bottom w:val="single" w:color="2E75B6" w:sz="4" w:space="1"/>
        </w:pBdr>
        <w:spacing w:before="160" w:after="160"/>
      </w:pPr>
    </w:p>
    <w:p w14:paraId="4B7C2176">
      <w:pPr>
        <w:spacing w:before="0" w:after="80"/>
      </w:pPr>
    </w:p>
    <w:p w14:paraId="3B3C8407">
      <w:pPr>
        <w:spacing w:before="60" w:after="100" w:line="276" w:lineRule="auto"/>
        <w:jc w:val="both"/>
      </w:pPr>
      <w:r>
        <w:rPr>
          <w:rFonts w:ascii="Arial" w:hAnsi="Arial" w:eastAsia="Arial" w:cs="Arial"/>
          <w:color w:val="000000"/>
          <w:sz w:val="24"/>
          <w:szCs w:val="24"/>
        </w:rPr>
        <w:t>Prior to SAP implementation, MedNova Pharmaceuticals operated on a legacy Oracle Forms system supplemented by extensive Excel-based procurement workflows. This resulted in fragmented, error-prone operations that negatively impacted procurement efficiency, regulatory compliance, and financial accuracy.</w:t>
      </w:r>
    </w:p>
    <w:p w14:paraId="080F7DCC">
      <w:pPr>
        <w:spacing w:before="0" w:after="100"/>
      </w:pPr>
    </w:p>
    <w:p w14:paraId="1B93455E">
      <w:pPr>
        <w:pStyle w:val="3"/>
        <w:spacing w:before="240" w:after="120"/>
      </w:pPr>
      <w:r>
        <w:rPr>
          <w:rFonts w:ascii="Arial" w:hAnsi="Arial" w:eastAsia="Arial" w:cs="Arial"/>
          <w:b/>
          <w:bCs/>
          <w:color w:val="2E75B6"/>
          <w:sz w:val="28"/>
          <w:szCs w:val="28"/>
        </w:rPr>
        <w:t>2.1 Critical Operational Challenges (AS-IS State)</w:t>
      </w:r>
    </w:p>
    <w:p w14:paraId="28C0F37E">
      <w:pPr>
        <w:spacing w:before="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800"/>
        <w:gridCol w:w="5726"/>
      </w:tblGrid>
      <w:tr w14:paraId="1F27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CCCCCC" w:sz="0" w:space="0"/>
              <w:left w:val="single" w:color="CCCCCC" w:sz="0" w:space="0"/>
              <w:bottom w:val="single" w:color="CCCCCC" w:sz="0" w:space="0"/>
              <w:right w:val="single" w:color="CCCCCC" w:sz="0" w:space="0"/>
            </w:tcBorders>
            <w:shd w:val="clear" w:color="auto" w:fill="1B4F8A"/>
            <w:tcMar>
              <w:top w:w="80" w:type="dxa"/>
              <w:left w:w="120" w:type="dxa"/>
              <w:bottom w:w="80" w:type="dxa"/>
              <w:right w:w="120" w:type="dxa"/>
            </w:tcMar>
            <w:vAlign w:val="center"/>
          </w:tcPr>
          <w:p w14:paraId="79E22274">
            <w:pPr>
              <w:jc w:val="center"/>
            </w:pPr>
            <w:r>
              <w:rPr>
                <w:rFonts w:ascii="Arial" w:hAnsi="Arial" w:eastAsia="Arial" w:cs="Arial"/>
                <w:b/>
                <w:bCs/>
                <w:color w:val="FFFFFF"/>
                <w:sz w:val="24"/>
                <w:szCs w:val="24"/>
              </w:rPr>
              <w:t>#</w:t>
            </w:r>
          </w:p>
        </w:tc>
        <w:tc>
          <w:tcPr>
            <w:tcW w:w="2800" w:type="dxa"/>
            <w:tcBorders>
              <w:top w:val="single" w:color="CCCCCC" w:sz="0" w:space="0"/>
              <w:left w:val="single" w:color="CCCCCC" w:sz="0" w:space="0"/>
              <w:bottom w:val="single" w:color="CCCCCC" w:sz="0" w:space="0"/>
              <w:right w:val="single" w:color="CCCCCC" w:sz="0" w:space="0"/>
            </w:tcBorders>
            <w:shd w:val="clear" w:color="auto" w:fill="1B4F8A"/>
            <w:tcMar>
              <w:top w:w="80" w:type="dxa"/>
              <w:left w:w="120" w:type="dxa"/>
              <w:bottom w:w="80" w:type="dxa"/>
              <w:right w:w="120" w:type="dxa"/>
            </w:tcMar>
            <w:vAlign w:val="center"/>
          </w:tcPr>
          <w:p w14:paraId="19833FCE">
            <w:pPr>
              <w:jc w:val="center"/>
            </w:pPr>
            <w:r>
              <w:rPr>
                <w:rFonts w:ascii="Arial" w:hAnsi="Arial" w:eastAsia="Arial" w:cs="Arial"/>
                <w:b/>
                <w:bCs/>
                <w:color w:val="FFFFFF"/>
                <w:sz w:val="24"/>
                <w:szCs w:val="24"/>
              </w:rPr>
              <w:t>Problem Area</w:t>
            </w:r>
          </w:p>
        </w:tc>
        <w:tc>
          <w:tcPr>
            <w:tcW w:w="5726" w:type="dxa"/>
            <w:tcBorders>
              <w:top w:val="single" w:color="CCCCCC" w:sz="0" w:space="0"/>
              <w:left w:val="single" w:color="CCCCCC" w:sz="0" w:space="0"/>
              <w:bottom w:val="single" w:color="CCCCCC" w:sz="0" w:space="0"/>
              <w:right w:val="single" w:color="CCCCCC" w:sz="0" w:space="0"/>
            </w:tcBorders>
            <w:shd w:val="clear" w:color="auto" w:fill="1B4F8A"/>
            <w:tcMar>
              <w:top w:w="80" w:type="dxa"/>
              <w:left w:w="120" w:type="dxa"/>
              <w:bottom w:w="80" w:type="dxa"/>
              <w:right w:w="120" w:type="dxa"/>
            </w:tcMar>
            <w:vAlign w:val="center"/>
          </w:tcPr>
          <w:p w14:paraId="5C524BA9">
            <w:pPr>
              <w:jc w:val="center"/>
            </w:pPr>
            <w:r>
              <w:rPr>
                <w:rFonts w:ascii="Arial" w:hAnsi="Arial" w:eastAsia="Arial" w:cs="Arial"/>
                <w:b/>
                <w:bCs/>
                <w:color w:val="FFFFFF"/>
                <w:sz w:val="24"/>
                <w:szCs w:val="24"/>
              </w:rPr>
              <w:t>Business Impact</w:t>
            </w:r>
          </w:p>
        </w:tc>
      </w:tr>
      <w:tr w14:paraId="38D2B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16D42E">
            <w:pPr>
              <w:jc w:val="left"/>
            </w:pPr>
            <w:r>
              <w:rPr>
                <w:rFonts w:ascii="Arial" w:hAnsi="Arial" w:eastAsia="Arial" w:cs="Arial"/>
                <w:color w:val="000000"/>
                <w:sz w:val="22"/>
                <w:szCs w:val="22"/>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BBDBBA">
            <w:pPr>
              <w:jc w:val="left"/>
            </w:pPr>
            <w:r>
              <w:rPr>
                <w:rFonts w:ascii="Arial" w:hAnsi="Arial" w:eastAsia="Arial" w:cs="Arial"/>
                <w:color w:val="000000"/>
                <w:sz w:val="22"/>
                <w:szCs w:val="22"/>
              </w:rPr>
              <w:t>Manual Procurement via Paper Forms</w:t>
            </w:r>
          </w:p>
        </w:tc>
        <w:tc>
          <w:tcPr>
            <w:tcW w:w="57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FC9131">
            <w:pPr>
              <w:jc w:val="left"/>
            </w:pPr>
            <w:r>
              <w:rPr>
                <w:rFonts w:ascii="Arial" w:hAnsi="Arial" w:eastAsia="Arial" w:cs="Arial"/>
                <w:color w:val="000000"/>
                <w:sz w:val="22"/>
                <w:szCs w:val="22"/>
              </w:rPr>
              <w:t>Approvals delayed 5–7 days; no digital audit trail for GMP audits.</w:t>
            </w:r>
          </w:p>
        </w:tc>
      </w:tr>
      <w:tr w14:paraId="28823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5B5EAD69">
            <w:pPr>
              <w:jc w:val="left"/>
            </w:pPr>
            <w:r>
              <w:rPr>
                <w:rFonts w:ascii="Arial" w:hAnsi="Arial" w:eastAsia="Arial" w:cs="Arial"/>
                <w:color w:val="000000"/>
                <w:sz w:val="22"/>
                <w:szCs w:val="22"/>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1496A3E0">
            <w:pPr>
              <w:jc w:val="left"/>
            </w:pPr>
            <w:r>
              <w:rPr>
                <w:rFonts w:ascii="Arial" w:hAnsi="Arial" w:eastAsia="Arial" w:cs="Arial"/>
                <w:color w:val="000000"/>
                <w:sz w:val="22"/>
                <w:szCs w:val="22"/>
              </w:rPr>
              <w:t>No Centralised Vendor Database</w:t>
            </w:r>
          </w:p>
        </w:tc>
        <w:tc>
          <w:tcPr>
            <w:tcW w:w="5726"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5FF90BF3">
            <w:pPr>
              <w:jc w:val="left"/>
            </w:pPr>
            <w:r>
              <w:rPr>
                <w:rFonts w:ascii="Arial" w:hAnsi="Arial" w:eastAsia="Arial" w:cs="Arial"/>
                <w:color w:val="000000"/>
                <w:sz w:val="22"/>
                <w:szCs w:val="22"/>
              </w:rPr>
              <w:t>Each plant used its own Excel vendor list, causing 180+ duplicates and maverick buying.</w:t>
            </w:r>
          </w:p>
        </w:tc>
      </w:tr>
      <w:tr w14:paraId="03E0F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5A2BFB">
            <w:pPr>
              <w:jc w:val="left"/>
            </w:pPr>
            <w:r>
              <w:rPr>
                <w:rFonts w:ascii="Arial" w:hAnsi="Arial" w:eastAsia="Arial" w:cs="Arial"/>
                <w:color w:val="000000"/>
                <w:sz w:val="22"/>
                <w:szCs w:val="22"/>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5BD3EA">
            <w:pPr>
              <w:jc w:val="left"/>
            </w:pPr>
            <w:r>
              <w:rPr>
                <w:rFonts w:ascii="Arial" w:hAnsi="Arial" w:eastAsia="Arial" w:cs="Arial"/>
                <w:color w:val="000000"/>
                <w:sz w:val="22"/>
                <w:szCs w:val="22"/>
              </w:rPr>
              <w:t>Inventory Inaccuracy (~78%)</w:t>
            </w:r>
          </w:p>
        </w:tc>
        <w:tc>
          <w:tcPr>
            <w:tcW w:w="57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5FDDDA">
            <w:pPr>
              <w:jc w:val="left"/>
            </w:pPr>
            <w:r>
              <w:rPr>
                <w:rFonts w:ascii="Arial" w:hAnsi="Arial" w:eastAsia="Arial" w:cs="Arial"/>
                <w:color w:val="000000"/>
                <w:sz w:val="22"/>
                <w:szCs w:val="22"/>
              </w:rPr>
              <w:t>Monthly reconciliation led to frequent raw material stockouts and production stoppages.</w:t>
            </w:r>
          </w:p>
        </w:tc>
      </w:tr>
      <w:tr w14:paraId="77522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61F4478F">
            <w:pPr>
              <w:jc w:val="left"/>
            </w:pPr>
            <w:r>
              <w:rPr>
                <w:rFonts w:ascii="Arial" w:hAnsi="Arial" w:eastAsia="Arial" w:cs="Arial"/>
                <w:color w:val="000000"/>
                <w:sz w:val="22"/>
                <w:szCs w:val="22"/>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2A258A5B">
            <w:pPr>
              <w:jc w:val="left"/>
            </w:pPr>
            <w:r>
              <w:rPr>
                <w:rFonts w:ascii="Arial" w:hAnsi="Arial" w:eastAsia="Arial" w:cs="Arial"/>
                <w:color w:val="000000"/>
                <w:sz w:val="22"/>
                <w:szCs w:val="22"/>
              </w:rPr>
              <w:t>Invoice Mismatch &amp; Delays</w:t>
            </w:r>
          </w:p>
        </w:tc>
        <w:tc>
          <w:tcPr>
            <w:tcW w:w="5726"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5D117E51">
            <w:pPr>
              <w:jc w:val="left"/>
            </w:pPr>
            <w:r>
              <w:rPr>
                <w:rFonts w:ascii="Arial" w:hAnsi="Arial" w:eastAsia="Arial" w:cs="Arial"/>
                <w:color w:val="000000"/>
                <w:sz w:val="22"/>
                <w:szCs w:val="22"/>
              </w:rPr>
              <w:t>No 3-way match; average payment cycle was 45–60 days causing vendor disputes.</w:t>
            </w:r>
          </w:p>
        </w:tc>
      </w:tr>
      <w:tr w14:paraId="7348A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07A180">
            <w:pPr>
              <w:jc w:val="left"/>
            </w:pPr>
            <w:r>
              <w:rPr>
                <w:rFonts w:ascii="Arial" w:hAnsi="Arial" w:eastAsia="Arial" w:cs="Arial"/>
                <w:color w:val="000000"/>
                <w:sz w:val="22"/>
                <w:szCs w:val="22"/>
              </w:rPr>
              <w:t>5</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9BE0A6">
            <w:pPr>
              <w:jc w:val="left"/>
            </w:pPr>
            <w:r>
              <w:rPr>
                <w:rFonts w:ascii="Arial" w:hAnsi="Arial" w:eastAsia="Arial" w:cs="Arial"/>
                <w:color w:val="000000"/>
                <w:sz w:val="22"/>
                <w:szCs w:val="22"/>
              </w:rPr>
              <w:t>Regulatory Non-Compliance Risk</w:t>
            </w:r>
          </w:p>
        </w:tc>
        <w:tc>
          <w:tcPr>
            <w:tcW w:w="57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6FF1D9">
            <w:pPr>
              <w:jc w:val="left"/>
            </w:pPr>
            <w:r>
              <w:rPr>
                <w:rFonts w:ascii="Arial" w:hAnsi="Arial" w:eastAsia="Arial" w:cs="Arial"/>
                <w:color w:val="000000"/>
                <w:sz w:val="22"/>
                <w:szCs w:val="22"/>
              </w:rPr>
              <w:t>Procurement documentation gaps flagged during Schedule M GMP audits.</w:t>
            </w:r>
          </w:p>
        </w:tc>
      </w:tr>
      <w:tr w14:paraId="3478D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74C2038E">
            <w:pPr>
              <w:jc w:val="left"/>
            </w:pPr>
            <w:r>
              <w:rPr>
                <w:rFonts w:ascii="Arial" w:hAnsi="Arial" w:eastAsia="Arial" w:cs="Arial"/>
                <w:color w:val="000000"/>
                <w:sz w:val="22"/>
                <w:szCs w:val="22"/>
              </w:rPr>
              <w:t>6</w:t>
            </w:r>
          </w:p>
        </w:tc>
        <w:tc>
          <w:tcPr>
            <w:tcW w:w="28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792E21CF">
            <w:pPr>
              <w:jc w:val="left"/>
            </w:pPr>
            <w:r>
              <w:rPr>
                <w:rFonts w:ascii="Arial" w:hAnsi="Arial" w:eastAsia="Arial" w:cs="Arial"/>
                <w:color w:val="000000"/>
                <w:sz w:val="22"/>
                <w:szCs w:val="22"/>
              </w:rPr>
              <w:t>No Real-Time MIS Reporting</w:t>
            </w:r>
          </w:p>
        </w:tc>
        <w:tc>
          <w:tcPr>
            <w:tcW w:w="5726"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53A2F222">
            <w:pPr>
              <w:jc w:val="left"/>
            </w:pPr>
            <w:r>
              <w:rPr>
                <w:rFonts w:ascii="Arial" w:hAnsi="Arial" w:eastAsia="Arial" w:cs="Arial"/>
                <w:color w:val="000000"/>
                <w:sz w:val="22"/>
                <w:szCs w:val="22"/>
              </w:rPr>
              <w:t>Management decisions relied on end-of-month Excel reports; poor agility.</w:t>
            </w:r>
          </w:p>
        </w:tc>
      </w:tr>
    </w:tbl>
    <w:p w14:paraId="7FD65C0B">
      <w:pPr>
        <w:spacing w:before="0" w:after="120"/>
      </w:pPr>
    </w:p>
    <w:p w14:paraId="62B30384">
      <w:pPr>
        <w:pStyle w:val="3"/>
        <w:spacing w:before="240" w:after="120"/>
      </w:pPr>
      <w:r>
        <w:rPr>
          <w:rFonts w:ascii="Arial" w:hAnsi="Arial" w:eastAsia="Arial" w:cs="Arial"/>
          <w:b/>
          <w:bCs/>
          <w:color w:val="2E75B6"/>
          <w:sz w:val="28"/>
          <w:szCs w:val="28"/>
        </w:rPr>
        <w:t>2.2 Business Impact Summary</w:t>
      </w:r>
    </w:p>
    <w:p w14:paraId="433C081B">
      <w:pPr>
        <w:spacing w:before="0" w:after="60"/>
      </w:pPr>
    </w:p>
    <w:p w14:paraId="7CF1A29A">
      <w:pPr>
        <w:pStyle w:val="16"/>
        <w:numPr>
          <w:ilvl w:val="0"/>
          <w:numId w:val="1"/>
        </w:numPr>
        <w:spacing w:before="40" w:after="60"/>
        <w:jc w:val="both"/>
      </w:pPr>
      <w:r>
        <w:rPr>
          <w:rFonts w:ascii="Arial" w:hAnsi="Arial" w:eastAsia="Arial" w:cs="Arial"/>
          <w:b w:val="0"/>
          <w:bCs w:val="0"/>
          <w:color w:val="000000"/>
          <w:sz w:val="24"/>
          <w:szCs w:val="24"/>
        </w:rPr>
        <w:t>Procurement cycle time averaged 15 days, hampering supply chain responsiveness.</w:t>
      </w:r>
    </w:p>
    <w:p w14:paraId="72BECDC0">
      <w:pPr>
        <w:pStyle w:val="16"/>
        <w:numPr>
          <w:ilvl w:val="0"/>
          <w:numId w:val="1"/>
        </w:numPr>
        <w:spacing w:before="40" w:after="60"/>
        <w:jc w:val="both"/>
      </w:pPr>
      <w:r>
        <w:rPr>
          <w:rFonts w:ascii="Arial" w:hAnsi="Arial" w:eastAsia="Arial" w:cs="Arial"/>
          <w:b w:val="0"/>
          <w:bCs w:val="0"/>
          <w:color w:val="000000"/>
          <w:sz w:val="24"/>
          <w:szCs w:val="24"/>
        </w:rPr>
        <w:t>Invoice processing took 45–60 days, straining vendor relationships and cash flow.</w:t>
      </w:r>
    </w:p>
    <w:p w14:paraId="67FD2D42">
      <w:pPr>
        <w:pStyle w:val="16"/>
        <w:numPr>
          <w:ilvl w:val="0"/>
          <w:numId w:val="1"/>
        </w:numPr>
        <w:spacing w:before="40" w:after="60"/>
        <w:jc w:val="both"/>
      </w:pPr>
      <w:r>
        <w:rPr>
          <w:rFonts w:ascii="Arial" w:hAnsi="Arial" w:eastAsia="Arial" w:cs="Arial"/>
          <w:b w:val="0"/>
          <w:bCs w:val="0"/>
          <w:color w:val="000000"/>
          <w:sz w:val="24"/>
          <w:szCs w:val="24"/>
        </w:rPr>
        <w:t>~20% of all purchases were emergency orders due to poor inventory visibility.</w:t>
      </w:r>
    </w:p>
    <w:p w14:paraId="423C9DB1">
      <w:pPr>
        <w:pStyle w:val="16"/>
        <w:numPr>
          <w:ilvl w:val="0"/>
          <w:numId w:val="1"/>
        </w:numPr>
        <w:spacing w:before="40" w:after="60"/>
        <w:jc w:val="both"/>
      </w:pPr>
      <w:r>
        <w:rPr>
          <w:rFonts w:ascii="Arial" w:hAnsi="Arial" w:eastAsia="Arial" w:cs="Arial"/>
          <w:b w:val="0"/>
          <w:bCs w:val="0"/>
          <w:color w:val="000000"/>
          <w:sz w:val="24"/>
          <w:szCs w:val="24"/>
        </w:rPr>
        <w:t>Regulatory audits repeatedly flagged documentation and traceability gaps.</w:t>
      </w:r>
    </w:p>
    <w:p w14:paraId="43493A1B">
      <w:pPr>
        <w:pStyle w:val="16"/>
        <w:numPr>
          <w:ilvl w:val="0"/>
          <w:numId w:val="1"/>
        </w:numPr>
        <w:spacing w:before="40" w:after="60"/>
        <w:jc w:val="both"/>
      </w:pPr>
      <w:r>
        <w:rPr>
          <w:rFonts w:ascii="Arial" w:hAnsi="Arial" w:eastAsia="Arial" w:cs="Arial"/>
          <w:b w:val="0"/>
          <w:bCs w:val="0"/>
          <w:color w:val="000000"/>
          <w:sz w:val="24"/>
          <w:szCs w:val="24"/>
        </w:rPr>
        <w:t>No integration between procurement and finance led to delayed, inaccurate financial postings.</w:t>
      </w:r>
    </w:p>
    <w:p w14:paraId="6051A4D8">
      <w:pPr>
        <w:spacing w:before="0" w:after="120"/>
      </w:pPr>
    </w:p>
    <w:p w14:paraId="002FD98C">
      <w:pPr>
        <w:pStyle w:val="2"/>
        <w:spacing w:before="320" w:after="160"/>
      </w:pPr>
      <w:r>
        <w:rPr>
          <w:rFonts w:ascii="Arial" w:hAnsi="Arial" w:eastAsia="Arial" w:cs="Arial"/>
          <w:b/>
          <w:bCs/>
          <w:color w:val="1B4F8A"/>
          <w:sz w:val="30"/>
          <w:szCs w:val="30"/>
        </w:rPr>
        <w:t>3. Solution &amp; Key Features</w:t>
      </w:r>
    </w:p>
    <w:p w14:paraId="2A0FD5EC">
      <w:pPr>
        <w:pBdr>
          <w:bottom w:val="single" w:color="2E75B6" w:sz="4" w:space="1"/>
        </w:pBdr>
        <w:spacing w:before="160" w:after="160"/>
      </w:pPr>
    </w:p>
    <w:p w14:paraId="076BD97F">
      <w:pPr>
        <w:spacing w:before="0" w:after="80"/>
      </w:pPr>
    </w:p>
    <w:p w14:paraId="0E58DD2A">
      <w:pPr>
        <w:spacing w:before="60" w:after="100" w:line="276" w:lineRule="auto"/>
        <w:jc w:val="both"/>
      </w:pPr>
      <w:r>
        <w:rPr>
          <w:rFonts w:ascii="Arial" w:hAnsi="Arial" w:eastAsia="Arial" w:cs="Arial"/>
          <w:color w:val="000000"/>
          <w:sz w:val="24"/>
          <w:szCs w:val="24"/>
        </w:rPr>
        <w:t>The solution implemented is the SAP MM (Materials Management) module, configured to automate and standardise MedNova's entire Procure-to-Pay cycle. The implementation follows the ASAP (Accelerated SAP) methodology across five phases: Project Preparation, Business Blueprint, Realisation, Final Preparation, and Go-Live.</w:t>
      </w:r>
    </w:p>
    <w:p w14:paraId="7A7C183F">
      <w:pPr>
        <w:spacing w:before="0" w:after="100"/>
      </w:pPr>
    </w:p>
    <w:p w14:paraId="36F4E564">
      <w:pPr>
        <w:pStyle w:val="3"/>
        <w:spacing w:before="240" w:after="120"/>
      </w:pPr>
      <w:r>
        <w:rPr>
          <w:rFonts w:ascii="Arial" w:hAnsi="Arial" w:eastAsia="Arial" w:cs="Arial"/>
          <w:b/>
          <w:bCs/>
          <w:color w:val="2E75B6"/>
          <w:sz w:val="28"/>
          <w:szCs w:val="28"/>
        </w:rPr>
        <w:t>3.1 End-to-End P2P Process Flow</w:t>
      </w:r>
    </w:p>
    <w:p w14:paraId="18659B3D">
      <w:pPr>
        <w:spacing w:before="0" w:after="100"/>
        <w:rPr>
          <w:rFonts w:hint="default"/>
          <w:lang w:val="en-US"/>
        </w:rPr>
      </w:pPr>
      <w:r>
        <w:rPr>
          <w:rFonts w:hint="default"/>
          <w:lang w:val="en-US"/>
        </w:rPr>
        <w:drawing>
          <wp:inline distT="0" distB="0" distL="114300" distR="114300">
            <wp:extent cx="5720715" cy="3813810"/>
            <wp:effectExtent l="0" t="0" r="6985" b="8890"/>
            <wp:docPr id="3" name="Picture 3" descr="ChatGPT Image Apr 21, 2026, 11_10_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Apr 21, 2026, 11_10_41 PM"/>
                    <pic:cNvPicPr>
                      <a:picLocks noChangeAspect="1"/>
                    </pic:cNvPicPr>
                  </pic:nvPicPr>
                  <pic:blipFill>
                    <a:blip r:embed="rId6"/>
                    <a:stretch>
                      <a:fillRect/>
                    </a:stretch>
                  </pic:blipFill>
                  <pic:spPr>
                    <a:xfrm>
                      <a:off x="0" y="0"/>
                      <a:ext cx="5720715" cy="3813810"/>
                    </a:xfrm>
                    <a:prstGeom prst="rect">
                      <a:avLst/>
                    </a:prstGeom>
                  </pic:spPr>
                </pic:pic>
              </a:graphicData>
            </a:graphic>
          </wp:inline>
        </w:drawing>
      </w:r>
      <w:bookmarkStart w:id="0" w:name="_GoBack"/>
      <w:bookmarkEnd w:id="0"/>
    </w:p>
    <w:p w14:paraId="38580C14">
      <w:pPr>
        <w:pStyle w:val="3"/>
        <w:spacing w:before="240" w:after="120"/>
      </w:pPr>
      <w:r>
        <w:rPr>
          <w:rFonts w:ascii="Arial" w:hAnsi="Arial" w:eastAsia="Arial" w:cs="Arial"/>
          <w:b/>
          <w:bCs/>
          <w:color w:val="2E75B6"/>
          <w:sz w:val="28"/>
          <w:szCs w:val="28"/>
        </w:rPr>
        <w:t>3.2 Key SAP Features Implemented</w:t>
      </w:r>
    </w:p>
    <w:p w14:paraId="096C8CEA">
      <w:pPr>
        <w:spacing w:before="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4500"/>
        <w:gridCol w:w="2026"/>
      </w:tblGrid>
      <w:tr w14:paraId="4346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1B4F8A"/>
            <w:tcMar>
              <w:top w:w="80" w:type="dxa"/>
              <w:left w:w="120" w:type="dxa"/>
              <w:bottom w:w="80" w:type="dxa"/>
              <w:right w:w="120" w:type="dxa"/>
            </w:tcMar>
            <w:vAlign w:val="center"/>
          </w:tcPr>
          <w:p w14:paraId="5999AC7C">
            <w:pPr>
              <w:jc w:val="center"/>
            </w:pPr>
            <w:r>
              <w:rPr>
                <w:rFonts w:ascii="Arial" w:hAnsi="Arial" w:eastAsia="Arial" w:cs="Arial"/>
                <w:b/>
                <w:bCs/>
                <w:color w:val="FFFFFF"/>
                <w:sz w:val="24"/>
                <w:szCs w:val="24"/>
              </w:rPr>
              <w:t>Feature / Functionality</w:t>
            </w:r>
          </w:p>
        </w:tc>
        <w:tc>
          <w:tcPr>
            <w:tcW w:w="4500" w:type="dxa"/>
            <w:tcBorders>
              <w:top w:val="single" w:color="CCCCCC" w:sz="0" w:space="0"/>
              <w:left w:val="single" w:color="CCCCCC" w:sz="0" w:space="0"/>
              <w:bottom w:val="single" w:color="CCCCCC" w:sz="0" w:space="0"/>
              <w:right w:val="single" w:color="CCCCCC" w:sz="0" w:space="0"/>
            </w:tcBorders>
            <w:shd w:val="clear" w:color="auto" w:fill="1B4F8A"/>
            <w:tcMar>
              <w:top w:w="80" w:type="dxa"/>
              <w:left w:w="120" w:type="dxa"/>
              <w:bottom w:w="80" w:type="dxa"/>
              <w:right w:w="120" w:type="dxa"/>
            </w:tcMar>
            <w:vAlign w:val="center"/>
          </w:tcPr>
          <w:p w14:paraId="1F81C2C5">
            <w:pPr>
              <w:jc w:val="center"/>
            </w:pPr>
            <w:r>
              <w:rPr>
                <w:rFonts w:ascii="Arial" w:hAnsi="Arial" w:eastAsia="Arial" w:cs="Arial"/>
                <w:b/>
                <w:bCs/>
                <w:color w:val="FFFFFF"/>
                <w:sz w:val="24"/>
                <w:szCs w:val="24"/>
              </w:rPr>
              <w:t>Description</w:t>
            </w:r>
          </w:p>
        </w:tc>
        <w:tc>
          <w:tcPr>
            <w:tcW w:w="2026" w:type="dxa"/>
            <w:tcBorders>
              <w:top w:val="single" w:color="CCCCCC" w:sz="0" w:space="0"/>
              <w:left w:val="single" w:color="CCCCCC" w:sz="0" w:space="0"/>
              <w:bottom w:val="single" w:color="CCCCCC" w:sz="0" w:space="0"/>
              <w:right w:val="single" w:color="CCCCCC" w:sz="0" w:space="0"/>
            </w:tcBorders>
            <w:shd w:val="clear" w:color="auto" w:fill="1B4F8A"/>
            <w:tcMar>
              <w:top w:w="80" w:type="dxa"/>
              <w:left w:w="120" w:type="dxa"/>
              <w:bottom w:w="80" w:type="dxa"/>
              <w:right w:w="120" w:type="dxa"/>
            </w:tcMar>
            <w:vAlign w:val="center"/>
          </w:tcPr>
          <w:p w14:paraId="56F32749">
            <w:pPr>
              <w:jc w:val="center"/>
            </w:pPr>
            <w:r>
              <w:rPr>
                <w:rFonts w:ascii="Arial" w:hAnsi="Arial" w:eastAsia="Arial" w:cs="Arial"/>
                <w:b/>
                <w:bCs/>
                <w:color w:val="FFFFFF"/>
                <w:sz w:val="24"/>
                <w:szCs w:val="24"/>
              </w:rPr>
              <w:t>T-Code</w:t>
            </w:r>
          </w:p>
        </w:tc>
      </w:tr>
      <w:tr w14:paraId="686F6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E8D432">
            <w:pPr>
              <w:jc w:val="left"/>
            </w:pPr>
            <w:r>
              <w:rPr>
                <w:rFonts w:ascii="Arial" w:hAnsi="Arial" w:eastAsia="Arial" w:cs="Arial"/>
                <w:color w:val="000000"/>
                <w:sz w:val="22"/>
                <w:szCs w:val="22"/>
              </w:rPr>
              <w:t>Purchase Requisition</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732B32">
            <w:pPr>
              <w:jc w:val="left"/>
            </w:pPr>
            <w:r>
              <w:rPr>
                <w:rFonts w:ascii="Arial" w:hAnsi="Arial" w:eastAsia="Arial" w:cs="Arial"/>
                <w:color w:val="000000"/>
                <w:sz w:val="22"/>
                <w:szCs w:val="22"/>
              </w:rPr>
              <w:t>Internal material need document; triggers approval workflow automatically via Release Strategy.</w:t>
            </w:r>
          </w:p>
        </w:tc>
        <w:tc>
          <w:tcPr>
            <w:tcW w:w="2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D793A2">
            <w:pPr>
              <w:jc w:val="left"/>
            </w:pPr>
            <w:r>
              <w:rPr>
                <w:rFonts w:ascii="Arial" w:hAnsi="Arial" w:eastAsia="Arial" w:cs="Arial"/>
                <w:color w:val="000000"/>
                <w:sz w:val="22"/>
                <w:szCs w:val="22"/>
              </w:rPr>
              <w:t>ME51N</w:t>
            </w:r>
          </w:p>
        </w:tc>
      </w:tr>
      <w:tr w14:paraId="2CF8F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2447812A">
            <w:pPr>
              <w:jc w:val="left"/>
            </w:pPr>
            <w:r>
              <w:rPr>
                <w:rFonts w:ascii="Arial" w:hAnsi="Arial" w:eastAsia="Arial" w:cs="Arial"/>
                <w:color w:val="000000"/>
                <w:sz w:val="22"/>
                <w:szCs w:val="22"/>
              </w:rPr>
              <w:t>Request for Quotation (RFQ)</w:t>
            </w:r>
          </w:p>
        </w:tc>
        <w:tc>
          <w:tcPr>
            <w:tcW w:w="45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40EDC8D0">
            <w:pPr>
              <w:jc w:val="left"/>
            </w:pPr>
            <w:r>
              <w:rPr>
                <w:rFonts w:ascii="Arial" w:hAnsi="Arial" w:eastAsia="Arial" w:cs="Arial"/>
                <w:color w:val="000000"/>
                <w:sz w:val="22"/>
                <w:szCs w:val="22"/>
              </w:rPr>
              <w:t>Competitive bidding sent to 3+ vendors per procurement policy; tracks responses digitally.</w:t>
            </w:r>
          </w:p>
        </w:tc>
        <w:tc>
          <w:tcPr>
            <w:tcW w:w="2026"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58941183">
            <w:pPr>
              <w:jc w:val="left"/>
            </w:pPr>
            <w:r>
              <w:rPr>
                <w:rFonts w:ascii="Arial" w:hAnsi="Arial" w:eastAsia="Arial" w:cs="Arial"/>
                <w:color w:val="000000"/>
                <w:sz w:val="22"/>
                <w:szCs w:val="22"/>
              </w:rPr>
              <w:t>ME41 / ME47</w:t>
            </w:r>
          </w:p>
        </w:tc>
      </w:tr>
      <w:tr w14:paraId="192DB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8AA058">
            <w:pPr>
              <w:jc w:val="left"/>
            </w:pPr>
            <w:r>
              <w:rPr>
                <w:rFonts w:ascii="Arial" w:hAnsi="Arial" w:eastAsia="Arial" w:cs="Arial"/>
                <w:color w:val="000000"/>
                <w:sz w:val="22"/>
                <w:szCs w:val="22"/>
              </w:rPr>
              <w:t>Price Comparison &amp; Vendor Selection</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1F169D">
            <w:pPr>
              <w:jc w:val="left"/>
            </w:pPr>
            <w:r>
              <w:rPr>
                <w:rFonts w:ascii="Arial" w:hAnsi="Arial" w:eastAsia="Arial" w:cs="Arial"/>
                <w:color w:val="000000"/>
                <w:sz w:val="22"/>
                <w:szCs w:val="22"/>
              </w:rPr>
              <w:t>Automated side-by-side vendor quotation comparison enabling optimal sourcing decisions.</w:t>
            </w:r>
          </w:p>
        </w:tc>
        <w:tc>
          <w:tcPr>
            <w:tcW w:w="2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18D32C">
            <w:pPr>
              <w:jc w:val="left"/>
            </w:pPr>
            <w:r>
              <w:rPr>
                <w:rFonts w:ascii="Arial" w:hAnsi="Arial" w:eastAsia="Arial" w:cs="Arial"/>
                <w:color w:val="000000"/>
                <w:sz w:val="22"/>
                <w:szCs w:val="22"/>
              </w:rPr>
              <w:t>ME49</w:t>
            </w:r>
          </w:p>
        </w:tc>
      </w:tr>
      <w:tr w14:paraId="088DE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736170C3">
            <w:pPr>
              <w:jc w:val="left"/>
            </w:pPr>
            <w:r>
              <w:rPr>
                <w:rFonts w:ascii="Arial" w:hAnsi="Arial" w:eastAsia="Arial" w:cs="Arial"/>
                <w:color w:val="000000"/>
                <w:sz w:val="22"/>
                <w:szCs w:val="22"/>
              </w:rPr>
              <w:t>Purchase Order Management</w:t>
            </w:r>
          </w:p>
        </w:tc>
        <w:tc>
          <w:tcPr>
            <w:tcW w:w="45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093D093E">
            <w:pPr>
              <w:jc w:val="left"/>
            </w:pPr>
            <w:r>
              <w:rPr>
                <w:rFonts w:ascii="Arial" w:hAnsi="Arial" w:eastAsia="Arial" w:cs="Arial"/>
                <w:color w:val="000000"/>
                <w:sz w:val="22"/>
                <w:szCs w:val="22"/>
              </w:rPr>
              <w:t>Legally binding PO with dual/triple authorization for orders above INR 10 Lakhs.</w:t>
            </w:r>
          </w:p>
        </w:tc>
        <w:tc>
          <w:tcPr>
            <w:tcW w:w="2026"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2698638B">
            <w:pPr>
              <w:jc w:val="left"/>
            </w:pPr>
            <w:r>
              <w:rPr>
                <w:rFonts w:ascii="Arial" w:hAnsi="Arial" w:eastAsia="Arial" w:cs="Arial"/>
                <w:color w:val="000000"/>
                <w:sz w:val="22"/>
                <w:szCs w:val="22"/>
              </w:rPr>
              <w:t>ME21N</w:t>
            </w:r>
          </w:p>
        </w:tc>
      </w:tr>
      <w:tr w14:paraId="1912B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53055E">
            <w:pPr>
              <w:jc w:val="left"/>
            </w:pPr>
            <w:r>
              <w:rPr>
                <w:rFonts w:ascii="Arial" w:hAnsi="Arial" w:eastAsia="Arial" w:cs="Arial"/>
                <w:color w:val="000000"/>
                <w:sz w:val="22"/>
                <w:szCs w:val="22"/>
              </w:rPr>
              <w:t>Goods Receipt (3-Way Trigger)</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70FBCC">
            <w:pPr>
              <w:jc w:val="left"/>
            </w:pPr>
            <w:r>
              <w:rPr>
                <w:rFonts w:ascii="Arial" w:hAnsi="Arial" w:eastAsia="Arial" w:cs="Arial"/>
                <w:color w:val="000000"/>
                <w:sz w:val="22"/>
                <w:szCs w:val="22"/>
              </w:rPr>
              <w:t>Material receipt with batch tracking; auto-triggers quality inspection for APIs.</w:t>
            </w:r>
          </w:p>
        </w:tc>
        <w:tc>
          <w:tcPr>
            <w:tcW w:w="2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E8EE83">
            <w:pPr>
              <w:jc w:val="left"/>
            </w:pPr>
            <w:r>
              <w:rPr>
                <w:rFonts w:ascii="Arial" w:hAnsi="Arial" w:eastAsia="Arial" w:cs="Arial"/>
                <w:color w:val="000000"/>
                <w:sz w:val="22"/>
                <w:szCs w:val="22"/>
              </w:rPr>
              <w:t>MIGO</w:t>
            </w:r>
          </w:p>
        </w:tc>
      </w:tr>
      <w:tr w14:paraId="5ED78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3B7BE697">
            <w:pPr>
              <w:jc w:val="left"/>
            </w:pPr>
            <w:r>
              <w:rPr>
                <w:rFonts w:ascii="Arial" w:hAnsi="Arial" w:eastAsia="Arial" w:cs="Arial"/>
                <w:color w:val="000000"/>
                <w:sz w:val="22"/>
                <w:szCs w:val="22"/>
              </w:rPr>
              <w:t>Invoice Verification (3-Way Match)</w:t>
            </w:r>
          </w:p>
        </w:tc>
        <w:tc>
          <w:tcPr>
            <w:tcW w:w="45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533E6B75">
            <w:pPr>
              <w:jc w:val="left"/>
            </w:pPr>
            <w:r>
              <w:rPr>
                <w:rFonts w:ascii="Arial" w:hAnsi="Arial" w:eastAsia="Arial" w:cs="Arial"/>
                <w:color w:val="000000"/>
                <w:sz w:val="22"/>
                <w:szCs w:val="22"/>
              </w:rPr>
              <w:t>Automatic PO-GR-Invoice matching; blocks mismatched invoices with tolerance limits.</w:t>
            </w:r>
          </w:p>
        </w:tc>
        <w:tc>
          <w:tcPr>
            <w:tcW w:w="2026"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26C34465">
            <w:pPr>
              <w:jc w:val="left"/>
            </w:pPr>
            <w:r>
              <w:rPr>
                <w:rFonts w:ascii="Arial" w:hAnsi="Arial" w:eastAsia="Arial" w:cs="Arial"/>
                <w:color w:val="000000"/>
                <w:sz w:val="22"/>
                <w:szCs w:val="22"/>
              </w:rPr>
              <w:t>MIRO</w:t>
            </w:r>
          </w:p>
        </w:tc>
      </w:tr>
      <w:tr w14:paraId="0C83B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680A36">
            <w:pPr>
              <w:jc w:val="left"/>
            </w:pPr>
            <w:r>
              <w:rPr>
                <w:rFonts w:ascii="Arial" w:hAnsi="Arial" w:eastAsia="Arial" w:cs="Arial"/>
                <w:color w:val="000000"/>
                <w:sz w:val="22"/>
                <w:szCs w:val="22"/>
              </w:rPr>
              <w:t>Automatic Payment Program</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078D97">
            <w:pPr>
              <w:jc w:val="left"/>
            </w:pPr>
            <w:r>
              <w:rPr>
                <w:rFonts w:ascii="Arial" w:hAnsi="Arial" w:eastAsia="Arial" w:cs="Arial"/>
                <w:color w:val="000000"/>
                <w:sz w:val="22"/>
                <w:szCs w:val="22"/>
              </w:rPr>
              <w:t>Vendor payments processed via NEFT/RTGS based on payment terms (Net 30).</w:t>
            </w:r>
          </w:p>
        </w:tc>
        <w:tc>
          <w:tcPr>
            <w:tcW w:w="2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024BD2">
            <w:pPr>
              <w:jc w:val="left"/>
            </w:pPr>
            <w:r>
              <w:rPr>
                <w:rFonts w:ascii="Arial" w:hAnsi="Arial" w:eastAsia="Arial" w:cs="Arial"/>
                <w:color w:val="000000"/>
                <w:sz w:val="22"/>
                <w:szCs w:val="22"/>
              </w:rPr>
              <w:t>F110</w:t>
            </w:r>
          </w:p>
        </w:tc>
      </w:tr>
      <w:tr w14:paraId="0B5CD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715E2F75">
            <w:pPr>
              <w:jc w:val="left"/>
            </w:pPr>
            <w:r>
              <w:rPr>
                <w:rFonts w:ascii="Arial" w:hAnsi="Arial" w:eastAsia="Arial" w:cs="Arial"/>
                <w:color w:val="000000"/>
                <w:sz w:val="22"/>
                <w:szCs w:val="22"/>
              </w:rPr>
              <w:t>MRP-Driven Procurement</w:t>
            </w:r>
          </w:p>
        </w:tc>
        <w:tc>
          <w:tcPr>
            <w:tcW w:w="45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12163945">
            <w:pPr>
              <w:jc w:val="left"/>
            </w:pPr>
            <w:r>
              <w:rPr>
                <w:rFonts w:ascii="Arial" w:hAnsi="Arial" w:eastAsia="Arial" w:cs="Arial"/>
                <w:color w:val="000000"/>
                <w:sz w:val="22"/>
                <w:szCs w:val="22"/>
              </w:rPr>
              <w:t>Material Requirements Planning auto-generates PRs from production order BOM explosions.</w:t>
            </w:r>
          </w:p>
        </w:tc>
        <w:tc>
          <w:tcPr>
            <w:tcW w:w="2026"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041BFA8E">
            <w:pPr>
              <w:jc w:val="left"/>
            </w:pPr>
            <w:r>
              <w:rPr>
                <w:rFonts w:ascii="Arial" w:hAnsi="Arial" w:eastAsia="Arial" w:cs="Arial"/>
                <w:color w:val="000000"/>
                <w:sz w:val="22"/>
                <w:szCs w:val="22"/>
              </w:rPr>
              <w:t>MD01/MD02</w:t>
            </w:r>
          </w:p>
        </w:tc>
      </w:tr>
      <w:tr w14:paraId="262C3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E5FCB1">
            <w:pPr>
              <w:jc w:val="left"/>
            </w:pPr>
            <w:r>
              <w:rPr>
                <w:rFonts w:ascii="Arial" w:hAnsi="Arial" w:eastAsia="Arial" w:cs="Arial"/>
                <w:color w:val="000000"/>
                <w:sz w:val="22"/>
                <w:szCs w:val="22"/>
              </w:rPr>
              <w:t>Batch Management</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DA2A0B">
            <w:pPr>
              <w:jc w:val="left"/>
            </w:pPr>
            <w:r>
              <w:rPr>
                <w:rFonts w:ascii="Arial" w:hAnsi="Arial" w:eastAsia="Arial" w:cs="Arial"/>
                <w:color w:val="000000"/>
                <w:sz w:val="22"/>
                <w:szCs w:val="22"/>
              </w:rPr>
              <w:t>Tracks API batches with characteristics (CoA Number, Expiry, Potency) for GMP compliance.</w:t>
            </w:r>
          </w:p>
        </w:tc>
        <w:tc>
          <w:tcPr>
            <w:tcW w:w="2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CE9A04">
            <w:pPr>
              <w:jc w:val="left"/>
            </w:pPr>
            <w:r>
              <w:rPr>
                <w:rFonts w:ascii="Arial" w:hAnsi="Arial" w:eastAsia="Arial" w:cs="Arial"/>
                <w:color w:val="000000"/>
                <w:sz w:val="22"/>
                <w:szCs w:val="22"/>
              </w:rPr>
              <w:t>MBC1</w:t>
            </w:r>
          </w:p>
        </w:tc>
      </w:tr>
      <w:tr w14:paraId="01E8F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3F33B140">
            <w:pPr>
              <w:jc w:val="left"/>
            </w:pPr>
            <w:r>
              <w:rPr>
                <w:rFonts w:ascii="Arial" w:hAnsi="Arial" w:eastAsia="Arial" w:cs="Arial"/>
                <w:color w:val="000000"/>
                <w:sz w:val="22"/>
                <w:szCs w:val="22"/>
              </w:rPr>
              <w:t>MM-FI Integration</w:t>
            </w:r>
          </w:p>
        </w:tc>
        <w:tc>
          <w:tcPr>
            <w:tcW w:w="45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7D1FC16A">
            <w:pPr>
              <w:jc w:val="left"/>
            </w:pPr>
            <w:r>
              <w:rPr>
                <w:rFonts w:ascii="Arial" w:hAnsi="Arial" w:eastAsia="Arial" w:cs="Arial"/>
                <w:color w:val="000000"/>
                <w:sz w:val="22"/>
                <w:szCs w:val="22"/>
              </w:rPr>
              <w:t>Automatic accounting entries at every material movement — zero manual journal posting.</w:t>
            </w:r>
          </w:p>
        </w:tc>
        <w:tc>
          <w:tcPr>
            <w:tcW w:w="2026"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3A7F632D">
            <w:pPr>
              <w:jc w:val="left"/>
            </w:pPr>
            <w:r>
              <w:rPr>
                <w:rFonts w:ascii="Arial" w:hAnsi="Arial" w:eastAsia="Arial" w:cs="Arial"/>
                <w:color w:val="000000"/>
                <w:sz w:val="22"/>
                <w:szCs w:val="22"/>
              </w:rPr>
              <w:t>OBYC</w:t>
            </w:r>
          </w:p>
        </w:tc>
      </w:tr>
    </w:tbl>
    <w:p w14:paraId="4F655AF9">
      <w:pPr>
        <w:spacing w:before="0" w:after="120"/>
      </w:pPr>
    </w:p>
    <w:p w14:paraId="2C0FC1D8">
      <w:pPr>
        <w:pStyle w:val="3"/>
        <w:spacing w:before="240" w:after="120"/>
      </w:pPr>
      <w:r>
        <w:rPr>
          <w:rFonts w:ascii="Arial" w:hAnsi="Arial" w:eastAsia="Arial" w:cs="Arial"/>
          <w:b/>
          <w:bCs/>
          <w:color w:val="2E75B6"/>
          <w:sz w:val="28"/>
          <w:szCs w:val="28"/>
        </w:rPr>
        <w:t>3.3 TO-BE State — Targets Achieved</w:t>
      </w:r>
    </w:p>
    <w:p w14:paraId="577D0A80">
      <w:pPr>
        <w:spacing w:before="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26"/>
      </w:tblGrid>
      <w:tr w14:paraId="3369E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B4F8A"/>
            <w:tcMar>
              <w:top w:w="80" w:type="dxa"/>
              <w:left w:w="120" w:type="dxa"/>
              <w:bottom w:w="80" w:type="dxa"/>
              <w:right w:w="120" w:type="dxa"/>
            </w:tcMar>
            <w:vAlign w:val="center"/>
          </w:tcPr>
          <w:p w14:paraId="2B5B63D4">
            <w:pPr>
              <w:jc w:val="center"/>
            </w:pPr>
            <w:r>
              <w:rPr>
                <w:rFonts w:ascii="Arial" w:hAnsi="Arial" w:eastAsia="Arial" w:cs="Arial"/>
                <w:b/>
                <w:bCs/>
                <w:color w:val="FFFFFF"/>
                <w:sz w:val="24"/>
                <w:szCs w:val="24"/>
              </w:rPr>
              <w:t>KPI / Metric</w:t>
            </w:r>
          </w:p>
        </w:tc>
        <w:tc>
          <w:tcPr>
            <w:tcW w:w="3000" w:type="dxa"/>
            <w:tcBorders>
              <w:top w:val="single" w:color="CCCCCC" w:sz="0" w:space="0"/>
              <w:left w:val="single" w:color="CCCCCC" w:sz="0" w:space="0"/>
              <w:bottom w:val="single" w:color="CCCCCC" w:sz="0" w:space="0"/>
              <w:right w:val="single" w:color="CCCCCC" w:sz="0" w:space="0"/>
            </w:tcBorders>
            <w:shd w:val="clear" w:color="auto" w:fill="1B4F8A"/>
            <w:tcMar>
              <w:top w:w="80" w:type="dxa"/>
              <w:left w:w="120" w:type="dxa"/>
              <w:bottom w:w="80" w:type="dxa"/>
              <w:right w:w="120" w:type="dxa"/>
            </w:tcMar>
            <w:vAlign w:val="center"/>
          </w:tcPr>
          <w:p w14:paraId="34321B2E">
            <w:pPr>
              <w:jc w:val="center"/>
            </w:pPr>
            <w:r>
              <w:rPr>
                <w:rFonts w:ascii="Arial" w:hAnsi="Arial" w:eastAsia="Arial" w:cs="Arial"/>
                <w:b/>
                <w:bCs/>
                <w:color w:val="FFFFFF"/>
                <w:sz w:val="24"/>
                <w:szCs w:val="24"/>
              </w:rPr>
              <w:t>Before SAP</w:t>
            </w:r>
          </w:p>
        </w:tc>
        <w:tc>
          <w:tcPr>
            <w:tcW w:w="3026" w:type="dxa"/>
            <w:tcBorders>
              <w:top w:val="single" w:color="CCCCCC" w:sz="0" w:space="0"/>
              <w:left w:val="single" w:color="CCCCCC" w:sz="0" w:space="0"/>
              <w:bottom w:val="single" w:color="CCCCCC" w:sz="0" w:space="0"/>
              <w:right w:val="single" w:color="CCCCCC" w:sz="0" w:space="0"/>
            </w:tcBorders>
            <w:shd w:val="clear" w:color="auto" w:fill="1B4F8A"/>
            <w:tcMar>
              <w:top w:w="80" w:type="dxa"/>
              <w:left w:w="120" w:type="dxa"/>
              <w:bottom w:w="80" w:type="dxa"/>
              <w:right w:w="120" w:type="dxa"/>
            </w:tcMar>
            <w:vAlign w:val="center"/>
          </w:tcPr>
          <w:p w14:paraId="1DA62050">
            <w:pPr>
              <w:jc w:val="center"/>
            </w:pPr>
            <w:r>
              <w:rPr>
                <w:rFonts w:ascii="Arial" w:hAnsi="Arial" w:eastAsia="Arial" w:cs="Arial"/>
                <w:b/>
                <w:bCs/>
                <w:color w:val="FFFFFF"/>
                <w:sz w:val="24"/>
                <w:szCs w:val="24"/>
              </w:rPr>
              <w:t>After SAP</w:t>
            </w:r>
          </w:p>
        </w:tc>
      </w:tr>
      <w:tr w14:paraId="3E9B3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57728B">
            <w:pPr>
              <w:jc w:val="left"/>
            </w:pPr>
            <w:r>
              <w:rPr>
                <w:rFonts w:ascii="Arial" w:hAnsi="Arial" w:eastAsia="Arial" w:cs="Arial"/>
                <w:color w:val="000000"/>
                <w:sz w:val="22"/>
                <w:szCs w:val="22"/>
              </w:rPr>
              <w:t>Procurement Cycle Time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BE0E81">
            <w:pPr>
              <w:jc w:val="left"/>
            </w:pPr>
            <w:r>
              <w:rPr>
                <w:rFonts w:ascii="Arial" w:hAnsi="Arial" w:eastAsia="Arial" w:cs="Arial"/>
                <w:color w:val="000000"/>
                <w:sz w:val="22"/>
                <w:szCs w:val="22"/>
              </w:rPr>
              <w:t>15 days (avg)</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11377A">
            <w:pPr>
              <w:jc w:val="left"/>
            </w:pPr>
            <w:r>
              <w:rPr>
                <w:rFonts w:ascii="Arial" w:hAnsi="Arial" w:eastAsia="Arial" w:cs="Arial"/>
                <w:color w:val="000000"/>
                <w:sz w:val="22"/>
                <w:szCs w:val="22"/>
              </w:rPr>
              <w:t>5 days (avg)</w:t>
            </w:r>
          </w:p>
        </w:tc>
      </w:tr>
      <w:tr w14:paraId="1D2F1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6D3E76AF">
            <w:pPr>
              <w:jc w:val="left"/>
            </w:pPr>
            <w:r>
              <w:rPr>
                <w:rFonts w:ascii="Arial" w:hAnsi="Arial" w:eastAsia="Arial" w:cs="Arial"/>
                <w:color w:val="000000"/>
                <w:sz w:val="22"/>
                <w:szCs w:val="22"/>
              </w:rPr>
              <w:t>Invoice Processing Time</w:t>
            </w:r>
          </w:p>
        </w:tc>
        <w:tc>
          <w:tcPr>
            <w:tcW w:w="30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754163B1">
            <w:pPr>
              <w:jc w:val="left"/>
            </w:pPr>
            <w:r>
              <w:rPr>
                <w:rFonts w:ascii="Arial" w:hAnsi="Arial" w:eastAsia="Arial" w:cs="Arial"/>
                <w:color w:val="000000"/>
                <w:sz w:val="22"/>
                <w:szCs w:val="22"/>
              </w:rPr>
              <w:t>45–60 days</w:t>
            </w:r>
          </w:p>
        </w:tc>
        <w:tc>
          <w:tcPr>
            <w:tcW w:w="3026"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7546BC68">
            <w:pPr>
              <w:jc w:val="left"/>
            </w:pPr>
            <w:r>
              <w:rPr>
                <w:rFonts w:ascii="Arial" w:hAnsi="Arial" w:eastAsia="Arial" w:cs="Arial"/>
                <w:color w:val="000000"/>
                <w:sz w:val="22"/>
                <w:szCs w:val="22"/>
              </w:rPr>
              <w:t>8–10 days</w:t>
            </w:r>
          </w:p>
        </w:tc>
      </w:tr>
      <w:tr w14:paraId="260F2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923640">
            <w:pPr>
              <w:jc w:val="left"/>
            </w:pPr>
            <w:r>
              <w:rPr>
                <w:rFonts w:ascii="Arial" w:hAnsi="Arial" w:eastAsia="Arial" w:cs="Arial"/>
                <w:color w:val="000000"/>
                <w:sz w:val="22"/>
                <w:szCs w:val="22"/>
              </w:rPr>
              <w:t>Stock Accuracy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3B18E9">
            <w:pPr>
              <w:jc w:val="left"/>
            </w:pPr>
            <w:r>
              <w:rPr>
                <w:rFonts w:ascii="Arial" w:hAnsi="Arial" w:eastAsia="Arial" w:cs="Arial"/>
                <w:color w:val="000000"/>
                <w:sz w:val="22"/>
                <w:szCs w:val="22"/>
              </w:rPr>
              <w:t>~78%</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E7D8B5">
            <w:pPr>
              <w:jc w:val="left"/>
            </w:pPr>
            <w:r>
              <w:rPr>
                <w:rFonts w:ascii="Arial" w:hAnsi="Arial" w:eastAsia="Arial" w:cs="Arial"/>
                <w:color w:val="000000"/>
                <w:sz w:val="22"/>
                <w:szCs w:val="22"/>
              </w:rPr>
              <w:t>&gt;99.2%</w:t>
            </w:r>
          </w:p>
        </w:tc>
      </w:tr>
      <w:tr w14:paraId="036F8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58E2D0BA">
            <w:pPr>
              <w:jc w:val="left"/>
            </w:pPr>
            <w:r>
              <w:rPr>
                <w:rFonts w:ascii="Arial" w:hAnsi="Arial" w:eastAsia="Arial" w:cs="Arial"/>
                <w:color w:val="000000"/>
                <w:sz w:val="22"/>
                <w:szCs w:val="22"/>
              </w:rPr>
              <w:t>Vendor Payment Disputes</w:t>
            </w:r>
          </w:p>
        </w:tc>
        <w:tc>
          <w:tcPr>
            <w:tcW w:w="30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3C3FFFB7">
            <w:pPr>
              <w:jc w:val="left"/>
            </w:pPr>
            <w:r>
              <w:rPr>
                <w:rFonts w:ascii="Arial" w:hAnsi="Arial" w:eastAsia="Arial" w:cs="Arial"/>
                <w:color w:val="000000"/>
                <w:sz w:val="22"/>
                <w:szCs w:val="22"/>
              </w:rPr>
              <w:t>~30 per month</w:t>
            </w:r>
          </w:p>
        </w:tc>
        <w:tc>
          <w:tcPr>
            <w:tcW w:w="3026"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433D5825">
            <w:pPr>
              <w:jc w:val="left"/>
            </w:pPr>
            <w:r>
              <w:rPr>
                <w:rFonts w:ascii="Arial" w:hAnsi="Arial" w:eastAsia="Arial" w:cs="Arial"/>
                <w:color w:val="000000"/>
                <w:sz w:val="22"/>
                <w:szCs w:val="22"/>
              </w:rPr>
              <w:t>&lt;5 per month</w:t>
            </w:r>
          </w:p>
        </w:tc>
      </w:tr>
      <w:tr w14:paraId="6ED45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E68FA9">
            <w:pPr>
              <w:jc w:val="left"/>
            </w:pPr>
            <w:r>
              <w:rPr>
                <w:rFonts w:ascii="Arial" w:hAnsi="Arial" w:eastAsia="Arial" w:cs="Arial"/>
                <w:color w:val="000000"/>
                <w:sz w:val="22"/>
                <w:szCs w:val="22"/>
              </w:rPr>
              <w:t>Emergency Purchases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15B167">
            <w:pPr>
              <w:jc w:val="left"/>
            </w:pPr>
            <w:r>
              <w:rPr>
                <w:rFonts w:ascii="Arial" w:hAnsi="Arial" w:eastAsia="Arial" w:cs="Arial"/>
                <w:color w:val="000000"/>
                <w:sz w:val="22"/>
                <w:szCs w:val="22"/>
              </w:rPr>
              <w:t>~20% of orders</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5B7D1F">
            <w:pPr>
              <w:jc w:val="left"/>
            </w:pPr>
            <w:r>
              <w:rPr>
                <w:rFonts w:ascii="Arial" w:hAnsi="Arial" w:eastAsia="Arial" w:cs="Arial"/>
                <w:color w:val="000000"/>
                <w:sz w:val="22"/>
                <w:szCs w:val="22"/>
              </w:rPr>
              <w:t>&lt;5% of orders</w:t>
            </w:r>
          </w:p>
        </w:tc>
      </w:tr>
      <w:tr w14:paraId="480A7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686A499D">
            <w:pPr>
              <w:jc w:val="left"/>
            </w:pPr>
            <w:r>
              <w:rPr>
                <w:rFonts w:ascii="Arial" w:hAnsi="Arial" w:eastAsia="Arial" w:cs="Arial"/>
                <w:color w:val="000000"/>
                <w:sz w:val="22"/>
                <w:szCs w:val="22"/>
              </w:rPr>
              <w:t>Vendor Master Duplicates</w:t>
            </w:r>
          </w:p>
        </w:tc>
        <w:tc>
          <w:tcPr>
            <w:tcW w:w="30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7E6F7331">
            <w:pPr>
              <w:jc w:val="left"/>
            </w:pPr>
            <w:r>
              <w:rPr>
                <w:rFonts w:ascii="Arial" w:hAnsi="Arial" w:eastAsia="Arial" w:cs="Arial"/>
                <w:color w:val="000000"/>
                <w:sz w:val="22"/>
                <w:szCs w:val="22"/>
              </w:rPr>
              <w:t>180+ duplicates</w:t>
            </w:r>
          </w:p>
        </w:tc>
        <w:tc>
          <w:tcPr>
            <w:tcW w:w="3026"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10C72EA4">
            <w:pPr>
              <w:jc w:val="left"/>
            </w:pPr>
            <w:r>
              <w:rPr>
                <w:rFonts w:ascii="Arial" w:hAnsi="Arial" w:eastAsia="Arial" w:cs="Arial"/>
                <w:color w:val="000000"/>
                <w:sz w:val="22"/>
                <w:szCs w:val="22"/>
              </w:rPr>
              <w:t>Zero (centralised)</w:t>
            </w:r>
          </w:p>
        </w:tc>
      </w:tr>
      <w:tr w14:paraId="3A3F7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FAEFE5">
            <w:pPr>
              <w:jc w:val="left"/>
            </w:pPr>
            <w:r>
              <w:rPr>
                <w:rFonts w:ascii="Arial" w:hAnsi="Arial" w:eastAsia="Arial" w:cs="Arial"/>
                <w:color w:val="000000"/>
                <w:sz w:val="22"/>
                <w:szCs w:val="22"/>
              </w:rPr>
              <w:t>Procurement Audit Readiness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2DA5CE">
            <w:pPr>
              <w:jc w:val="left"/>
            </w:pPr>
            <w:r>
              <w:rPr>
                <w:rFonts w:ascii="Arial" w:hAnsi="Arial" w:eastAsia="Arial" w:cs="Arial"/>
                <w:color w:val="000000"/>
                <w:sz w:val="22"/>
                <w:szCs w:val="22"/>
              </w:rPr>
              <w:t>Partial (paper)</w:t>
            </w:r>
          </w:p>
        </w:tc>
        <w:tc>
          <w:tcPr>
            <w:tcW w:w="3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2BA435">
            <w:pPr>
              <w:jc w:val="left"/>
            </w:pPr>
            <w:r>
              <w:rPr>
                <w:rFonts w:ascii="Arial" w:hAnsi="Arial" w:eastAsia="Arial" w:cs="Arial"/>
                <w:color w:val="000000"/>
                <w:sz w:val="22"/>
                <w:szCs w:val="22"/>
              </w:rPr>
              <w:t>100% digital trail</w:t>
            </w:r>
          </w:p>
        </w:tc>
      </w:tr>
    </w:tbl>
    <w:p w14:paraId="483FA01A">
      <w:pPr>
        <w:spacing w:before="0" w:after="120"/>
      </w:pPr>
    </w:p>
    <w:p w14:paraId="6E93CCF0">
      <w:r>
        <w:br w:type="page"/>
      </w:r>
    </w:p>
    <w:p w14:paraId="6B1BC781">
      <w:pPr>
        <w:pStyle w:val="2"/>
        <w:spacing w:before="320" w:after="160"/>
      </w:pPr>
      <w:r>
        <w:rPr>
          <w:rFonts w:ascii="Arial" w:hAnsi="Arial" w:eastAsia="Arial" w:cs="Arial"/>
          <w:b/>
          <w:bCs/>
          <w:color w:val="1B4F8A"/>
          <w:sz w:val="30"/>
          <w:szCs w:val="30"/>
        </w:rPr>
        <w:t>4. SAP Screens &amp; Process Walkthrough</w:t>
      </w:r>
    </w:p>
    <w:p w14:paraId="45F035C5">
      <w:pPr>
        <w:pBdr>
          <w:bottom w:val="single" w:color="2E75B6" w:sz="4" w:space="1"/>
        </w:pBdr>
        <w:spacing w:before="160" w:after="160"/>
      </w:pPr>
    </w:p>
    <w:p w14:paraId="32DC7C15">
      <w:pPr>
        <w:spacing w:before="0" w:after="80"/>
      </w:pPr>
    </w:p>
    <w:p w14:paraId="2E0C260F">
      <w:pPr>
        <w:spacing w:before="60" w:after="100" w:line="276" w:lineRule="auto"/>
        <w:jc w:val="both"/>
      </w:pPr>
      <w:r>
        <w:rPr>
          <w:rFonts w:ascii="Arial" w:hAnsi="Arial" w:eastAsia="Arial" w:cs="Arial"/>
          <w:color w:val="000000"/>
          <w:sz w:val="24"/>
          <w:szCs w:val="24"/>
        </w:rPr>
        <w:t>Since live SAP sandbox screenshots are embedded in the system, the following section provides detailed descriptions of key transaction screens used in the MedNova P2P implementation. These represent the actual UI flow replicated during the project.</w:t>
      </w:r>
    </w:p>
    <w:p w14:paraId="5CECD9F7">
      <w:pPr>
        <w:spacing w:before="0" w:after="100"/>
      </w:pPr>
    </w:p>
    <w:p w14:paraId="3EF9BEEF">
      <w:pPr>
        <w:pStyle w:val="3"/>
        <w:spacing w:before="240" w:after="120"/>
      </w:pPr>
      <w:r>
        <w:rPr>
          <w:rFonts w:ascii="Arial" w:hAnsi="Arial" w:eastAsia="Arial" w:cs="Arial"/>
          <w:b/>
          <w:bCs/>
          <w:color w:val="2E75B6"/>
          <w:sz w:val="28"/>
          <w:szCs w:val="28"/>
        </w:rPr>
        <w:t>4.1 ME51N — Create Purchase Requisition</w:t>
      </w:r>
    </w:p>
    <w:p w14:paraId="4DE30827">
      <w:pPr>
        <w:spacing w:before="60" w:after="100" w:line="276" w:lineRule="auto"/>
        <w:jc w:val="both"/>
      </w:pPr>
      <w:r>
        <w:rPr>
          <w:rFonts w:ascii="Arial" w:hAnsi="Arial" w:eastAsia="Arial" w:cs="Arial"/>
          <w:color w:val="000000"/>
          <w:sz w:val="24"/>
          <w:szCs w:val="24"/>
        </w:rPr>
        <w:t>Screen Layout: ME51N opens in the SAP Enjoy transaction interface with a header section and line item details below. The header captures Document Type (NB = Standard PR) and Requisitioner details. Line items include Material Number (auto-populated from Material Master), Quantity (500 KG), Delivery Date, Plant (MN01), and Storage Location (SL01). The Account Assignment Tab is set to 'K' for Cost Centre (CC-PROD-HYD-01). On save, SAP assigns a unique PR Number (e.g., 1000000123) from the configured number range.</w:t>
      </w:r>
    </w:p>
    <w:p w14:paraId="1C0E98C9">
      <w:pPr>
        <w:spacing w:before="0" w:after="100"/>
      </w:pPr>
    </w:p>
    <w:p w14:paraId="12B349BA">
      <w:pPr>
        <w:pStyle w:val="3"/>
        <w:spacing w:before="240" w:after="120"/>
      </w:pPr>
      <w:r>
        <w:rPr>
          <w:rFonts w:ascii="Arial" w:hAnsi="Arial" w:eastAsia="Arial" w:cs="Arial"/>
          <w:b/>
          <w:bCs/>
          <w:color w:val="2E75B6"/>
          <w:sz w:val="28"/>
          <w:szCs w:val="28"/>
        </w:rPr>
        <w:t>4.2 ME21N — Create Purchase Order</w:t>
      </w:r>
    </w:p>
    <w:p w14:paraId="06E85436">
      <w:pPr>
        <w:spacing w:before="60" w:after="100" w:line="276" w:lineRule="auto"/>
        <w:jc w:val="both"/>
      </w:pPr>
      <w:r>
        <w:rPr>
          <w:rFonts w:ascii="Arial" w:hAnsi="Arial" w:eastAsia="Arial" w:cs="Arial"/>
          <w:color w:val="000000"/>
          <w:sz w:val="24"/>
          <w:szCs w:val="24"/>
        </w:rPr>
        <w:t>Screen Layout: The PO creation screen mirrors the PR layout but is vendor-facing. Header fields include Vendor (V-001 auto-fills name from Vendor Master), Purchasing Org (MN_PO), Purchasing Group (MN-PG1), and Company Code (MN01). The Org Data Tab captures Incoterms (CIF Hyderabad) and Payment Terms (NT30 = Net 30 days). Item overview auto-populates Net Price from the Purchasing Info Record. The Item Detail Invoice Tab has GR-Based Invoice Verification checked to enforce 3-way matching. Orders above INR 10 Lakhs are held pending dual authorization before release.</w:t>
      </w:r>
    </w:p>
    <w:p w14:paraId="710E523F">
      <w:pPr>
        <w:spacing w:before="0" w:after="100"/>
      </w:pPr>
    </w:p>
    <w:p w14:paraId="6620C373">
      <w:pPr>
        <w:pStyle w:val="3"/>
        <w:spacing w:before="240" w:after="120"/>
      </w:pPr>
      <w:r>
        <w:rPr>
          <w:rFonts w:ascii="Arial" w:hAnsi="Arial" w:eastAsia="Arial" w:cs="Arial"/>
          <w:b/>
          <w:bCs/>
          <w:color w:val="2E75B6"/>
          <w:sz w:val="28"/>
          <w:szCs w:val="28"/>
        </w:rPr>
        <w:t>4.3 MIGO — Goods Receipt Against Purchase Order</w:t>
      </w:r>
    </w:p>
    <w:p w14:paraId="113A1091">
      <w:pPr>
        <w:spacing w:before="60" w:after="100" w:line="276" w:lineRule="auto"/>
        <w:jc w:val="both"/>
      </w:pPr>
      <w:r>
        <w:rPr>
          <w:rFonts w:ascii="Arial" w:hAnsi="Arial" w:eastAsia="Arial" w:cs="Arial"/>
          <w:color w:val="000000"/>
          <w:sz w:val="24"/>
          <w:szCs w:val="24"/>
        </w:rPr>
        <w:t>Screen Layout: MIGO uses a three-area layout — Action Selector (Goods Receipt vs. Purchase Order), Header Data, and Item List. Entering PO Number 4500001234 auto-loads all open line items. The Header captures Delivery Note (vendor challan) and Posting Date. The Item Tab sets Storage Location (SL01), Batch Number (for API materials), and Movement Type 101 (auto-assigned). Each line item requires the 'Item OK' checkbox before posting. On posting, SAP creates a Material Document and automatically posts the Accounting Document: Dr. Raw Material Stock (GL 300001) / Cr. GR/IR Clearing (GL 200001).</w:t>
      </w:r>
    </w:p>
    <w:p w14:paraId="4931D6DE">
      <w:pPr>
        <w:spacing w:before="0" w:after="100"/>
      </w:pPr>
    </w:p>
    <w:p w14:paraId="65D67D05">
      <w:pPr>
        <w:pStyle w:val="3"/>
        <w:spacing w:before="240" w:after="120"/>
      </w:pPr>
      <w:r>
        <w:rPr>
          <w:rFonts w:ascii="Arial" w:hAnsi="Arial" w:eastAsia="Arial" w:cs="Arial"/>
          <w:b/>
          <w:bCs/>
          <w:color w:val="2E75B6"/>
          <w:sz w:val="28"/>
          <w:szCs w:val="28"/>
        </w:rPr>
        <w:t>4.4 MIRO — Logistics Invoice Verification (3-Way Match)</w:t>
      </w:r>
    </w:p>
    <w:p w14:paraId="4A9EFFF6">
      <w:pPr>
        <w:spacing w:before="60" w:after="100" w:line="276" w:lineRule="auto"/>
        <w:jc w:val="both"/>
      </w:pPr>
      <w:r>
        <w:rPr>
          <w:rFonts w:ascii="Arial" w:hAnsi="Arial" w:eastAsia="Arial" w:cs="Arial"/>
          <w:color w:val="000000"/>
          <w:sz w:val="24"/>
          <w:szCs w:val="24"/>
        </w:rPr>
        <w:t>Screen Layout: MIRO splits into a Header (invoice details) and Item List (GR-confirmed PO lines). Header fields include Invoice Date, Amount (INR 22,50,000), Tax Code (G1 for GST 18%), and Vendor Invoice Reference. Entering the PO number fetches all matched GR lines automatically. A Traffic Light Indicator shows match status: Green = amounts match, Yellow = within tolerance, Red = blocked for manual review. The Simulate button previews the accounting entry before final posting. On posting: Dr. GR/IR Clearing (200001) / Cr. Vendor AP Account (100001). Variances above 1% or INR 5,000 trigger a manual review workflow.</w:t>
      </w:r>
    </w:p>
    <w:p w14:paraId="7AFB25AB">
      <w:pPr>
        <w:spacing w:before="0" w:after="100"/>
      </w:pPr>
    </w:p>
    <w:p w14:paraId="6921E17B">
      <w:pPr>
        <w:pStyle w:val="3"/>
        <w:spacing w:before="240" w:after="120"/>
      </w:pPr>
      <w:r>
        <w:rPr>
          <w:rFonts w:ascii="Arial" w:hAnsi="Arial" w:eastAsia="Arial" w:cs="Arial"/>
          <w:b/>
          <w:bCs/>
          <w:color w:val="2E75B6"/>
          <w:sz w:val="28"/>
          <w:szCs w:val="28"/>
        </w:rPr>
        <w:t>4.5 F110 — Automatic Payment Program</w:t>
      </w:r>
    </w:p>
    <w:p w14:paraId="1269E2FA">
      <w:pPr>
        <w:spacing w:before="60" w:after="100" w:line="276" w:lineRule="auto"/>
        <w:jc w:val="both"/>
      </w:pPr>
      <w:r>
        <w:rPr>
          <w:rFonts w:ascii="Arial" w:hAnsi="Arial" w:eastAsia="Arial" w:cs="Arial"/>
          <w:color w:val="000000"/>
          <w:sz w:val="24"/>
          <w:szCs w:val="24"/>
        </w:rPr>
        <w:t>Screen Layout: F110 is the Automatic Payment Program run by the Finance team. The Parameters Tab captures Payment Run Date, Company Code (MN01), Vendor Account range, and Payment Methods (NEFT/RTGS). SAP calculates payment due dates based on Terms of Payment (Net 30 from invoice date) and generates a payment proposal. After review, the payment run creates Payment Documents, clears the Vendor AP account (Dr. Vendor AP / Cr. Bank GL 110001), and generates a bank transfer file for upload to HDFC Bank's portal. Payment advice notes are automatically emailed to vendors.</w:t>
      </w:r>
    </w:p>
    <w:p w14:paraId="6724EE1F">
      <w:pPr>
        <w:spacing w:before="0" w:after="120"/>
      </w:pPr>
    </w:p>
    <w:p w14:paraId="53500A4C">
      <w:r>
        <w:br w:type="page"/>
      </w:r>
    </w:p>
    <w:p w14:paraId="033889B7">
      <w:pPr>
        <w:pStyle w:val="2"/>
        <w:spacing w:before="320" w:after="160"/>
      </w:pPr>
      <w:r>
        <w:rPr>
          <w:rFonts w:ascii="Arial" w:hAnsi="Arial" w:eastAsia="Arial" w:cs="Arial"/>
          <w:b/>
          <w:bCs/>
          <w:color w:val="1B4F8A"/>
          <w:sz w:val="30"/>
          <w:szCs w:val="30"/>
        </w:rPr>
        <w:t>5. Tech Stack</w:t>
      </w:r>
    </w:p>
    <w:p w14:paraId="30F66C91">
      <w:pPr>
        <w:pBdr>
          <w:bottom w:val="single" w:color="2E75B6" w:sz="4" w:space="1"/>
        </w:pBdr>
        <w:spacing w:before="160" w:after="160"/>
      </w:pPr>
    </w:p>
    <w:p w14:paraId="6056924C">
      <w:pPr>
        <w:spacing w:before="0" w:after="80"/>
      </w:pPr>
    </w:p>
    <w:p w14:paraId="604DE320">
      <w:pPr>
        <w:spacing w:before="60" w:after="100" w:line="276" w:lineRule="auto"/>
        <w:jc w:val="both"/>
      </w:pPr>
      <w:r>
        <w:rPr>
          <w:rFonts w:ascii="Arial" w:hAnsi="Arial" w:eastAsia="Arial" w:cs="Arial"/>
          <w:color w:val="000000"/>
          <w:sz w:val="24"/>
          <w:szCs w:val="24"/>
        </w:rPr>
        <w:t>The MedNova P2P implementation is built on SAP's enterprise software ecosystem, integrating multiple modules, tools, and infrastructure components. The following tech stack outlines every layer of the solution.</w:t>
      </w:r>
    </w:p>
    <w:p w14:paraId="4C58BA9C">
      <w:pPr>
        <w:spacing w:before="0" w:after="100"/>
      </w:pPr>
    </w:p>
    <w:p w14:paraId="0DCF2B77">
      <w:pPr>
        <w:pStyle w:val="3"/>
        <w:spacing w:before="240" w:after="120"/>
      </w:pPr>
      <w:r>
        <w:rPr>
          <w:rFonts w:ascii="Arial" w:hAnsi="Arial" w:eastAsia="Arial" w:cs="Arial"/>
          <w:b/>
          <w:bCs/>
          <w:color w:val="2E75B6"/>
          <w:sz w:val="28"/>
          <w:szCs w:val="28"/>
        </w:rPr>
        <w:t>5.1 Core ERP Platform</w:t>
      </w:r>
    </w:p>
    <w:p w14:paraId="279A9E6B">
      <w:pPr>
        <w:spacing w:before="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800"/>
        <w:gridCol w:w="4026"/>
      </w:tblGrid>
      <w:tr w14:paraId="0707F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B4F8A"/>
            <w:tcMar>
              <w:top w:w="80" w:type="dxa"/>
              <w:left w:w="120" w:type="dxa"/>
              <w:bottom w:w="80" w:type="dxa"/>
              <w:right w:w="120" w:type="dxa"/>
            </w:tcMar>
            <w:vAlign w:val="center"/>
          </w:tcPr>
          <w:p w14:paraId="0DA7BBA6">
            <w:pPr>
              <w:jc w:val="center"/>
            </w:pPr>
            <w:r>
              <w:rPr>
                <w:rFonts w:ascii="Arial" w:hAnsi="Arial" w:eastAsia="Arial" w:cs="Arial"/>
                <w:b/>
                <w:bCs/>
                <w:color w:val="FFFFFF"/>
                <w:sz w:val="24"/>
                <w:szCs w:val="24"/>
              </w:rPr>
              <w:t>Component</w:t>
            </w:r>
          </w:p>
        </w:tc>
        <w:tc>
          <w:tcPr>
            <w:tcW w:w="2800" w:type="dxa"/>
            <w:tcBorders>
              <w:top w:val="single" w:color="CCCCCC" w:sz="0" w:space="0"/>
              <w:left w:val="single" w:color="CCCCCC" w:sz="0" w:space="0"/>
              <w:bottom w:val="single" w:color="CCCCCC" w:sz="0" w:space="0"/>
              <w:right w:val="single" w:color="CCCCCC" w:sz="0" w:space="0"/>
            </w:tcBorders>
            <w:shd w:val="clear" w:color="auto" w:fill="1B4F8A"/>
            <w:tcMar>
              <w:top w:w="80" w:type="dxa"/>
              <w:left w:w="120" w:type="dxa"/>
              <w:bottom w:w="80" w:type="dxa"/>
              <w:right w:w="120" w:type="dxa"/>
            </w:tcMar>
            <w:vAlign w:val="center"/>
          </w:tcPr>
          <w:p w14:paraId="57F13177">
            <w:pPr>
              <w:jc w:val="center"/>
            </w:pPr>
            <w:r>
              <w:rPr>
                <w:rFonts w:ascii="Arial" w:hAnsi="Arial" w:eastAsia="Arial" w:cs="Arial"/>
                <w:b/>
                <w:bCs/>
                <w:color w:val="FFFFFF"/>
                <w:sz w:val="24"/>
                <w:szCs w:val="24"/>
              </w:rPr>
              <w:t>Technology</w:t>
            </w:r>
          </w:p>
        </w:tc>
        <w:tc>
          <w:tcPr>
            <w:tcW w:w="4026" w:type="dxa"/>
            <w:tcBorders>
              <w:top w:val="single" w:color="CCCCCC" w:sz="0" w:space="0"/>
              <w:left w:val="single" w:color="CCCCCC" w:sz="0" w:space="0"/>
              <w:bottom w:val="single" w:color="CCCCCC" w:sz="0" w:space="0"/>
              <w:right w:val="single" w:color="CCCCCC" w:sz="0" w:space="0"/>
            </w:tcBorders>
            <w:shd w:val="clear" w:color="auto" w:fill="1B4F8A"/>
            <w:tcMar>
              <w:top w:w="80" w:type="dxa"/>
              <w:left w:w="120" w:type="dxa"/>
              <w:bottom w:w="80" w:type="dxa"/>
              <w:right w:w="120" w:type="dxa"/>
            </w:tcMar>
            <w:vAlign w:val="center"/>
          </w:tcPr>
          <w:p w14:paraId="56D64A6D">
            <w:pPr>
              <w:jc w:val="center"/>
            </w:pPr>
            <w:r>
              <w:rPr>
                <w:rFonts w:ascii="Arial" w:hAnsi="Arial" w:eastAsia="Arial" w:cs="Arial"/>
                <w:b/>
                <w:bCs/>
                <w:color w:val="FFFFFF"/>
                <w:sz w:val="24"/>
                <w:szCs w:val="24"/>
              </w:rPr>
              <w:t>Purpose</w:t>
            </w:r>
          </w:p>
        </w:tc>
      </w:tr>
      <w:tr w14:paraId="29DE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16D0CC">
            <w:pPr>
              <w:jc w:val="left"/>
            </w:pPr>
            <w:r>
              <w:rPr>
                <w:rFonts w:ascii="Arial" w:hAnsi="Arial" w:eastAsia="Arial" w:cs="Arial"/>
                <w:color w:val="000000"/>
                <w:sz w:val="22"/>
                <w:szCs w:val="22"/>
              </w:rPr>
              <w:t>ERP Platform</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6D9227">
            <w:pPr>
              <w:jc w:val="left"/>
            </w:pPr>
            <w:r>
              <w:rPr>
                <w:rFonts w:ascii="Arial" w:hAnsi="Arial" w:eastAsia="Arial" w:cs="Arial"/>
                <w:color w:val="000000"/>
                <w:sz w:val="22"/>
                <w:szCs w:val="22"/>
              </w:rPr>
              <w:t>SAP ERP (ECC 6.0) / SAP S/4HANA</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8CB00F">
            <w:pPr>
              <w:jc w:val="left"/>
            </w:pPr>
            <w:r>
              <w:rPr>
                <w:rFonts w:ascii="Arial" w:hAnsi="Arial" w:eastAsia="Arial" w:cs="Arial"/>
                <w:color w:val="000000"/>
                <w:sz w:val="22"/>
                <w:szCs w:val="22"/>
              </w:rPr>
              <w:t>Core enterprise resource planning system</w:t>
            </w:r>
          </w:p>
        </w:tc>
      </w:tr>
      <w:tr w14:paraId="38224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2BD01D0E">
            <w:pPr>
              <w:jc w:val="left"/>
            </w:pPr>
            <w:r>
              <w:rPr>
                <w:rFonts w:ascii="Arial" w:hAnsi="Arial" w:eastAsia="Arial" w:cs="Arial"/>
                <w:color w:val="000000"/>
                <w:sz w:val="22"/>
                <w:szCs w:val="22"/>
              </w:rPr>
              <w:t>Primary Module</w:t>
            </w:r>
          </w:p>
        </w:tc>
        <w:tc>
          <w:tcPr>
            <w:tcW w:w="28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2A739ABA">
            <w:pPr>
              <w:jc w:val="left"/>
            </w:pPr>
            <w:r>
              <w:rPr>
                <w:rFonts w:ascii="Arial" w:hAnsi="Arial" w:eastAsia="Arial" w:cs="Arial"/>
                <w:color w:val="000000"/>
                <w:sz w:val="22"/>
                <w:szCs w:val="22"/>
              </w:rPr>
              <w:t>SAP MM (Materials Management)</w:t>
            </w:r>
          </w:p>
        </w:tc>
        <w:tc>
          <w:tcPr>
            <w:tcW w:w="4026"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6D60C30F">
            <w:pPr>
              <w:jc w:val="left"/>
            </w:pPr>
            <w:r>
              <w:rPr>
                <w:rFonts w:ascii="Arial" w:hAnsi="Arial" w:eastAsia="Arial" w:cs="Arial"/>
                <w:color w:val="000000"/>
                <w:sz w:val="22"/>
                <w:szCs w:val="22"/>
              </w:rPr>
              <w:t>Procurement and inventory management</w:t>
            </w:r>
          </w:p>
        </w:tc>
      </w:tr>
      <w:tr w14:paraId="6BD7F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B2D4E4">
            <w:pPr>
              <w:jc w:val="left"/>
            </w:pPr>
            <w:r>
              <w:rPr>
                <w:rFonts w:ascii="Arial" w:hAnsi="Arial" w:eastAsia="Arial" w:cs="Arial"/>
                <w:color w:val="000000"/>
                <w:sz w:val="22"/>
                <w:szCs w:val="22"/>
              </w:rPr>
              <w:t>Integration Module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EEC54A">
            <w:pPr>
              <w:jc w:val="left"/>
            </w:pPr>
            <w:r>
              <w:rPr>
                <w:rFonts w:ascii="Arial" w:hAnsi="Arial" w:eastAsia="Arial" w:cs="Arial"/>
                <w:color w:val="000000"/>
                <w:sz w:val="22"/>
                <w:szCs w:val="22"/>
              </w:rPr>
              <w:t>SAP FI-AP (Financial Accounting – Accounts Payable)</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12A3A4">
            <w:pPr>
              <w:jc w:val="left"/>
            </w:pPr>
            <w:r>
              <w:rPr>
                <w:rFonts w:ascii="Arial" w:hAnsi="Arial" w:eastAsia="Arial" w:cs="Arial"/>
                <w:color w:val="000000"/>
                <w:sz w:val="22"/>
                <w:szCs w:val="22"/>
              </w:rPr>
              <w:t>Automatic accounting and vendor payment</w:t>
            </w:r>
          </w:p>
        </w:tc>
      </w:tr>
      <w:tr w14:paraId="6FB01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609560AA">
            <w:pPr>
              <w:jc w:val="left"/>
            </w:pPr>
            <w:r>
              <w:rPr>
                <w:rFonts w:ascii="Arial" w:hAnsi="Arial" w:eastAsia="Arial" w:cs="Arial"/>
                <w:color w:val="000000"/>
                <w:sz w:val="22"/>
                <w:szCs w:val="22"/>
              </w:rPr>
              <w:t>Planning Module</w:t>
            </w:r>
          </w:p>
        </w:tc>
        <w:tc>
          <w:tcPr>
            <w:tcW w:w="28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6BBFFB12">
            <w:pPr>
              <w:jc w:val="left"/>
            </w:pPr>
            <w:r>
              <w:rPr>
                <w:rFonts w:ascii="Arial" w:hAnsi="Arial" w:eastAsia="Arial" w:cs="Arial"/>
                <w:color w:val="000000"/>
                <w:sz w:val="22"/>
                <w:szCs w:val="22"/>
              </w:rPr>
              <w:t>SAP PP-MRP (Production Planning / MRP)</w:t>
            </w:r>
          </w:p>
        </w:tc>
        <w:tc>
          <w:tcPr>
            <w:tcW w:w="4026"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1681E8D1">
            <w:pPr>
              <w:jc w:val="left"/>
            </w:pPr>
            <w:r>
              <w:rPr>
                <w:rFonts w:ascii="Arial" w:hAnsi="Arial" w:eastAsia="Arial" w:cs="Arial"/>
                <w:color w:val="000000"/>
                <w:sz w:val="22"/>
                <w:szCs w:val="22"/>
              </w:rPr>
              <w:t>Demand-driven procurement trigger</w:t>
            </w:r>
          </w:p>
        </w:tc>
      </w:tr>
      <w:tr w14:paraId="79033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8DA2F1">
            <w:pPr>
              <w:jc w:val="left"/>
            </w:pPr>
            <w:r>
              <w:rPr>
                <w:rFonts w:ascii="Arial" w:hAnsi="Arial" w:eastAsia="Arial" w:cs="Arial"/>
                <w:color w:val="000000"/>
                <w:sz w:val="22"/>
                <w:szCs w:val="22"/>
              </w:rPr>
              <w:t>Quality Module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715A45">
            <w:pPr>
              <w:jc w:val="left"/>
            </w:pPr>
            <w:r>
              <w:rPr>
                <w:rFonts w:ascii="Arial" w:hAnsi="Arial" w:eastAsia="Arial" w:cs="Arial"/>
                <w:color w:val="000000"/>
                <w:sz w:val="22"/>
                <w:szCs w:val="22"/>
              </w:rPr>
              <w:t>SAP QM (Quality Management)</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450CE2">
            <w:pPr>
              <w:jc w:val="left"/>
            </w:pPr>
            <w:r>
              <w:rPr>
                <w:rFonts w:ascii="Arial" w:hAnsi="Arial" w:eastAsia="Arial" w:cs="Arial"/>
                <w:color w:val="000000"/>
                <w:sz w:val="22"/>
                <w:szCs w:val="22"/>
              </w:rPr>
              <w:t>GR inspection lot creation for API batches</w:t>
            </w:r>
          </w:p>
        </w:tc>
      </w:tr>
      <w:tr w14:paraId="62B7A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0B523B1D">
            <w:pPr>
              <w:jc w:val="left"/>
            </w:pPr>
            <w:r>
              <w:rPr>
                <w:rFonts w:ascii="Arial" w:hAnsi="Arial" w:eastAsia="Arial" w:cs="Arial"/>
                <w:color w:val="000000"/>
                <w:sz w:val="22"/>
                <w:szCs w:val="22"/>
              </w:rPr>
              <w:t>Business Intelligence</w:t>
            </w:r>
          </w:p>
        </w:tc>
        <w:tc>
          <w:tcPr>
            <w:tcW w:w="28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29FFB5BE">
            <w:pPr>
              <w:jc w:val="left"/>
            </w:pPr>
            <w:r>
              <w:rPr>
                <w:rFonts w:ascii="Arial" w:hAnsi="Arial" w:eastAsia="Arial" w:cs="Arial"/>
                <w:color w:val="000000"/>
                <w:sz w:val="22"/>
                <w:szCs w:val="22"/>
              </w:rPr>
              <w:t>SAP BW / SAP Analytics Cloud</w:t>
            </w:r>
          </w:p>
        </w:tc>
        <w:tc>
          <w:tcPr>
            <w:tcW w:w="4026"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18DD945E">
            <w:pPr>
              <w:jc w:val="left"/>
            </w:pPr>
            <w:r>
              <w:rPr>
                <w:rFonts w:ascii="Arial" w:hAnsi="Arial" w:eastAsia="Arial" w:cs="Arial"/>
                <w:color w:val="000000"/>
                <w:sz w:val="22"/>
                <w:szCs w:val="22"/>
              </w:rPr>
              <w:t>Real-time procurement MIS dashboards</w:t>
            </w:r>
          </w:p>
        </w:tc>
      </w:tr>
      <w:tr w14:paraId="5B870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AF31EA">
            <w:pPr>
              <w:jc w:val="left"/>
            </w:pPr>
            <w:r>
              <w:rPr>
                <w:rFonts w:ascii="Arial" w:hAnsi="Arial" w:eastAsia="Arial" w:cs="Arial"/>
                <w:color w:val="000000"/>
                <w:sz w:val="22"/>
                <w:szCs w:val="22"/>
              </w:rPr>
              <w:t>Development Platform</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0E00BC">
            <w:pPr>
              <w:jc w:val="left"/>
            </w:pPr>
            <w:r>
              <w:rPr>
                <w:rFonts w:ascii="Arial" w:hAnsi="Arial" w:eastAsia="Arial" w:cs="Arial"/>
                <w:color w:val="000000"/>
                <w:sz w:val="22"/>
                <w:szCs w:val="22"/>
              </w:rPr>
              <w:t>SAP BTP (Business Technology Platform)</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43DB53">
            <w:pPr>
              <w:jc w:val="left"/>
            </w:pPr>
            <w:r>
              <w:rPr>
                <w:rFonts w:ascii="Arial" w:hAnsi="Arial" w:eastAsia="Arial" w:cs="Arial"/>
                <w:color w:val="000000"/>
                <w:sz w:val="22"/>
                <w:szCs w:val="22"/>
              </w:rPr>
              <w:t>Cloud extensions and workflow automation</w:t>
            </w:r>
          </w:p>
        </w:tc>
      </w:tr>
    </w:tbl>
    <w:p w14:paraId="662C6744">
      <w:pPr>
        <w:spacing w:before="0" w:after="120"/>
      </w:pPr>
    </w:p>
    <w:p w14:paraId="68B85EFC">
      <w:pPr>
        <w:pStyle w:val="3"/>
        <w:spacing w:before="240" w:after="120"/>
      </w:pPr>
      <w:r>
        <w:rPr>
          <w:rFonts w:ascii="Arial" w:hAnsi="Arial" w:eastAsia="Arial" w:cs="Arial"/>
          <w:b/>
          <w:bCs/>
          <w:color w:val="2E75B6"/>
          <w:sz w:val="28"/>
          <w:szCs w:val="28"/>
        </w:rPr>
        <w:t>5.2 Configuration &amp; Development Tools</w:t>
      </w:r>
    </w:p>
    <w:p w14:paraId="3AA9724B">
      <w:pPr>
        <w:spacing w:before="0"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14:paraId="0749E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CCCCCC" w:sz="0" w:space="0"/>
              <w:left w:val="single" w:color="CCCCCC" w:sz="0" w:space="0"/>
              <w:bottom w:val="single" w:color="CCCCCC" w:sz="0" w:space="0"/>
              <w:right w:val="single" w:color="CCCCCC" w:sz="0" w:space="0"/>
            </w:tcBorders>
            <w:shd w:val="clear" w:color="auto" w:fill="1B4F8A"/>
            <w:tcMar>
              <w:top w:w="80" w:type="dxa"/>
              <w:left w:w="120" w:type="dxa"/>
              <w:bottom w:w="80" w:type="dxa"/>
              <w:right w:w="120" w:type="dxa"/>
            </w:tcMar>
            <w:vAlign w:val="center"/>
          </w:tcPr>
          <w:p w14:paraId="65944320">
            <w:pPr>
              <w:jc w:val="center"/>
            </w:pPr>
            <w:r>
              <w:rPr>
                <w:rFonts w:ascii="Arial" w:hAnsi="Arial" w:eastAsia="Arial" w:cs="Arial"/>
                <w:b/>
                <w:bCs/>
                <w:color w:val="FFFFFF"/>
                <w:sz w:val="24"/>
                <w:szCs w:val="24"/>
              </w:rPr>
              <w:t>Tool / T-Code</w:t>
            </w:r>
          </w:p>
        </w:tc>
        <w:tc>
          <w:tcPr>
            <w:tcW w:w="5526" w:type="dxa"/>
            <w:tcBorders>
              <w:top w:val="single" w:color="CCCCCC" w:sz="0" w:space="0"/>
              <w:left w:val="single" w:color="CCCCCC" w:sz="0" w:space="0"/>
              <w:bottom w:val="single" w:color="CCCCCC" w:sz="0" w:space="0"/>
              <w:right w:val="single" w:color="CCCCCC" w:sz="0" w:space="0"/>
            </w:tcBorders>
            <w:shd w:val="clear" w:color="auto" w:fill="1B4F8A"/>
            <w:tcMar>
              <w:top w:w="80" w:type="dxa"/>
              <w:left w:w="120" w:type="dxa"/>
              <w:bottom w:w="80" w:type="dxa"/>
              <w:right w:w="120" w:type="dxa"/>
            </w:tcMar>
            <w:vAlign w:val="center"/>
          </w:tcPr>
          <w:p w14:paraId="0BBE7288">
            <w:pPr>
              <w:jc w:val="center"/>
            </w:pPr>
            <w:r>
              <w:rPr>
                <w:rFonts w:ascii="Arial" w:hAnsi="Arial" w:eastAsia="Arial" w:cs="Arial"/>
                <w:b/>
                <w:bCs/>
                <w:color w:val="FFFFFF"/>
                <w:sz w:val="24"/>
                <w:szCs w:val="24"/>
              </w:rPr>
              <w:t>Function</w:t>
            </w:r>
          </w:p>
        </w:tc>
      </w:tr>
      <w:tr w14:paraId="05E5B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61C100">
            <w:pPr>
              <w:jc w:val="left"/>
            </w:pPr>
            <w:r>
              <w:rPr>
                <w:rFonts w:ascii="Arial" w:hAnsi="Arial" w:eastAsia="Arial" w:cs="Arial"/>
                <w:color w:val="000000"/>
                <w:sz w:val="22"/>
                <w:szCs w:val="22"/>
              </w:rPr>
              <w:t>SPRO (SAP Project Reference Object)</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6FC43B">
            <w:pPr>
              <w:jc w:val="left"/>
            </w:pPr>
            <w:r>
              <w:rPr>
                <w:rFonts w:ascii="Arial" w:hAnsi="Arial" w:eastAsia="Arial" w:cs="Arial"/>
                <w:color w:val="000000"/>
                <w:sz w:val="22"/>
                <w:szCs w:val="22"/>
              </w:rPr>
              <w:t>IMG-based configuration for all SAP settings</w:t>
            </w:r>
          </w:p>
        </w:tc>
      </w:tr>
      <w:tr w14:paraId="3C03C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71AFFE91">
            <w:pPr>
              <w:jc w:val="left"/>
            </w:pPr>
            <w:r>
              <w:rPr>
                <w:rFonts w:ascii="Arial" w:hAnsi="Arial" w:eastAsia="Arial" w:cs="Arial"/>
                <w:color w:val="000000"/>
                <w:sz w:val="22"/>
                <w:szCs w:val="22"/>
              </w:rPr>
              <w:t>LSMW (Legacy System Migration Workbench)</w:t>
            </w:r>
          </w:p>
        </w:tc>
        <w:tc>
          <w:tcPr>
            <w:tcW w:w="5526"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02E87828">
            <w:pPr>
              <w:jc w:val="left"/>
            </w:pPr>
            <w:r>
              <w:rPr>
                <w:rFonts w:ascii="Arial" w:hAnsi="Arial" w:eastAsia="Arial" w:cs="Arial"/>
                <w:color w:val="000000"/>
                <w:sz w:val="22"/>
                <w:szCs w:val="22"/>
              </w:rPr>
              <w:t>Bulk data migration from legacy Oracle system to SAP</w:t>
            </w:r>
          </w:p>
        </w:tc>
      </w:tr>
      <w:tr w14:paraId="63E2B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CE3CC6">
            <w:pPr>
              <w:jc w:val="left"/>
            </w:pPr>
            <w:r>
              <w:rPr>
                <w:rFonts w:ascii="Arial" w:hAnsi="Arial" w:eastAsia="Arial" w:cs="Arial"/>
                <w:color w:val="000000"/>
                <w:sz w:val="22"/>
                <w:szCs w:val="22"/>
              </w:rPr>
              <w:t>ABAP Workbench (SE80)</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8122A3">
            <w:pPr>
              <w:jc w:val="left"/>
            </w:pPr>
            <w:r>
              <w:rPr>
                <w:rFonts w:ascii="Arial" w:hAnsi="Arial" w:eastAsia="Arial" w:cs="Arial"/>
                <w:color w:val="000000"/>
                <w:sz w:val="22"/>
                <w:szCs w:val="22"/>
              </w:rPr>
              <w:t>Custom ABAP programs for data extraction and BAPI integration</w:t>
            </w:r>
          </w:p>
        </w:tc>
      </w:tr>
      <w:tr w14:paraId="02648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50FA5241">
            <w:pPr>
              <w:jc w:val="left"/>
            </w:pPr>
            <w:r>
              <w:rPr>
                <w:rFonts w:ascii="Arial" w:hAnsi="Arial" w:eastAsia="Arial" w:cs="Arial"/>
                <w:color w:val="000000"/>
                <w:sz w:val="22"/>
                <w:szCs w:val="22"/>
              </w:rPr>
              <w:t>SAP Solution Manager</w:t>
            </w:r>
          </w:p>
        </w:tc>
        <w:tc>
          <w:tcPr>
            <w:tcW w:w="5526" w:type="dxa"/>
            <w:tcBorders>
              <w:top w:val="single" w:color="CCCCCC" w:sz="0" w:space="0"/>
              <w:left w:val="single" w:color="CCCCCC" w:sz="0" w:space="0"/>
              <w:bottom w:val="single" w:color="CCCCCC" w:sz="0" w:space="0"/>
              <w:right w:val="single" w:color="CCCCCC" w:sz="0" w:space="0"/>
            </w:tcBorders>
            <w:shd w:val="clear" w:color="auto" w:fill="F0F6FC"/>
            <w:tcMar>
              <w:top w:w="80" w:type="dxa"/>
              <w:left w:w="120" w:type="dxa"/>
              <w:bottom w:w="80" w:type="dxa"/>
              <w:right w:w="120" w:type="dxa"/>
            </w:tcMar>
          </w:tcPr>
          <w:p w14:paraId="4EC84383">
            <w:pPr>
              <w:jc w:val="left"/>
            </w:pPr>
            <w:r>
              <w:rPr>
                <w:rFonts w:ascii="Arial" w:hAnsi="Arial" w:eastAsia="Arial" w:cs="Arial"/>
                <w:color w:val="000000"/>
                <w:sz w:val="22"/>
                <w:szCs w:val="22"/>
              </w:rPr>
              <w:t>Project documentation, testing management, and transport control</w:t>
            </w:r>
          </w:p>
        </w:tc>
      </w:tr>
      <w:tr w14:paraId="79A68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B2A315">
            <w:pPr>
              <w:jc w:val="left"/>
            </w:pPr>
            <w:r>
              <w:rPr>
                <w:rFonts w:ascii="Arial" w:hAnsi="Arial" w:eastAsia="Arial" w:cs="Arial"/>
                <w:color w:val="000000"/>
                <w:sz w:val="22"/>
                <w:szCs w:val="22"/>
              </w:rPr>
              <w:t>BAPI (Business Application Programming Interface)</w:t>
            </w:r>
          </w:p>
        </w:tc>
        <w:tc>
          <w:tcPr>
            <w:tcW w:w="55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65C6EF">
            <w:pPr>
              <w:jc w:val="left"/>
            </w:pPr>
            <w:r>
              <w:rPr>
                <w:rFonts w:ascii="Arial" w:hAnsi="Arial" w:eastAsia="Arial" w:cs="Arial"/>
                <w:color w:val="000000"/>
                <w:sz w:val="22"/>
                <w:szCs w:val="22"/>
              </w:rPr>
              <w:t>Programmatic master data uploads during migration</w:t>
            </w:r>
          </w:p>
        </w:tc>
      </w:tr>
    </w:tbl>
    <w:p w14:paraId="0F09AE69">
      <w:pPr>
        <w:spacing w:before="0" w:after="120"/>
      </w:pPr>
    </w:p>
    <w:p w14:paraId="4471CD99">
      <w:pPr>
        <w:pStyle w:val="3"/>
        <w:spacing w:before="240" w:after="120"/>
      </w:pPr>
      <w:r>
        <w:rPr>
          <w:rFonts w:ascii="Arial" w:hAnsi="Arial" w:eastAsia="Arial" w:cs="Arial"/>
          <w:b/>
          <w:bCs/>
          <w:color w:val="2E75B6"/>
          <w:sz w:val="28"/>
          <w:szCs w:val="28"/>
        </w:rPr>
        <w:t>5.3 Infrastructure &amp; Database</w:t>
      </w:r>
    </w:p>
    <w:p w14:paraId="2D1DC51E">
      <w:pPr>
        <w:spacing w:before="0" w:after="60"/>
      </w:pPr>
    </w:p>
    <w:p w14:paraId="1AE1A55F">
      <w:pPr>
        <w:pStyle w:val="16"/>
        <w:numPr>
          <w:ilvl w:val="0"/>
          <w:numId w:val="1"/>
        </w:numPr>
        <w:spacing w:before="40" w:after="60"/>
        <w:jc w:val="both"/>
      </w:pPr>
      <w:r>
        <w:rPr>
          <w:rFonts w:ascii="Arial" w:hAnsi="Arial" w:eastAsia="Arial" w:cs="Arial"/>
          <w:b w:val="0"/>
          <w:bCs w:val="0"/>
          <w:color w:val="000000"/>
          <w:sz w:val="24"/>
          <w:szCs w:val="24"/>
        </w:rPr>
        <w:t>Database: SAP HANA (in-memory columnar database for real-time analytics)</w:t>
      </w:r>
    </w:p>
    <w:p w14:paraId="53A0D752">
      <w:pPr>
        <w:pStyle w:val="16"/>
        <w:numPr>
          <w:ilvl w:val="0"/>
          <w:numId w:val="1"/>
        </w:numPr>
        <w:spacing w:before="40" w:after="60"/>
        <w:jc w:val="both"/>
      </w:pPr>
      <w:r>
        <w:rPr>
          <w:rFonts w:ascii="Arial" w:hAnsi="Arial" w:eastAsia="Arial" w:cs="Arial"/>
          <w:b w:val="0"/>
          <w:bCs w:val="0"/>
          <w:color w:val="000000"/>
          <w:sz w:val="24"/>
          <w:szCs w:val="24"/>
        </w:rPr>
        <w:t>Operating System: SUSE Linux Enterprise Server (SLES) for SAP Applications</w:t>
      </w:r>
    </w:p>
    <w:p w14:paraId="0E71C746">
      <w:pPr>
        <w:pStyle w:val="16"/>
        <w:numPr>
          <w:ilvl w:val="0"/>
          <w:numId w:val="1"/>
        </w:numPr>
        <w:spacing w:before="40" w:after="60"/>
        <w:jc w:val="both"/>
      </w:pPr>
      <w:r>
        <w:rPr>
          <w:rFonts w:ascii="Arial" w:hAnsi="Arial" w:eastAsia="Arial" w:cs="Arial"/>
          <w:b w:val="0"/>
          <w:bCs w:val="0"/>
          <w:color w:val="000000"/>
          <w:sz w:val="24"/>
          <w:szCs w:val="24"/>
        </w:rPr>
        <w:t>Application Server: SAP NetWeaver AS ABAP 7.5+</w:t>
      </w:r>
    </w:p>
    <w:p w14:paraId="57F172D8">
      <w:pPr>
        <w:pStyle w:val="16"/>
        <w:numPr>
          <w:ilvl w:val="0"/>
          <w:numId w:val="1"/>
        </w:numPr>
        <w:spacing w:before="40" w:after="60"/>
        <w:jc w:val="both"/>
      </w:pPr>
      <w:r>
        <w:rPr>
          <w:rFonts w:ascii="Arial" w:hAnsi="Arial" w:eastAsia="Arial" w:cs="Arial"/>
          <w:b w:val="0"/>
          <w:bCs w:val="0"/>
          <w:color w:val="000000"/>
          <w:sz w:val="24"/>
          <w:szCs w:val="24"/>
        </w:rPr>
        <w:t>Transport System: CTS (Change and Transport System) — Dev → QA → Production landscape</w:t>
      </w:r>
    </w:p>
    <w:p w14:paraId="53CC3F48">
      <w:pPr>
        <w:pStyle w:val="16"/>
        <w:numPr>
          <w:ilvl w:val="0"/>
          <w:numId w:val="1"/>
        </w:numPr>
        <w:spacing w:before="40" w:after="60"/>
        <w:jc w:val="both"/>
      </w:pPr>
      <w:r>
        <w:rPr>
          <w:rFonts w:ascii="Arial" w:hAnsi="Arial" w:eastAsia="Arial" w:cs="Arial"/>
          <w:b w:val="0"/>
          <w:bCs w:val="0"/>
          <w:color w:val="000000"/>
          <w:sz w:val="24"/>
          <w:szCs w:val="24"/>
        </w:rPr>
        <w:t>Banking Integration: HDFC Bank House Bank configuration for NEFT/RTGS payments via FI-BL</w:t>
      </w:r>
    </w:p>
    <w:p w14:paraId="455F5E9F">
      <w:pPr>
        <w:pStyle w:val="16"/>
        <w:numPr>
          <w:ilvl w:val="0"/>
          <w:numId w:val="1"/>
        </w:numPr>
        <w:spacing w:before="40" w:after="60"/>
        <w:jc w:val="both"/>
      </w:pPr>
      <w:r>
        <w:rPr>
          <w:rFonts w:ascii="Arial" w:hAnsi="Arial" w:eastAsia="Arial" w:cs="Arial"/>
          <w:b w:val="0"/>
          <w:bCs w:val="0"/>
          <w:color w:val="000000"/>
          <w:sz w:val="24"/>
          <w:szCs w:val="24"/>
        </w:rPr>
        <w:t>GST Compliance: Tax Procedure TAXIN with condition types for CGST/SGST/IGST</w:t>
      </w:r>
    </w:p>
    <w:p w14:paraId="31F3A8E3">
      <w:pPr>
        <w:pStyle w:val="16"/>
        <w:numPr>
          <w:ilvl w:val="0"/>
          <w:numId w:val="1"/>
        </w:numPr>
        <w:spacing w:before="40" w:after="60"/>
        <w:jc w:val="both"/>
      </w:pPr>
      <w:r>
        <w:rPr>
          <w:rFonts w:ascii="Arial" w:hAnsi="Arial" w:eastAsia="Arial" w:cs="Arial"/>
          <w:b w:val="0"/>
          <w:bCs w:val="0"/>
          <w:color w:val="000000"/>
          <w:sz w:val="24"/>
          <w:szCs w:val="24"/>
        </w:rPr>
        <w:t>Output Management: SAP Smart Forms / Adobe Forms for PO output via email/print</w:t>
      </w:r>
    </w:p>
    <w:p w14:paraId="7C377947">
      <w:pPr>
        <w:spacing w:before="0" w:after="120"/>
      </w:pPr>
    </w:p>
    <w:p w14:paraId="4B7FDA8B">
      <w:pPr>
        <w:pStyle w:val="2"/>
        <w:spacing w:before="320" w:after="160"/>
      </w:pPr>
      <w:r>
        <w:rPr>
          <w:rFonts w:ascii="Arial" w:hAnsi="Arial" w:eastAsia="Arial" w:cs="Arial"/>
          <w:b/>
          <w:bCs/>
          <w:color w:val="1B4F8A"/>
          <w:sz w:val="30"/>
          <w:szCs w:val="30"/>
        </w:rPr>
        <w:t>6. Unique Points &amp; Differentiators</w:t>
      </w:r>
    </w:p>
    <w:p w14:paraId="7D504D94">
      <w:pPr>
        <w:pBdr>
          <w:bottom w:val="single" w:color="2E75B6" w:sz="4" w:space="1"/>
        </w:pBdr>
        <w:spacing w:before="160" w:after="160"/>
      </w:pPr>
    </w:p>
    <w:p w14:paraId="69ECB578">
      <w:pPr>
        <w:spacing w:before="0" w:after="80"/>
      </w:pPr>
    </w:p>
    <w:p w14:paraId="3F02FE7B">
      <w:pPr>
        <w:spacing w:before="60" w:after="100" w:line="276" w:lineRule="auto"/>
        <w:jc w:val="both"/>
      </w:pPr>
      <w:r>
        <w:rPr>
          <w:rFonts w:ascii="Arial" w:hAnsi="Arial" w:eastAsia="Arial" w:cs="Arial"/>
          <w:color w:val="000000"/>
          <w:sz w:val="24"/>
          <w:szCs w:val="24"/>
        </w:rPr>
        <w:t>The MedNova SAP P2P implementation incorporates several unique design decisions that distinguish it from a standard procurement implementation, driven by the pharmaceutical industry's regulatory environment, supply chain complexity, and quality control requirements.</w:t>
      </w:r>
    </w:p>
    <w:p w14:paraId="07546845">
      <w:pPr>
        <w:spacing w:before="0" w:after="100"/>
      </w:pPr>
    </w:p>
    <w:p w14:paraId="1F4A486C">
      <w:pPr>
        <w:pStyle w:val="3"/>
        <w:spacing w:before="240" w:after="120"/>
      </w:pPr>
      <w:r>
        <w:rPr>
          <w:rFonts w:ascii="Arial" w:hAnsi="Arial" w:eastAsia="Arial" w:cs="Arial"/>
          <w:b/>
          <w:bCs/>
          <w:color w:val="2E75B6"/>
          <w:sz w:val="28"/>
          <w:szCs w:val="28"/>
        </w:rPr>
        <w:t>6.1 Pharmaceutical-Specific Compliance (Schedule M / WHO-GMP)</w:t>
      </w:r>
    </w:p>
    <w:p w14:paraId="63E6A61A">
      <w:pPr>
        <w:spacing w:before="60" w:after="100" w:line="276" w:lineRule="auto"/>
        <w:jc w:val="both"/>
      </w:pPr>
      <w:r>
        <w:rPr>
          <w:rFonts w:ascii="Arial" w:hAnsi="Arial" w:eastAsia="Arial" w:cs="Arial"/>
          <w:color w:val="000000"/>
          <w:sz w:val="24"/>
          <w:szCs w:val="24"/>
        </w:rPr>
        <w:t>Unlike generic P2P implementations, MedNova's configuration activates SAP Quality Management (QM) integration with Goods Receipt. Every API batch receipt automatically creates a QM Inspection Lot. Materials move to 'Quality Inspection' stock first — they are only released to 'Unrestricted Use' after QC approval via T-Code QA32 with Certificate of Analysis (CoA) recording. This maps directly to India's Schedule M GMP requirements, which mandate traceability from raw material procurement to finished product batch.</w:t>
      </w:r>
    </w:p>
    <w:p w14:paraId="4A643DEC">
      <w:pPr>
        <w:spacing w:before="0" w:after="80"/>
      </w:pPr>
    </w:p>
    <w:p w14:paraId="29C7057F">
      <w:pPr>
        <w:pStyle w:val="3"/>
        <w:spacing w:before="240" w:after="120"/>
      </w:pPr>
      <w:r>
        <w:rPr>
          <w:rFonts w:ascii="Arial" w:hAnsi="Arial" w:eastAsia="Arial" w:cs="Arial"/>
          <w:b/>
          <w:bCs/>
          <w:color w:val="2E75B6"/>
          <w:sz w:val="28"/>
          <w:szCs w:val="28"/>
        </w:rPr>
        <w:t>6.2 Three-Level Authorization Matrix for Purchase Orders</w:t>
      </w:r>
    </w:p>
    <w:p w14:paraId="2C90B0A0">
      <w:pPr>
        <w:spacing w:before="60" w:after="100" w:line="276" w:lineRule="auto"/>
        <w:jc w:val="both"/>
      </w:pPr>
      <w:r>
        <w:rPr>
          <w:rFonts w:ascii="Arial" w:hAnsi="Arial" w:eastAsia="Arial" w:cs="Arial"/>
          <w:color w:val="000000"/>
          <w:sz w:val="24"/>
          <w:szCs w:val="24"/>
        </w:rPr>
        <w:t>MedNova's Release Strategy (configured in SPRO via OMGS) implements a tiered approval model: a single buyer can release POs up to INR 10 Lakhs, orders between INR 10 Lakhs and INR 50 Lakhs require dual authorization (Buyer + Senior Manager), and any PO above INR 50 Lakhs requires CFO approval as a third level. This financial governance structure is unique to the project's regulated environment and eliminates unauthorized spending.</w:t>
      </w:r>
    </w:p>
    <w:p w14:paraId="6DAE68F1">
      <w:pPr>
        <w:spacing w:before="0" w:after="80"/>
      </w:pPr>
    </w:p>
    <w:p w14:paraId="64180B56">
      <w:pPr>
        <w:pStyle w:val="3"/>
        <w:spacing w:before="240" w:after="120"/>
      </w:pPr>
      <w:r>
        <w:rPr>
          <w:rFonts w:ascii="Arial" w:hAnsi="Arial" w:eastAsia="Arial" w:cs="Arial"/>
          <w:b/>
          <w:bCs/>
          <w:color w:val="2E75B6"/>
          <w:sz w:val="28"/>
          <w:szCs w:val="28"/>
        </w:rPr>
        <w:t>6.3 Centralized Purchasing Organization Across Multi-Plant Setup</w:t>
      </w:r>
    </w:p>
    <w:p w14:paraId="2030ED7D">
      <w:pPr>
        <w:spacing w:before="60" w:after="100" w:line="276" w:lineRule="auto"/>
        <w:jc w:val="both"/>
      </w:pPr>
      <w:r>
        <w:rPr>
          <w:rFonts w:ascii="Arial" w:hAnsi="Arial" w:eastAsia="Arial" w:cs="Arial"/>
          <w:color w:val="000000"/>
          <w:sz w:val="24"/>
          <w:szCs w:val="24"/>
        </w:rPr>
        <w:t>MedNova operates a centralized purchasing model (MN_PO) serving all three plants (Hyderabad, Pune, Ahmedabad), with specialized purchasing groups for API buyers (MN-PG1) and Packaging buyers (MN-PG2). This is contrasted against plant-specific purchasing, and was selected to enforce uniform vendor pricing, eliminate maverick buying, and centralize vendor evaluation scores across all plants.</w:t>
      </w:r>
    </w:p>
    <w:p w14:paraId="7A5E63FF">
      <w:pPr>
        <w:spacing w:before="0" w:after="80"/>
      </w:pPr>
    </w:p>
    <w:p w14:paraId="7ACE94E8">
      <w:pPr>
        <w:pStyle w:val="3"/>
        <w:spacing w:before="240" w:after="120"/>
      </w:pPr>
      <w:r>
        <w:rPr>
          <w:rFonts w:ascii="Arial" w:hAnsi="Arial" w:eastAsia="Arial" w:cs="Arial"/>
          <w:b/>
          <w:bCs/>
          <w:color w:val="2E75B6"/>
          <w:sz w:val="28"/>
          <w:szCs w:val="28"/>
        </w:rPr>
        <w:t>6.4 GST-Compliant Invoice Processing in Indian Regulatory Context</w:t>
      </w:r>
    </w:p>
    <w:p w14:paraId="13FBB1F7">
      <w:pPr>
        <w:spacing w:before="60" w:after="100" w:line="276" w:lineRule="auto"/>
        <w:jc w:val="both"/>
      </w:pPr>
      <w:r>
        <w:rPr>
          <w:rFonts w:ascii="Arial" w:hAnsi="Arial" w:eastAsia="Arial" w:cs="Arial"/>
          <w:color w:val="000000"/>
          <w:sz w:val="24"/>
          <w:szCs w:val="24"/>
        </w:rPr>
        <w:t>The MIRO Invoice Verification is configured with Tax Procedure TAXIN, capturing GSTIN, HSN/SAC codes, and split GST (CGST/SGST for intra-state, IGST for inter-state) on every vendor invoice. Tax codes G1 through G5 are created for varying GST rates (5%, 12%, 18%, 28%), making this implementation fully compliant with India's GST framework — a critical differentiator for pharmaceutical supply chains.</w:t>
      </w:r>
    </w:p>
    <w:p w14:paraId="45E19575">
      <w:pPr>
        <w:spacing w:before="0" w:after="80"/>
      </w:pPr>
    </w:p>
    <w:p w14:paraId="17F0A2DF">
      <w:pPr>
        <w:pStyle w:val="3"/>
        <w:spacing w:before="240" w:after="120"/>
      </w:pPr>
      <w:r>
        <w:rPr>
          <w:rFonts w:ascii="Arial" w:hAnsi="Arial" w:eastAsia="Arial" w:cs="Arial"/>
          <w:b/>
          <w:bCs/>
          <w:color w:val="2E75B6"/>
          <w:sz w:val="28"/>
          <w:szCs w:val="28"/>
        </w:rPr>
        <w:t>6.5 MRP-Driven Procurement Automation</w:t>
      </w:r>
    </w:p>
    <w:p w14:paraId="71CB6977">
      <w:pPr>
        <w:spacing w:before="60" w:after="100" w:line="276" w:lineRule="auto"/>
        <w:jc w:val="both"/>
      </w:pPr>
      <w:r>
        <w:rPr>
          <w:rFonts w:ascii="Arial" w:hAnsi="Arial" w:eastAsia="Arial" w:cs="Arial"/>
          <w:color w:val="000000"/>
          <w:sz w:val="24"/>
          <w:szCs w:val="24"/>
        </w:rPr>
        <w:t>Production Planning (PP) is integrated with MM via MRP Run (MD01/MD02). BOM explosions from Production Orders automatically generate Purchase Requisitions for materials below safety stock. This closes the loop between shop floor demand and procurement — reducing emergency purchases from 20% to under 5% of total orders — a direct, measurable outcome of the integration design choice.</w:t>
      </w:r>
    </w:p>
    <w:p w14:paraId="427D6EE0">
      <w:pPr>
        <w:spacing w:before="0" w:after="120"/>
      </w:pPr>
    </w:p>
    <w:p w14:paraId="100E319C">
      <w:r>
        <w:br w:type="page"/>
      </w:r>
    </w:p>
    <w:p w14:paraId="5CB92F57">
      <w:pPr>
        <w:pStyle w:val="2"/>
        <w:spacing w:before="320" w:after="160"/>
      </w:pPr>
      <w:r>
        <w:rPr>
          <w:rFonts w:ascii="Arial" w:hAnsi="Arial" w:eastAsia="Arial" w:cs="Arial"/>
          <w:b/>
          <w:bCs/>
          <w:color w:val="1B4F8A"/>
          <w:sz w:val="30"/>
          <w:szCs w:val="30"/>
        </w:rPr>
        <w:t>7. Future Improvements</w:t>
      </w:r>
    </w:p>
    <w:p w14:paraId="4346311B">
      <w:pPr>
        <w:pBdr>
          <w:bottom w:val="single" w:color="2E75B6" w:sz="4" w:space="1"/>
        </w:pBdr>
        <w:spacing w:before="160" w:after="160"/>
      </w:pPr>
    </w:p>
    <w:p w14:paraId="63E51A8E">
      <w:pPr>
        <w:spacing w:before="0" w:after="80"/>
      </w:pPr>
    </w:p>
    <w:p w14:paraId="3710BD7E">
      <w:pPr>
        <w:spacing w:before="60" w:after="100" w:line="276" w:lineRule="auto"/>
        <w:jc w:val="both"/>
      </w:pPr>
      <w:r>
        <w:rPr>
          <w:rFonts w:ascii="Arial" w:hAnsi="Arial" w:eastAsia="Arial" w:cs="Arial"/>
          <w:color w:val="000000"/>
          <w:sz w:val="24"/>
          <w:szCs w:val="24"/>
        </w:rPr>
        <w:t>The current implementation establishes a robust P2P foundation for MedNova. The following enhancements are proposed for future phases to increase automation, transparency, and strategic capability across the procurement function.</w:t>
      </w:r>
    </w:p>
    <w:p w14:paraId="4E89E822">
      <w:pPr>
        <w:spacing w:before="0" w:after="100"/>
      </w:pPr>
    </w:p>
    <w:p w14:paraId="53C3F49D">
      <w:pPr>
        <w:pStyle w:val="3"/>
        <w:spacing w:before="240" w:after="120"/>
      </w:pPr>
      <w:r>
        <w:rPr>
          <w:rFonts w:ascii="Arial" w:hAnsi="Arial" w:eastAsia="Arial" w:cs="Arial"/>
          <w:b/>
          <w:bCs/>
          <w:color w:val="2E75B6"/>
          <w:sz w:val="28"/>
          <w:szCs w:val="28"/>
        </w:rPr>
        <w:t>7.1 SAP Ariba Integration for Strategic Sourcing</w:t>
      </w:r>
    </w:p>
    <w:p w14:paraId="027FA0DA">
      <w:pPr>
        <w:spacing w:before="60" w:after="100" w:line="276" w:lineRule="auto"/>
        <w:jc w:val="both"/>
      </w:pPr>
      <w:r>
        <w:rPr>
          <w:rFonts w:ascii="Arial" w:hAnsi="Arial" w:eastAsia="Arial" w:cs="Arial"/>
          <w:color w:val="000000"/>
          <w:sz w:val="24"/>
          <w:szCs w:val="24"/>
        </w:rPr>
        <w:t>Integrating SAP Ariba with the existing SAP MM backend would enable a cloud-based Supplier Network, giving MedNova access to thousands of pre-vetted pharmaceutical raw material suppliers globally. Ariba Sourcing would automate RFQ events, e-auctions, and contract lifecycle management — reducing the sourcing cycle by an estimated additional 30–40% and broadening the supplier base for critical APIs.</w:t>
      </w:r>
    </w:p>
    <w:p w14:paraId="6580C60B">
      <w:pPr>
        <w:spacing w:before="0" w:after="80"/>
      </w:pPr>
    </w:p>
    <w:p w14:paraId="721389A8">
      <w:pPr>
        <w:pStyle w:val="3"/>
        <w:spacing w:before="240" w:after="120"/>
      </w:pPr>
      <w:r>
        <w:rPr>
          <w:rFonts w:ascii="Arial" w:hAnsi="Arial" w:eastAsia="Arial" w:cs="Arial"/>
          <w:b/>
          <w:bCs/>
          <w:color w:val="2E75B6"/>
          <w:sz w:val="28"/>
          <w:szCs w:val="28"/>
        </w:rPr>
        <w:t>7.2 AI-Powered Spend Analytics via SAP Analytics Cloud</w:t>
      </w:r>
    </w:p>
    <w:p w14:paraId="30158818">
      <w:pPr>
        <w:spacing w:before="60" w:after="100" w:line="276" w:lineRule="auto"/>
        <w:jc w:val="both"/>
      </w:pPr>
      <w:r>
        <w:rPr>
          <w:rFonts w:ascii="Arial" w:hAnsi="Arial" w:eastAsia="Arial" w:cs="Arial"/>
          <w:color w:val="000000"/>
          <w:sz w:val="24"/>
          <w:szCs w:val="24"/>
        </w:rPr>
        <w:t>Deploying SAP Analytics Cloud (SAC) with embedded machine learning would enable predictive spend analytics: detecting anomalous invoice patterns, forecasting raw material price trends, and recommending optimal reorder points based on historical consumption data. This would transform procurement from a transactional function to a data-driven strategic one.</w:t>
      </w:r>
    </w:p>
    <w:p w14:paraId="07F0AABB">
      <w:pPr>
        <w:spacing w:before="0" w:after="80"/>
      </w:pPr>
    </w:p>
    <w:p w14:paraId="25EEAFBE">
      <w:pPr>
        <w:pStyle w:val="3"/>
        <w:spacing w:before="240" w:after="120"/>
      </w:pPr>
      <w:r>
        <w:rPr>
          <w:rFonts w:ascii="Arial" w:hAnsi="Arial" w:eastAsia="Arial" w:cs="Arial"/>
          <w:b/>
          <w:bCs/>
          <w:color w:val="2E75B6"/>
          <w:sz w:val="28"/>
          <w:szCs w:val="28"/>
        </w:rPr>
        <w:t>7.3 Vendor Self-Service Portal (SAP SRM / Business Network)</w:t>
      </w:r>
    </w:p>
    <w:p w14:paraId="37044990">
      <w:pPr>
        <w:spacing w:before="60" w:after="100" w:line="276" w:lineRule="auto"/>
        <w:jc w:val="both"/>
      </w:pPr>
      <w:r>
        <w:rPr>
          <w:rFonts w:ascii="Arial" w:hAnsi="Arial" w:eastAsia="Arial" w:cs="Arial"/>
          <w:color w:val="000000"/>
          <w:sz w:val="24"/>
          <w:szCs w:val="24"/>
        </w:rPr>
        <w:t>Implementing a vendor-facing self-service portal through SAP Business Network would allow MedNova's suppliers to submit invoices electronically, track PO acknowledgements, view GR confirmations, and check payment status — eliminating back-and-forth communication and reducing invoice processing time further toward a 3–5 day target.</w:t>
      </w:r>
    </w:p>
    <w:p w14:paraId="5A2382BC">
      <w:pPr>
        <w:spacing w:before="0" w:after="80"/>
      </w:pPr>
    </w:p>
    <w:p w14:paraId="764BFA5E">
      <w:pPr>
        <w:pStyle w:val="3"/>
        <w:spacing w:before="240" w:after="120"/>
      </w:pPr>
      <w:r>
        <w:rPr>
          <w:rFonts w:ascii="Arial" w:hAnsi="Arial" w:eastAsia="Arial" w:cs="Arial"/>
          <w:b/>
          <w:bCs/>
          <w:color w:val="2E75B6"/>
          <w:sz w:val="28"/>
          <w:szCs w:val="28"/>
        </w:rPr>
        <w:t>7.4 Blockchain-Based Batch Traceability</w:t>
      </w:r>
    </w:p>
    <w:p w14:paraId="75D4AAD1">
      <w:pPr>
        <w:spacing w:before="60" w:after="100" w:line="276" w:lineRule="auto"/>
        <w:jc w:val="both"/>
      </w:pPr>
      <w:r>
        <w:rPr>
          <w:rFonts w:ascii="Arial" w:hAnsi="Arial" w:eastAsia="Arial" w:cs="Arial"/>
          <w:color w:val="000000"/>
          <w:sz w:val="24"/>
          <w:szCs w:val="24"/>
        </w:rPr>
        <w:t>For pharmaceutical supply chain integrity, integrating SAP with a blockchain platform (e.g., SAP Blockchain Services) would create an immutable, end-to-end record of every API batch — from supplier's manufacturing facility through MedNova's procurement, QC release, production, and distribution. This exceeds current Schedule M requirements and positions MedNova for future DSCSA (Drug Supply Chain Security Act) compliance for export markets.</w:t>
      </w:r>
    </w:p>
    <w:p w14:paraId="22D9611F">
      <w:pPr>
        <w:spacing w:before="0" w:after="80"/>
      </w:pPr>
    </w:p>
    <w:p w14:paraId="0425F19D">
      <w:pPr>
        <w:pStyle w:val="3"/>
        <w:spacing w:before="240" w:after="120"/>
      </w:pPr>
      <w:r>
        <w:rPr>
          <w:rFonts w:ascii="Arial" w:hAnsi="Arial" w:eastAsia="Arial" w:cs="Arial"/>
          <w:b/>
          <w:bCs/>
          <w:color w:val="2E75B6"/>
          <w:sz w:val="28"/>
          <w:szCs w:val="28"/>
        </w:rPr>
        <w:t>7.5 Mobile Procurement Approvals via SAP Fiori</w:t>
      </w:r>
    </w:p>
    <w:p w14:paraId="0D230C93">
      <w:pPr>
        <w:spacing w:before="60" w:after="100" w:line="276" w:lineRule="auto"/>
        <w:jc w:val="both"/>
      </w:pPr>
      <w:r>
        <w:rPr>
          <w:rFonts w:ascii="Arial" w:hAnsi="Arial" w:eastAsia="Arial" w:cs="Arial"/>
          <w:color w:val="000000"/>
          <w:sz w:val="24"/>
          <w:szCs w:val="24"/>
        </w:rPr>
        <w:t>Deploying SAP Fiori apps (specifically the 'Approve Purchase Orders' and 'Manage Purchase Requisitions' Fiori tiles) on mobile devices would enable managers to review and release procurement documents from anywhere, eliminating the bottleneck of delayed approvals when approvers are travelling. This would further compress the approval time component of the procurement cycle.</w:t>
      </w:r>
    </w:p>
    <w:p w14:paraId="5CC476B0">
      <w:pPr>
        <w:spacing w:before="0" w:after="80"/>
      </w:pPr>
    </w:p>
    <w:p w14:paraId="62E611C3">
      <w:pPr>
        <w:pStyle w:val="3"/>
        <w:spacing w:before="240" w:after="120"/>
      </w:pPr>
      <w:r>
        <w:rPr>
          <w:rFonts w:ascii="Arial" w:hAnsi="Arial" w:eastAsia="Arial" w:cs="Arial"/>
          <w:b/>
          <w:bCs/>
          <w:color w:val="2E75B6"/>
          <w:sz w:val="28"/>
          <w:szCs w:val="28"/>
        </w:rPr>
        <w:t>7.6 Automated Vendor Performance Scorecards</w:t>
      </w:r>
    </w:p>
    <w:p w14:paraId="2F19D270">
      <w:pPr>
        <w:spacing w:before="60" w:after="100" w:line="276" w:lineRule="auto"/>
        <w:jc w:val="both"/>
      </w:pPr>
      <w:r>
        <w:rPr>
          <w:rFonts w:ascii="Arial" w:hAnsi="Arial" w:eastAsia="Arial" w:cs="Arial"/>
          <w:color w:val="000000"/>
          <w:sz w:val="24"/>
          <w:szCs w:val="24"/>
        </w:rPr>
        <w:t>Configuring SAP's Vendor Evaluation module (ME61/ME6B) with automatic scoring on four criteria — Price (30%), Quality/Rejection Rate (30%), On-Time Delivery (25%), and Service Level (15%) — would enable quarterly automated scorecards sent to vendors. This creates a feedback-driven supplier ecosystem that continuously improves supply chain reliability for MedNova's pharmaceutical operations.</w:t>
      </w:r>
    </w:p>
    <w:p w14:paraId="16F30B75">
      <w:pPr>
        <w:spacing w:before="0" w:after="120"/>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DADE">
    <w:pPr>
      <w:pBdr>
        <w:top w:val="single" w:color="2E75B6" w:sz="4" w:space="4"/>
      </w:pBdr>
      <w:spacing w:before="120"/>
      <w:jc w:val="right"/>
    </w:pPr>
    <w:r>
      <w:rPr>
        <w:rFonts w:ascii="Arial" w:hAnsi="Arial" w:eastAsia="Arial" w:cs="Arial"/>
        <w:color w:val="666666"/>
        <w:sz w:val="18"/>
        <w:szCs w:val="18"/>
      </w:rPr>
      <w:t xml:space="preserve">Page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PAGE</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r>
      <w:rPr>
        <w:rFonts w:ascii="Arial" w:hAnsi="Arial" w:eastAsia="Arial" w:cs="Arial"/>
        <w:color w:val="666666"/>
        <w:sz w:val="18"/>
        <w:szCs w:val="18"/>
      </w:rPr>
      <w:t xml:space="preserve"> | Vishalakshya Tiwari [2306080] | KIIT University | 2025–2026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6E99D">
    <w:pPr>
      <w:pBdr>
        <w:bottom w:val="single" w:color="2E75B6" w:sz="4" w:space="4"/>
      </w:pBdr>
      <w:spacing w:after="120"/>
      <w:jc w:val="right"/>
    </w:pPr>
    <w:r>
      <w:rPr>
        <w:rFonts w:ascii="Arial" w:hAnsi="Arial" w:eastAsia="Arial" w:cs="Arial"/>
        <w:i/>
        <w:iCs/>
        <w:color w:val="666666"/>
        <w:sz w:val="18"/>
        <w:szCs w:val="18"/>
      </w:rPr>
      <w:t>MedNova Pharmaceuticals | SAP P2P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spacing w:before="40" w:after="60"/>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1131B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20" w:after="160"/>
      <w:outlineLvl w:val="0"/>
    </w:pPr>
    <w:rPr>
      <w:rFonts w:ascii="Arial" w:hAnsi="Arial" w:eastAsia="Arial" w:cs="Arial"/>
      <w:b/>
      <w:bCs/>
      <w:color w:val="1B4F8A"/>
      <w:sz w:val="30"/>
      <w:szCs w:val="30"/>
    </w:rPr>
  </w:style>
  <w:style w:type="paragraph" w:styleId="3">
    <w:name w:val="heading 2"/>
    <w:next w:val="1"/>
    <w:qFormat/>
    <w:uiPriority w:val="0"/>
    <w:pPr>
      <w:spacing w:before="240" w:after="120"/>
      <w:outlineLvl w:val="1"/>
    </w:pPr>
    <w:rPr>
      <w:rFonts w:ascii="Arial" w:hAnsi="Arial" w:eastAsia="Arial" w:cs="Arial"/>
      <w:b/>
      <w:bCs/>
      <w:color w:val="2E75B6"/>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499</Words>
  <Characters>3271</Characters>
  <TotalTime>12</TotalTime>
  <ScaleCrop>false</ScaleCrop>
  <LinksUpToDate>false</LinksUpToDate>
  <CharactersWithSpaces>3708</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2026-04-21T17:28:00Z</dcterms:created>
  <dc:creator>Un-named</dc:creator>
  <cp:lastModifiedBy>WPS_1693674264</cp:lastModifiedBy>
  <dcterms:modified xsi:type="dcterms:W3CDTF">2026-04-21T17:42:18Z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eyJoZGlkIjoiMGEyY2E0MzAwOWM3N2VhNjlmNzg1OTY5YTNmMmRlYjUiLCJ1c2VySWQiOiI1Njc0MDI0Nzk3OTMifQ==</vt:lpwstr>
  </property>
  <property fmtid="{D5CDD505-2E9C-101B-9397-08002B2CF9AE}" pid="3" name="KSOProductBuildVer">
    <vt:lpwstr>1033-12.1.0.25242</vt:lpwstr>
  </property>
  <property fmtid="{D5CDD505-2E9C-101B-9397-08002B2CF9AE}" pid="4" name="ICV">
    <vt:lpwstr>D2E362D900E242FD96B9600DDC99517D_12</vt:lpwstr>
  </property>
</Properties>
</file>