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Interpretation Report: Study Time vs Exam Scores</w:t>
      </w:r>
    </w:p>
    <w:p>
      <w:r>
        <w:t>This statistical study examines the relationship between student study time and exam scores using correlation analysis, visualization, and hypothesis testing.</w:t>
      </w:r>
    </w:p>
    <w:p>
      <w:pPr>
        <w:pStyle w:val="Heading2"/>
      </w:pPr>
      <w:r>
        <w:t>Key Findings</w:t>
      </w:r>
    </w:p>
    <w:p>
      <w:r>
        <w:t>• Correlation coefficient: 0.8263</w:t>
      </w:r>
    </w:p>
    <w:p>
      <w:r>
        <w:t>• P-value from hypothesis testing: 0.000000</w:t>
      </w:r>
    </w:p>
    <w:p>
      <w:r>
        <w:t>• The scatter plot shows a positive linear relationship between study hours and exam scores.</w:t>
      </w:r>
    </w:p>
    <w:p>
      <w:r>
        <w:t>• The histogram indicates that study hours are distributed across a reasonable range.</w:t>
      </w:r>
    </w:p>
    <w:p>
      <w:pPr>
        <w:pStyle w:val="Heading2"/>
      </w:pPr>
      <w:r>
        <w:t>Hypothesis Testing</w:t>
      </w:r>
    </w:p>
    <w:p>
      <w:r>
        <w:t>Null Hypothesis (H0): Study hours do not significantly affect exam scores.</w:t>
        <w:br/>
        <w:t>Alternative Hypothesis (H1): Study hours significantly affect exam scores.</w:t>
      </w:r>
    </w:p>
    <w:p>
      <w:r>
        <w:t>Since the p-value is less than the significance level of 0.05, the null hypothesis is rejected.</w:t>
      </w:r>
    </w:p>
    <w:p>
      <w:pPr>
        <w:pStyle w:val="Heading2"/>
      </w:pPr>
      <w:r>
        <w:t>Conclusion</w:t>
      </w:r>
    </w:p>
    <w:p>
      <w:r>
        <w:t>The analysis confirms that increased study time significantly improves student exam performance. A strong positive correlation exists between study hours and grades, indicating that students who spend more time studying generally achieve higher scores.</w:t>
      </w:r>
    </w:p>
    <w:p>
      <w:r>
        <w:drawing>
          <wp:inline xmlns:a="http://schemas.openxmlformats.org/drawingml/2006/main" xmlns:pic="http://schemas.openxmlformats.org/drawingml/2006/picture">
            <wp:extent cx="4389120" cy="3194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943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