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60" w:before="0"/>
        <w:jc w:val="center"/>
      </w:pPr>
      <w:r>
        <w:rPr>
          <w:rFonts w:ascii="Arial" w:cs="Arial" w:eastAsia="Arial" w:hAnsi="Arial"/>
          <w:b/>
          <w:bCs/>
          <w:color w:val="0D2B50"/>
          <w:sz w:val="60"/>
          <w:szCs w:val="60"/>
        </w:rPr>
        <w:t xml:space="preserve">ZYLIGN COACH AI</w:t>
      </w:r>
    </w:p>
    <w:p>
      <w:pPr>
        <w:spacing w:after="80" w:before="0"/>
        <w:jc w:val="center"/>
      </w:pPr>
      <w:r>
        <w:rPr>
          <w:rFonts w:ascii="Arial" w:cs="Arial" w:eastAsia="Arial" w:hAnsi="Arial"/>
          <w:b/>
          <w:bCs/>
          <w:color w:val="1B4F8A"/>
          <w:sz w:val="40"/>
          <w:szCs w:val="40"/>
        </w:rPr>
        <w:t xml:space="preserve">Data &amp; Compliance Policy</w:t>
      </w:r>
    </w:p>
    <w:p>
      <w:pPr>
        <w:spacing w:after="60" w:before="0"/>
        <w:jc w:val="center"/>
      </w:pPr>
      <w:r>
        <w:rPr>
          <w:rFonts w:ascii="Arial" w:cs="Arial" w:eastAsia="Arial" w:hAnsi="Arial"/>
          <w:color w:val="595959"/>
          <w:sz w:val="22"/>
          <w:szCs w:val="22"/>
        </w:rPr>
        <w:t xml:space="preserve">Effective Date: April 27, 2026  |  Version 2.0  |  CONFIDENTIAL — INTERNAL</w:t>
      </w:r>
    </w:p>
    <w:p>
      <w:pPr>
        <w:pBdr>
          <w:bottom w:val="single" w:color="1B4F8A" w:sz="6" w:space="4"/>
        </w:pBdr>
        <w:spacing w:after="200" w:before="80"/>
        <w:jc w:val="center"/>
      </w:pPr>
      <w:r>
        <w:t xml:space="preserv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6"/>
              <w:left w:val="single" w:color="1B4F8A" w:sz="12"/>
              <w:bottom w:val="single" w:color="CCCCCC" w:sz="1"/>
              <w:right w:val="single" w:color="CCCCCC" w:sz="1"/>
            </w:tcBorders>
            <w:shd w:fill="EBF4FF" w:val="clear"/>
            <w:tcMar>
              <w:top w:type="dxa" w:w="140"/>
              <w:left w:type="dxa" w:w="200"/>
              <w:bottom w:type="dxa" w:w="140"/>
              <w:right w:type="dxa" w:w="160"/>
            </w:tcMar>
          </w:tcPr>
          <w:p>
            <w:pPr>
              <w:spacing w:after="80" w:before="0"/>
            </w:pPr>
            <w:r>
              <w:rPr>
                <w:rFonts w:ascii="Arial" w:cs="Arial" w:eastAsia="Arial" w:hAnsi="Arial"/>
                <w:b/>
                <w:bCs/>
                <w:color w:val="1B4F8A"/>
                <w:sz w:val="22"/>
                <w:szCs w:val="22"/>
              </w:rPr>
              <w:t xml:space="preserve">Purpose of This Document</w:t>
            </w:r>
          </w:p>
          <w:p>
            <w:pPr>
              <w:spacing w:after="40" w:before="40"/>
            </w:pPr>
            <w:r>
              <w:rPr>
                <w:rFonts w:ascii="Arial" w:cs="Arial" w:eastAsia="Arial" w:hAnsi="Arial"/>
                <w:color w:val="222222"/>
                <w:sz w:val="21"/>
                <w:szCs w:val="21"/>
              </w:rPr>
              <w:t xml:space="preserve">This document describes Zylign Coach AI's data handling practices and compliance obligations.</w:t>
            </w:r>
          </w:p>
          <w:p>
            <w:pPr>
              <w:spacing w:after="40" w:before="40"/>
            </w:pPr>
            <w:r>
              <w:rPr>
                <w:rFonts w:ascii="Arial" w:cs="Arial" w:eastAsia="Arial" w:hAnsi="Arial"/>
                <w:color w:val="222222"/>
                <w:sz w:val="21"/>
                <w:szCs w:val="21"/>
              </w:rPr>
              <w:t xml:space="preserve">Intended for: engineering and operations team; App Store reviewers (Apple/Google); compliance and legal audit purposes.</w:t>
            </w:r>
          </w:p>
          <w:p>
            <w:pPr>
              <w:spacing w:after="40" w:before="40"/>
            </w:pPr>
            <w:r>
              <w:rPr>
                <w:rFonts w:ascii="Arial" w:cs="Arial" w:eastAsia="Arial" w:hAnsi="Arial"/>
                <w:color w:val="222222"/>
                <w:sz w:val="21"/>
                <w:szCs w:val="21"/>
              </w:rPr>
              <w:t xml:space="preserve">This is a living document. Review quarterly or upon any material change in product, regulation, or user scale.</w:t>
            </w:r>
          </w:p>
        </w:tc>
      </w:tr>
    </w:tbl>
    <w:p>
      <w:pPr>
        <w:pageBreakBefore/>
      </w:pPr>
      <w:r>
        <w:t xml:space="preserve"/>
      </w:r>
    </w:p>
    <w:p>
      <w:pPr>
        <w:pStyle w:val="Heading1"/>
        <w:pBdr>
          <w:bottom w:val="single" w:color="1B4F8A" w:sz="8" w:space="4"/>
        </w:pBdr>
        <w:spacing w:after="200" w:before="440"/>
      </w:pPr>
      <w:r>
        <w:rPr>
          <w:rFonts w:ascii="Arial" w:cs="Arial" w:eastAsia="Arial" w:hAnsi="Arial"/>
          <w:b/>
          <w:bCs/>
          <w:color w:val="0D2B50"/>
          <w:sz w:val="34"/>
          <w:szCs w:val="34"/>
        </w:rPr>
        <w:t xml:space="preserve">1. Applicable Regulations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Regulation</w:t>
            </w:r>
          </w:p>
        </w:tc>
        <w:tc>
          <w:tcPr>
            <w:tcW w:type="dxa" w:w="22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Jurisdiction</w:t>
            </w:r>
          </w:p>
        </w:tc>
        <w:tc>
          <w:tcPr>
            <w:tcW w:type="dxa" w:w="43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Applicability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GDPR (EU 2016/679)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European Economic Area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Applies to all EEA-resident users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UK GDPR</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United Kingdom</w:t>
            </w:r>
          </w:p>
        </w:tc>
        <w:tc>
          <w:tcPr>
            <w:tcW w:type="dxa" w:w="4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Applies to all UK-resident users post-Brexit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Swiss FADP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Switzerland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Applies to Swiss-resident users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CCPA / CPRA (Cal. Civ. Code §1798.100)</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California, USA</w:t>
            </w:r>
          </w:p>
        </w:tc>
        <w:tc>
          <w:tcPr>
            <w:tcW w:type="dxa" w:w="4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Applies to California-resident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COPPA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 do not knowingly collect data from under-13s; technical age gate in place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Consumer Protection Act 2019</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India</w:t>
            </w:r>
          </w:p>
        </w:tc>
        <w:tc>
          <w:tcPr>
            <w:tcW w:type="dxa" w:w="4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Applies to Indian users; Grievance Officer appointed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E-Commerce Rules 2020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India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Applies to our e-commerce operations in India</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App Store Guidelines</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Global</w:t>
            </w:r>
          </w:p>
        </w:tc>
        <w:tc>
          <w:tcPr>
            <w:tcW w:type="dxa" w:w="4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Complied with for iOS distribution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PIPEDA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Canada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Applied for Canadian users</w:t>
            </w:r>
          </w:p>
        </w:tc>
      </w:tr>
    </w:tbl>
    <w:p>
      <w:pPr>
        <w:pStyle w:val="Heading1"/>
        <w:pBdr>
          <w:bottom w:val="single" w:color="1B4F8A" w:sz="8" w:space="4"/>
        </w:pBdr>
        <w:spacing w:after="200" w:before="440"/>
      </w:pPr>
      <w:r>
        <w:rPr>
          <w:rFonts w:ascii="Arial" w:cs="Arial" w:eastAsia="Arial" w:hAnsi="Arial"/>
          <w:b/>
          <w:bCs/>
          <w:color w:val="0D2B50"/>
          <w:sz w:val="34"/>
          <w:szCs w:val="34"/>
        </w:rPr>
        <w:t xml:space="preserve">2. Data We Collect</w:t>
      </w:r>
    </w:p>
    <w:p>
      <w:pPr>
        <w:pStyle w:val="Heading2"/>
        <w:spacing w:after="140" w:before="300"/>
      </w:pPr>
      <w:r>
        <w:rPr>
          <w:rFonts w:ascii="Arial" w:cs="Arial" w:eastAsia="Arial" w:hAnsi="Arial"/>
          <w:b/>
          <w:bCs/>
          <w:color w:val="1B4F8A"/>
          <w:sz w:val="26"/>
          <w:szCs w:val="26"/>
        </w:rPr>
        <w:t xml:space="preserve">2.1 Categories of Personal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27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Category</w:t>
            </w:r>
          </w:p>
        </w:tc>
        <w:tc>
          <w:tcPr>
            <w:tcW w:type="dxa" w:w="26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Specific Data Points</w:t>
            </w:r>
          </w:p>
        </w:tc>
        <w:tc>
          <w:tcPr>
            <w:tcW w:type="dxa" w:w="1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Sensitivity</w:t>
            </w:r>
          </w:p>
        </w:tc>
        <w:tc>
          <w:tcPr>
            <w:tcW w:type="dxa" w:w="27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GDPR Basis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Account identifiers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username, user 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Standard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Contract Art. 6(1)(b)</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Authentication data</w:t>
            </w:r>
          </w:p>
        </w:tc>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Bcrypt-hashed password, JWT tokens</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Standard</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Contract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 profile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 height, weight, biological sex, activity 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Sensitive Art. 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Explicit Consent Art. 9(2)(a)</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Health screening responses</w:t>
            </w:r>
          </w:p>
        </w:tc>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Disclosed medical conditions, pregnancy status, eating disorder history</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Sensitive Art. 9</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Explicit Consent + Vital Interests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Fitness goals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Goal type, target weight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Standard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Contract</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Fitness logs</w:t>
            </w:r>
          </w:p>
        </w:tc>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Workout sessions, exercises, sets/reps/weights</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Standard</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Contract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Nutrition logs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Meals, food items, estimated calories, macros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Standard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Contract</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Onboarding consent records</w:t>
            </w:r>
          </w:p>
        </w:tc>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Timestamp, app version, user ID at consent</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Standard</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Legal Obligation Art. 6(1)(c)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Device 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Device model, OS, app 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Standard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Legitimate Interest</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Usage analytics</w:t>
            </w:r>
          </w:p>
        </w:tc>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Feature interactions, session data</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Standard</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Legitimate Interest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Push tokens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Firebase notification 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Standard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Consent</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AI inputs</w:t>
            </w:r>
          </w:p>
        </w:tc>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Messages sent to AI coach (post-input-filtering)</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Standard</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Contract</w:t>
            </w:r>
          </w:p>
        </w:tc>
      </w:tr>
    </w:tbl>
    <w:p>
      <w:pPr>
        <w:pStyle w:val="Heading1"/>
        <w:pBdr>
          <w:bottom w:val="single" w:color="1B4F8A" w:sz="8" w:space="4"/>
        </w:pBdr>
        <w:spacing w:after="200" w:before="440"/>
      </w:pPr>
      <w:r>
        <w:rPr>
          <w:rFonts w:ascii="Arial" w:cs="Arial" w:eastAsia="Arial" w:hAnsi="Arial"/>
          <w:b/>
          <w:bCs/>
          <w:color w:val="0D2B50"/>
          <w:sz w:val="34"/>
          <w:szCs w:val="34"/>
        </w:rPr>
        <w:t xml:space="preserve">3. GDPR Compliance</w:t>
      </w:r>
    </w:p>
    <w:p>
      <w:pPr>
        <w:pStyle w:val="Heading2"/>
        <w:spacing w:after="140" w:before="300"/>
      </w:pPr>
      <w:r>
        <w:rPr>
          <w:rFonts w:ascii="Arial" w:cs="Arial" w:eastAsia="Arial" w:hAnsi="Arial"/>
          <w:b/>
          <w:bCs/>
          <w:color w:val="1B4F8A"/>
          <w:sz w:val="26"/>
          <w:szCs w:val="26"/>
        </w:rPr>
        <w:t xml:space="preserve">3.1 Data Protection Principles (Art.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Principle</w:t>
            </w:r>
          </w:p>
        </w:tc>
        <w:tc>
          <w:tcPr>
            <w:tcW w:type="dxa" w:w="63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How We Apply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Lawfulness, fairness, transparency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Clear Privacy Policy; lawful bases documented in this policy; explicit consent for health data</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Purpose limitation</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Data used only for stated purposes; not repurposed without notice or new consent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 minimisation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 collect only what is necessary; health screening data collected only where needed for safety</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Accuracy</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Users can update their data in-app at any time; we correct data on verified request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Storage limitation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Retention periods defined in Section 6; automated deletion jobs enforced</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Integrity and confidentiality</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HTTPS/TLS, bcrypt hashing, JWT auth, rate limiting, input validation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Accountability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This compliance document; Privacy Policy; internal practices; breach response plan</w:t>
            </w:r>
          </w:p>
        </w:tc>
      </w:tr>
    </w:tbl>
    <w:p>
      <w:pPr>
        <w:spacing w:after="0" w:before="80"/>
      </w:pPr>
      <w:r>
        <w:t xml:space="preserve"/>
      </w:r>
    </w:p>
    <w:p>
      <w:pPr>
        <w:pStyle w:val="Heading2"/>
        <w:spacing w:after="140" w:before="300"/>
      </w:pPr>
      <w:r>
        <w:rPr>
          <w:rFonts w:ascii="Arial" w:cs="Arial" w:eastAsia="Arial" w:hAnsi="Arial"/>
          <w:b/>
          <w:bCs/>
          <w:color w:val="1B4F8A"/>
          <w:sz w:val="26"/>
          <w:szCs w:val="26"/>
        </w:rPr>
        <w:t xml:space="preserve">3.2 Special Category Data (Art. 9)</w:t>
      </w:r>
    </w:p>
    <w:p>
      <w:pPr>
        <w:spacing w:after="80" w:before="80"/>
      </w:pPr>
      <w:r>
        <w:rPr>
          <w:rFonts w:ascii="Arial" w:cs="Arial" w:eastAsia="Arial" w:hAnsi="Arial"/>
          <w:color w:val="222222"/>
          <w:sz w:val="22"/>
          <w:szCs w:val="22"/>
        </w:rPr>
        <w:t xml:space="preserve">Health and fitness data — including body weight, age, health goals, dietary restrictions, fitness metrics, and health screening responses — is classified as special category data under GDPR Article 9.</w:t>
      </w:r>
    </w:p>
    <w:p>
      <w:pPr>
        <w:pStyle w:val="ListParagraph"/>
        <w:numPr>
          <w:ilvl w:val="0"/>
          <w:numId w:val="2"/>
        </w:numPr>
        <w:spacing w:after="60" w:before="60"/>
      </w:pPr>
      <w:r>
        <w:rPr>
          <w:rFonts w:ascii="Arial" w:cs="Arial" w:eastAsia="Arial" w:hAnsi="Arial"/>
          <w:color w:val="222222"/>
          <w:sz w:val="22"/>
          <w:szCs w:val="22"/>
        </w:rPr>
        <w:t xml:space="preserve">Legal basis: Explicit consent provided by the user at onboarding via mandatory checkbox and again at first use of health-sensitive features</w:t>
      </w:r>
    </w:p>
    <w:p>
      <w:pPr>
        <w:pStyle w:val="ListParagraph"/>
        <w:numPr>
          <w:ilvl w:val="0"/>
          <w:numId w:val="2"/>
        </w:numPr>
        <w:spacing w:after="60" w:before="60"/>
      </w:pPr>
      <w:r>
        <w:rPr>
          <w:rFonts w:ascii="Arial" w:cs="Arial" w:eastAsia="Arial" w:hAnsi="Arial"/>
          <w:color w:val="222222"/>
          <w:sz w:val="22"/>
          <w:szCs w:val="22"/>
        </w:rPr>
        <w:t xml:space="preserve">Safeguards: Data minimisation; encrypted in transit and at rest; access restricted to the user and necessary service operations; health screening responses never sent to Groq</w:t>
      </w:r>
    </w:p>
    <w:p>
      <w:pPr>
        <w:pStyle w:val="ListParagraph"/>
        <w:numPr>
          <w:ilvl w:val="0"/>
          <w:numId w:val="2"/>
        </w:numPr>
        <w:spacing w:after="60" w:before="60"/>
      </w:pPr>
      <w:r>
        <w:rPr>
          <w:rFonts w:ascii="Arial" w:cs="Arial" w:eastAsia="Arial" w:hAnsi="Arial"/>
          <w:color w:val="222222"/>
          <w:sz w:val="22"/>
          <w:szCs w:val="22"/>
        </w:rPr>
        <w:t xml:space="preserve">User rights: Users may delete all health data at any time via Account Deletion</w:t>
      </w:r>
    </w:p>
    <w:p>
      <w:pPr>
        <w:spacing w:after="0" w:before="80"/>
      </w:pPr>
      <w:r>
        <w:t xml:space="preserve"/>
      </w:r>
    </w:p>
    <w:p>
      <w:pPr>
        <w:pStyle w:val="Heading2"/>
        <w:spacing w:after="140" w:before="300"/>
      </w:pPr>
      <w:r>
        <w:rPr>
          <w:rFonts w:ascii="Arial" w:cs="Arial" w:eastAsia="Arial" w:hAnsi="Arial"/>
          <w:b/>
          <w:bCs/>
          <w:color w:val="1B4F8A"/>
          <w:sz w:val="26"/>
          <w:szCs w:val="26"/>
        </w:rPr>
        <w:t xml:space="preserve">3.3 Data Subject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Right</w:t>
            </w:r>
          </w:p>
        </w:tc>
        <w:tc>
          <w:tcPr>
            <w:tcW w:type="dxa" w:w="22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How to Exercise</w:t>
            </w:r>
          </w:p>
        </w:tc>
        <w:tc>
          <w:tcPr>
            <w:tcW w:type="dxa" w:w="1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Response Time</w:t>
            </w:r>
          </w:p>
        </w:tc>
        <w:tc>
          <w:tcPr>
            <w:tcW w:type="dxa" w:w="33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Process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Access (Art. 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support@zylign.app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30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Identity verified; JSON/CSV export provided</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Rectification (Art. 16)</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In-app settings or email</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30 days</w:t>
            </w:r>
          </w:p>
        </w:tc>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Updated in database; confirmation sent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Erasure (Art. 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In-app Account Deletion or 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30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Account + data deleted; backup purge within 30 days</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Restriction (Art. 18)</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Email support@zylign.app</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30 days</w:t>
            </w:r>
          </w:p>
        </w:tc>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Processing flagged and restricted pending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Portability (Art. 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support@zylign.app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30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JSON or CSV format provided</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Object (Art. 21)</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Email support@zylign.app</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30 days</w:t>
            </w:r>
          </w:p>
        </w:tc>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Reviewed and responded to within 30 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Withdraw Consent (Art. 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Delete account or in-app settings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Immediate to 30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Consent flag removed; account deletion initiated if requested</w:t>
            </w:r>
          </w:p>
        </w:tc>
      </w:tr>
    </w:tbl>
    <w:p>
      <w:pPr>
        <w:spacing w:after="0" w:before="80"/>
      </w:pPr>
      <w:r>
        <w:t xml:space="preserve"/>
      </w:r>
    </w:p>
    <w:p>
      <w:pPr>
        <w:pStyle w:val="Heading2"/>
        <w:spacing w:after="140" w:before="300"/>
      </w:pPr>
      <w:r>
        <w:rPr>
          <w:rFonts w:ascii="Arial" w:cs="Arial" w:eastAsia="Arial" w:hAnsi="Arial"/>
          <w:b/>
          <w:bCs/>
          <w:color w:val="1B4F8A"/>
          <w:sz w:val="26"/>
          <w:szCs w:val="26"/>
        </w:rPr>
        <w:t xml:space="preserve">3.4 International Data Transfers</w:t>
      </w:r>
    </w:p>
    <w:p>
      <w:pPr>
        <w:spacing w:after="80" w:before="80"/>
      </w:pPr>
      <w:r>
        <w:rPr>
          <w:rFonts w:ascii="Arial" w:cs="Arial" w:eastAsia="Arial" w:hAnsi="Arial"/>
          <w:color w:val="222222"/>
          <w:sz w:val="22"/>
          <w:szCs w:val="22"/>
        </w:rPr>
        <w:t xml:space="preserve">Our backend is hosted in the United States on Render. Transfers from EEA/UK to the US are covered by Standard Contractual Clauses (SCCs) with relevant data processors. Processor DPAs are in place with Groq, RevenueCat, Firebase, and Render.</w:t>
      </w:r>
    </w:p>
    <w:p>
      <w:pPr>
        <w:spacing w:after="0" w:before="80"/>
      </w:pPr>
      <w:r>
        <w:t xml:space="preserve"/>
      </w:r>
    </w:p>
    <w:p>
      <w:pPr>
        <w:pStyle w:val="Heading2"/>
        <w:spacing w:after="140" w:before="300"/>
      </w:pPr>
      <w:r>
        <w:rPr>
          <w:rFonts w:ascii="Arial" w:cs="Arial" w:eastAsia="Arial" w:hAnsi="Arial"/>
          <w:b/>
          <w:bCs/>
          <w:color w:val="1B4F8A"/>
          <w:sz w:val="26"/>
          <w:szCs w:val="26"/>
        </w:rPr>
        <w:t xml:space="preserve">3.5 Data Protection Impact Assessment (DPIA)</w:t>
      </w:r>
    </w:p>
    <w:p>
      <w:pPr>
        <w:spacing w:after="80" w:before="80"/>
      </w:pPr>
      <w:r>
        <w:rPr>
          <w:rFonts w:ascii="Arial" w:cs="Arial" w:eastAsia="Arial" w:hAnsi="Arial"/>
          <w:color w:val="222222"/>
          <w:sz w:val="22"/>
          <w:szCs w:val="22"/>
        </w:rPr>
        <w:t xml:space="preserve">A formal DPIA must be conducted and documented for health data processing at scale. This is required under GDPR Article 35 for large-scale processing of special category data. A DPIA must be completed before user numbers reach 50,000, or earlier if required by a supervisory authority.</w:t>
      </w:r>
    </w:p>
    <w:p>
      <w:pPr>
        <w:spacing w:after="0" w:before="80"/>
      </w:pPr>
      <w:r>
        <w:t xml:space="preserve"/>
      </w:r>
    </w:p>
    <w:p>
      <w:pPr>
        <w:pStyle w:val="Heading2"/>
        <w:spacing w:after="140" w:before="300"/>
      </w:pPr>
      <w:r>
        <w:rPr>
          <w:rFonts w:ascii="Arial" w:cs="Arial" w:eastAsia="Arial" w:hAnsi="Arial"/>
          <w:b/>
          <w:bCs/>
          <w:color w:val="1B4F8A"/>
          <w:sz w:val="26"/>
          <w:szCs w:val="26"/>
        </w:rPr>
        <w:t xml:space="preserve">3.6 Data Breach Response (Arts. 33-34)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680"/>
        <w:gridCol w:w="4200"/>
      </w:tblGrid>
      <w:tr>
        <w:trPr>
          <w:tblHeader/>
        </w:trPr>
        <w:tc>
          <w:tcPr>
            <w:tcW w:type="dxa" w:w="4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Action</w:t>
            </w:r>
          </w:p>
        </w:tc>
        <w:tc>
          <w:tcPr>
            <w:tcW w:type="dxa" w:w="42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Deadline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Breach detected — escalate to designated privacy contact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Within 1 hour of detection</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Contain the breach — isolate affected systems</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Within 2 hours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Assess scope — users affected, data involved, risk level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Within 12 hours</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Notify supervisory authority if personal data breach (Art. 33 GDPR)</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Within 72 hours of detection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Notify affected users if high risk to individuals (Art. 34 GDPR)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Without undue delay</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6</w:t>
            </w:r>
          </w:p>
        </w:tc>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Document breach in internal breach register</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Within 72 hours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Post-incident review and remediation plan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Within 30 days</w:t>
            </w:r>
          </w:p>
        </w:tc>
      </w:tr>
    </w:tbl>
    <w:p>
      <w:pPr>
        <w:pStyle w:val="Heading1"/>
        <w:pBdr>
          <w:bottom w:val="single" w:color="1B4F8A" w:sz="8" w:space="4"/>
        </w:pBdr>
        <w:spacing w:after="200" w:before="440"/>
      </w:pPr>
      <w:r>
        <w:rPr>
          <w:rFonts w:ascii="Arial" w:cs="Arial" w:eastAsia="Arial" w:hAnsi="Arial"/>
          <w:b/>
          <w:bCs/>
          <w:color w:val="0D2B50"/>
          <w:sz w:val="34"/>
          <w:szCs w:val="34"/>
        </w:rPr>
        <w:t xml:space="preserve">4. CCPA / CPRA Compliance</w:t>
      </w:r>
    </w:p>
    <w:p>
      <w:pPr>
        <w:pStyle w:val="Heading2"/>
        <w:spacing w:after="140" w:before="300"/>
      </w:pPr>
      <w:r>
        <w:rPr>
          <w:rFonts w:ascii="Arial" w:cs="Arial" w:eastAsia="Arial" w:hAnsi="Arial"/>
          <w:b/>
          <w:bCs/>
          <w:color w:val="1B4F8A"/>
          <w:sz w:val="26"/>
          <w:szCs w:val="26"/>
        </w:rPr>
        <w:t xml:space="preserve">4.1 Categories of Personal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CCPA Category</w:t>
            </w:r>
          </w:p>
        </w:tc>
        <w:tc>
          <w:tcPr>
            <w:tcW w:type="dxa" w:w="14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Collected</w:t>
            </w:r>
          </w:p>
        </w:tc>
        <w:tc>
          <w:tcPr>
            <w:tcW w:type="dxa" w:w="51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Examples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Identifiers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user ID</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B. Personal information (Cal. Civ. Code §1798.80)</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5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Name, account info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 Protected classification characteristics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Limited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 biological sex (for fitness calculations)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 Commercial information</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Limited</w:t>
            </w:r>
          </w:p>
        </w:tc>
        <w:tc>
          <w:tcPr>
            <w:tcW w:type="dxa" w:w="5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Subscription status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 Biometric information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 Internet/electronic activity</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5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App usage, feature interactions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 Geolocation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H. Audio, visual</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5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 Inferences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Fitness goals, dietary preferences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L. Sensitive personal information</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5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Health/fitness data, health screening responses</w:t>
            </w:r>
          </w:p>
        </w:tc>
      </w:tr>
    </w:tbl>
    <w:p>
      <w:pPr>
        <w:spacing w:after="0" w:before="80"/>
      </w:pPr>
      <w:r>
        <w:t xml:space="preserve"/>
      </w:r>
    </w:p>
    <w:p>
      <w:pPr>
        <w:spacing w:after="80" w:before="80"/>
      </w:pPr>
      <w:r>
        <w:rPr>
          <w:rFonts w:ascii="Arial" w:cs="Arial" w:eastAsia="Arial" w:hAnsi="Arial"/>
          <w:color w:val="222222"/>
          <w:sz w:val="22"/>
          <w:szCs w:val="22"/>
        </w:rPr>
        <w:t xml:space="preserve">We do NOT sell personal information as defined by CCPA §1798.140(t). We do NOT share personal information for cross-context behavioural advertising. Service providers (Groq, RevenueCat, Firebase) are restricted by service provider agreements and may only use data to provide services to us.</w:t>
      </w:r>
    </w:p>
    <w:p>
      <w:pPr>
        <w:pStyle w:val="Heading1"/>
        <w:pBdr>
          <w:bottom w:val="single" w:color="1B4F8A" w:sz="8" w:space="4"/>
        </w:pBdr>
        <w:spacing w:after="200" w:before="440"/>
      </w:pPr>
      <w:r>
        <w:rPr>
          <w:rFonts w:ascii="Arial" w:cs="Arial" w:eastAsia="Arial" w:hAnsi="Arial"/>
          <w:b/>
          <w:bCs/>
          <w:color w:val="0D2B50"/>
          <w:sz w:val="34"/>
          <w:szCs w:val="34"/>
        </w:rPr>
        <w:t xml:space="preserve">5. India — Consumer Protection Act 2019 &amp; E-Commerce Rules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Requirement</w:t>
            </w:r>
          </w:p>
        </w:tc>
        <w:tc>
          <w:tcPr>
            <w:tcW w:type="dxa" w:w="57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Our Implementation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Grievance Officer appointment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Grievance Officer designated — contact: support@zylign.app</w:t>
            </w:r>
          </w:p>
        </w:tc>
      </w:tr>
      <w:tr>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Acknowledgement of grievances within 48 hours</w:t>
            </w:r>
          </w:p>
        </w:tc>
        <w:tc>
          <w:tcPr>
            <w:tcW w:type="dxa" w:w="5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Support SLA: acknowledge within 48 hours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Resolution of grievances within 30 days where possible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Internal resolution target: 30 days</w:t>
            </w:r>
          </w:p>
        </w:tc>
      </w:tr>
      <w:tr>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Display of legal entity name and registered address</w:t>
            </w:r>
          </w:p>
        </w:tc>
        <w:tc>
          <w:tcPr>
            <w:tcW w:type="dxa" w:w="5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Displayed in App settings and ToS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Grievance register maintenance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Maintained internally; reviewed monthly</w:t>
            </w:r>
          </w:p>
        </w:tc>
      </w:tr>
      <w:tr>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E-commerce product/service information accuracy</w:t>
            </w:r>
          </w:p>
        </w:tc>
        <w:tc>
          <w:tcPr>
            <w:tcW w:type="dxa" w:w="5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App Store listing and in-app descriptions reviewed quarterly</w:t>
            </w:r>
          </w:p>
        </w:tc>
      </w:tr>
    </w:tbl>
    <w:p>
      <w:pPr>
        <w:pStyle w:val="Heading1"/>
        <w:pBdr>
          <w:bottom w:val="single" w:color="1B4F8A" w:sz="8" w:space="4"/>
        </w:pBdr>
        <w:spacing w:after="200" w:before="440"/>
      </w:pPr>
      <w:r>
        <w:rPr>
          <w:rFonts w:ascii="Arial" w:cs="Arial" w:eastAsia="Arial" w:hAnsi="Arial"/>
          <w:b/>
          <w:bCs/>
          <w:color w:val="0D2B50"/>
          <w:sz w:val="34"/>
          <w:szCs w:val="34"/>
        </w:rPr>
        <w:t xml:space="preserve">6. Data Retention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Data Category</w:t>
            </w:r>
          </w:p>
        </w:tc>
        <w:tc>
          <w:tcPr>
            <w:tcW w:type="dxa" w:w="2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Retention Period</w:t>
            </w:r>
          </w:p>
        </w:tc>
        <w:tc>
          <w:tcPr>
            <w:tcW w:type="dxa" w:w="35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Deletion Method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 account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Duration of account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Deleted within 30 days of deletion request</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Fitness and nutrition logs</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Duration of account</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Deleted with account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 screening responses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Duration of account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Deleted with account</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Onboarding consent records</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Account lifetime + 7 years</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Anonymised after 7 years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Deleted account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30-day window then permanently deleted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Secure deletion including rolling backups</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AI conversation context</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Session-based — not persistently stored</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Not retained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Error/crash logs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90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Automated deletion job</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Subscription/financial records</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7 years</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Secure deletion after retention period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Anonymised aggregate analytics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Indefinitely (no PII)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w:t>
            </w:r>
          </w:p>
        </w:tc>
      </w:tr>
    </w:tbl>
    <w:p>
      <w:pPr>
        <w:pStyle w:val="Heading1"/>
        <w:pBdr>
          <w:bottom w:val="single" w:color="1B4F8A" w:sz="8" w:space="4"/>
        </w:pBdr>
        <w:spacing w:after="200" w:before="440"/>
      </w:pPr>
      <w:r>
        <w:rPr>
          <w:rFonts w:ascii="Arial" w:cs="Arial" w:eastAsia="Arial" w:hAnsi="Arial"/>
          <w:b/>
          <w:bCs/>
          <w:color w:val="0D2B50"/>
          <w:sz w:val="34"/>
          <w:szCs w:val="34"/>
        </w:rPr>
        <w:t xml:space="preserve">7. Data Security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Measure</w:t>
            </w:r>
          </w:p>
        </w:tc>
        <w:tc>
          <w:tcPr>
            <w:tcW w:type="dxa" w:w="63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Encryption in transit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HTTPS / TLS 1.2+ on all API endpoints</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Password storage</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bcrypt with salt factor ≥ 12 — never plaintext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 tokens with expiry</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Input validation</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All API inputs validated; parameterised queries throughout backend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SQL injection prevention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Parameterised queries; no dynamic SQL construction from user input</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Rate limiting</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API rate limiting on all endpoints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Dependency security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Regular updates; CVEs addressed promptly</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Error handling</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No sensitive data exposed in error messages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Access control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Production data access restricted to authorised personnel only</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Penetration testing</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External pentest commissioned before 100K users and annually thereafter</w:t>
            </w:r>
          </w:p>
        </w:tc>
      </w:tr>
    </w:tbl>
    <w:p>
      <w:pPr>
        <w:pStyle w:val="Heading1"/>
        <w:pBdr>
          <w:bottom w:val="single" w:color="1B4F8A" w:sz="8" w:space="4"/>
        </w:pBdr>
        <w:spacing w:after="200" w:before="440"/>
      </w:pPr>
      <w:r>
        <w:rPr>
          <w:rFonts w:ascii="Arial" w:cs="Arial" w:eastAsia="Arial" w:hAnsi="Arial"/>
          <w:b/>
          <w:bCs/>
          <w:color w:val="0D2B50"/>
          <w:sz w:val="34"/>
          <w:szCs w:val="34"/>
        </w:rPr>
        <w:t xml:space="preserve">8. Third-Party Processor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900"/>
        <w:gridCol w:w="186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Processor</w:t>
            </w:r>
          </w:p>
        </w:tc>
        <w:tc>
          <w:tcPr>
            <w:tcW w:type="dxa" w:w="2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Data Shared</w:t>
            </w:r>
          </w:p>
        </w:tc>
        <w:tc>
          <w:tcPr>
            <w:tcW w:type="dxa" w:w="29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DPA Status</w:t>
            </w:r>
          </w:p>
        </w:tc>
        <w:tc>
          <w:tcPr>
            <w:tcW w:type="dxa" w:w="18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Data Location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Groq</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Filtered AI context only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DPA in place — groq.com/privacy-policy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USA</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RevenueCat</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User ID, purchase events</w:t>
            </w:r>
          </w:p>
        </w:tc>
        <w:tc>
          <w:tcPr>
            <w:tcW w:type="dxa" w:w="2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DPA in place — revenuecat.com/dpa</w:t>
            </w:r>
          </w:p>
        </w:tc>
        <w:tc>
          <w:tcPr>
            <w:tcW w:type="dxa" w:w="1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USA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Firebase/Google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Push tokens, auth tokens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DPA in place — Google standard DPA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USA/EU</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Apple</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In-app purchase events only</w:t>
            </w:r>
          </w:p>
        </w:tc>
        <w:tc>
          <w:tcPr>
            <w:tcW w:type="dxa" w:w="2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Via App Store ToS</w:t>
            </w:r>
          </w:p>
        </w:tc>
        <w:tc>
          <w:tcPr>
            <w:tcW w:type="dxa" w:w="1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USA/EU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Render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server-hosted data</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DPA in place — render.com/dpa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USA</w:t>
            </w:r>
          </w:p>
        </w:tc>
      </w:tr>
    </w:tbl>
    <w:p>
      <w:pPr>
        <w:pStyle w:val="Heading1"/>
        <w:pBdr>
          <w:bottom w:val="single" w:color="1B4F8A" w:sz="8" w:space="4"/>
        </w:pBdr>
        <w:spacing w:after="200" w:before="440"/>
      </w:pPr>
      <w:r>
        <w:rPr>
          <w:rFonts w:ascii="Arial" w:cs="Arial" w:eastAsia="Arial" w:hAnsi="Arial"/>
          <w:b/>
          <w:bCs/>
          <w:color w:val="0D2B50"/>
          <w:sz w:val="34"/>
          <w:szCs w:val="34"/>
        </w:rPr>
        <w:t xml:space="preserve">9. AI Content Governance</w:t>
      </w:r>
    </w:p>
    <w:p>
      <w:pPr>
        <w:pStyle w:val="Heading2"/>
        <w:spacing w:after="140" w:before="300"/>
      </w:pPr>
      <w:r>
        <w:rPr>
          <w:rFonts w:ascii="Arial" w:cs="Arial" w:eastAsia="Arial" w:hAnsi="Arial"/>
          <w:b/>
          <w:bCs/>
          <w:color w:val="1B4F8A"/>
          <w:sz w:val="26"/>
          <w:szCs w:val="26"/>
        </w:rPr>
        <w:t xml:space="preserve">9.1 Three-Layer Defense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Does</w:t>
            </w:r>
          </w:p>
        </w:tc>
        <w:tc>
          <w:tcPr>
            <w:tcW w:type="dxa" w:w="41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Implementation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Layer 1 — Input Filter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Scans user messages before sending to Groq</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Keyword detection; triggers interception for medical, eating disorder, self-harm, crisis content</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Layer 2 — System Prompt</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Governs AI behaviour and response scope</w:t>
            </w:r>
          </w:p>
        </w:tc>
        <w:tc>
          <w:tcPr>
            <w:tcW w:type="dxa" w:w="4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Versioned document; change-controlled; tested against adversarial prompts before each release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Layer 3 — Output Filter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Scans Groq responses before displaying to user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Pattern matching; flagged responses withheld and replaced; logged for human review</w:t>
            </w:r>
          </w:p>
        </w:tc>
      </w:tr>
    </w:tbl>
    <w:p>
      <w:pPr>
        <w:spacing w:after="0" w:before="80"/>
      </w:pPr>
      <w:r>
        <w:t xml:space="preserve"/>
      </w:r>
    </w:p>
    <w:p>
      <w:pPr>
        <w:pStyle w:val="Heading2"/>
        <w:spacing w:after="140" w:before="300"/>
      </w:pPr>
      <w:r>
        <w:rPr>
          <w:rFonts w:ascii="Arial" w:cs="Arial" w:eastAsia="Arial" w:hAnsi="Arial"/>
          <w:b/>
          <w:bCs/>
          <w:color w:val="1B4F8A"/>
          <w:sz w:val="26"/>
          <w:szCs w:val="26"/>
        </w:rPr>
        <w:t xml:space="preserve">9.2 AI Audit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Scale Milestone</w:t>
            </w:r>
          </w:p>
        </w:tc>
        <w:tc>
          <w:tcPr>
            <w:tcW w:type="dxa" w:w="65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Audit 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 — 10,000 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Manual review: 20 AI conversations per week by founder/team member</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10,000 — 100,000 users</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50 conversations per week; dedicated reviewer; monthly report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100,000 — 500,000 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Systematic sampling tool; weekly flagged output review; quarterly external audit</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500,000+ users</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Full-time content safety role; automated anomaly detection; third-party audits quarterly</w:t>
            </w:r>
          </w:p>
        </w:tc>
      </w:tr>
    </w:tbl>
    <w:p>
      <w:pPr>
        <w:pStyle w:val="Heading1"/>
        <w:pBdr>
          <w:bottom w:val="single" w:color="1B4F8A" w:sz="8" w:space="4"/>
        </w:pBdr>
        <w:spacing w:after="200" w:before="440"/>
      </w:pPr>
      <w:r>
        <w:rPr>
          <w:rFonts w:ascii="Arial" w:cs="Arial" w:eastAsia="Arial" w:hAnsi="Arial"/>
          <w:b/>
          <w:bCs/>
          <w:color w:val="0D2B50"/>
          <w:sz w:val="34"/>
          <w:szCs w:val="34"/>
        </w:rPr>
        <w:t xml:space="preserve">10. Regulatory Classification</w:t>
      </w:r>
    </w:p>
    <w:p>
      <w:pPr>
        <w:spacing w:after="80" w:before="80"/>
      </w:pPr>
      <w:r>
        <w:rPr>
          <w:rFonts w:ascii="Arial" w:cs="Arial" w:eastAsia="Arial" w:hAnsi="Arial"/>
          <w:color w:val="222222"/>
          <w:sz w:val="22"/>
          <w:szCs w:val="22"/>
        </w:rPr>
        <w:t xml:space="preserve">Zylign Coach AI is a general wellness application and is NOT classified as a medical device under:</w:t>
      </w:r>
    </w:p>
    <w:p>
      <w:pPr>
        <w:pStyle w:val="ListParagraph"/>
        <w:numPr>
          <w:ilvl w:val="0"/>
          <w:numId w:val="2"/>
        </w:numPr>
        <w:spacing w:after="60" w:before="60"/>
      </w:pPr>
      <w:r>
        <w:rPr>
          <w:rFonts w:ascii="Arial" w:cs="Arial" w:eastAsia="Arial" w:hAnsi="Arial"/>
          <w:color w:val="222222"/>
          <w:sz w:val="22"/>
          <w:szCs w:val="22"/>
        </w:rPr>
        <w:t xml:space="preserve">FDA Class I, II, or III (United States) — we do not diagnose, treat, cure, or prevent any medical condition</w:t>
      </w:r>
    </w:p>
    <w:p>
      <w:pPr>
        <w:pStyle w:val="ListParagraph"/>
        <w:numPr>
          <w:ilvl w:val="0"/>
          <w:numId w:val="2"/>
        </w:numPr>
        <w:spacing w:after="60" w:before="60"/>
      </w:pPr>
      <w:r>
        <w:rPr>
          <w:rFonts w:ascii="Arial" w:cs="Arial" w:eastAsia="Arial" w:hAnsi="Arial"/>
          <w:color w:val="222222"/>
          <w:sz w:val="22"/>
          <w:szCs w:val="22"/>
        </w:rPr>
        <w:t xml:space="preserve">EU MDR (Medical Device Regulation 2017/745) — not a medical device</w:t>
      </w:r>
    </w:p>
    <w:p>
      <w:pPr>
        <w:pStyle w:val="ListParagraph"/>
        <w:numPr>
          <w:ilvl w:val="0"/>
          <w:numId w:val="2"/>
        </w:numPr>
        <w:spacing w:after="60" w:before="60"/>
      </w:pPr>
      <w:r>
        <w:rPr>
          <w:rFonts w:ascii="Arial" w:cs="Arial" w:eastAsia="Arial" w:hAnsi="Arial"/>
          <w:color w:val="222222"/>
          <w:sz w:val="22"/>
          <w:szCs w:val="22"/>
        </w:rPr>
        <w:t xml:space="preserve">UK MHRA medical device classification — not a medical device</w:t>
      </w:r>
    </w:p>
    <w:p>
      <w:pPr>
        <w:spacing w:after="0" w:before="80"/>
      </w:pPr>
      <w:r>
        <w:t xml:space="preserve"/>
      </w:r>
    </w:p>
    <w:p>
      <w:pPr>
        <w:spacing w:after="80" w:before="80"/>
      </w:pPr>
      <w:r>
        <w:rPr>
          <w:rFonts w:ascii="Arial" w:cs="Arial" w:eastAsia="Arial" w:hAnsi="Arial"/>
          <w:color w:val="222222"/>
          <w:sz w:val="22"/>
          <w:szCs w:val="22"/>
        </w:rPr>
        <w:t xml:space="preserve">This classification must be reviewed annually and upon any material change to app features, particularly if AI features evolve toward diagnostic or clinical functions. Consult legal counsel if AI features are expanded.</w:t>
      </w:r>
    </w:p>
    <w:p>
      <w:pPr>
        <w:pStyle w:val="Heading1"/>
        <w:pBdr>
          <w:bottom w:val="single" w:color="1B4F8A" w:sz="8" w:space="4"/>
        </w:pBdr>
        <w:spacing w:after="200" w:before="440"/>
      </w:pPr>
      <w:r>
        <w:rPr>
          <w:rFonts w:ascii="Arial" w:cs="Arial" w:eastAsia="Arial" w:hAnsi="Arial"/>
          <w:b/>
          <w:bCs/>
          <w:color w:val="0D2B50"/>
          <w:sz w:val="34"/>
          <w:szCs w:val="34"/>
        </w:rPr>
        <w:t xml:space="preserve">11.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Document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 &amp; Compliance Policy — Zylign Coach AI</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Version</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Effective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April 27, 2026</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Next Scheduled Review</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July 27, 2026 (quarterly)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Document 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Founders / Designated Privacy Contact</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Confidential — Internal &amp; Regulatory 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Review Triggers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New regulation; material product change; data breach; scale milestone; regulatory inquiry</w:t>
            </w:r>
          </w:p>
        </w:tc>
      </w:tr>
    </w:tbl>
    <w:p>
      <w:pPr>
        <w:spacing w:after="0" w:before="200"/>
      </w:pPr>
      <w:r>
        <w:t xml:space="preserve"/>
      </w:r>
    </w:p>
    <w:p>
      <w:pPr>
        <w:pBdr>
          <w:top w:val="single" w:color="1B4F8A" w:sz="4" w:space="4"/>
        </w:pBdr>
        <w:spacing w:after="80" w:before="200"/>
        <w:jc w:val="center"/>
      </w:pPr>
      <w:r>
        <w:rPr>
          <w:rFonts w:ascii="Arial" w:cs="Arial" w:eastAsia="Arial" w:hAnsi="Arial"/>
          <w:i/>
          <w:iCs/>
          <w:color w:val="595959"/>
          <w:sz w:val="18"/>
          <w:szCs w:val="18"/>
        </w:rPr>
        <w:t xml:space="preserve">Zylign Coach AI — Data &amp; Compliance Policy — Version 2.0 — April 27,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tabs>
        <w:tab w:val="right" w:pos="9360"/>
      </w:tabs>
      <w:spacing w:before="100"/>
    </w:pPr>
    <w:r>
      <w:rPr>
        <w:rFonts w:ascii="Arial" w:cs="Arial" w:eastAsia="Arial" w:hAnsi="Arial"/>
        <w:color w:val="595959"/>
        <w:sz w:val="18"/>
        <w:szCs w:val="18"/>
      </w:rPr>
      <w:t xml:space="preserve">support@zylign.app  |  Effective: April 27, 2026</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spacing w:after="100" w:before="0"/>
    </w:pPr>
    <w:r>
      <w:rPr>
        <w:rFonts w:ascii="Arial" w:cs="Arial" w:eastAsia="Arial" w:hAnsi="Arial"/>
        <w:b/>
        <w:bCs/>
        <w:color w:val="1B4F8A"/>
        <w:sz w:val="18"/>
        <w:szCs w:val="18"/>
      </w:rPr>
      <w:t xml:space="preserve">Zylign Coach AI  |  </w:t>
    </w:r>
    <w:r>
      <w:rPr>
        <w:rFonts w:ascii="Arial" w:cs="Arial" w:eastAsia="Arial" w:hAnsi="Arial"/>
        <w:color w:val="595959"/>
        <w:sz w:val="18"/>
        <w:szCs w:val="18"/>
      </w:rPr>
      <w:t xml:space="preserve">Data &amp; Compliance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sz w:val="34"/>
      <w:szCs w:val="34"/>
    </w:rPr>
  </w:style>
  <w:style w:type="paragraph" w:styleId="Heading2">
    <w:name w:val="Heading 2"/>
    <w:basedOn w:val="Normal"/>
    <w:next w:val="Normal"/>
    <w:qFormat/>
    <w:pPr>
      <w:spacing w:after="140" w:before="300"/>
      <w:outlineLvl w:val="1"/>
    </w:pPr>
    <w:rPr>
      <w:rFonts w:ascii="Arial" w:cs="Arial" w:eastAsia="Arial" w:hAnsi="Arial"/>
      <w:b/>
      <w:bCs/>
      <w:sz w:val="26"/>
      <w:szCs w:val="26"/>
    </w:rPr>
  </w:style>
  <w:style w:type="paragraph" w:styleId="Heading3">
    <w:name w:val="Heading 3"/>
    <w:basedOn w:val="Normal"/>
    <w:next w:val="Normal"/>
    <w:qFormat/>
    <w:pPr>
      <w:spacing w:after="100" w:before="2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2026-05-16T18:23:20.138Z</dcterms:created>
  <dcterms:modified xsi:type="dcterms:W3CDTF">2026-05-16T18:23:20.139Z</dcterms:modified>
</cp:coreProperties>
</file>

<file path=docProps/custom.xml><?xml version="1.0" encoding="utf-8"?>
<Properties xmlns="http://schemas.openxmlformats.org/officeDocument/2006/custom-properties" xmlns:vt="http://schemas.openxmlformats.org/officeDocument/2006/docPropsVTypes"/>
</file>