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2B50"/>
          <w:sz w:val="60"/>
          <w:szCs w:val="60"/>
        </w:rPr>
        <w:t xml:space="preserve">ZYLIGN COACH AI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4F8A"/>
          <w:sz w:val="38"/>
          <w:szCs w:val="38"/>
        </w:rPr>
        <w:t xml:space="preserve">Legal Risk Mitigation &amp;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8A"/>
          <w:sz w:val="38"/>
          <w:szCs w:val="38"/>
        </w:rPr>
        <w:t xml:space="preserve">Compliance Master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Effective Date: April 27, 2026  |  Version 2.0  |  CONFIDENTIAL — INTERNAL</w:t>
      </w:r>
    </w:p>
    <w:p>
      <w:pPr>
        <w:pBdr>
          <w:bottom w:val="single" w:color="1B4F8A" w:sz="6" w:space="4"/>
        </w:pBdr>
        <w:spacing w:after="200" w:before="80"/>
        <w:jc w:val="center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12"/>
              <w:bottom w:val="single" w:color="CCCCCC" w:sz="1"/>
              <w:right w:val="single" w:color="CCCCCC" w:sz="1"/>
            </w:tcBorders>
            <w:shd w:fill="FFF0F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CONFIDENTIAL — INTERNAL USE ONLY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This document contains legally sensitive operational guidance for founders and operations team.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Do not distribute externally without legal review. Review quarterly or upon any material change.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0D2B50"/>
          <w:sz w:val="34"/>
          <w:szCs w:val="34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the central legal risk playbook for Zylign Coach AI. It addresses identified vulnerabilities in the product, legal structure, and compliance posture at every stage of growth — from launch through 1 million users and beyond.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Domain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Exposure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Health &amp; Injury Claims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— AI generates health advice users may act 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Privacy (GDPR/CCPA/India)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 — Strong policy; gaps in implementation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Content Liability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— Requires three-layer filtering system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Children's Data (COPPA)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 — Technical age gate now required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Subscription / Billing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 — Apple handles payments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 &amp; App Store Compliance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 — ToS covers basics; trademark needed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Operational / Scale Risk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 — Incident response plan required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Corporate Structure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if unincorporated — personal liability exposure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CRITICAL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0D2B50"/>
          <w:sz w:val="34"/>
          <w:szCs w:val="34"/>
        </w:rPr>
        <w:t xml:space="preserve">Section 1: Health &amp; Personal Injury Liability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1.1 Risk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 at Scale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Exposure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workout causes musculoskeletal injury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— statistically inevitable at 1M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Personal injury lawsuit; potential class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Calorie restriction advice worsens eating disorder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Serious harm claim; regulatory attention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fails to flag cardiac risk; user suffers cardiac 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 probability; extreme severity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Wrongful injury or death claim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Diabetic user follows macro advice; blood sugar destabilised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Medical harm claim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Nutrition inaccuracy causes deficiency in pregnant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Personal injury; potential class action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1.2 Mitigations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Clickwrap agreement at onboarding with server-side logging — see Operational Playbook Part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Mandatory health screening questionnaire with feature gates — see Operational Playbook Part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three-layer guardrail system — see Operational Playbook Part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Eating disorder and mental health clause added to Terms of Service Section 3.2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Explicit AI consent before first AI coaching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Product liability and professional indemnity insurance — see Section 4</w:t>
      </w:r>
    </w:p>
    <w:p>
      <w:pPr>
        <w:pStyle w:val="Heading1"/>
        <w:pBdr>
          <w:bottom w:val="single" w:color="1B4F8A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0D2B50"/>
          <w:sz w:val="34"/>
          <w:szCs w:val="34"/>
        </w:rPr>
        <w:t xml:space="preserve">Section 2: Data Privacy &amp; Regulatory Compliance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2.1 GDPR Implementation Gaps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Explicit consent for health data (Art. 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NOW IMPLEMENTED — mandatory checkbox at onboarding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Subject Request handling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Email-based — adequate early stage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 DSR system by 50K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72-hour breach notification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Process documented — see Operational Playbook Part 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DPIA for health data 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yet completed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before 50K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Records of Processing Activities (RoPA)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Partially documented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formal RoPA — live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Signed DPAs with all processors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Referenced — verification 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Confirm signed DPAs with Groq, RevenueCat, Firebase, Render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International transfer mechanisms (SCCs)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Stated in policy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Confirm SCCs in place; document evidence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 gate (under-13/under-16 block)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NOW IMPLEMENTED — DOB entry at registration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2.2 India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Consumer Protection Act 2019 — Grievance Officer appointed; details in ToS and app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E-Commerce Rules 2020 — Grievance Officer details displayed; 48-hour acknowledgement SLA; grievance register maintained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Legal entity: incorporate as Private Limited Company if not already done</w:t>
      </w:r>
    </w:p>
    <w:p>
      <w:pPr>
        <w:pStyle w:val="Heading1"/>
        <w:pBdr>
          <w:bottom w:val="single" w:color="1B4F8A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0D2B50"/>
          <w:sz w:val="34"/>
          <w:szCs w:val="34"/>
        </w:rPr>
        <w:t xml:space="preserve">Section 3: AI-Generated Content Risk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3.1 Defense Architecture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Three independent layers are required. Full specification in Operational Playbook Part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Input Filter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Scan user messages; intercept crisis/medical/eating disorder triggers before Groq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 immediately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System Prompt Governance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Rules governing AI behaviour; versioned; change-controlled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Draft in Operational Playbook Part 2 — deploy immediately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Output Filter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Scan AI responses; withhold dangerous outputs; append disclaimers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 immediately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3.2 Groq Sub-Processor Obligations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Confirm signed DPA with Groq covering health data as special category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Confirm Groq's data retention — verify conversation context not retained beyond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Review Groq security certifications (SOC 2, ISO 27001); retain copies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Include Groq in RoPA as sub-processor</w:t>
      </w:r>
    </w:p>
    <w:p>
      <w:pPr>
        <w:pStyle w:val="Heading1"/>
        <w:pBdr>
          <w:bottom w:val="single" w:color="1B4F8A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0D2B50"/>
          <w:sz w:val="34"/>
          <w:szCs w:val="34"/>
        </w:rPr>
        <w:t xml:space="preserve">Section 4: Legal Structure &amp; Insurance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4.1 Corporate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Structure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India (primary)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Private Limited Company under Companies Act 2013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URGENT if not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EU (significant EU user base)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Appoint EU GDPR representative (Art. 27 GDPR)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Required if no EU establishment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 (significant US user base)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Consider Delaware LLC; consult US counsel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 funding round or 100K US users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4.2 Insurance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Needed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Annual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 Liability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Injury claims from app 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Before public launch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USD 500-2,000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Professional Indemnity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Claims your service caused harm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Before public launch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USD 500-2,000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Cyber Liability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breaches, GDPR fines, notification costs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Before handling significant user data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USD 1,000-3,000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D&amp;O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Personal liability of founders/directors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 funding round or significant scale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USD 2,000-5,000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General Commercial Liability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Broad general business claims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 incorporation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USD 500-1,500</w:t>
            </w:r>
          </w:p>
        </w:tc>
      </w:tr>
    </w:tbl>
    <w:p>
      <w:pPr>
        <w:pStyle w:val="Heading1"/>
        <w:pBdr>
          <w:bottom w:val="single" w:color="1B4F8A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0D2B50"/>
          <w:sz w:val="34"/>
          <w:szCs w:val="34"/>
        </w:rPr>
        <w:t xml:space="preserve">Section 5: Intellectual Property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Trademark 'Zylign' name and logo in India, US, and EU — file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development work must be under contracts with IP assignment clauses — IP must vest in the company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Verify food database data is properly licensed — no scraped or unlicensed nutritional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Verify all icons, fonts, and UI libraries are under commercial-use-compatible licenses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Review App Store Privacy Nutrition Labels — must accurately reflect current data collection</w:t>
      </w:r>
    </w:p>
    <w:p>
      <w:pPr>
        <w:pStyle w:val="Heading1"/>
        <w:pBdr>
          <w:bottom w:val="single" w:color="1B4F8A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0D2B50"/>
          <w:sz w:val="34"/>
          <w:szCs w:val="34"/>
        </w:rPr>
        <w:t xml:space="preserve">Section 6: Implementation Roadmap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6.1 Immediate Actions (Within 30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2200"/>
        <w:gridCol w:w="24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Deploy clickwrap onboarding with server-side consent logging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Deploy health screening questionnaire with feature gates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Engineering + Product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Deploy Groq system prompt — see Operational Playbook Part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 input and output AI filtering layers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Deploy DOB age gate — block under-13 / under-16 EEA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Obtain product liability and cyber liability insurance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Founders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signed DPAs with Groq, RevenueCat, Firebase, Render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Founders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Grievance Officer details to app and ToS (India E-Commerce Rules)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explicit GDPR Art. 9 health data consent at registration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Incorporate as Private Limited Company if not already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Founders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 4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6.2 Short-Term Actions (30-90 Days)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80"/>
        <w:gridCol w:w="28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Commission legal review of ToS and Privacy Policy by qualified tech/privacy lawyer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Founders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Conduct and document GDPR DPIA for health data processing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Privacy Contact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formal Records of Processing Activities (RoPA) document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Privacy Contact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full incident response plan — simulate breach and run 72-hour process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Engineering + Founders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 automated account deletion within 30 days of request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 automated 90-day deletion of crash/error logs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File trademark application for 'Zylign' in India and 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Founders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Review and update App Store Privacy Nutrition Labels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19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EU 14-day cooling-off waiver at purchase for EU/UK users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Establish support ticketing system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Operations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6.3 Scale-Triggered Actions (90 Days — 1 Year)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480"/>
        <w:gridCol w:w="34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Milestone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21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Appoint designated privacy contact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50K users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22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 DSR management system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50K users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23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External penetration test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Before 100K users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24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Commercial content moderation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100K users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Scale insurance to USD 5M per occurrence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100K users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26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Legal counsel on monthly retainer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100K users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27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Begin DPO appointment process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250K users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28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Pre-approve crisis communication templates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250K users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29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SOC 2 Type II compliance process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500K users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Dedicated Trust &amp; Safety team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1M users</w:t>
            </w:r>
          </w:p>
        </w:tc>
      </w:tr>
    </w:tbl>
    <w:p>
      <w:pPr>
        <w:pStyle w:val="Heading1"/>
        <w:pBdr>
          <w:bottom w:val="single" w:color="1B4F8A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0D2B50"/>
          <w:sz w:val="34"/>
          <w:szCs w:val="34"/>
        </w:rPr>
        <w:t xml:space="preserve">Section 7: Document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Terms of Service (v2.0)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User-facing legal agreement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Privacy Policy (v2.0)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User-facing data processing notice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&amp; Compliance Policy (v2.0)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Internal/regulatory compliance reference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Internal team; regulators; App Store reviewers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Operational Playbook (v1.0)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Internal operational procedures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Internal team only — confidential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This Document — Risk Mitigation Master (v2.0)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Central risk governance reference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Founders; legal counsel — confidential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five documents form the complete Zylign Coach AI compliance framework. They must be updated together upon any material change. Review all documents quarterly.</w:t>
      </w:r>
    </w:p>
    <w:p>
      <w:pPr>
        <w:spacing w:after="0" w:before="200"/>
      </w:pPr>
      <w:r>
        <w:t xml:space="preserve"/>
      </w:r>
    </w:p>
    <w:p>
      <w:pPr>
        <w:pBdr>
          <w:top w:val="single" w:color="1B4F8A" w:sz="4" w:space="4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Zylign Coach AI — Legal Risk Mitigation Master Document — Version 2.0 — April 27, 2026 —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 w:space="4"/>
      </w:pBdr>
      <w:tabs>
        <w:tab w:val="right" w:pos="9360"/>
      </w:tabs>
      <w:spacing w:before="100"/>
    </w:pPr>
    <w:r>
      <w:rPr>
        <w:rFonts w:ascii="Arial" w:cs="Arial" w:eastAsia="Arial" w:hAnsi="Arial"/>
        <w:color w:val="595959"/>
        <w:sz w:val="18"/>
        <w:szCs w:val="18"/>
      </w:rPr>
      <w:t xml:space="preserve">support@zylign.app  |  Effective: April 27, 2026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4"/>
      </w:pBdr>
      <w:spacing w:after="100" w:before="0"/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Zylign Coach AI  |  </w:t>
    </w:r>
    <w:r>
      <w:rPr>
        <w:rFonts w:ascii="Arial" w:cs="Arial" w:eastAsia="Arial" w:hAnsi="Arial"/>
        <w:color w:val="595959"/>
        <w:sz w:val="18"/>
        <w:szCs w:val="18"/>
      </w:rPr>
      <w:t xml:space="preserve">Legal Risk Mitigation Master Document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2026-05-16T18:26:29.843Z</dcterms:created>
  <dcterms:modified xsi:type="dcterms:W3CDTF">2026-05-16T18:26:29.843Z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