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D2B52"/>
          <w:sz w:val="34"/>
          <w:szCs w:val="34"/>
        </w:rPr>
        <w:t xml:space="preserve">Value Proposition &amp; Business Model</w:t>
      </w:r>
    </w:p>
    <w:p>
      <w:pPr>
        <w:spacing w:after="40"/>
        <w:jc w:val="center"/>
      </w:pPr>
      <w:r>
        <w:rPr>
          <w:i/>
          <w:iCs/>
          <w:color w:val="555555"/>
          <w:sz w:val="20"/>
          <w:szCs w:val="20"/>
        </w:rPr>
        <w:t xml:space="preserve">Cooperative Gig Services Platform for Household &amp; Community Services</w:t>
      </w:r>
    </w:p>
    <w:p>
      <w:pPr>
        <w:pBdr>
          <w:bottom w:val="single" w:color="CCCCCC" w:sz="6" w:space="8"/>
        </w:pBdr>
        <w:spacing w:after="300"/>
        <w:jc w:val="center"/>
      </w:pPr>
      <w:r>
        <w:rPr>
          <w:color w:val="555555"/>
          <w:sz w:val="18"/>
          <w:szCs w:val="18"/>
        </w:rPr>
        <w:t xml:space="preserve">SIH 2026 | Problem Statement SIH26089</w:t>
      </w:r>
    </w:p>
    <w:p>
      <w:pPr>
        <w:pStyle w:val="Heading1"/>
        <w:spacing w:after="150" w:before="300"/>
      </w:pPr>
      <w:r>
        <w:t xml:space="preserve">1. Value Proposition</w:t>
      </w:r>
    </w:p>
    <w:p>
      <w:pPr>
        <w:spacing w:after="120"/>
      </w:pPr>
      <w:r>
        <w:rPr>
          <w:color w:val="555555"/>
          <w:sz w:val="21"/>
          <w:szCs w:val="21"/>
        </w:rPr>
        <w:t xml:space="preserve">What makes this platform worth choosing over a private gig-economy app like Urban Company, or simply calling a local worker directly.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For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Verified, trained workers sourced from established cooperative societies, not anonymous gig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Fair, transparent pricing with no inflated commission passed on to the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Emergency and on-demand booking for urgent household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Accountability backed by a cooperative federation, not just an app rating system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For Workers (Cooperative Members)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A significantly lower commission cut than private platforms (proposed ~8–10% vs. the private-platform industry norm of ~20–30%)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Fair, non-rating-driven work allocation, so work does not concentrate only on a few “top-rated”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Welfare and insurance integration, which most gig platforms do not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A cooperative structure that reinvests surplus in members rather than distributing it to private shareholders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For the Cooperative Federation / Society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A structured digital presence for members who previously relied only on informal, word-of-mouth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Data visibility, via AI-based demand forecasting, to plan workforce deployment across zones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Strengthens the cooperative movement itself, directly aligned with the Ministry of Cooperation's mandate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One-line Value Proposition</w:t>
      </w:r>
    </w:p>
    <w:p>
      <w:pPr>
        <w:pBdr>
          <w:left w:val="single" w:color="2E7D6B" w:sz="18" w:space="10"/>
        </w:pBdr>
        <w:spacing w:after="200"/>
        <w:ind w:left="431"/>
      </w:pPr>
      <w:r>
        <w:rPr>
          <w:i/>
          <w:iCs/>
          <w:color w:val="0D2B52"/>
          <w:sz w:val="22"/>
          <w:szCs w:val="22"/>
        </w:rPr>
        <w:t xml:space="preserve">“Verified, fairly-paid cooperative workers, matched to households through a platform that shares value with its members instead of extracting it from them.”</w:t>
      </w:r>
    </w:p>
    <w:p>
      <w:pPr>
        <w:pStyle w:val="Heading1"/>
        <w:spacing w:after="150" w:before="300"/>
      </w:pPr>
      <w:r>
        <w:t xml:space="preserve">2. Business Model</w:t>
      </w:r>
    </w:p>
    <w:p>
      <w:pPr>
        <w:spacing w:after="120"/>
      </w:pPr>
      <w:r>
        <w:rPr>
          <w:color w:val="555555"/>
          <w:sz w:val="21"/>
          <w:szCs w:val="21"/>
        </w:rPr>
        <w:t xml:space="preserve">How the platform sustains itself financially while remaining true to its cooperative, non-extractive design.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Revenue Streams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B52"/>
          <w:sz w:val="21"/>
          <w:szCs w:val="21"/>
        </w:rPr>
        <w:t xml:space="preserve">Low commission fee </w:t>
      </w:r>
      <w:r>
        <w:rPr>
          <w:color w:val="555555"/>
          <w:sz w:val="21"/>
          <w:szCs w:val="21"/>
        </w:rPr>
        <w:t xml:space="preserve">on each completed booking (e.g., 8–10%, versus the 20–30% industry norm), charged to the worker or split between customer and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B52"/>
          <w:sz w:val="21"/>
          <w:szCs w:val="21"/>
        </w:rPr>
        <w:t xml:space="preserve">Cooperative society membership/subscription fee </w:t>
      </w:r>
      <w:r>
        <w:rPr>
          <w:color w:val="555555"/>
          <w:sz w:val="21"/>
          <w:szCs w:val="21"/>
        </w:rPr>
        <w:t xml:space="preserve">for federations to list their member workers on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B52"/>
          <w:sz w:val="21"/>
          <w:szCs w:val="21"/>
        </w:rPr>
        <w:t xml:space="preserve">Premium customer subscription (optional) </w:t>
      </w:r>
      <w:r>
        <w:rPr>
          <w:color w:val="555555"/>
          <w:sz w:val="21"/>
          <w:szCs w:val="21"/>
        </w:rPr>
        <w:t xml:space="preserve">offering priority booking and discounted rates for frequent household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B52"/>
          <w:sz w:val="21"/>
          <w:szCs w:val="21"/>
        </w:rPr>
        <w:t xml:space="preserve">Government / CSR partnership funding </w:t>
      </w:r>
      <w:r>
        <w:rPr>
          <w:color w:val="555555"/>
          <w:sz w:val="21"/>
          <w:szCs w:val="21"/>
        </w:rPr>
        <w:t xml:space="preserve">leveraging alignment with the Ministry of Cooperation's mandate, reducing early dependence on commission revenue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B52"/>
          <w:sz w:val="21"/>
          <w:szCs w:val="21"/>
        </w:rPr>
        <w:t xml:space="preserve">Value-added services (long-term) </w:t>
      </w:r>
      <w:r>
        <w:rPr>
          <w:color w:val="555555"/>
          <w:sz w:val="21"/>
          <w:szCs w:val="21"/>
        </w:rPr>
        <w:t xml:space="preserve">such as insurance-premium facilitation, a small cut of skill-certification course fees, and local supplier advertising slots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Cost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Platform development and maintenance (AI, backend, mobile apps)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Payment gateway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Worker verification and onboarding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Customer support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55"/>
          <w:sz w:val="21"/>
          <w:szCs w:val="21"/>
        </w:rPr>
        <w:t xml:space="preserve">Marketing and cooperative outreach</w:t>
      </w:r>
    </w:p>
    <w:p>
      <w:pPr>
        <w:pStyle w:val="Heading2"/>
        <w:spacing w:after="100" w:before="240"/>
      </w:pPr>
      <w:r>
        <w:rPr>
          <w:b/>
          <w:bCs/>
          <w:color w:val="2E7D6B"/>
        </w:rPr>
        <w:t xml:space="preserve">Key Structural Principle</w:t>
      </w:r>
    </w:p>
    <w:p>
      <w:pPr>
        <w:pBdr>
          <w:left w:val="single" w:color="2E7D6B" w:sz="18" w:space="10"/>
        </w:pBdr>
        <w:spacing w:after="100"/>
        <w:ind w:left="431"/>
      </w:pPr>
      <w:r>
        <w:rPr>
          <w:i/>
          <w:iCs/>
          <w:color w:val="0D2B52"/>
          <w:sz w:val="21"/>
          <w:szCs w:val="21"/>
        </w:rPr>
        <w:t xml:space="preserve">Because the platform is cooperative-owned, surplus is reinvested into worker welfare or redistributed to member cooperatives, rather than extracted for private shareholders — this is the direct business-model expression of the problem statement's mandate for “fair wages, worker welfare, and consumer trust,” and the sharpest structural contrast against Urban Company and Housejoy.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3. Business Model Canvas</w:t>
      </w:r>
    </w:p>
    <w:p>
      <w:pPr>
        <w:spacing w:after="120"/>
      </w:pPr>
      <w:r>
        <w:rPr>
          <w:color w:val="555555"/>
          <w:sz w:val="21"/>
          <w:szCs w:val="21"/>
        </w:rPr>
        <w:t xml:space="preserve">A standard nine-block view for quick reference in your pitch deck.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8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Key Partners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Labour Cooperative Federations &amp; Societies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Ministry of Cooperation / NCCT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Payment gateway provider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Insurance/welfare partners</w:t>
            </w:r>
          </w:p>
        </w:tc>
        <w:tc>
          <w:tcPr>
            <w:tcW w:type="dxa" w:w="2008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Key Activities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Worker verification &amp; onboarding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Demand forecasting &amp; allocation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Booking &amp; dispatch operations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Quality &amp; trust monitoring</w:t>
            </w:r>
          </w:p>
        </w:tc>
        <w:tc>
          <w:tcPr>
            <w:tcW w:type="dxa" w:w="2008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Value Propositions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Verified, fairly-paid workers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Lower commission, cooperative-owned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Worker welfare &amp; insurance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Trust &amp; accountability</w:t>
            </w:r>
          </w:p>
        </w:tc>
        <w:tc>
          <w:tcPr>
            <w:tcW w:type="dxa" w:w="2008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Customer Relationships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In-app ratings &amp; reviews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Federation-backed accountability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Emergency support channel</w:t>
            </w:r>
          </w:p>
        </w:tc>
        <w:tc>
          <w:tcPr>
            <w:tcW w:type="dxa" w:w="2008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Customer Segments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Urban &amp; semi-urban households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Institutions needing recurring services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Cooperative worker-members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Emergency/urgent-need customers</w:t>
            </w:r>
          </w:p>
        </w:tc>
      </w:tr>
      <w:tr>
        <w:tc>
          <w:tcPr>
            <w:tcW w:type="dxa" w:w="2008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Key Resources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Mobile &amp; web platform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AI forecasting/allocation engine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Verified worker pool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Cooperative federation network</w:t>
            </w:r>
          </w:p>
        </w:tc>
        <w:tc>
          <w:tcPr>
            <w:tcW w:type="dxa" w:w="8032"/>
            <w:gridSpan w:val="4"/>
            <w:shd w:fill="E7F2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Channels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Mobile app (customer &amp; worker)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Cooperative society outreach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Word-of-mouth &amp; community trust</w:t>
            </w:r>
          </w:p>
        </w:tc>
      </w:tr>
    </w:tbl>
    <w:p>
      <w:pPr>
        <w:spacing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5020"/>
      </w:tblGrid>
      <w:tr>
        <w:tc>
          <w:tcPr>
            <w:tcW w:type="dxa" w:w="5020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Cost Structure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Platform development &amp; maintenance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Payment gateway fees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Worker verification &amp; onboarding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Customer support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Marketing &amp; cooperative outreach</w:t>
            </w:r>
          </w:p>
        </w:tc>
        <w:tc>
          <w:tcPr>
            <w:tcW w:type="dxa" w:w="5020"/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2B52"/>
                <w:sz w:val="18"/>
                <w:szCs w:val="18"/>
              </w:rPr>
              <w:t xml:space="preserve">Revenue Streams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Low commission per booking (~8–10%)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Cooperative society membership fee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Optional premium customer subscription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Government/CSR partnership funding</w:t>
            </w:r>
          </w:p>
          <w:p>
            <w:pPr>
              <w:spacing w:after="30"/>
            </w:pPr>
            <w:r>
              <w:rPr>
                <w:color w:val="555555"/>
                <w:sz w:val="16"/>
                <w:szCs w:val="16"/>
              </w:rPr>
              <w:t xml:space="preserve">• Value-added services (long-term)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2026-09-03T03:44:52.197Z</dcterms:created>
  <dcterms:modified xsi:type="dcterms:W3CDTF">2026-09-03T03:44:52.197Z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