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ingle"/>
        <w:spacing w:after="360"/>
        <w:jc w:val="left"/>
      </w:pPr>
      <w:r>
        <w:drawing>
          <wp:inline xmlns:a="http://schemas.openxmlformats.org/drawingml/2006/main" xmlns:pic="http://schemas.openxmlformats.org/drawingml/2006/picture">
            <wp:extent cx="914400" cy="1027786"/>
            <wp:docPr id="1" name="Picture 1"/>
            <wp:cNvGraphicFramePr>
              <a:graphicFrameLocks noChangeAspect="1"/>
            </wp:cNvGraphicFramePr>
            <a:graphic>
              <a:graphicData uri="http://schemas.openxmlformats.org/drawingml/2006/picture">
                <pic:pic>
                  <pic:nvPicPr>
                    <pic:cNvPr id="0" name="iitkgp_logo.png"/>
                    <pic:cNvPicPr/>
                  </pic:nvPicPr>
                  <pic:blipFill>
                    <a:blip r:embed="rId9"/>
                    <a:stretch>
                      <a:fillRect/>
                    </a:stretch>
                  </pic:blipFill>
                  <pic:spPr>
                    <a:xfrm>
                      <a:off x="0" y="0"/>
                      <a:ext cx="914400" cy="1027786"/>
                    </a:xfrm>
                    <a:prstGeom prst="rect"/>
                  </pic:spPr>
                </pic:pic>
              </a:graphicData>
            </a:graphic>
          </wp:inline>
        </w:drawing>
      </w:r>
    </w:p>
    <w:p>
      <w:pPr>
        <w:pStyle w:val="Single"/>
        <w:spacing w:after="0" w:before="1200" w:line="240" w:lineRule="auto"/>
        <w:jc w:val="center"/>
      </w:pPr>
    </w:p>
    <w:p>
      <w:pPr>
        <w:pStyle w:val="Single"/>
        <w:spacing w:after="1200" w:before="0" w:line="360" w:lineRule="auto"/>
        <w:jc w:val="center"/>
      </w:pPr>
      <w:r>
        <w:rPr>
          <w:rFonts w:ascii="Times New Roman" w:hAnsi="Times New Roman"/>
          <w:b/>
          <w:sz w:val="32"/>
        </w:rPr>
        <w:t>MULTI-STEP SIGNIFICANT WAVE HEIGHT FORECASTING IN THE BAY OF BENGAL USING HYBRID MACHINE LEARNING AND DEEP LEARNING FRAMEWORKS</w:t>
      </w:r>
    </w:p>
    <w:p>
      <w:pPr>
        <w:pStyle w:val="Single"/>
        <w:spacing w:after="0" w:before="0" w:line="240" w:lineRule="auto"/>
        <w:jc w:val="center"/>
      </w:pPr>
      <w:r>
        <w:rPr>
          <w:rFonts w:ascii="Times New Roman" w:hAnsi="Times New Roman"/>
          <w:b/>
          <w:i/>
          <w:sz w:val="28"/>
        </w:rPr>
        <w:t>Vishesh Bhagwandas Agarwal</w:t>
      </w:r>
    </w:p>
    <w:p>
      <w:pPr>
        <w:sectPr>
          <w:footerReference w:type="default" r:id="rId37"/>
          <w:pgSz w:w="12240" w:h="15840"/>
          <w:pgMar w:top="1440" w:right="1440" w:bottom="1440" w:left="2160" w:header="720" w:footer="720" w:gutter="0"/>
          <w:cols w:space="720"/>
          <w:docGrid w:linePitch="360"/>
        </w:sectPr>
      </w:pPr>
    </w:p>
    <w:p>
      <w:pPr>
        <w:pStyle w:val="Single"/>
        <w:spacing w:after="360"/>
        <w:jc w:val="left"/>
      </w:pPr>
      <w:r>
        <w:drawing>
          <wp:inline xmlns:a="http://schemas.openxmlformats.org/drawingml/2006/main" xmlns:pic="http://schemas.openxmlformats.org/drawingml/2006/picture">
            <wp:extent cx="777240" cy="873618"/>
            <wp:docPr id="2" name="Picture 2"/>
            <wp:cNvGraphicFramePr>
              <a:graphicFrameLocks noChangeAspect="1"/>
            </wp:cNvGraphicFramePr>
            <a:graphic>
              <a:graphicData uri="http://schemas.openxmlformats.org/drawingml/2006/picture">
                <pic:pic>
                  <pic:nvPicPr>
                    <pic:cNvPr id="0" name="iitkgp_logo.png"/>
                    <pic:cNvPicPr/>
                  </pic:nvPicPr>
                  <pic:blipFill>
                    <a:blip r:embed="rId9"/>
                    <a:stretch>
                      <a:fillRect/>
                    </a:stretch>
                  </pic:blipFill>
                  <pic:spPr>
                    <a:xfrm>
                      <a:off x="0" y="0"/>
                      <a:ext cx="777240" cy="873618"/>
                    </a:xfrm>
                    <a:prstGeom prst="rect"/>
                  </pic:spPr>
                </pic:pic>
              </a:graphicData>
            </a:graphic>
          </wp:inline>
        </w:drawing>
      </w:r>
    </w:p>
    <w:p>
      <w:pPr>
        <w:pStyle w:val="Single"/>
        <w:spacing w:after="400" w:before="0" w:line="324" w:lineRule="auto"/>
        <w:jc w:val="center"/>
      </w:pPr>
      <w:r>
        <w:rPr>
          <w:rFonts w:ascii="Times New Roman" w:hAnsi="Times New Roman"/>
          <w:b/>
          <w:sz w:val="32"/>
        </w:rPr>
        <w:t>MULTI-STEP SIGNIFICANT WAVE HEIGHT FORECASTING IN THE BAY OF BENGAL USING HYBRID MACHINE LEARNING AND DEEP LEARNING FRAMEWORKS</w:t>
      </w:r>
    </w:p>
    <w:p>
      <w:pPr>
        <w:pStyle w:val="Single"/>
        <w:spacing w:after="80" w:before="0" w:line="240" w:lineRule="auto"/>
        <w:jc w:val="center"/>
      </w:pPr>
      <w:r>
        <w:rPr>
          <w:rFonts w:ascii="Times New Roman" w:hAnsi="Times New Roman"/>
          <w:b/>
          <w:i/>
          <w:sz w:val="24"/>
        </w:rPr>
        <w:t>Report submitted to</w:t>
      </w:r>
    </w:p>
    <w:p>
      <w:pPr>
        <w:pStyle w:val="Single"/>
        <w:spacing w:after="80" w:before="0" w:line="240" w:lineRule="auto"/>
        <w:jc w:val="center"/>
      </w:pPr>
      <w:r>
        <w:rPr>
          <w:rFonts w:ascii="Times New Roman" w:hAnsi="Times New Roman"/>
          <w:b/>
          <w:i/>
          <w:sz w:val="24"/>
        </w:rPr>
        <w:t>Indian Institute of Technology Kharagpur</w:t>
      </w:r>
    </w:p>
    <w:p>
      <w:pPr>
        <w:pStyle w:val="Single"/>
        <w:spacing w:after="240" w:before="0" w:line="240" w:lineRule="auto"/>
        <w:jc w:val="center"/>
      </w:pPr>
      <w:r>
        <w:rPr>
          <w:rFonts w:ascii="Times New Roman" w:hAnsi="Times New Roman"/>
          <w:b/>
          <w:i/>
          <w:sz w:val="24"/>
        </w:rPr>
        <w:t>for the award of the degree</w:t>
      </w:r>
    </w:p>
    <w:p>
      <w:pPr>
        <w:pStyle w:val="Single"/>
        <w:spacing w:after="240" w:before="0" w:line="240" w:lineRule="auto"/>
        <w:jc w:val="center"/>
      </w:pPr>
      <w:r>
        <w:rPr>
          <w:rFonts w:ascii="Times New Roman" w:hAnsi="Times New Roman"/>
          <w:b/>
          <w:i/>
          <w:sz w:val="24"/>
        </w:rPr>
        <w:t>of</w:t>
      </w:r>
    </w:p>
    <w:p>
      <w:pPr>
        <w:pStyle w:val="Single"/>
        <w:spacing w:after="40" w:before="0" w:line="240" w:lineRule="auto"/>
        <w:jc w:val="center"/>
      </w:pPr>
      <w:r>
        <w:rPr>
          <w:rFonts w:ascii="Times New Roman" w:hAnsi="Times New Roman"/>
          <w:b/>
          <w:sz w:val="28"/>
        </w:rPr>
        <w:t>Dual Degree (Bachelor of Technology and Master of Technology)</w:t>
      </w:r>
    </w:p>
    <w:p>
      <w:pPr>
        <w:pStyle w:val="Single"/>
        <w:spacing w:after="40" w:before="0" w:line="240" w:lineRule="auto"/>
        <w:jc w:val="center"/>
      </w:pPr>
      <w:r>
        <w:rPr>
          <w:rFonts w:ascii="Times New Roman" w:hAnsi="Times New Roman"/>
          <w:b/>
          <w:sz w:val="28"/>
        </w:rPr>
        <w:t>in Ocean Engineering and Naval Architecture</w:t>
      </w:r>
    </w:p>
    <w:p>
      <w:pPr>
        <w:pStyle w:val="Single"/>
        <w:spacing w:after="240" w:before="240" w:line="240" w:lineRule="auto"/>
        <w:jc w:val="center"/>
      </w:pPr>
      <w:r>
        <w:rPr>
          <w:rFonts w:ascii="Times New Roman" w:hAnsi="Times New Roman"/>
          <w:b/>
          <w:i/>
          <w:sz w:val="24"/>
        </w:rPr>
        <w:t>by</w:t>
      </w:r>
    </w:p>
    <w:p>
      <w:pPr>
        <w:pStyle w:val="Single"/>
        <w:spacing w:after="240" w:before="0" w:line="240" w:lineRule="auto"/>
        <w:jc w:val="center"/>
      </w:pPr>
      <w:r>
        <w:rPr>
          <w:rFonts w:ascii="Times New Roman" w:hAnsi="Times New Roman"/>
          <w:b/>
          <w:sz w:val="28"/>
        </w:rPr>
        <w:t>Vishesh Bhagwandas Agarwal (22NA30045)</w:t>
      </w:r>
    </w:p>
    <w:p>
      <w:pPr>
        <w:pStyle w:val="Single"/>
        <w:spacing w:after="80" w:before="0" w:line="240" w:lineRule="auto"/>
        <w:jc w:val="center"/>
      </w:pPr>
      <w:r>
        <w:rPr>
          <w:rFonts w:ascii="Times New Roman" w:hAnsi="Times New Roman"/>
          <w:i/>
          <w:sz w:val="24"/>
        </w:rPr>
        <w:t>under the guidance of</w:t>
      </w:r>
    </w:p>
    <w:p>
      <w:pPr>
        <w:pStyle w:val="Single"/>
        <w:spacing w:after="720" w:before="0" w:line="240" w:lineRule="auto"/>
        <w:jc w:val="center"/>
      </w:pPr>
      <w:r>
        <w:rPr>
          <w:rFonts w:ascii="Times New Roman" w:hAnsi="Times New Roman"/>
          <w:b/>
          <w:sz w:val="24"/>
        </w:rPr>
        <w:t>Professor Swapnadip De Chowdhury</w:t>
      </w:r>
    </w:p>
    <w:p>
      <w:pPr>
        <w:pStyle w:val="Single"/>
        <w:spacing w:after="0" w:before="0" w:line="240" w:lineRule="auto"/>
        <w:jc w:val="center"/>
      </w:pPr>
      <w:r>
        <w:rPr>
          <w:rFonts w:ascii="Times New Roman" w:hAnsi="Times New Roman"/>
          <w:b/>
          <w:sz w:val="28"/>
        </w:rPr>
        <w:t>DEPARTMENT OF OCEAN ENGINEERING</w:t>
      </w:r>
    </w:p>
    <w:p>
      <w:pPr>
        <w:pStyle w:val="Single"/>
        <w:spacing w:after="40" w:before="0" w:line="240" w:lineRule="auto"/>
        <w:jc w:val="center"/>
      </w:pPr>
      <w:r>
        <w:rPr>
          <w:rFonts w:ascii="Times New Roman" w:hAnsi="Times New Roman"/>
          <w:b/>
          <w:sz w:val="28"/>
        </w:rPr>
        <w:t>AND NAVAL ARCHITECTURE</w:t>
      </w:r>
    </w:p>
    <w:p>
      <w:pPr>
        <w:pStyle w:val="Single"/>
        <w:spacing w:after="240" w:before="0" w:line="240" w:lineRule="auto"/>
        <w:jc w:val="center"/>
      </w:pPr>
      <w:r>
        <w:rPr>
          <w:rFonts w:ascii="Times New Roman" w:hAnsi="Times New Roman"/>
          <w:b/>
          <w:sz w:val="28"/>
        </w:rPr>
        <w:t>INDIAN INSTITUTE OF TECHNOLOGY KHARAGPUR</w:t>
      </w:r>
    </w:p>
    <w:p>
      <w:pPr>
        <w:pStyle w:val="Single"/>
        <w:spacing w:after="480" w:before="0" w:line="240" w:lineRule="auto"/>
        <w:jc w:val="center"/>
      </w:pPr>
      <w:r>
        <w:rPr>
          <w:rFonts w:ascii="Times New Roman" w:hAnsi="Times New Roman"/>
          <w:b/>
          <w:sz w:val="28"/>
        </w:rPr>
        <w:t>November 2026</w:t>
      </w:r>
    </w:p>
    <w:p>
      <w:pPr>
        <w:pStyle w:val="Single"/>
        <w:spacing w:after="0" w:before="0" w:line="240" w:lineRule="auto"/>
        <w:jc w:val="center"/>
      </w:pPr>
      <w:r>
        <w:rPr>
          <w:rFonts w:ascii="Times New Roman" w:hAnsi="Times New Roman"/>
          <w:sz w:val="24"/>
        </w:rPr>
        <w:t>© 2026 Vishesh Bhagwandas Agarwal. All rights reserved.</w:t>
      </w:r>
    </w:p>
    <w:p>
      <w:pPr>
        <w:pStyle w:val="Single"/>
        <w:keepNext/>
        <w:pageBreakBefore/>
        <w:spacing w:after="360"/>
        <w:jc w:val="center"/>
      </w:pPr>
      <w:r>
        <w:rPr>
          <w:b/>
          <w:sz w:val="28"/>
        </w:rPr>
        <w:t>DECLARATION</w:t>
      </w:r>
    </w:p>
    <w:p>
      <w:pPr>
        <w:pStyle w:val="Single"/>
        <w:spacing w:after="160"/>
      </w:pPr>
      <w:r>
        <w:rPr>
          <w:rFonts w:ascii="Times New Roman" w:hAnsi="Times New Roman"/>
        </w:rPr>
        <w:t>I certify that</w:t>
      </w:r>
    </w:p>
    <w:p>
      <w:pPr>
        <w:pStyle w:val="Single"/>
        <w:tabs>
          <w:tab w:pos="576" w:val="left"/>
        </w:tabs>
        <w:spacing w:after="160"/>
        <w:ind w:left="576" w:hanging="432"/>
        <w:jc w:val="both"/>
      </w:pPr>
      <w:r>
        <w:rPr>
          <w:rFonts w:ascii="Times New Roman" w:hAnsi="Times New Roman"/>
        </w:rPr>
        <w:t>(a)</w:t>
        <w:tab/>
        <w:t>The work contained in this report is original and has been done by me under the guidance of my supervisor.</w:t>
      </w:r>
    </w:p>
    <w:p>
      <w:pPr>
        <w:pStyle w:val="Single"/>
        <w:tabs>
          <w:tab w:pos="576" w:val="left"/>
        </w:tabs>
        <w:spacing w:after="160"/>
        <w:ind w:left="576" w:hanging="432"/>
        <w:jc w:val="both"/>
      </w:pPr>
      <w:r>
        <w:rPr>
          <w:rFonts w:ascii="Times New Roman" w:hAnsi="Times New Roman"/>
        </w:rPr>
        <w:t>(b)</w:t>
        <w:tab/>
        <w:t>The work has not been submitted to any other Institute for any degree or diploma.</w:t>
      </w:r>
    </w:p>
    <w:p>
      <w:pPr>
        <w:pStyle w:val="Single"/>
        <w:tabs>
          <w:tab w:pos="576" w:val="left"/>
        </w:tabs>
        <w:spacing w:after="160"/>
        <w:ind w:left="576" w:hanging="432"/>
        <w:jc w:val="both"/>
      </w:pPr>
      <w:r>
        <w:rPr>
          <w:rFonts w:ascii="Times New Roman" w:hAnsi="Times New Roman"/>
        </w:rPr>
        <w:t>(c)</w:t>
        <w:tab/>
        <w:t>I have followed the guidelines provided by the Institute in preparing the report.</w:t>
      </w:r>
    </w:p>
    <w:p>
      <w:pPr>
        <w:pStyle w:val="Single"/>
        <w:tabs>
          <w:tab w:pos="576" w:val="left"/>
        </w:tabs>
        <w:spacing w:after="160"/>
        <w:ind w:left="576" w:hanging="432"/>
        <w:jc w:val="both"/>
      </w:pPr>
      <w:r>
        <w:rPr>
          <w:rFonts w:ascii="Times New Roman" w:hAnsi="Times New Roman"/>
        </w:rPr>
        <w:t>(d)</w:t>
        <w:tab/>
        <w:t>I have conformed to the norms and guidelines given in the Ethical Code of Conduct of the Institute.</w:t>
      </w:r>
    </w:p>
    <w:p>
      <w:pPr>
        <w:pStyle w:val="Single"/>
        <w:tabs>
          <w:tab w:pos="576" w:val="left"/>
        </w:tabs>
        <w:spacing w:after="160"/>
        <w:ind w:left="576" w:hanging="432"/>
        <w:jc w:val="both"/>
      </w:pPr>
      <w:r>
        <w:rPr>
          <w:rFonts w:ascii="Times New Roman" w:hAnsi="Times New Roman"/>
        </w:rPr>
        <w:t>(e)</w:t>
        <w:tab/>
        <w:t>Whenever I have used materials (data, theoretical analysis, figures, and text) from other sources, I have given due credit to them by citing them in the text of the report and giving their details in the references. The ERA5 reanalysis data used in this work were produced by ECMWF and are distributed by the Copernicus Climate Change Service under the Creative Commons Attribution 4.0 licence, which permits reuse with attribution.</w:t>
      </w:r>
    </w:p>
    <w:p>
      <w:pPr>
        <w:pStyle w:val="Single"/>
        <w:spacing w:before="1200"/>
        <w:jc w:val="right"/>
      </w:pPr>
      <w:r>
        <w:rPr>
          <w:rFonts w:ascii="Times New Roman" w:hAnsi="Times New Roman"/>
        </w:rPr>
        <w:t>Signature of the Student</w:t>
      </w:r>
    </w:p>
    <w:p>
      <w:pPr>
        <w:pStyle w:val="Single"/>
        <w:jc w:val="right"/>
      </w:pPr>
      <w:r>
        <w:rPr>
          <w:rFonts w:ascii="Times New Roman" w:hAnsi="Times New Roman"/>
        </w:rPr>
        <w:t>Vishesh Bhagwandas Agarwal (22NA30045)</w:t>
      </w:r>
    </w:p>
    <w:p>
      <w:pPr>
        <w:pStyle w:val="Single"/>
        <w:tabs>
          <w:tab w:pos="8568" w:val="right"/>
        </w:tabs>
        <w:spacing w:before="480"/>
        <w:jc w:val="left"/>
      </w:pPr>
      <w:r>
        <w:rPr>
          <w:rFonts w:ascii="Times New Roman" w:hAnsi="Times New Roman"/>
        </w:rPr>
        <w:t>Date: 10/11/2026</w:t>
        <w:tab/>
        <w:t>Place: Kharagpur</w:t>
      </w:r>
    </w:p>
    <w:p>
      <w:pPr>
        <w:pStyle w:val="Single"/>
        <w:keepNext/>
        <w:pageBreakBefore/>
        <w:spacing w:after="360"/>
        <w:jc w:val="center"/>
      </w:pPr>
      <w:r>
        <w:rPr>
          <w:b/>
          <w:sz w:val="28"/>
        </w:rPr>
        <w:t>CERTIFICATE</w:t>
      </w:r>
    </w:p>
    <w:p>
      <w:pPr/>
      <w:r>
        <w:rPr>
          <w:rFonts w:ascii="Times New Roman" w:hAnsi="Times New Roman"/>
        </w:rPr>
        <w:t>This is to certify that the project report entitled “Multi-Step Significant Wave Height Forecasting in the Bay of Bengal Using Hybrid Machine Learning and Deep Learning Frameworks” submitted by Vishesh Bhagwandas Agarwal (22NA30045) to Indian Institute of Technology Kharagpur, India, is a record of bona fide project work carried out under my supervision and guidance, and is worthy of consideration for the award of the degree of Dual Degree (Bachelor of Technology and Master of Technology) in Ocean Engineering and Naval Architecture of the Institute.</w:t>
      </w:r>
    </w:p>
    <w:p>
      <w:pPr>
        <w:pStyle w:val="Single"/>
        <w:spacing w:before="1440"/>
        <w:jc w:val="right"/>
      </w:pPr>
      <w:r>
        <w:rPr>
          <w:rFonts w:ascii="Times New Roman" w:hAnsi="Times New Roman"/>
        </w:rPr>
        <w:t>______________________</w:t>
      </w:r>
    </w:p>
    <w:p>
      <w:pPr>
        <w:pStyle w:val="Single"/>
        <w:jc w:val="right"/>
      </w:pPr>
      <w:r>
        <w:rPr>
          <w:rFonts w:ascii="Times New Roman" w:hAnsi="Times New Roman"/>
        </w:rPr>
        <w:t>Professor Swapnadip De Chowdhury</w:t>
      </w:r>
    </w:p>
    <w:p>
      <w:pPr>
        <w:pStyle w:val="Single"/>
        <w:jc w:val="right"/>
      </w:pPr>
      <w:r>
        <w:rPr>
          <w:rFonts w:ascii="Times New Roman" w:hAnsi="Times New Roman"/>
        </w:rPr>
        <w:t>Department of Ocean Engineering and Naval Architecture</w:t>
      </w:r>
    </w:p>
    <w:p>
      <w:pPr>
        <w:pStyle w:val="Single"/>
        <w:jc w:val="right"/>
      </w:pPr>
      <w:r>
        <w:rPr>
          <w:rFonts w:ascii="Times New Roman" w:hAnsi="Times New Roman"/>
        </w:rPr>
        <w:t>Indian Institute of Technology Kharagpur</w:t>
      </w:r>
    </w:p>
    <w:p>
      <w:pPr>
        <w:pStyle w:val="Single"/>
        <w:spacing w:before="480"/>
        <w:jc w:val="left"/>
      </w:pPr>
      <w:r>
        <w:rPr>
          <w:rFonts w:ascii="Times New Roman" w:hAnsi="Times New Roman"/>
        </w:rPr>
        <w:t>Date: 10/11/2026</w:t>
      </w:r>
    </w:p>
    <w:p>
      <w:pPr>
        <w:pStyle w:val="Single"/>
        <w:keepNext/>
        <w:pageBreakBefore/>
        <w:spacing w:after="360"/>
        <w:jc w:val="center"/>
      </w:pPr>
      <w:r>
        <w:rPr>
          <w:b/>
          <w:sz w:val="28"/>
        </w:rPr>
        <w:t>ACKNOWLEDGEMENTS</w:t>
      </w:r>
    </w:p>
    <w:p>
      <w:pPr/>
      <w:r>
        <w:rPr>
          <w:rFonts w:ascii="Times New Roman" w:hAnsi="Times New Roman"/>
        </w:rPr>
        <w:t>I am deeply grateful to my supervisor, Professor Swapnadip De Chowdhury, Department of Ocean Engineering and Naval Architecture, IIT Kharagpur, for the guidance, encouragement and critical questions that shaped this work.</w:t>
      </w:r>
    </w:p>
    <w:p>
      <w:pPr/>
      <w:r>
        <w:rPr>
          <w:rFonts w:ascii="Times New Roman" w:hAnsi="Times New Roman"/>
        </w:rPr>
        <w:t>I thank the faculty and staff of the Department of Ocean Engineering and Naval Architecture for the courses and facilities that made this project possible, and the members of the evaluation panel for their time and feedback.</w:t>
      </w:r>
    </w:p>
    <w:p>
      <w:pPr/>
      <w:r>
        <w:rPr>
          <w:rFonts w:ascii="Times New Roman" w:hAnsi="Times New Roman"/>
        </w:rPr>
        <w:t>This work would not have been possible without open data. I thank the European Centre for Medium-Range Weather Forecasts and the Copernicus Climate Change Service for the ERA5 reanalysis, INCOIS for the OMNI buoy programme, and the developers of the open-source Python libraries used throughout: pandas, NumPy, xarray, SciPy, statsmodels, scikit-learn, LightGBM, CatBoost, XGBoost, Optuna, TensorFlow/Keras and Matplotlib.</w:t>
      </w:r>
    </w:p>
    <w:p>
      <w:pPr/>
      <w:r>
        <w:rPr>
          <w:rFonts w:ascii="Times New Roman" w:hAnsi="Times New Roman"/>
        </w:rPr>
        <w:t>Finally, I thank my family and friends for their constant support.</w:t>
      </w:r>
    </w:p>
    <w:p>
      <w:pPr>
        <w:pStyle w:val="Single"/>
        <w:spacing w:before="720"/>
        <w:jc w:val="right"/>
      </w:pPr>
      <w:r>
        <w:rPr>
          <w:rFonts w:ascii="Times New Roman" w:hAnsi="Times New Roman"/>
        </w:rPr>
        <w:t>Vishesh Bhagwandas Agarwal</w:t>
      </w:r>
    </w:p>
    <w:p>
      <w:pPr>
        <w:pStyle w:val="Single"/>
        <w:jc w:val="right"/>
      </w:pPr>
      <w:r>
        <w:rPr>
          <w:rFonts w:ascii="Times New Roman" w:hAnsi="Times New Roman"/>
        </w:rPr>
        <w:t>IIT Kharagpur, November 2026</w:t>
      </w:r>
    </w:p>
    <w:p>
      <w:pPr>
        <w:pStyle w:val="Single"/>
        <w:keepNext/>
        <w:pageBreakBefore/>
        <w:spacing w:after="360"/>
        <w:jc w:val="center"/>
      </w:pPr>
      <w:r>
        <w:rPr>
          <w:b/>
          <w:sz w:val="28"/>
        </w:rPr>
        <w:t>ABSTRACT</w:t>
      </w:r>
    </w:p>
    <w:p>
      <w:pPr>
        <w:pStyle w:val="Single"/>
        <w:spacing w:after="280"/>
      </w:pPr>
      <w:r>
        <w:rPr>
          <w:rFonts w:ascii="Times New Roman" w:hAnsi="Times New Roman"/>
        </w:rPr>
        <w:t>Accurate forecasts of significant wave height (H</w:t>
      </w:r>
      <w:r>
        <w:rPr>
          <w:rFonts w:ascii="Times New Roman" w:hAnsi="Times New Roman"/>
          <w:vertAlign w:val="subscript"/>
        </w:rPr>
        <w:t>s</w:t>
      </w:r>
      <w:r>
        <w:rPr>
          <w:rFonts w:ascii="Times New Roman" w:hAnsi="Times New Roman"/>
        </w:rPr>
        <w:t>) 6 to 72 hours ahead are essential for marine safety in the Bay of Bengal, where tropical cyclones raise H</w:t>
      </w:r>
      <w:r>
        <w:rPr>
          <w:rFonts w:ascii="Times New Roman" w:hAnsi="Times New Roman"/>
          <w:vertAlign w:val="subscript"/>
        </w:rPr>
        <w:t>s</w:t>
      </w:r>
      <w:r>
        <w:rPr>
          <w:rFonts w:ascii="Times New Roman" w:hAnsi="Times New Roman"/>
        </w:rPr>
        <w:t xml:space="preserve"> from 1–2 m to more than 10 m within a day. This report develops a data-driven alternative to numerical wave models and compares classical, tree-based and deep-learning forecasters under a strictly leakage-free protocol. Ten years (2015–2024) of hourly ECMWF ERA5 data at the positions of the INCOIS OMNI buoys BD08, BD10 and BD11 were aligned with a KD-tree on the sphere and enriched with physically based predictors: wind stress, pressure tendency and anomaly, the air–sea temperature difference and cyclically encoded directions. Direct multi-step LightGBM and CatBoost models, tuned by Bayesian optimisation on a pooled multi-horizon RMSE, and an encoder–decoder bidirectional LSTM with attention were trained on 2015–2020 and tested on 2023–2024, a period containing cyclones Mocha, Michaung, Remal and Dana; every model was scored on the same forecast origins. With ERA5 H</w:t>
      </w:r>
      <w:r>
        <w:rPr>
          <w:rFonts w:ascii="Times New Roman" w:hAnsi="Times New Roman"/>
          <w:vertAlign w:val="subscript"/>
        </w:rPr>
        <w:t>s</w:t>
      </w:r>
      <w:r>
        <w:rPr>
          <w:rFonts w:ascii="Times New Roman" w:hAnsi="Times New Roman"/>
        </w:rPr>
        <w:t xml:space="preserve"> as the target, the best learned model reduced the test RMSE of persistence by 18% at 24 h (CatBoost, 0.247 m) and by 23% at 72 h (LightGBM, 0.419 m), and the ARIMA baseline by 15% and 23% respectively. A peak-weighted asymmetric loss lowered the share of under-predicted extreme sea states (above the training 95th percentile) at 24 h from 72% to 55%, at a cost of 14% in overall RMSE. All forecasters lose skill at long lead times during cyclones, which points to forecast forcing as the next step. The pipeline is ready to take the buoy observations as the target once they are available.</w:t>
      </w:r>
    </w:p>
    <w:p>
      <w:pPr>
        <w:pStyle w:val="Single"/>
      </w:pPr>
      <w:r>
        <w:rPr>
          <w:b/>
        </w:rPr>
        <w:t xml:space="preserve">Keywords: </w:t>
      </w:r>
      <w:r>
        <w:rPr>
          <w:rFonts w:ascii="Times New Roman" w:hAnsi="Times New Roman"/>
        </w:rPr>
        <w:t>significant wave height; multi-step forecasting; Bay of Bengal; tropical cyclones; ERA5; gradient boosting; LightGBM; CatBoost; sequence-to-sequence LSTM; attention; peak-weighted loss</w:t>
      </w:r>
    </w:p>
    <w:p>
      <w:pPr>
        <w:pStyle w:val="Single"/>
        <w:pageBreakBefore/>
        <w:spacing w:after="360"/>
        <w:jc w:val="center"/>
      </w:pPr>
      <w:r>
        <w:rPr>
          <w:b/>
          <w:sz w:val="28"/>
        </w:rPr>
        <w:t>CONTENTS</w:t>
      </w:r>
    </w:p>
    <w:p>
      <w:pPr>
        <w:pStyle w:val="TOCEntry"/>
        <w:tabs>
          <w:tab w:pos="1368" w:val="left"/>
          <w:tab w:pos="8568" w:val="right" w:leader="dot"/>
        </w:tabs>
        <w:ind w:left="1368" w:hanging="1368"/>
      </w:pPr>
      <w:r>
        <w:fldChar w:fldCharType="begin" w:dirty="true"/>
      </w:r>
      <w:r>
        <w:instrText xml:space="preserve">TOC \o "1-3" \h \z \u</w:instrText>
      </w:r>
      <w:r>
        <w:fldChar w:fldCharType="separate"/>
      </w:r>
      <w:r>
        <w:rPr>
          <w:b/>
        </w:rPr>
        <w:t>Declaration</w:t>
      </w:r>
      <w:r>
        <w:tab/>
        <w:t>0</w:t>
      </w:r>
    </w:p>
    <w:p>
      <w:pPr>
        <w:pStyle w:val="TOCEntry"/>
        <w:tabs>
          <w:tab w:pos="1368" w:val="left"/>
          <w:tab w:pos="8568" w:val="right" w:leader="dot"/>
        </w:tabs>
        <w:ind w:left="1368" w:hanging="1368"/>
      </w:pPr>
      <w:r>
        <w:rPr>
          <w:b/>
        </w:rPr>
        <w:t>Certificate by the Supervisor</w:t>
      </w:r>
      <w:r>
        <w:tab/>
        <w:t>0</w:t>
      </w:r>
    </w:p>
    <w:p>
      <w:pPr>
        <w:pStyle w:val="TOCEntry"/>
        <w:tabs>
          <w:tab w:pos="1368" w:val="left"/>
          <w:tab w:pos="8568" w:val="right" w:leader="dot"/>
        </w:tabs>
        <w:ind w:left="1368" w:hanging="1368"/>
      </w:pPr>
      <w:r>
        <w:rPr>
          <w:b/>
        </w:rPr>
        <w:t>Acknowledgements</w:t>
      </w:r>
      <w:r>
        <w:tab/>
        <w:t>0</w:t>
      </w:r>
    </w:p>
    <w:p>
      <w:pPr>
        <w:pStyle w:val="TOCEntry"/>
        <w:tabs>
          <w:tab w:pos="1368" w:val="left"/>
          <w:tab w:pos="8568" w:val="right" w:leader="dot"/>
        </w:tabs>
        <w:ind w:left="1368" w:hanging="1368"/>
      </w:pPr>
      <w:r>
        <w:rPr>
          <w:b/>
        </w:rPr>
        <w:t>Abstract</w:t>
      </w:r>
      <w:r>
        <w:tab/>
        <w:t>0</w:t>
      </w:r>
    </w:p>
    <w:p>
      <w:pPr>
        <w:pStyle w:val="TOCEntry"/>
        <w:tabs>
          <w:tab w:pos="1368" w:val="left"/>
          <w:tab w:pos="8568" w:val="right" w:leader="dot"/>
        </w:tabs>
        <w:ind w:left="1368" w:hanging="1368"/>
      </w:pPr>
      <w:r>
        <w:rPr>
          <w:b/>
        </w:rPr>
        <w:t>Contents</w:t>
      </w:r>
      <w:r>
        <w:tab/>
        <w:t>0</w:t>
      </w:r>
    </w:p>
    <w:p>
      <w:pPr>
        <w:pStyle w:val="TOCEntry"/>
        <w:tabs>
          <w:tab w:pos="1368" w:val="left"/>
          <w:tab w:pos="8568" w:val="right" w:leader="dot"/>
        </w:tabs>
        <w:ind w:left="1368" w:hanging="1368"/>
      </w:pPr>
      <w:r>
        <w:rPr>
          <w:b/>
        </w:rPr>
        <w:t>List of Figures</w:t>
      </w:r>
      <w:r>
        <w:tab/>
        <w:t>0</w:t>
      </w:r>
    </w:p>
    <w:p>
      <w:pPr>
        <w:pStyle w:val="TOCEntry"/>
        <w:tabs>
          <w:tab w:pos="1368" w:val="left"/>
          <w:tab w:pos="8568" w:val="right" w:leader="dot"/>
        </w:tabs>
        <w:ind w:left="1368" w:hanging="1368"/>
      </w:pPr>
      <w:r>
        <w:rPr>
          <w:b/>
        </w:rPr>
        <w:t>List of Tables</w:t>
      </w:r>
      <w:r>
        <w:tab/>
        <w:t>0</w:t>
      </w:r>
    </w:p>
    <w:p>
      <w:pPr>
        <w:pStyle w:val="TOCEntry"/>
        <w:tabs>
          <w:tab w:pos="1368" w:val="left"/>
          <w:tab w:pos="8568" w:val="right" w:leader="dot"/>
        </w:tabs>
        <w:ind w:left="1368" w:hanging="1368"/>
      </w:pPr>
      <w:r>
        <w:rPr>
          <w:b/>
        </w:rPr>
        <w:t>List of Symbols and Abbreviations</w:t>
      </w:r>
      <w:r>
        <w:tab/>
        <w:t>0</w:t>
      </w:r>
    </w:p>
    <w:p>
      <w:pPr>
        <w:pStyle w:val="TOCEntry"/>
        <w:tabs>
          <w:tab w:pos="0" w:val="left"/>
          <w:tab w:pos="8568" w:val="right" w:leader="dot"/>
        </w:tabs>
        <w:spacing w:before="160"/>
        <w:ind w:left="0" w:firstLine="0"/>
      </w:pPr>
      <w:r>
        <w:rPr>
          <w:b/>
        </w:rPr>
        <w:t>Chapter 1: Introduction</w:t>
      </w:r>
      <w:r>
        <w:tab/>
        <w:t>0</w:t>
      </w:r>
    </w:p>
    <w:p>
      <w:pPr>
        <w:pStyle w:val="TOCEntry"/>
        <w:tabs>
          <w:tab w:pos="1152" w:val="left"/>
          <w:tab w:pos="8568" w:val="right" w:leader="dot"/>
        </w:tabs>
        <w:ind w:left="1152" w:hanging="648"/>
      </w:pPr>
      <w:r>
        <w:rPr>
          <w:b w:val="0"/>
        </w:rPr>
        <w:t>1.1</w:t>
        <w:tab/>
        <w:t>Background</w:t>
      </w:r>
      <w:r>
        <w:tab/>
        <w:t>0</w:t>
      </w:r>
    </w:p>
    <w:p>
      <w:pPr>
        <w:pStyle w:val="TOCEntry"/>
        <w:tabs>
          <w:tab w:pos="1152" w:val="left"/>
          <w:tab w:pos="8568" w:val="right" w:leader="dot"/>
        </w:tabs>
        <w:ind w:left="1152" w:hanging="648"/>
      </w:pPr>
      <w:r>
        <w:rPr>
          <w:b w:val="0"/>
        </w:rPr>
        <w:t>1.2</w:t>
        <w:tab/>
        <w:t>Problem statement</w:t>
      </w:r>
      <w:r>
        <w:tab/>
        <w:t>0</w:t>
      </w:r>
    </w:p>
    <w:p>
      <w:pPr>
        <w:pStyle w:val="TOCEntry"/>
        <w:tabs>
          <w:tab w:pos="1152" w:val="left"/>
          <w:tab w:pos="8568" w:val="right" w:leader="dot"/>
        </w:tabs>
        <w:ind w:left="1152" w:hanging="648"/>
      </w:pPr>
      <w:r>
        <w:rPr>
          <w:b w:val="0"/>
        </w:rPr>
        <w:t>1.3</w:t>
        <w:tab/>
        <w:t>Objectives</w:t>
      </w:r>
      <w:r>
        <w:tab/>
        <w:t>0</w:t>
      </w:r>
    </w:p>
    <w:p>
      <w:pPr>
        <w:pStyle w:val="TOCEntry"/>
        <w:tabs>
          <w:tab w:pos="1152" w:val="left"/>
          <w:tab w:pos="8568" w:val="right" w:leader="dot"/>
        </w:tabs>
        <w:ind w:left="1152" w:hanging="648"/>
      </w:pPr>
      <w:r>
        <w:rPr>
          <w:b w:val="0"/>
        </w:rPr>
        <w:t>1.4</w:t>
        <w:tab/>
        <w:t>Scope and contributions</w:t>
      </w:r>
      <w:r>
        <w:tab/>
        <w:t>0</w:t>
      </w:r>
    </w:p>
    <w:p>
      <w:pPr>
        <w:pStyle w:val="TOCEntry"/>
        <w:tabs>
          <w:tab w:pos="1152" w:val="left"/>
          <w:tab w:pos="8568" w:val="right" w:leader="dot"/>
        </w:tabs>
        <w:ind w:left="1152" w:hanging="648"/>
      </w:pPr>
      <w:r>
        <w:rPr>
          <w:b w:val="0"/>
        </w:rPr>
        <w:t>1.5</w:t>
        <w:tab/>
        <w:t>Organisation of the report</w:t>
      </w:r>
      <w:r>
        <w:tab/>
        <w:t>0</w:t>
      </w:r>
    </w:p>
    <w:p>
      <w:pPr>
        <w:pStyle w:val="TOCEntry"/>
        <w:tabs>
          <w:tab w:pos="0" w:val="left"/>
          <w:tab w:pos="8568" w:val="right" w:leader="dot"/>
        </w:tabs>
        <w:spacing w:before="160"/>
        <w:ind w:left="0" w:firstLine="0"/>
      </w:pPr>
      <w:r>
        <w:rPr>
          <w:b/>
        </w:rPr>
        <w:t>Chapter 2: Literature Review</w:t>
      </w:r>
      <w:r>
        <w:tab/>
        <w:t>0</w:t>
      </w:r>
    </w:p>
    <w:p>
      <w:pPr>
        <w:pStyle w:val="TOCEntry"/>
        <w:tabs>
          <w:tab w:pos="1152" w:val="left"/>
          <w:tab w:pos="8568" w:val="right" w:leader="dot"/>
        </w:tabs>
        <w:ind w:left="1152" w:hanging="648"/>
      </w:pPr>
      <w:r>
        <w:rPr>
          <w:b w:val="0"/>
        </w:rPr>
        <w:t>2.1</w:t>
        <w:tab/>
        <w:t>Numerical wave models and reanalyses</w:t>
      </w:r>
      <w:r>
        <w:tab/>
        <w:t>0</w:t>
      </w:r>
    </w:p>
    <w:p>
      <w:pPr>
        <w:pStyle w:val="TOCEntry"/>
        <w:tabs>
          <w:tab w:pos="1152" w:val="left"/>
          <w:tab w:pos="8568" w:val="right" w:leader="dot"/>
        </w:tabs>
        <w:ind w:left="1152" w:hanging="648"/>
      </w:pPr>
      <w:r>
        <w:rPr>
          <w:b w:val="0"/>
        </w:rPr>
        <w:t>2.2</w:t>
        <w:tab/>
        <w:t>Data-driven wave forecasting</w:t>
      </w:r>
      <w:r>
        <w:tab/>
        <w:t>0</w:t>
      </w:r>
    </w:p>
    <w:p>
      <w:pPr>
        <w:pStyle w:val="TOCEntry"/>
        <w:tabs>
          <w:tab w:pos="1152" w:val="left"/>
          <w:tab w:pos="8568" w:val="right" w:leader="dot"/>
        </w:tabs>
        <w:ind w:left="1152" w:hanging="648"/>
      </w:pPr>
      <w:r>
        <w:rPr>
          <w:b w:val="0"/>
        </w:rPr>
        <w:t>2.3</w:t>
        <w:tab/>
        <w:t>Multi-step strategies and verification</w:t>
      </w:r>
      <w:r>
        <w:tab/>
        <w:t>0</w:t>
      </w:r>
    </w:p>
    <w:p>
      <w:pPr>
        <w:pStyle w:val="TOCEntry"/>
        <w:tabs>
          <w:tab w:pos="1152" w:val="left"/>
          <w:tab w:pos="8568" w:val="right" w:leader="dot"/>
        </w:tabs>
        <w:ind w:left="1152" w:hanging="648"/>
      </w:pPr>
      <w:r>
        <w:rPr>
          <w:b w:val="0"/>
        </w:rPr>
        <w:t>2.4</w:t>
        <w:tab/>
        <w:t>Research gap</w:t>
      </w:r>
      <w:r>
        <w:tab/>
        <w:t>0</w:t>
      </w:r>
    </w:p>
    <w:p>
      <w:pPr>
        <w:pStyle w:val="TOCEntry"/>
        <w:tabs>
          <w:tab w:pos="0" w:val="left"/>
          <w:tab w:pos="8568" w:val="right" w:leader="dot"/>
        </w:tabs>
        <w:spacing w:before="160"/>
        <w:ind w:left="0" w:firstLine="0"/>
      </w:pPr>
      <w:r>
        <w:rPr>
          <w:b/>
        </w:rPr>
        <w:t>Chapter 3: Study Area and Data</w:t>
      </w:r>
      <w:r>
        <w:tab/>
        <w:t>0</w:t>
      </w:r>
    </w:p>
    <w:p>
      <w:pPr>
        <w:pStyle w:val="TOCEntry"/>
        <w:tabs>
          <w:tab w:pos="1152" w:val="left"/>
          <w:tab w:pos="8568" w:val="right" w:leader="dot"/>
        </w:tabs>
        <w:ind w:left="1152" w:hanging="648"/>
      </w:pPr>
      <w:r>
        <w:rPr>
          <w:b w:val="0"/>
        </w:rPr>
        <w:t>3.1</w:t>
        <w:tab/>
        <w:t>The Bay of Bengal and the buoy sites</w:t>
      </w:r>
      <w:r>
        <w:tab/>
        <w:t>0</w:t>
      </w:r>
    </w:p>
    <w:p>
      <w:pPr>
        <w:pStyle w:val="TOCEntry"/>
        <w:tabs>
          <w:tab w:pos="1152" w:val="left"/>
          <w:tab w:pos="8568" w:val="right" w:leader="dot"/>
        </w:tabs>
        <w:ind w:left="1152" w:hanging="648"/>
      </w:pPr>
      <w:r>
        <w:rPr>
          <w:b w:val="0"/>
        </w:rPr>
        <w:t>3.2</w:t>
        <w:tab/>
        <w:t>ERA5 reanalysis</w:t>
      </w:r>
      <w:r>
        <w:tab/>
        <w:t>0</w:t>
      </w:r>
    </w:p>
    <w:p>
      <w:pPr>
        <w:pStyle w:val="TOCEntry"/>
        <w:tabs>
          <w:tab w:pos="1152" w:val="left"/>
          <w:tab w:pos="8568" w:val="right" w:leader="dot"/>
        </w:tabs>
        <w:ind w:left="1152" w:hanging="648"/>
      </w:pPr>
      <w:r>
        <w:rPr>
          <w:b w:val="0"/>
        </w:rPr>
        <w:t>3.3</w:t>
        <w:tab/>
        <w:t>INCOIS OMNI buoy data</w:t>
      </w:r>
      <w:r>
        <w:tab/>
        <w:t>0</w:t>
      </w:r>
    </w:p>
    <w:p>
      <w:pPr>
        <w:pStyle w:val="TOCEntry"/>
        <w:tabs>
          <w:tab w:pos="0" w:val="left"/>
          <w:tab w:pos="8568" w:val="right" w:leader="dot"/>
        </w:tabs>
        <w:spacing w:before="160"/>
        <w:ind w:left="0" w:firstLine="0"/>
      </w:pPr>
      <w:r>
        <w:rPr>
          <w:b/>
        </w:rPr>
        <w:t>Chapter 4: Methodology</w:t>
      </w:r>
      <w:r>
        <w:tab/>
        <w:t>0</w:t>
      </w:r>
    </w:p>
    <w:p>
      <w:pPr>
        <w:pStyle w:val="TOCEntry"/>
        <w:tabs>
          <w:tab w:pos="1152" w:val="left"/>
          <w:tab w:pos="8568" w:val="right" w:leader="dot"/>
        </w:tabs>
        <w:ind w:left="1152" w:hanging="648"/>
      </w:pPr>
      <w:r>
        <w:rPr>
          <w:b w:val="0"/>
        </w:rPr>
        <w:t>4.1</w:t>
        <w:tab/>
        <w:t>Phase 1: ingestion, quality control and alignment</w:t>
      </w:r>
      <w:r>
        <w:tab/>
        <w:t>0</w:t>
      </w:r>
    </w:p>
    <w:p>
      <w:pPr>
        <w:pStyle w:val="TOCEntry"/>
        <w:tabs>
          <w:tab w:pos="1872" w:val="left"/>
          <w:tab w:pos="8568" w:val="right" w:leader="dot"/>
        </w:tabs>
        <w:ind w:left="1872" w:hanging="792"/>
      </w:pPr>
      <w:r>
        <w:rPr>
          <w:b w:val="0"/>
        </w:rPr>
        <w:t>4.1.1</w:t>
        <w:tab/>
        <w:t>Quality control and regularisation</w:t>
      </w:r>
      <w:r>
        <w:tab/>
        <w:t>0</w:t>
      </w:r>
    </w:p>
    <w:p>
      <w:pPr>
        <w:pStyle w:val="TOCEntry"/>
        <w:tabs>
          <w:tab w:pos="1872" w:val="left"/>
          <w:tab w:pos="8568" w:val="right" w:leader="dot"/>
        </w:tabs>
        <w:ind w:left="1872" w:hanging="792"/>
      </w:pPr>
      <w:r>
        <w:rPr>
          <w:b w:val="0"/>
        </w:rPr>
        <w:t>4.1.2</w:t>
        <w:tab/>
        <w:t>Gap filling</w:t>
      </w:r>
      <w:r>
        <w:tab/>
        <w:t>0</w:t>
      </w:r>
    </w:p>
    <w:p>
      <w:pPr>
        <w:pStyle w:val="TOCEntry"/>
        <w:tabs>
          <w:tab w:pos="1872" w:val="left"/>
          <w:tab w:pos="8568" w:val="right" w:leader="dot"/>
        </w:tabs>
        <w:ind w:left="1872" w:hanging="792"/>
      </w:pPr>
      <w:r>
        <w:rPr>
          <w:b w:val="0"/>
        </w:rPr>
        <w:t>4.1.3</w:t>
        <w:tab/>
        <w:t>Spatial alignment</w:t>
      </w:r>
      <w:r>
        <w:tab/>
        <w:t>0</w:t>
      </w:r>
    </w:p>
    <w:p>
      <w:pPr>
        <w:pStyle w:val="TOCEntry"/>
        <w:tabs>
          <w:tab w:pos="1152" w:val="left"/>
          <w:tab w:pos="8568" w:val="right" w:leader="dot"/>
        </w:tabs>
        <w:ind w:left="1152" w:hanging="648"/>
      </w:pPr>
      <w:r>
        <w:rPr>
          <w:b w:val="0"/>
        </w:rPr>
        <w:t>4.2</w:t>
        <w:tab/>
        <w:t>Phase 2: feature engineering</w:t>
      </w:r>
      <w:r>
        <w:tab/>
        <w:t>0</w:t>
      </w:r>
    </w:p>
    <w:p>
      <w:pPr>
        <w:pStyle w:val="TOCEntry"/>
        <w:tabs>
          <w:tab w:pos="1152" w:val="left"/>
          <w:tab w:pos="8568" w:val="right" w:leader="dot"/>
        </w:tabs>
        <w:ind w:left="1152" w:hanging="648"/>
      </w:pPr>
      <w:r>
        <w:rPr>
          <w:b w:val="0"/>
        </w:rPr>
        <w:t>4.3</w:t>
        <w:tab/>
        <w:t>Forecasting strategy and sample generation</w:t>
      </w:r>
      <w:r>
        <w:tab/>
        <w:t>0</w:t>
      </w:r>
    </w:p>
    <w:p>
      <w:pPr>
        <w:pStyle w:val="TOCEntry"/>
        <w:tabs>
          <w:tab w:pos="1872" w:val="left"/>
          <w:tab w:pos="8568" w:val="right" w:leader="dot"/>
        </w:tabs>
        <w:ind w:left="1872" w:hanging="792"/>
      </w:pPr>
      <w:r>
        <w:rPr>
          <w:b w:val="0"/>
        </w:rPr>
        <w:t>4.3.1</w:t>
        <w:tab/>
        <w:t>Chronological blocks without leakage</w:t>
      </w:r>
      <w:r>
        <w:tab/>
        <w:t>0</w:t>
      </w:r>
    </w:p>
    <w:p>
      <w:pPr>
        <w:pStyle w:val="TOCEntry"/>
        <w:tabs>
          <w:tab w:pos="1152" w:val="left"/>
          <w:tab w:pos="8568" w:val="right" w:leader="dot"/>
        </w:tabs>
        <w:ind w:left="1152" w:hanging="648"/>
      </w:pPr>
      <w:r>
        <w:rPr>
          <w:b w:val="0"/>
        </w:rPr>
        <w:t>4.4</w:t>
        <w:tab/>
        <w:t>Phase 3a: reference forecasts</w:t>
      </w:r>
      <w:r>
        <w:tab/>
        <w:t>0</w:t>
      </w:r>
    </w:p>
    <w:p>
      <w:pPr>
        <w:pStyle w:val="TOCEntry"/>
        <w:tabs>
          <w:tab w:pos="1152" w:val="left"/>
          <w:tab w:pos="8568" w:val="right" w:leader="dot"/>
        </w:tabs>
        <w:ind w:left="1152" w:hanging="648"/>
      </w:pPr>
      <w:r>
        <w:rPr>
          <w:b w:val="0"/>
        </w:rPr>
        <w:t>4.5</w:t>
        <w:tab/>
        <w:t>Phase 3b: direct multi-step gradient boosting</w:t>
      </w:r>
      <w:r>
        <w:tab/>
        <w:t>0</w:t>
      </w:r>
    </w:p>
    <w:p>
      <w:pPr>
        <w:pStyle w:val="TOCEntry"/>
        <w:tabs>
          <w:tab w:pos="1152" w:val="left"/>
          <w:tab w:pos="8568" w:val="right" w:leader="dot"/>
        </w:tabs>
        <w:ind w:left="1152" w:hanging="648"/>
      </w:pPr>
      <w:r>
        <w:rPr>
          <w:b w:val="0"/>
        </w:rPr>
        <w:t>4.6</w:t>
        <w:tab/>
        <w:t>Phase 4: Seq2Seq LSTM with attention</w:t>
      </w:r>
      <w:r>
        <w:tab/>
        <w:t>0</w:t>
      </w:r>
    </w:p>
    <w:p>
      <w:pPr>
        <w:pStyle w:val="TOCEntry"/>
        <w:tabs>
          <w:tab w:pos="1872" w:val="left"/>
          <w:tab w:pos="8568" w:val="right" w:leader="dot"/>
        </w:tabs>
        <w:ind w:left="1872" w:hanging="792"/>
      </w:pPr>
      <w:r>
        <w:rPr>
          <w:b w:val="0"/>
        </w:rPr>
        <w:t>4.6.1</w:t>
        <w:tab/>
        <w:t>Peak-weighted loss</w:t>
      </w:r>
      <w:r>
        <w:tab/>
        <w:t>0</w:t>
      </w:r>
    </w:p>
    <w:p>
      <w:pPr>
        <w:pStyle w:val="TOCEntry"/>
        <w:tabs>
          <w:tab w:pos="1152" w:val="left"/>
          <w:tab w:pos="8568" w:val="right" w:leader="dot"/>
        </w:tabs>
        <w:ind w:left="1152" w:hanging="648"/>
      </w:pPr>
      <w:r>
        <w:rPr>
          <w:b w:val="0"/>
        </w:rPr>
        <w:t>4.7</w:t>
        <w:tab/>
        <w:t>Phase 5: verification</w:t>
      </w:r>
      <w:r>
        <w:tab/>
        <w:t>0</w:t>
      </w:r>
    </w:p>
    <w:p>
      <w:pPr>
        <w:pStyle w:val="TOCEntry"/>
        <w:tabs>
          <w:tab w:pos="0" w:val="left"/>
          <w:tab w:pos="8568" w:val="right" w:leader="dot"/>
        </w:tabs>
        <w:spacing w:before="160"/>
        <w:ind w:left="0" w:firstLine="0"/>
      </w:pPr>
      <w:r>
        <w:rPr>
          <w:b/>
        </w:rPr>
        <w:t>Chapter 5: Results and Discussion</w:t>
      </w:r>
      <w:r>
        <w:tab/>
        <w:t>0</w:t>
      </w:r>
    </w:p>
    <w:p>
      <w:pPr>
        <w:pStyle w:val="TOCEntry"/>
        <w:tabs>
          <w:tab w:pos="1152" w:val="left"/>
          <w:tab w:pos="8568" w:val="right" w:leader="dot"/>
        </w:tabs>
        <w:ind w:left="1152" w:hanging="648"/>
      </w:pPr>
      <w:r>
        <w:rPr>
          <w:b w:val="0"/>
        </w:rPr>
        <w:t>5.1</w:t>
        <w:tab/>
        <w:t>Overall accuracy by lead time</w:t>
      </w:r>
      <w:r>
        <w:tab/>
        <w:t>0</w:t>
      </w:r>
    </w:p>
    <w:p>
      <w:pPr>
        <w:pStyle w:val="TOCEntry"/>
        <w:tabs>
          <w:tab w:pos="1152" w:val="left"/>
          <w:tab w:pos="8568" w:val="right" w:leader="dot"/>
        </w:tabs>
        <w:ind w:left="1152" w:hanging="648"/>
      </w:pPr>
      <w:r>
        <w:rPr>
          <w:b w:val="0"/>
        </w:rPr>
        <w:t>5.2</w:t>
        <w:tab/>
        <w:t>Statistical significance</w:t>
      </w:r>
      <w:r>
        <w:tab/>
        <w:t>0</w:t>
      </w:r>
    </w:p>
    <w:p>
      <w:pPr>
        <w:pStyle w:val="TOCEntry"/>
        <w:tabs>
          <w:tab w:pos="1152" w:val="left"/>
          <w:tab w:pos="8568" w:val="right" w:leader="dot"/>
        </w:tabs>
        <w:ind w:left="1152" w:hanging="648"/>
      </w:pPr>
      <w:r>
        <w:rPr>
          <w:b w:val="0"/>
        </w:rPr>
        <w:t>5.3</w:t>
        <w:tab/>
        <w:t>Forecasts over a continuous month</w:t>
      </w:r>
      <w:r>
        <w:tab/>
        <w:t>0</w:t>
      </w:r>
    </w:p>
    <w:p>
      <w:pPr>
        <w:pStyle w:val="TOCEntry"/>
        <w:tabs>
          <w:tab w:pos="1152" w:val="left"/>
          <w:tab w:pos="8568" w:val="right" w:leader="dot"/>
        </w:tabs>
        <w:ind w:left="1152" w:hanging="648"/>
      </w:pPr>
      <w:r>
        <w:rPr>
          <w:b w:val="0"/>
        </w:rPr>
        <w:t>5.4</w:t>
        <w:tab/>
        <w:t>Performance during tropical cyclones</w:t>
      </w:r>
      <w:r>
        <w:tab/>
        <w:t>0</w:t>
      </w:r>
    </w:p>
    <w:p>
      <w:pPr>
        <w:pStyle w:val="TOCEntry"/>
        <w:tabs>
          <w:tab w:pos="1152" w:val="left"/>
          <w:tab w:pos="8568" w:val="right" w:leader="dot"/>
        </w:tabs>
        <w:ind w:left="1152" w:hanging="648"/>
      </w:pPr>
      <w:r>
        <w:rPr>
          <w:b w:val="0"/>
        </w:rPr>
        <w:t>5.5</w:t>
        <w:tab/>
        <w:t>Effect of the peak-weighted loss</w:t>
      </w:r>
      <w:r>
        <w:tab/>
        <w:t>0</w:t>
      </w:r>
    </w:p>
    <w:p>
      <w:pPr>
        <w:pStyle w:val="TOCEntry"/>
        <w:tabs>
          <w:tab w:pos="1152" w:val="left"/>
          <w:tab w:pos="8568" w:val="right" w:leader="dot"/>
        </w:tabs>
        <w:ind w:left="1152" w:hanging="648"/>
      </w:pPr>
      <w:r>
        <w:rPr>
          <w:b w:val="0"/>
        </w:rPr>
        <w:t>5.6</w:t>
        <w:tab/>
        <w:t>What the tree models learned</w:t>
      </w:r>
      <w:r>
        <w:tab/>
        <w:t>0</w:t>
      </w:r>
    </w:p>
    <w:p>
      <w:pPr>
        <w:pStyle w:val="TOCEntry"/>
        <w:tabs>
          <w:tab w:pos="1152" w:val="left"/>
          <w:tab w:pos="8568" w:val="right" w:leader="dot"/>
        </w:tabs>
        <w:ind w:left="1152" w:hanging="648"/>
      </w:pPr>
      <w:r>
        <w:rPr>
          <w:b w:val="0"/>
        </w:rPr>
        <w:t>5.7</w:t>
        <w:tab/>
        <w:t>Trees versus the Seq2Seq LSTM</w:t>
      </w:r>
      <w:r>
        <w:tab/>
        <w:t>0</w:t>
      </w:r>
    </w:p>
    <w:p>
      <w:pPr>
        <w:pStyle w:val="TOCEntry"/>
        <w:tabs>
          <w:tab w:pos="1152" w:val="left"/>
          <w:tab w:pos="8568" w:val="right" w:leader="dot"/>
        </w:tabs>
        <w:ind w:left="1152" w:hanging="648"/>
      </w:pPr>
      <w:r>
        <w:rPr>
          <w:b w:val="0"/>
        </w:rPr>
        <w:t>5.8</w:t>
        <w:tab/>
        <w:t>LSTM sensitivity</w:t>
      </w:r>
      <w:r>
        <w:tab/>
        <w:t>0</w:t>
      </w:r>
    </w:p>
    <w:p>
      <w:pPr>
        <w:pStyle w:val="TOCEntry"/>
        <w:tabs>
          <w:tab w:pos="1152" w:val="left"/>
          <w:tab w:pos="8568" w:val="right" w:leader="dot"/>
        </w:tabs>
        <w:ind w:left="1152" w:hanging="648"/>
      </w:pPr>
      <w:r>
        <w:rPr>
          <w:b w:val="0"/>
        </w:rPr>
        <w:t>5.9</w:t>
        <w:tab/>
        <w:t>Limitations</w:t>
      </w:r>
      <w:r>
        <w:tab/>
        <w:t>0</w:t>
      </w:r>
    </w:p>
    <w:p>
      <w:pPr>
        <w:pStyle w:val="TOCEntry"/>
        <w:tabs>
          <w:tab w:pos="0" w:val="left"/>
          <w:tab w:pos="8568" w:val="right" w:leader="dot"/>
        </w:tabs>
        <w:spacing w:before="160"/>
        <w:ind w:left="0" w:firstLine="0"/>
      </w:pPr>
      <w:r>
        <w:rPr>
          <w:b/>
        </w:rPr>
        <w:t>Chapter 6: Conclusions and Future Work</w:t>
      </w:r>
      <w:r>
        <w:tab/>
        <w:t>0</w:t>
      </w:r>
    </w:p>
    <w:p>
      <w:pPr>
        <w:pStyle w:val="TOCEntry"/>
        <w:tabs>
          <w:tab w:pos="1152" w:val="left"/>
          <w:tab w:pos="8568" w:val="right" w:leader="dot"/>
        </w:tabs>
        <w:ind w:left="1152" w:hanging="648"/>
      </w:pPr>
      <w:r>
        <w:rPr>
          <w:b w:val="0"/>
        </w:rPr>
        <w:t>6.1</w:t>
        <w:tab/>
        <w:t>Conclusions</w:t>
      </w:r>
      <w:r>
        <w:tab/>
        <w:t>0</w:t>
      </w:r>
    </w:p>
    <w:p>
      <w:pPr>
        <w:pStyle w:val="TOCEntry"/>
        <w:tabs>
          <w:tab w:pos="1152" w:val="left"/>
          <w:tab w:pos="8568" w:val="right" w:leader="dot"/>
        </w:tabs>
        <w:ind w:left="1152" w:hanging="648"/>
      </w:pPr>
      <w:r>
        <w:rPr>
          <w:b w:val="0"/>
        </w:rPr>
        <w:t>6.2</w:t>
        <w:tab/>
        <w:t>Future work</w:t>
      </w:r>
      <w:r>
        <w:tab/>
        <w:t>0</w:t>
      </w:r>
    </w:p>
    <w:p>
      <w:pPr>
        <w:pStyle w:val="TOCEntry"/>
        <w:tabs>
          <w:tab w:pos="0" w:val="left"/>
          <w:tab w:pos="8568" w:val="right" w:leader="dot"/>
        </w:tabs>
        <w:spacing w:before="160"/>
        <w:ind w:left="0" w:firstLine="0"/>
      </w:pPr>
      <w:r>
        <w:rPr>
          <w:b/>
        </w:rPr>
        <w:t>References</w:t>
      </w:r>
      <w:r>
        <w:tab/>
        <w:t>0</w:t>
      </w:r>
    </w:p>
    <w:p>
      <w:pPr>
        <w:pStyle w:val="TOCEntry"/>
        <w:tabs>
          <w:tab w:pos="0" w:val="left"/>
          <w:tab w:pos="8568" w:val="right" w:leader="dot"/>
        </w:tabs>
        <w:spacing w:before="160"/>
        <w:ind w:left="0" w:firstLine="0"/>
      </w:pPr>
      <w:r>
        <w:rPr>
          <w:b/>
        </w:rPr>
        <w:t>Appendix A: Hyperparameter Search Spaces and Selected Values</w:t>
      </w:r>
      <w:r>
        <w:tab/>
        <w:t>0</w:t>
      </w:r>
    </w:p>
    <w:p>
      <w:pPr>
        <w:pStyle w:val="TOCEntry"/>
        <w:tabs>
          <w:tab w:pos="0" w:val="left"/>
          <w:tab w:pos="8568" w:val="right" w:leader="dot"/>
        </w:tabs>
        <w:spacing w:before="160"/>
        <w:ind w:left="0" w:firstLine="0"/>
      </w:pPr>
      <w:r>
        <w:rPr>
          <w:b/>
        </w:rPr>
        <w:t>Appendix B: Software and Reproducibility</w:t>
      </w:r>
      <w:r>
        <w:tab/>
        <w:t>0</w:t>
      </w:r>
      <w:r>
        <w:fldChar w:fldCharType="end"/>
      </w:r>
    </w:p>
    <w:p>
      <w:pPr>
        <w:pStyle w:val="Single"/>
        <w:pageBreakBefore/>
        <w:spacing w:after="360"/>
        <w:jc w:val="center"/>
      </w:pPr>
      <w:r>
        <w:rPr>
          <w:b/>
          <w:sz w:val="28"/>
        </w:rPr>
        <w:t>LIST OF FIGURES</w:t>
      </w:r>
    </w:p>
    <w:p>
      <w:pPr>
        <w:pStyle w:val="TOCEntry"/>
        <w:tabs>
          <w:tab w:pos="1368" w:val="left"/>
          <w:tab w:pos="8568" w:val="right" w:leader="dot"/>
        </w:tabs>
        <w:ind w:left="1368" w:hanging="1368"/>
      </w:pPr>
      <w:r>
        <w:rPr>
          <w:b w:val="0"/>
          <w:sz w:val="22"/>
        </w:rPr>
        <w:t>Figure 3.1</w:t>
        <w:tab/>
        <w:t>ERA5 significant wave height at the three sites, 2015–2024</w:t>
      </w:r>
      <w:r>
        <w:tab/>
        <w:t>9</w:t>
      </w:r>
    </w:p>
    <w:p>
      <w:pPr>
        <w:pStyle w:val="TOCEntry"/>
        <w:tabs>
          <w:tab w:pos="1368" w:val="left"/>
          <w:tab w:pos="8568" w:val="right" w:leader="dot"/>
        </w:tabs>
        <w:ind w:left="1368" w:hanging="1368"/>
      </w:pPr>
      <w:r>
        <w:rPr>
          <w:b w:val="0"/>
          <w:sz w:val="22"/>
        </w:rPr>
        <w:t>Figure 3.2</w:t>
        <w:tab/>
        <w:t>Monthly distribution of Hs at the three sites (median and 5–95 % range)</w:t>
      </w:r>
      <w:r>
        <w:tab/>
        <w:t>9</w:t>
      </w:r>
    </w:p>
    <w:p>
      <w:pPr>
        <w:pStyle w:val="TOCEntry"/>
        <w:tabs>
          <w:tab w:pos="1368" w:val="left"/>
          <w:tab w:pos="8568" w:val="right" w:leader="dot"/>
        </w:tabs>
        <w:ind w:left="1368" w:hanging="1368"/>
      </w:pPr>
      <w:r>
        <w:rPr>
          <w:b w:val="0"/>
          <w:sz w:val="22"/>
        </w:rPr>
        <w:t>Figure 4.1</w:t>
        <w:tab/>
        <w:t>Methodology: the five phases of the forecasting framework</w:t>
      </w:r>
      <w:r>
        <w:tab/>
        <w:t>11</w:t>
      </w:r>
    </w:p>
    <w:p>
      <w:pPr>
        <w:pStyle w:val="TOCEntry"/>
        <w:tabs>
          <w:tab w:pos="1368" w:val="left"/>
          <w:tab w:pos="8568" w:val="right" w:leader="dot"/>
        </w:tabs>
        <w:ind w:left="1368" w:hanging="1368"/>
      </w:pPr>
      <w:r>
        <w:rPr>
          <w:b w:val="0"/>
          <w:sz w:val="22"/>
        </w:rPr>
        <w:t>Figure 4.2</w:t>
        <w:tab/>
        <w:t>Architecture of the Seq2Seq Bi-LSTM forecaster with attention</w:t>
      </w:r>
      <w:r>
        <w:tab/>
        <w:t>17</w:t>
      </w:r>
    </w:p>
    <w:p>
      <w:pPr>
        <w:pStyle w:val="TOCEntry"/>
        <w:tabs>
          <w:tab w:pos="1368" w:val="left"/>
          <w:tab w:pos="8568" w:val="right" w:leader="dot"/>
        </w:tabs>
        <w:ind w:left="1368" w:hanging="1368"/>
      </w:pPr>
      <w:r>
        <w:rPr>
          <w:b w:val="0"/>
          <w:sz w:val="22"/>
        </w:rPr>
        <w:t>Figure 5.1</w:t>
        <w:tab/>
        <w:t>Test RMSE against lead time at the three sites</w:t>
      </w:r>
      <w:r>
        <w:tab/>
        <w:t>20</w:t>
      </w:r>
    </w:p>
    <w:p>
      <w:pPr>
        <w:pStyle w:val="TOCEntry"/>
        <w:tabs>
          <w:tab w:pos="1368" w:val="left"/>
          <w:tab w:pos="8568" w:val="right" w:leader="dot"/>
        </w:tabs>
        <w:ind w:left="1368" w:hanging="1368"/>
      </w:pPr>
      <w:r>
        <w:rPr>
          <w:b w:val="0"/>
          <w:sz w:val="22"/>
        </w:rPr>
        <w:t>Figure 5.2</w:t>
        <w:tab/>
        <w:t>Skill relative to persistence, SS = 1 − RMSE/RMSEpers</w:t>
      </w:r>
      <w:r>
        <w:tab/>
        <w:t>21</w:t>
      </w:r>
    </w:p>
    <w:p>
      <w:pPr>
        <w:pStyle w:val="TOCEntry"/>
        <w:tabs>
          <w:tab w:pos="1368" w:val="left"/>
          <w:tab w:pos="8568" w:val="right" w:leader="dot"/>
        </w:tabs>
        <w:ind w:left="1368" w:hanging="1368"/>
      </w:pPr>
      <w:r>
        <w:rPr>
          <w:b w:val="0"/>
          <w:sz w:val="22"/>
        </w:rPr>
        <w:t>Figure 5.3</w:t>
        <w:tab/>
        <w:t>Test RMSE of ARIMA, the tree models and the LSTMs at 24 h and 72 h</w:t>
      </w:r>
      <w:r>
        <w:tab/>
        <w:t>23</w:t>
      </w:r>
    </w:p>
    <w:p>
      <w:pPr>
        <w:pStyle w:val="TOCEntry"/>
        <w:tabs>
          <w:tab w:pos="1368" w:val="left"/>
          <w:tab w:pos="8568" w:val="right" w:leader="dot"/>
        </w:tabs>
        <w:ind w:left="1368" w:hanging="1368"/>
      </w:pPr>
      <w:r>
        <w:rPr>
          <w:b w:val="0"/>
          <w:sz w:val="22"/>
        </w:rPr>
        <w:t>Figure 5.4</w:t>
        <w:tab/>
        <w:t>Forecast against observed Hs at 24 h at BD08</w:t>
      </w:r>
      <w:r>
        <w:tab/>
        <w:t>23</w:t>
      </w:r>
    </w:p>
    <w:p>
      <w:pPr>
        <w:pStyle w:val="TOCEntry"/>
        <w:tabs>
          <w:tab w:pos="1368" w:val="left"/>
          <w:tab w:pos="8568" w:val="right" w:leader="dot"/>
        </w:tabs>
        <w:ind w:left="1368" w:hanging="1368"/>
      </w:pPr>
      <w:r>
        <w:rPr>
          <w:b w:val="0"/>
          <w:sz w:val="22"/>
        </w:rPr>
        <w:t>Figure 5.5</w:t>
        <w:tab/>
        <w:t>Forecasts at BD08 over a 30-day test window</w:t>
      </w:r>
      <w:r>
        <w:tab/>
        <w:t>25</w:t>
      </w:r>
    </w:p>
    <w:p>
      <w:pPr>
        <w:pStyle w:val="TOCEntry"/>
        <w:tabs>
          <w:tab w:pos="1368" w:val="left"/>
          <w:tab w:pos="8568" w:val="right" w:leader="dot"/>
        </w:tabs>
        <w:ind w:left="1368" w:hanging="1368"/>
      </w:pPr>
      <w:r>
        <w:rPr>
          <w:b w:val="0"/>
          <w:sz w:val="22"/>
        </w:rPr>
        <w:t>Figure 5.6</w:t>
        <w:tab/>
        <w:t>Forecasts during cyclone Mocha at BD08, at 24 h and 72 h</w:t>
      </w:r>
      <w:r>
        <w:tab/>
        <w:t>26</w:t>
      </w:r>
    </w:p>
    <w:p>
      <w:pPr>
        <w:pStyle w:val="TOCEntry"/>
        <w:tabs>
          <w:tab w:pos="1368" w:val="left"/>
          <w:tab w:pos="8568" w:val="right" w:leader="dot"/>
        </w:tabs>
        <w:ind w:left="1368" w:hanging="1368"/>
      </w:pPr>
      <w:r>
        <w:rPr>
          <w:b w:val="0"/>
          <w:sz w:val="22"/>
        </w:rPr>
        <w:t>Figure 5.7</w:t>
        <w:tab/>
        <w:t>Forecasts during cyclone Michaung at BD11, at 24 h and 72 h</w:t>
      </w:r>
      <w:r>
        <w:tab/>
        <w:t>27</w:t>
      </w:r>
    </w:p>
    <w:p>
      <w:pPr>
        <w:pStyle w:val="TOCEntry"/>
        <w:tabs>
          <w:tab w:pos="1368" w:val="left"/>
          <w:tab w:pos="8568" w:val="right" w:leader="dot"/>
        </w:tabs>
        <w:ind w:left="1368" w:hanging="1368"/>
      </w:pPr>
      <w:r>
        <w:rPr>
          <w:b w:val="0"/>
          <w:sz w:val="22"/>
        </w:rPr>
        <w:t>Figure 5.8</w:t>
        <w:tab/>
        <w:t>Mean error and under-prediction rate on extreme sea states</w:t>
      </w:r>
      <w:r>
        <w:tab/>
        <w:t>28</w:t>
      </w:r>
    </w:p>
    <w:p>
      <w:pPr>
        <w:pStyle w:val="TOCEntry"/>
        <w:tabs>
          <w:tab w:pos="1368" w:val="left"/>
          <w:tab w:pos="8568" w:val="right" w:leader="dot"/>
        </w:tabs>
        <w:ind w:left="1368" w:hanging="1368"/>
      </w:pPr>
      <w:r>
        <w:rPr>
          <w:b w:val="0"/>
          <w:sz w:val="22"/>
        </w:rPr>
        <w:t>Figure 5.9</w:t>
        <w:tab/>
        <w:t>CatBoost feature importance at 6 h and 72 h</w:t>
      </w:r>
      <w:r>
        <w:tab/>
        <w:t>29</w:t>
      </w:r>
    </w:p>
    <w:p>
      <w:pPr>
        <w:pStyle w:val="TOCEntry"/>
        <w:tabs>
          <w:tab w:pos="1368" w:val="left"/>
          <w:tab w:pos="8568" w:val="right" w:leader="dot"/>
        </w:tabs>
        <w:ind w:left="1368" w:hanging="1368"/>
      </w:pPr>
      <w:r>
        <w:rPr>
          <w:b w:val="0"/>
          <w:sz w:val="22"/>
        </w:rPr>
        <w:t>Figure 5.10</w:t>
        <w:tab/>
        <w:t>Training and early-stopping loss of the two LSTM variants at BD08</w:t>
      </w:r>
      <w:r>
        <w:tab/>
        <w:t>30</w:t>
      </w:r>
    </w:p>
    <w:p>
      <w:pPr>
        <w:pStyle w:val="Single"/>
        <w:pageBreakBefore/>
        <w:spacing w:after="360"/>
        <w:jc w:val="center"/>
      </w:pPr>
      <w:r>
        <w:rPr>
          <w:b/>
          <w:sz w:val="28"/>
        </w:rPr>
        <w:t>LIST OF TABLES</w:t>
      </w:r>
    </w:p>
    <w:p>
      <w:pPr>
        <w:pStyle w:val="TOCEntry"/>
        <w:tabs>
          <w:tab w:pos="1368" w:val="left"/>
          <w:tab w:pos="8568" w:val="right" w:leader="dot"/>
        </w:tabs>
        <w:ind w:left="1368" w:hanging="1368"/>
      </w:pPr>
      <w:r>
        <w:rPr>
          <w:b w:val="0"/>
          <w:sz w:val="22"/>
        </w:rPr>
        <w:t>Table 3.1</w:t>
        <w:tab/>
        <w:t>Buoy sites and the ERA5 nodes matched to them</w:t>
      </w:r>
      <w:r>
        <w:tab/>
        <w:t>6</w:t>
      </w:r>
    </w:p>
    <w:p>
      <w:pPr>
        <w:pStyle w:val="TOCEntry"/>
        <w:tabs>
          <w:tab w:pos="1368" w:val="left"/>
          <w:tab w:pos="8568" w:val="right" w:leader="dot"/>
        </w:tabs>
        <w:ind w:left="1368" w:hanging="1368"/>
      </w:pPr>
      <w:r>
        <w:rPr>
          <w:b w:val="0"/>
          <w:sz w:val="22"/>
        </w:rPr>
        <w:t>Table 3.2</w:t>
        <w:tab/>
        <w:t>ERA5 variables, units and native grid</w:t>
      </w:r>
      <w:r>
        <w:tab/>
        <w:t>7</w:t>
      </w:r>
    </w:p>
    <w:p>
      <w:pPr>
        <w:pStyle w:val="TOCEntry"/>
        <w:tabs>
          <w:tab w:pos="1368" w:val="left"/>
          <w:tab w:pos="8568" w:val="right" w:leader="dot"/>
        </w:tabs>
        <w:ind w:left="1368" w:hanging="1368"/>
      </w:pPr>
      <w:r>
        <w:rPr>
          <w:b w:val="0"/>
          <w:sz w:val="22"/>
        </w:rPr>
        <w:t>Table 3.3</w:t>
        <w:tab/>
        <w:t>Statistics of ERA5 at the buoy sites, 2015–2024</w:t>
      </w:r>
      <w:r>
        <w:tab/>
        <w:t>7</w:t>
      </w:r>
    </w:p>
    <w:p>
      <w:pPr>
        <w:pStyle w:val="TOCEntry"/>
        <w:tabs>
          <w:tab w:pos="1368" w:val="left"/>
          <w:tab w:pos="8568" w:val="right" w:leader="dot"/>
        </w:tabs>
        <w:ind w:left="1368" w:hanging="1368"/>
      </w:pPr>
      <w:r>
        <w:rPr>
          <w:b w:val="0"/>
          <w:sz w:val="22"/>
        </w:rPr>
        <w:t>Table 3.4</w:t>
        <w:tab/>
        <w:t>Largest wave events at each site</w:t>
      </w:r>
      <w:r>
        <w:tab/>
        <w:t>8</w:t>
      </w:r>
    </w:p>
    <w:p>
      <w:pPr>
        <w:pStyle w:val="TOCEntry"/>
        <w:tabs>
          <w:tab w:pos="1368" w:val="left"/>
          <w:tab w:pos="8568" w:val="right" w:leader="dot"/>
        </w:tabs>
        <w:ind w:left="1368" w:hanging="1368"/>
      </w:pPr>
      <w:r>
        <w:rPr>
          <w:b w:val="0"/>
          <w:sz w:val="22"/>
        </w:rPr>
        <w:t>Table 4.1</w:t>
        <w:tab/>
        <w:t>Engineered features</w:t>
      </w:r>
      <w:r>
        <w:tab/>
        <w:t>13</w:t>
      </w:r>
    </w:p>
    <w:p>
      <w:pPr>
        <w:pStyle w:val="TOCEntry"/>
        <w:tabs>
          <w:tab w:pos="1368" w:val="left"/>
          <w:tab w:pos="8568" w:val="right" w:leader="dot"/>
        </w:tabs>
        <w:ind w:left="1368" w:hanging="1368"/>
      </w:pPr>
      <w:r>
        <w:rPr>
          <w:b w:val="0"/>
          <w:sz w:val="22"/>
        </w:rPr>
        <w:t>Table 4.2</w:t>
        <w:tab/>
        <w:t>Chronological blocks</w:t>
      </w:r>
      <w:r>
        <w:tab/>
        <w:t>14</w:t>
      </w:r>
    </w:p>
    <w:p>
      <w:pPr>
        <w:pStyle w:val="TOCEntry"/>
        <w:tabs>
          <w:tab w:pos="1368" w:val="left"/>
          <w:tab w:pos="8568" w:val="right" w:leader="dot"/>
        </w:tabs>
        <w:ind w:left="1368" w:hanging="1368"/>
      </w:pPr>
      <w:r>
        <w:rPr>
          <w:b w:val="0"/>
          <w:sz w:val="22"/>
        </w:rPr>
        <w:t>Table 5.1</w:t>
        <w:tab/>
        <w:t>Test RMSE (m) at BD08, 2023–2024</w:t>
      </w:r>
      <w:r>
        <w:tab/>
        <w:t>19</w:t>
      </w:r>
    </w:p>
    <w:p>
      <w:pPr>
        <w:pStyle w:val="TOCEntry"/>
        <w:tabs>
          <w:tab w:pos="1368" w:val="left"/>
          <w:tab w:pos="8568" w:val="right" w:leader="dot"/>
        </w:tabs>
        <w:ind w:left="1368" w:hanging="1368"/>
      </w:pPr>
      <w:r>
        <w:rPr>
          <w:b w:val="0"/>
          <w:sz w:val="22"/>
        </w:rPr>
        <w:t>Table 5.2</w:t>
        <w:tab/>
        <w:t>Test RMSE (m) at BD10, 2023–2024</w:t>
      </w:r>
      <w:r>
        <w:tab/>
        <w:t>20</w:t>
      </w:r>
    </w:p>
    <w:p>
      <w:pPr>
        <w:pStyle w:val="TOCEntry"/>
        <w:tabs>
          <w:tab w:pos="1368" w:val="left"/>
          <w:tab w:pos="8568" w:val="right" w:leader="dot"/>
        </w:tabs>
        <w:ind w:left="1368" w:hanging="1368"/>
      </w:pPr>
      <w:r>
        <w:rPr>
          <w:b w:val="0"/>
          <w:sz w:val="22"/>
        </w:rPr>
        <w:t>Table 5.3</w:t>
        <w:tab/>
        <w:t>Test RMSE (m) at BD11, 2023–2024</w:t>
      </w:r>
      <w:r>
        <w:tab/>
        <w:t>20</w:t>
      </w:r>
    </w:p>
    <w:p>
      <w:pPr>
        <w:pStyle w:val="TOCEntry"/>
        <w:tabs>
          <w:tab w:pos="1368" w:val="left"/>
          <w:tab w:pos="8568" w:val="right" w:leader="dot"/>
        </w:tabs>
        <w:ind w:left="1368" w:hanging="1368"/>
      </w:pPr>
      <w:r>
        <w:rPr>
          <w:b w:val="0"/>
          <w:sz w:val="22"/>
        </w:rPr>
        <w:t>Table 5.4</w:t>
        <w:tab/>
        <w:t>Skill score relative to persistence, mean over the three sites</w:t>
      </w:r>
      <w:r>
        <w:tab/>
        <w:t>21</w:t>
      </w:r>
    </w:p>
    <w:p>
      <w:pPr>
        <w:pStyle w:val="TOCEntry"/>
        <w:tabs>
          <w:tab w:pos="1368" w:val="left"/>
          <w:tab w:pos="8568" w:val="right" w:leader="dot"/>
        </w:tabs>
        <w:ind w:left="1368" w:hanging="1368"/>
      </w:pPr>
      <w:r>
        <w:rPr>
          <w:b w:val="0"/>
          <w:sz w:val="22"/>
        </w:rPr>
        <w:t>Table 5.5</w:t>
        <w:tab/>
        <w:t>Coefficient of determination R², mean over the three sites</w:t>
      </w:r>
      <w:r>
        <w:tab/>
        <w:t>22</w:t>
      </w:r>
    </w:p>
    <w:p>
      <w:pPr>
        <w:pStyle w:val="TOCEntry"/>
        <w:tabs>
          <w:tab w:pos="1368" w:val="left"/>
          <w:tab w:pos="8568" w:val="right" w:leader="dot"/>
        </w:tabs>
        <w:ind w:left="1368" w:hanging="1368"/>
      </w:pPr>
      <w:r>
        <w:rPr>
          <w:b w:val="0"/>
          <w:sz w:val="22"/>
        </w:rPr>
        <w:t>Table 5.6</w:t>
        <w:tab/>
        <w:t>Scatter index SI = RMSE / mean observation, mean over the three sites</w:t>
      </w:r>
      <w:r>
        <w:tab/>
        <w:t>22</w:t>
      </w:r>
    </w:p>
    <w:p>
      <w:pPr>
        <w:pStyle w:val="TOCEntry"/>
        <w:tabs>
          <w:tab w:pos="1368" w:val="left"/>
          <w:tab w:pos="8568" w:val="right" w:leader="dot"/>
        </w:tabs>
        <w:ind w:left="1368" w:hanging="1368"/>
      </w:pPr>
      <w:r>
        <w:rPr>
          <w:b w:val="0"/>
          <w:sz w:val="22"/>
        </w:rPr>
        <w:t>Table 5.7</w:t>
        <w:tab/>
        <w:t>Diebold–Mariano p-values against the best model at each site and lead time</w:t>
      </w:r>
      <w:r>
        <w:tab/>
        <w:t>24</w:t>
      </w:r>
    </w:p>
    <w:p>
      <w:pPr>
        <w:pStyle w:val="TOCEntry"/>
        <w:tabs>
          <w:tab w:pos="1368" w:val="left"/>
          <w:tab w:pos="8568" w:val="right" w:leader="dot"/>
        </w:tabs>
        <w:ind w:left="1368" w:hanging="1368"/>
      </w:pPr>
      <w:r>
        <w:rPr>
          <w:b w:val="0"/>
          <w:sz w:val="22"/>
        </w:rPr>
        <w:t>Table 5.8</w:t>
        <w:tab/>
        <w:t>RMSE and mean error inside the cyclone windows of 2023–2024</w:t>
      </w:r>
      <w:r>
        <w:tab/>
        <w:t>26</w:t>
      </w:r>
    </w:p>
    <w:p>
      <w:pPr>
        <w:pStyle w:val="TOCEntry"/>
        <w:tabs>
          <w:tab w:pos="1368" w:val="left"/>
          <w:tab w:pos="8568" w:val="right" w:leader="dot"/>
        </w:tabs>
        <w:ind w:left="1368" w:hanging="1368"/>
      </w:pPr>
      <w:r>
        <w:rPr>
          <w:b w:val="0"/>
          <w:sz w:val="22"/>
        </w:rPr>
        <w:t>Table 5.9</w:t>
        <w:tab/>
        <w:t>Scores on extreme sea states (observed Hs ≥ q95), all sites</w:t>
      </w:r>
      <w:r>
        <w:tab/>
        <w:t>28</w:t>
      </w:r>
    </w:p>
    <w:p>
      <w:pPr>
        <w:pStyle w:val="TOCEntry"/>
        <w:tabs>
          <w:tab w:pos="1368" w:val="left"/>
          <w:tab w:pos="8568" w:val="right" w:leader="dot"/>
        </w:tabs>
        <w:ind w:left="1368" w:hanging="1368"/>
      </w:pPr>
      <w:r>
        <w:rPr>
          <w:b w:val="0"/>
          <w:sz w:val="22"/>
        </w:rPr>
        <w:t>Table 5.10</w:t>
        <w:tab/>
        <w:t>LSTM (MSE) sensitivity to training settings at BD08</w:t>
      </w:r>
      <w:r>
        <w:tab/>
        <w:t>30</w:t>
      </w:r>
    </w:p>
    <w:p>
      <w:pPr>
        <w:pStyle w:val="TOCEntry"/>
        <w:tabs>
          <w:tab w:pos="1368" w:val="left"/>
          <w:tab w:pos="8568" w:val="right" w:leader="dot"/>
        </w:tabs>
        <w:ind w:left="1368" w:hanging="1368"/>
      </w:pPr>
      <w:r>
        <w:rPr>
          <w:b w:val="0"/>
          <w:sz w:val="22"/>
        </w:rPr>
        <w:t>Table A.1</w:t>
        <w:tab/>
        <w:t>Optuna search spaces (ranges sampled on a log scale are marked “log”)</w:t>
      </w:r>
      <w:r>
        <w:tab/>
        <w:t>36</w:t>
      </w:r>
    </w:p>
    <w:p>
      <w:pPr>
        <w:pStyle w:val="TOCEntry"/>
        <w:tabs>
          <w:tab w:pos="1368" w:val="left"/>
          <w:tab w:pos="8568" w:val="right" w:leader="dot"/>
        </w:tabs>
        <w:ind w:left="1368" w:hanging="1368"/>
      </w:pPr>
      <w:r>
        <w:rPr>
          <w:b w:val="0"/>
          <w:sz w:val="22"/>
        </w:rPr>
        <w:t>Table A.2</w:t>
        <w:tab/>
        <w:t>Selected hyperparameters and boosting rounds per horizon</w:t>
      </w:r>
      <w:r>
        <w:tab/>
        <w:t>36</w:t>
      </w:r>
    </w:p>
    <w:p>
      <w:pPr>
        <w:pStyle w:val="Single"/>
        <w:keepNext/>
        <w:spacing w:after="360"/>
        <w:jc w:val="center"/>
      </w:pPr>
      <w:r>
        <w:br w:type="page"/>
      </w:r>
      <w:r>
        <w:rPr>
          <w:b/>
          <w:sz w:val="28"/>
        </w:rPr>
        <w:t>LIST OF SYMBOLS AND ABBREVIATIONS</w:t>
      </w:r>
    </w:p>
    <w:tbl>
      <w:tblPr>
        <w:tblW w:type="dxa" w:w="8640"/>
        <w:tblCellMar>
          <w:top w:w="45" w:type="dxa"/>
          <w:left w:w="90" w:type="dxa"/>
          <w:bottom w:w="45" w:type="dxa"/>
          <w:right w:w="90" w:type="dxa"/>
        </w:tblCellMar>
        <w:tblLook w:firstColumn="1" w:firstRow="1" w:lastColumn="0" w:lastRow="0" w:noHBand="0" w:noVBand="1" w:val="04A0"/>
        <w:tblLayout w:type="fixed"/>
        <w:tblBorders>
          <w:top w:val="single" w:sz="12" w:color="000000"/>
          <w:left w:val="nil"/>
          <w:bottom w:val="single" w:sz="12" w:color="000000"/>
          <w:right w:val="nil"/>
          <w:insideH w:val="nil"/>
          <w:insideV w:val="nil"/>
        </w:tblBorders>
      </w:tblPr>
      <w:tblGrid>
        <w:gridCol w:w="1584"/>
        <w:gridCol w:w="5184"/>
        <w:gridCol w:w="1872"/>
      </w:tblGrid>
      <w:tr>
        <w:tc>
          <w:tcPr>
            <w:tcW w:type="dxa" w:w="1584"/>
            <w:tcBorders>
              <w:bottom w:val="single" w:sz="6" w:color="000000"/>
            </w:tcBorders>
          </w:tcPr>
          <w:p>
            <w:pPr>
              <w:pStyle w:val="TableText"/>
            </w:pPr>
            <w:r>
              <w:rPr>
                <w:rFonts w:ascii="Times New Roman" w:hAnsi="Times New Roman"/>
                <w:b/>
                <w:sz w:val="22"/>
              </w:rPr>
              <w:t>Symbol</w:t>
            </w:r>
          </w:p>
        </w:tc>
        <w:tc>
          <w:tcPr>
            <w:tcW w:type="dxa" w:w="5184"/>
            <w:tcBorders>
              <w:bottom w:val="single" w:sz="6" w:color="000000"/>
            </w:tcBorders>
          </w:tcPr>
          <w:p>
            <w:pPr>
              <w:pStyle w:val="TableText"/>
            </w:pPr>
            <w:r>
              <w:rPr>
                <w:rFonts w:ascii="Times New Roman" w:hAnsi="Times New Roman"/>
                <w:b/>
                <w:sz w:val="22"/>
              </w:rPr>
              <w:t>Description</w:t>
            </w:r>
          </w:p>
        </w:tc>
        <w:tc>
          <w:tcPr>
            <w:tcW w:type="dxa" w:w="1872"/>
            <w:tcBorders>
              <w:bottom w:val="single" w:sz="6" w:color="000000"/>
            </w:tcBorders>
          </w:tcPr>
          <w:p>
            <w:pPr>
              <w:pStyle w:val="TableText"/>
            </w:pPr>
            <w:r>
              <w:rPr>
                <w:rFonts w:ascii="Times New Roman" w:hAnsi="Times New Roman"/>
                <w:b/>
                <w:sz w:val="22"/>
              </w:rPr>
              <w:t>Unit</w:t>
            </w:r>
          </w:p>
        </w:tc>
      </w:tr>
      <w:tr>
        <w:tc>
          <w:tcPr>
            <w:tcW w:type="dxa" w:w="1584"/>
          </w:tcPr>
          <w:p>
            <w:pPr>
              <w:pStyle w:val="TableText"/>
            </w:pPr>
            <w:r>
              <w:rPr>
                <w:rFonts w:ascii="Times New Roman" w:hAnsi="Times New Roman"/>
                <w:sz w:val="22"/>
              </w:rPr>
              <w:t>H</w:t>
            </w:r>
            <w:r>
              <w:rPr>
                <w:rFonts w:ascii="Times New Roman" w:hAnsi="Times New Roman"/>
                <w:sz w:val="22"/>
                <w:vertAlign w:val="subscript"/>
              </w:rPr>
              <w:t>s</w:t>
            </w:r>
          </w:p>
        </w:tc>
        <w:tc>
          <w:tcPr>
            <w:tcW w:type="dxa" w:w="5184"/>
          </w:tcPr>
          <w:p>
            <w:pPr>
              <w:pStyle w:val="TableText"/>
            </w:pPr>
            <w:r>
              <w:rPr>
                <w:rFonts w:ascii="Times New Roman" w:hAnsi="Times New Roman"/>
                <w:sz w:val="22"/>
              </w:rPr>
              <w:t>Significant wave height</w:t>
            </w:r>
          </w:p>
        </w:tc>
        <w:tc>
          <w:tcPr>
            <w:tcW w:type="dxa" w:w="1872"/>
          </w:tcPr>
          <w:p>
            <w:pPr>
              <w:pStyle w:val="TableText"/>
            </w:pPr>
            <w:r>
              <w:rPr>
                <w:rFonts w:ascii="Times New Roman" w:hAnsi="Times New Roman"/>
                <w:sz w:val="22"/>
              </w:rPr>
              <w:t>m</w:t>
            </w:r>
          </w:p>
        </w:tc>
      </w:tr>
      <w:tr>
        <w:tc>
          <w:tcPr>
            <w:tcW w:type="dxa" w:w="1584"/>
          </w:tcPr>
          <w:p>
            <w:pPr>
              <w:pStyle w:val="TableText"/>
            </w:pPr>
            <w:r>
              <w:rPr>
                <w:rFonts w:ascii="Times New Roman" w:hAnsi="Times New Roman"/>
                <w:sz w:val="22"/>
              </w:rPr>
              <w:t>T</w:t>
            </w:r>
            <w:r>
              <w:rPr>
                <w:rFonts w:ascii="Times New Roman" w:hAnsi="Times New Roman"/>
                <w:sz w:val="22"/>
                <w:vertAlign w:val="subscript"/>
              </w:rPr>
              <w:t>m</w:t>
            </w:r>
          </w:p>
        </w:tc>
        <w:tc>
          <w:tcPr>
            <w:tcW w:type="dxa" w:w="5184"/>
          </w:tcPr>
          <w:p>
            <w:pPr>
              <w:pStyle w:val="TableText"/>
            </w:pPr>
            <w:r>
              <w:rPr>
                <w:rFonts w:ascii="Times New Roman" w:hAnsi="Times New Roman"/>
                <w:sz w:val="22"/>
              </w:rPr>
              <w:t>Mean wave period</w:t>
            </w:r>
          </w:p>
        </w:tc>
        <w:tc>
          <w:tcPr>
            <w:tcW w:type="dxa" w:w="1872"/>
          </w:tcPr>
          <w:p>
            <w:pPr>
              <w:pStyle w:val="TableText"/>
            </w:pPr>
            <w:r>
              <w:rPr>
                <w:rFonts w:ascii="Times New Roman" w:hAnsi="Times New Roman"/>
                <w:sz w:val="22"/>
              </w:rPr>
              <w:t>s</w:t>
            </w:r>
          </w:p>
        </w:tc>
      </w:tr>
      <w:tr>
        <w:tc>
          <w:tcPr>
            <w:tcW w:type="dxa" w:w="1584"/>
          </w:tcPr>
          <w:p>
            <w:pPr>
              <w:pStyle w:val="TableText"/>
            </w:pPr>
            <w:r>
              <w:rPr>
                <w:rFonts w:ascii="Times New Roman" w:hAnsi="Times New Roman"/>
                <w:sz w:val="22"/>
              </w:rPr>
              <w:t>θ</w:t>
            </w:r>
            <w:r>
              <w:rPr>
                <w:rFonts w:ascii="Times New Roman" w:hAnsi="Times New Roman"/>
                <w:sz w:val="22"/>
                <w:vertAlign w:val="subscript"/>
              </w:rPr>
              <w:t>w</w:t>
            </w:r>
          </w:p>
        </w:tc>
        <w:tc>
          <w:tcPr>
            <w:tcW w:type="dxa" w:w="5184"/>
          </w:tcPr>
          <w:p>
            <w:pPr>
              <w:pStyle w:val="TableText"/>
            </w:pPr>
            <w:r>
              <w:rPr>
                <w:rFonts w:ascii="Times New Roman" w:hAnsi="Times New Roman"/>
                <w:sz w:val="22"/>
              </w:rPr>
              <w:t>Mean wave direction (coming from)</w:t>
            </w:r>
          </w:p>
        </w:tc>
        <w:tc>
          <w:tcPr>
            <w:tcW w:type="dxa" w:w="1872"/>
          </w:tcPr>
          <w:p>
            <w:pPr>
              <w:pStyle w:val="TableText"/>
            </w:pPr>
            <w:r>
              <w:rPr>
                <w:rFonts w:ascii="Times New Roman" w:hAnsi="Times New Roman"/>
                <w:sz w:val="22"/>
              </w:rPr>
              <w:t>°</w:t>
            </w:r>
          </w:p>
        </w:tc>
      </w:tr>
      <w:tr>
        <w:tc>
          <w:tcPr>
            <w:tcW w:type="dxa" w:w="1584"/>
          </w:tcPr>
          <w:p>
            <w:pPr>
              <w:pStyle w:val="TableText"/>
            </w:pPr>
            <w:r>
              <w:rPr>
                <w:rFonts w:ascii="Times New Roman" w:hAnsi="Times New Roman"/>
                <w:sz w:val="22"/>
              </w:rPr>
              <w:t>u</w:t>
            </w:r>
            <w:r>
              <w:rPr>
                <w:rFonts w:ascii="Times New Roman" w:hAnsi="Times New Roman"/>
                <w:sz w:val="22"/>
                <w:vertAlign w:val="subscript"/>
              </w:rPr>
              <w:t>10</w:t>
            </w:r>
            <w:r>
              <w:rPr>
                <w:rFonts w:ascii="Times New Roman" w:hAnsi="Times New Roman"/>
                <w:sz w:val="22"/>
              </w:rPr>
              <w:t>, v</w:t>
            </w:r>
            <w:r>
              <w:rPr>
                <w:rFonts w:ascii="Times New Roman" w:hAnsi="Times New Roman"/>
                <w:sz w:val="22"/>
                <w:vertAlign w:val="subscript"/>
              </w:rPr>
              <w:t>10</w:t>
            </w:r>
          </w:p>
        </w:tc>
        <w:tc>
          <w:tcPr>
            <w:tcW w:type="dxa" w:w="5184"/>
          </w:tcPr>
          <w:p>
            <w:pPr>
              <w:pStyle w:val="TableText"/>
            </w:pPr>
            <w:r>
              <w:rPr>
                <w:rFonts w:ascii="Times New Roman" w:hAnsi="Times New Roman"/>
                <w:sz w:val="22"/>
              </w:rPr>
              <w:t>Eastward and northward wind components at 10 m</w:t>
            </w:r>
          </w:p>
        </w:tc>
        <w:tc>
          <w:tcPr>
            <w:tcW w:type="dxa" w:w="1872"/>
          </w:tcPr>
          <w:p>
            <w:pPr>
              <w:pStyle w:val="TableText"/>
            </w:pPr>
            <w:r>
              <w:rPr>
                <w:rFonts w:ascii="Times New Roman" w:hAnsi="Times New Roman"/>
                <w:sz w:val="22"/>
              </w:rPr>
              <w:t>m/s</w:t>
            </w:r>
          </w:p>
        </w:tc>
      </w:tr>
      <w:tr>
        <w:tc>
          <w:tcPr>
            <w:tcW w:type="dxa" w:w="1584"/>
          </w:tcPr>
          <w:p>
            <w:pPr>
              <w:pStyle w:val="TableText"/>
            </w:pPr>
            <w:r>
              <w:rPr>
                <w:rFonts w:ascii="Times New Roman" w:hAnsi="Times New Roman"/>
                <w:sz w:val="22"/>
              </w:rPr>
              <w:t>U</w:t>
            </w:r>
            <w:r>
              <w:rPr>
                <w:rFonts w:ascii="Times New Roman" w:hAnsi="Times New Roman"/>
                <w:sz w:val="22"/>
                <w:vertAlign w:val="subscript"/>
              </w:rPr>
              <w:t>10</w:t>
            </w:r>
          </w:p>
        </w:tc>
        <w:tc>
          <w:tcPr>
            <w:tcW w:type="dxa" w:w="5184"/>
          </w:tcPr>
          <w:p>
            <w:pPr>
              <w:pStyle w:val="TableText"/>
            </w:pPr>
            <w:r>
              <w:rPr>
                <w:rFonts w:ascii="Times New Roman" w:hAnsi="Times New Roman"/>
                <w:sz w:val="22"/>
              </w:rPr>
              <w:t>Wind speed at 10 m</w:t>
            </w:r>
          </w:p>
        </w:tc>
        <w:tc>
          <w:tcPr>
            <w:tcW w:type="dxa" w:w="1872"/>
          </w:tcPr>
          <w:p>
            <w:pPr>
              <w:pStyle w:val="TableText"/>
            </w:pPr>
            <w:r>
              <w:rPr>
                <w:rFonts w:ascii="Times New Roman" w:hAnsi="Times New Roman"/>
                <w:sz w:val="22"/>
              </w:rPr>
              <w:t>m/s</w:t>
            </w:r>
          </w:p>
        </w:tc>
      </w:tr>
      <w:tr>
        <w:tc>
          <w:tcPr>
            <w:tcW w:type="dxa" w:w="1584"/>
          </w:tcPr>
          <w:p>
            <w:pPr>
              <w:pStyle w:val="TableText"/>
            </w:pPr>
            <w:r>
              <w:rPr>
                <w:rFonts w:ascii="Times New Roman" w:hAnsi="Times New Roman"/>
                <w:sz w:val="22"/>
              </w:rPr>
              <w:t>θ</w:t>
            </w:r>
            <w:r>
              <w:rPr>
                <w:rFonts w:ascii="Times New Roman" w:hAnsi="Times New Roman"/>
                <w:sz w:val="22"/>
                <w:vertAlign w:val="subscript"/>
              </w:rPr>
              <w:t>U</w:t>
            </w:r>
          </w:p>
        </w:tc>
        <w:tc>
          <w:tcPr>
            <w:tcW w:type="dxa" w:w="5184"/>
          </w:tcPr>
          <w:p>
            <w:pPr>
              <w:pStyle w:val="TableText"/>
            </w:pPr>
            <w:r>
              <w:rPr>
                <w:rFonts w:ascii="Times New Roman" w:hAnsi="Times New Roman"/>
                <w:sz w:val="22"/>
              </w:rPr>
              <w:t>Wind direction (coming from)</w:t>
            </w:r>
          </w:p>
        </w:tc>
        <w:tc>
          <w:tcPr>
            <w:tcW w:type="dxa" w:w="1872"/>
          </w:tcPr>
          <w:p>
            <w:pPr>
              <w:pStyle w:val="TableText"/>
            </w:pPr>
            <w:r>
              <w:rPr>
                <w:rFonts w:ascii="Times New Roman" w:hAnsi="Times New Roman"/>
                <w:sz w:val="22"/>
              </w:rPr>
              <w:t>°</w:t>
            </w:r>
          </w:p>
        </w:tc>
      </w:tr>
      <w:tr>
        <w:tc>
          <w:tcPr>
            <w:tcW w:type="dxa" w:w="1584"/>
          </w:tcPr>
          <w:p>
            <w:pPr>
              <w:pStyle w:val="TableText"/>
            </w:pPr>
            <w:r>
              <w:rPr>
                <w:rFonts w:ascii="Times New Roman" w:hAnsi="Times New Roman"/>
                <w:sz w:val="22"/>
              </w:rPr>
              <w:t>p</w:t>
            </w:r>
          </w:p>
        </w:tc>
        <w:tc>
          <w:tcPr>
            <w:tcW w:type="dxa" w:w="5184"/>
          </w:tcPr>
          <w:p>
            <w:pPr>
              <w:pStyle w:val="TableText"/>
            </w:pPr>
            <w:r>
              <w:rPr>
                <w:rFonts w:ascii="Times New Roman" w:hAnsi="Times New Roman"/>
                <w:sz w:val="22"/>
              </w:rPr>
              <w:t>Mean sea-level pressure</w:t>
            </w:r>
          </w:p>
        </w:tc>
        <w:tc>
          <w:tcPr>
            <w:tcW w:type="dxa" w:w="1872"/>
          </w:tcPr>
          <w:p>
            <w:pPr>
              <w:pStyle w:val="TableText"/>
            </w:pPr>
            <w:r>
              <w:rPr>
                <w:rFonts w:ascii="Times New Roman" w:hAnsi="Times New Roman"/>
                <w:sz w:val="22"/>
              </w:rPr>
              <w:t>hPa</w:t>
            </w:r>
          </w:p>
        </w:tc>
      </w:tr>
      <w:tr>
        <w:tc>
          <w:tcPr>
            <w:tcW w:type="dxa" w:w="1584"/>
          </w:tcPr>
          <w:p>
            <w:pPr>
              <w:pStyle w:val="TableText"/>
            </w:pPr>
            <w:r>
              <w:rPr>
                <w:rFonts w:ascii="Times New Roman" w:hAnsi="Times New Roman"/>
                <w:sz w:val="22"/>
              </w:rPr>
              <w:t>T</w:t>
            </w:r>
            <w:r>
              <w:rPr>
                <w:rFonts w:ascii="Times New Roman" w:hAnsi="Times New Roman"/>
                <w:sz w:val="22"/>
                <w:vertAlign w:val="subscript"/>
              </w:rPr>
              <w:t>2m</w:t>
            </w:r>
          </w:p>
        </w:tc>
        <w:tc>
          <w:tcPr>
            <w:tcW w:type="dxa" w:w="5184"/>
          </w:tcPr>
          <w:p>
            <w:pPr>
              <w:pStyle w:val="TableText"/>
            </w:pPr>
            <w:r>
              <w:rPr>
                <w:rFonts w:ascii="Times New Roman" w:hAnsi="Times New Roman"/>
                <w:sz w:val="22"/>
              </w:rPr>
              <w:t>Air temperature at 2 m</w:t>
            </w:r>
          </w:p>
        </w:tc>
        <w:tc>
          <w:tcPr>
            <w:tcW w:type="dxa" w:w="1872"/>
          </w:tcPr>
          <w:p>
            <w:pPr>
              <w:pStyle w:val="TableText"/>
            </w:pPr>
            <w:r>
              <w:rPr>
                <w:rFonts w:ascii="Times New Roman" w:hAnsi="Times New Roman"/>
                <w:sz w:val="22"/>
              </w:rPr>
              <w:t>°C</w:t>
            </w:r>
          </w:p>
        </w:tc>
      </w:tr>
      <w:tr>
        <w:tc>
          <w:tcPr>
            <w:tcW w:type="dxa" w:w="1584"/>
          </w:tcPr>
          <w:p>
            <w:pPr>
              <w:pStyle w:val="TableText"/>
            </w:pPr>
            <w:r>
              <w:rPr>
                <w:rFonts w:ascii="Times New Roman" w:hAnsi="Times New Roman"/>
                <w:sz w:val="22"/>
              </w:rPr>
              <w:t>SST</w:t>
            </w:r>
          </w:p>
        </w:tc>
        <w:tc>
          <w:tcPr>
            <w:tcW w:type="dxa" w:w="5184"/>
          </w:tcPr>
          <w:p>
            <w:pPr>
              <w:pStyle w:val="TableText"/>
            </w:pPr>
            <w:r>
              <w:rPr>
                <w:rFonts w:ascii="Times New Roman" w:hAnsi="Times New Roman"/>
                <w:sz w:val="22"/>
              </w:rPr>
              <w:t>Sea surface temperature</w:t>
            </w:r>
          </w:p>
        </w:tc>
        <w:tc>
          <w:tcPr>
            <w:tcW w:type="dxa" w:w="1872"/>
          </w:tcPr>
          <w:p>
            <w:pPr>
              <w:pStyle w:val="TableText"/>
            </w:pPr>
            <w:r>
              <w:rPr>
                <w:rFonts w:ascii="Times New Roman" w:hAnsi="Times New Roman"/>
                <w:sz w:val="22"/>
              </w:rPr>
              <w:t>°C</w:t>
            </w:r>
          </w:p>
        </w:tc>
      </w:tr>
      <w:tr>
        <w:tc>
          <w:tcPr>
            <w:tcW w:type="dxa" w:w="1584"/>
          </w:tcPr>
          <w:p>
            <w:pPr>
              <w:pStyle w:val="TableText"/>
            </w:pPr>
            <w:r>
              <w:rPr>
                <w:rFonts w:ascii="Times New Roman" w:hAnsi="Times New Roman"/>
                <w:sz w:val="22"/>
              </w:rPr>
              <w:t>ρ</w:t>
            </w:r>
            <w:r>
              <w:rPr>
                <w:rFonts w:ascii="Times New Roman" w:hAnsi="Times New Roman"/>
                <w:sz w:val="22"/>
                <w:vertAlign w:val="subscript"/>
              </w:rPr>
              <w:t>a</w:t>
            </w:r>
          </w:p>
        </w:tc>
        <w:tc>
          <w:tcPr>
            <w:tcW w:type="dxa" w:w="5184"/>
          </w:tcPr>
          <w:p>
            <w:pPr>
              <w:pStyle w:val="TableText"/>
            </w:pPr>
            <w:r>
              <w:rPr>
                <w:rFonts w:ascii="Times New Roman" w:hAnsi="Times New Roman"/>
                <w:sz w:val="22"/>
              </w:rPr>
              <w:t>Air density</w:t>
            </w:r>
          </w:p>
        </w:tc>
        <w:tc>
          <w:tcPr>
            <w:tcW w:type="dxa" w:w="1872"/>
          </w:tcPr>
          <w:p>
            <w:pPr>
              <w:pStyle w:val="TableText"/>
            </w:pPr>
            <w:r>
              <w:rPr>
                <w:rFonts w:ascii="Times New Roman" w:hAnsi="Times New Roman"/>
                <w:sz w:val="22"/>
              </w:rPr>
              <w:t>kg/m³</w:t>
            </w:r>
          </w:p>
        </w:tc>
      </w:tr>
      <w:tr>
        <w:tc>
          <w:tcPr>
            <w:tcW w:type="dxa" w:w="1584"/>
          </w:tcPr>
          <w:p>
            <w:pPr>
              <w:pStyle w:val="TableText"/>
            </w:pPr>
            <w:r>
              <w:rPr>
                <w:rFonts w:ascii="Times New Roman" w:hAnsi="Times New Roman"/>
                <w:sz w:val="22"/>
              </w:rPr>
              <w:t>C</w:t>
            </w:r>
            <w:r>
              <w:rPr>
                <w:rFonts w:ascii="Times New Roman" w:hAnsi="Times New Roman"/>
                <w:sz w:val="22"/>
                <w:vertAlign w:val="subscript"/>
              </w:rPr>
              <w:t>d</w:t>
            </w:r>
          </w:p>
        </w:tc>
        <w:tc>
          <w:tcPr>
            <w:tcW w:type="dxa" w:w="5184"/>
          </w:tcPr>
          <w:p>
            <w:pPr>
              <w:pStyle w:val="TableText"/>
            </w:pPr>
            <w:r>
              <w:rPr>
                <w:rFonts w:ascii="Times New Roman" w:hAnsi="Times New Roman"/>
                <w:sz w:val="22"/>
              </w:rPr>
              <w:t>Drag coefficient at 10 m</w:t>
            </w:r>
          </w:p>
        </w:tc>
        <w:tc>
          <w:tcPr>
            <w:tcW w:type="dxa" w:w="1872"/>
          </w:tcPr>
          <w:p>
            <w:pPr>
              <w:pStyle w:val="TableText"/>
            </w:pPr>
            <w:r>
              <w:rPr>
                <w:rFonts w:ascii="Times New Roman" w:hAnsi="Times New Roman"/>
                <w:sz w:val="22"/>
              </w:rPr>
              <w:t>–</w:t>
            </w:r>
          </w:p>
        </w:tc>
      </w:tr>
      <w:tr>
        <w:tc>
          <w:tcPr>
            <w:tcW w:type="dxa" w:w="1584"/>
          </w:tcPr>
          <w:p>
            <w:pPr>
              <w:pStyle w:val="TableText"/>
            </w:pPr>
            <w:r>
              <w:rPr>
                <w:rFonts w:ascii="Times New Roman" w:hAnsi="Times New Roman"/>
                <w:sz w:val="22"/>
              </w:rPr>
              <w:t>τ</w:t>
            </w:r>
          </w:p>
        </w:tc>
        <w:tc>
          <w:tcPr>
            <w:tcW w:type="dxa" w:w="5184"/>
          </w:tcPr>
          <w:p>
            <w:pPr>
              <w:pStyle w:val="TableText"/>
            </w:pPr>
            <w:r>
              <w:rPr>
                <w:rFonts w:ascii="Times New Roman" w:hAnsi="Times New Roman"/>
                <w:sz w:val="22"/>
              </w:rPr>
              <w:t>Surface wind stress</w:t>
            </w:r>
          </w:p>
        </w:tc>
        <w:tc>
          <w:tcPr>
            <w:tcW w:type="dxa" w:w="1872"/>
          </w:tcPr>
          <w:p>
            <w:pPr>
              <w:pStyle w:val="TableText"/>
            </w:pPr>
            <w:r>
              <w:rPr>
                <w:rFonts w:ascii="Times New Roman" w:hAnsi="Times New Roman"/>
                <w:sz w:val="22"/>
              </w:rPr>
              <w:t>N/m²</w:t>
            </w:r>
          </w:p>
        </w:tc>
      </w:tr>
      <w:tr>
        <w:tc>
          <w:tcPr>
            <w:tcW w:type="dxa" w:w="1584"/>
          </w:tcPr>
          <w:p>
            <w:pPr>
              <w:pStyle w:val="TableText"/>
            </w:pPr>
            <w:r>
              <w:rPr>
                <w:rFonts w:ascii="Times New Roman" w:hAnsi="Times New Roman"/>
                <w:sz w:val="22"/>
              </w:rPr>
              <w:t>L</w:t>
            </w:r>
            <w:r>
              <w:rPr>
                <w:rFonts w:ascii="Times New Roman" w:hAnsi="Times New Roman"/>
                <w:sz w:val="22"/>
                <w:vertAlign w:val="subscript"/>
              </w:rPr>
              <w:t>0</w:t>
            </w:r>
          </w:p>
        </w:tc>
        <w:tc>
          <w:tcPr>
            <w:tcW w:type="dxa" w:w="5184"/>
          </w:tcPr>
          <w:p>
            <w:pPr>
              <w:pStyle w:val="TableText"/>
            </w:pPr>
            <w:r>
              <w:rPr>
                <w:rFonts w:ascii="Times New Roman" w:hAnsi="Times New Roman"/>
                <w:sz w:val="22"/>
              </w:rPr>
              <w:t>Deep-water wavelength, gT²/2π</w:t>
            </w:r>
          </w:p>
        </w:tc>
        <w:tc>
          <w:tcPr>
            <w:tcW w:type="dxa" w:w="1872"/>
          </w:tcPr>
          <w:p>
            <w:pPr>
              <w:pStyle w:val="TableText"/>
            </w:pPr>
            <w:r>
              <w:rPr>
                <w:rFonts w:ascii="Times New Roman" w:hAnsi="Times New Roman"/>
                <w:sz w:val="22"/>
              </w:rPr>
              <w:t>m</w:t>
            </w:r>
          </w:p>
        </w:tc>
      </w:tr>
      <w:tr>
        <w:tc>
          <w:tcPr>
            <w:tcW w:type="dxa" w:w="1584"/>
          </w:tcPr>
          <w:p>
            <w:pPr>
              <w:pStyle w:val="TableText"/>
            </w:pPr>
            <w:r>
              <w:rPr>
                <w:rFonts w:ascii="Times New Roman" w:hAnsi="Times New Roman"/>
                <w:sz w:val="22"/>
              </w:rPr>
              <w:t>g</w:t>
            </w:r>
          </w:p>
        </w:tc>
        <w:tc>
          <w:tcPr>
            <w:tcW w:type="dxa" w:w="5184"/>
          </w:tcPr>
          <w:p>
            <w:pPr>
              <w:pStyle w:val="TableText"/>
            </w:pPr>
            <w:r>
              <w:rPr>
                <w:rFonts w:ascii="Times New Roman" w:hAnsi="Times New Roman"/>
                <w:sz w:val="22"/>
              </w:rPr>
              <w:t>Gravitational acceleration (9.81)</w:t>
            </w:r>
          </w:p>
        </w:tc>
        <w:tc>
          <w:tcPr>
            <w:tcW w:type="dxa" w:w="1872"/>
          </w:tcPr>
          <w:p>
            <w:pPr>
              <w:pStyle w:val="TableText"/>
            </w:pPr>
            <w:r>
              <w:rPr>
                <w:rFonts w:ascii="Times New Roman" w:hAnsi="Times New Roman"/>
                <w:sz w:val="22"/>
              </w:rPr>
              <w:t>m/s²</w:t>
            </w:r>
          </w:p>
        </w:tc>
      </w:tr>
      <w:tr>
        <w:tc>
          <w:tcPr>
            <w:tcW w:type="dxa" w:w="1584"/>
          </w:tcPr>
          <w:p>
            <w:pPr>
              <w:pStyle w:val="TableText"/>
            </w:pPr>
            <w:r>
              <w:rPr>
                <w:rFonts w:ascii="Times New Roman" w:hAnsi="Times New Roman"/>
                <w:sz w:val="22"/>
              </w:rPr>
              <w:t>R</w:t>
            </w:r>
            <w:r>
              <w:rPr>
                <w:rFonts w:ascii="Times New Roman" w:hAnsi="Times New Roman"/>
                <w:sz w:val="22"/>
                <w:vertAlign w:val="subscript"/>
              </w:rPr>
              <w:t>d</w:t>
            </w:r>
          </w:p>
        </w:tc>
        <w:tc>
          <w:tcPr>
            <w:tcW w:type="dxa" w:w="5184"/>
          </w:tcPr>
          <w:p>
            <w:pPr>
              <w:pStyle w:val="TableText"/>
            </w:pPr>
            <w:r>
              <w:rPr>
                <w:rFonts w:ascii="Times New Roman" w:hAnsi="Times New Roman"/>
                <w:sz w:val="22"/>
              </w:rPr>
              <w:t>Specific gas constant of dry air (287.05)</w:t>
            </w:r>
          </w:p>
        </w:tc>
        <w:tc>
          <w:tcPr>
            <w:tcW w:type="dxa" w:w="1872"/>
          </w:tcPr>
          <w:p>
            <w:pPr>
              <w:pStyle w:val="TableText"/>
            </w:pPr>
            <w:r>
              <w:rPr>
                <w:rFonts w:ascii="Times New Roman" w:hAnsi="Times New Roman"/>
                <w:sz w:val="22"/>
              </w:rPr>
              <w:t>J/(kg·K)</w:t>
            </w:r>
          </w:p>
        </w:tc>
      </w:tr>
      <w:tr>
        <w:tc>
          <w:tcPr>
            <w:tcW w:type="dxa" w:w="1584"/>
          </w:tcPr>
          <w:p>
            <w:pPr>
              <w:pStyle w:val="TableText"/>
            </w:pPr>
            <w:r>
              <w:rPr>
                <w:rFonts w:ascii="Times New Roman" w:hAnsi="Times New Roman"/>
                <w:sz w:val="22"/>
              </w:rPr>
              <w:t>h</w:t>
            </w:r>
          </w:p>
        </w:tc>
        <w:tc>
          <w:tcPr>
            <w:tcW w:type="dxa" w:w="5184"/>
          </w:tcPr>
          <w:p>
            <w:pPr>
              <w:pStyle w:val="TableText"/>
            </w:pPr>
            <w:r>
              <w:rPr>
                <w:rFonts w:ascii="Times New Roman" w:hAnsi="Times New Roman"/>
                <w:sz w:val="22"/>
              </w:rPr>
              <w:t>Forecast lead time (horizon)</w:t>
            </w:r>
          </w:p>
        </w:tc>
        <w:tc>
          <w:tcPr>
            <w:tcW w:type="dxa" w:w="1872"/>
          </w:tcPr>
          <w:p>
            <w:pPr>
              <w:pStyle w:val="TableText"/>
            </w:pPr>
            <w:r>
              <w:rPr>
                <w:rFonts w:ascii="Times New Roman" w:hAnsi="Times New Roman"/>
                <w:sz w:val="22"/>
              </w:rPr>
              <w:t>h</w:t>
            </w:r>
          </w:p>
        </w:tc>
      </w:tr>
      <w:tr>
        <w:tc>
          <w:tcPr>
            <w:tcW w:type="dxa" w:w="1584"/>
          </w:tcPr>
          <w:p>
            <w:pPr>
              <w:pStyle w:val="TableText"/>
            </w:pPr>
            <w:r>
              <w:rPr>
                <w:rFonts w:ascii="Times New Roman" w:hAnsi="Times New Roman"/>
                <w:sz w:val="22"/>
              </w:rPr>
              <w:t>L</w:t>
            </w:r>
          </w:p>
        </w:tc>
        <w:tc>
          <w:tcPr>
            <w:tcW w:type="dxa" w:w="5184"/>
          </w:tcPr>
          <w:p>
            <w:pPr>
              <w:pStyle w:val="TableText"/>
            </w:pPr>
            <w:r>
              <w:rPr>
                <w:rFonts w:ascii="Times New Roman" w:hAnsi="Times New Roman"/>
                <w:sz w:val="22"/>
              </w:rPr>
              <w:t>Look-back window length</w:t>
            </w:r>
          </w:p>
        </w:tc>
        <w:tc>
          <w:tcPr>
            <w:tcW w:type="dxa" w:w="1872"/>
          </w:tcPr>
          <w:p>
            <w:pPr>
              <w:pStyle w:val="TableText"/>
            </w:pPr>
            <w:r>
              <w:rPr>
                <w:rFonts w:ascii="Times New Roman" w:hAnsi="Times New Roman"/>
                <w:sz w:val="22"/>
              </w:rPr>
              <w:t>h</w:t>
            </w:r>
          </w:p>
        </w:tc>
      </w:tr>
      <w:tr>
        <w:tc>
          <w:tcPr>
            <w:tcW w:type="dxa" w:w="1584"/>
          </w:tcPr>
          <w:p>
            <w:pPr>
              <w:pStyle w:val="TableText"/>
            </w:pPr>
            <w:r>
              <w:rPr>
                <w:rFonts w:ascii="Times New Roman" w:hAnsi="Times New Roman"/>
                <w:sz w:val="22"/>
              </w:rPr>
              <w:t>t</w:t>
            </w:r>
          </w:p>
        </w:tc>
        <w:tc>
          <w:tcPr>
            <w:tcW w:type="dxa" w:w="5184"/>
          </w:tcPr>
          <w:p>
            <w:pPr>
              <w:pStyle w:val="TableText"/>
            </w:pPr>
            <w:r>
              <w:rPr>
                <w:rFonts w:ascii="Times New Roman" w:hAnsi="Times New Roman"/>
                <w:sz w:val="22"/>
              </w:rPr>
              <w:t>Forecast origin</w:t>
            </w:r>
          </w:p>
        </w:tc>
        <w:tc>
          <w:tcPr>
            <w:tcW w:type="dxa" w:w="1872"/>
          </w:tcPr>
          <w:p>
            <w:pPr>
              <w:pStyle w:val="TableText"/>
            </w:pPr>
            <w:r>
              <w:rPr>
                <w:rFonts w:ascii="Times New Roman" w:hAnsi="Times New Roman"/>
                <w:sz w:val="22"/>
              </w:rPr>
              <w:t>–</w:t>
            </w:r>
          </w:p>
        </w:tc>
      </w:tr>
      <w:tr>
        <w:tc>
          <w:tcPr>
            <w:tcW w:type="dxa" w:w="1584"/>
          </w:tcPr>
          <w:p>
            <w:pPr>
              <w:pStyle w:val="TableText"/>
            </w:pPr>
            <w:r>
              <w:rPr>
                <w:rFonts w:ascii="Times New Roman" w:hAnsi="Times New Roman"/>
                <w:sz w:val="22"/>
              </w:rPr>
              <w:t>q</w:t>
            </w:r>
          </w:p>
        </w:tc>
        <w:tc>
          <w:tcPr>
            <w:tcW w:type="dxa" w:w="5184"/>
          </w:tcPr>
          <w:p>
            <w:pPr>
              <w:pStyle w:val="TableText"/>
            </w:pPr>
            <w:r>
              <w:rPr>
                <w:rFonts w:ascii="Times New Roman" w:hAnsi="Times New Roman"/>
                <w:sz w:val="22"/>
              </w:rPr>
              <w:t>Extreme-sea-state threshold (95th percentile)</w:t>
            </w:r>
          </w:p>
        </w:tc>
        <w:tc>
          <w:tcPr>
            <w:tcW w:type="dxa" w:w="1872"/>
          </w:tcPr>
          <w:p>
            <w:pPr>
              <w:pStyle w:val="TableText"/>
            </w:pPr>
            <w:r>
              <w:rPr>
                <w:rFonts w:ascii="Times New Roman" w:hAnsi="Times New Roman"/>
                <w:sz w:val="22"/>
              </w:rPr>
              <w:t>m</w:t>
            </w:r>
          </w:p>
        </w:tc>
      </w:tr>
      <w:tr>
        <w:tc>
          <w:tcPr>
            <w:tcW w:type="dxa" w:w="1584"/>
          </w:tcPr>
          <w:p>
            <w:pPr>
              <w:pStyle w:val="TableText"/>
            </w:pPr>
            <w:r>
              <w:rPr>
                <w:rFonts w:ascii="Times New Roman" w:hAnsi="Times New Roman"/>
                <w:sz w:val="22"/>
              </w:rPr>
              <w:t>β, γ</w:t>
            </w:r>
          </w:p>
        </w:tc>
        <w:tc>
          <w:tcPr>
            <w:tcW w:type="dxa" w:w="5184"/>
          </w:tcPr>
          <w:p>
            <w:pPr>
              <w:pStyle w:val="TableText"/>
            </w:pPr>
            <w:r>
              <w:rPr>
                <w:rFonts w:ascii="Times New Roman" w:hAnsi="Times New Roman"/>
                <w:sz w:val="22"/>
              </w:rPr>
              <w:t>Extra weights of the peak-weighted loss</w:t>
            </w:r>
          </w:p>
        </w:tc>
        <w:tc>
          <w:tcPr>
            <w:tcW w:type="dxa" w:w="1872"/>
          </w:tcPr>
          <w:p>
            <w:pPr>
              <w:pStyle w:val="TableText"/>
            </w:pPr>
            <w:r>
              <w:rPr>
                <w:rFonts w:ascii="Times New Roman" w:hAnsi="Times New Roman"/>
                <w:sz w:val="22"/>
              </w:rPr>
              <w:t>–</w:t>
            </w:r>
          </w:p>
        </w:tc>
      </w:tr>
      <w:tr>
        <w:tc>
          <w:tcPr>
            <w:tcW w:type="dxa" w:w="1584"/>
          </w:tcPr>
          <w:p>
            <w:pPr>
              <w:pStyle w:val="TableText"/>
            </w:pPr>
            <w:r>
              <w:rPr>
                <w:rFonts w:ascii="Times New Roman" w:hAnsi="Times New Roman"/>
                <w:sz w:val="22"/>
              </w:rPr>
              <w:t>τ</w:t>
            </w:r>
            <w:r>
              <w:rPr>
                <w:rFonts w:ascii="Times New Roman" w:hAnsi="Times New Roman"/>
                <w:sz w:val="22"/>
                <w:vertAlign w:val="subscript"/>
              </w:rPr>
              <w:t>s</w:t>
            </w:r>
          </w:p>
        </w:tc>
        <w:tc>
          <w:tcPr>
            <w:tcW w:type="dxa" w:w="5184"/>
          </w:tcPr>
          <w:p>
            <w:pPr>
              <w:pStyle w:val="TableText"/>
            </w:pPr>
            <w:r>
              <w:rPr>
                <w:rFonts w:ascii="Times New Roman" w:hAnsi="Times New Roman"/>
                <w:sz w:val="22"/>
              </w:rPr>
              <w:t>Width of the sigmoid in the peak-weighted loss</w:t>
            </w:r>
          </w:p>
        </w:tc>
        <w:tc>
          <w:tcPr>
            <w:tcW w:type="dxa" w:w="1872"/>
          </w:tcPr>
          <w:p>
            <w:pPr>
              <w:pStyle w:val="TableText"/>
            </w:pPr>
            <w:r>
              <w:rPr>
                <w:rFonts w:ascii="Times New Roman" w:hAnsi="Times New Roman"/>
                <w:sz w:val="22"/>
              </w:rPr>
              <w:t>m</w:t>
            </w:r>
          </w:p>
        </w:tc>
      </w:tr>
      <w:tr>
        <w:tc>
          <w:tcPr>
            <w:tcW w:type="dxa" w:w="1584"/>
          </w:tcPr>
          <w:p>
            <w:pPr>
              <w:pStyle w:val="TableText"/>
            </w:pPr>
            <w:r>
              <w:rPr>
                <w:rFonts w:ascii="Times New Roman" w:hAnsi="Times New Roman"/>
                <w:sz w:val="22"/>
              </w:rPr>
              <w:t>SS</w:t>
            </w:r>
          </w:p>
        </w:tc>
        <w:tc>
          <w:tcPr>
            <w:tcW w:type="dxa" w:w="5184"/>
          </w:tcPr>
          <w:p>
            <w:pPr>
              <w:pStyle w:val="TableText"/>
            </w:pPr>
            <w:r>
              <w:rPr>
                <w:rFonts w:ascii="Times New Roman" w:hAnsi="Times New Roman"/>
                <w:sz w:val="22"/>
              </w:rPr>
              <w:t>Skill score relative to persistence</w:t>
            </w:r>
          </w:p>
        </w:tc>
        <w:tc>
          <w:tcPr>
            <w:tcW w:type="dxa" w:w="1872"/>
          </w:tcPr>
          <w:p>
            <w:pPr>
              <w:pStyle w:val="TableText"/>
            </w:pPr>
            <w:r>
              <w:rPr>
                <w:rFonts w:ascii="Times New Roman" w:hAnsi="Times New Roman"/>
                <w:sz w:val="22"/>
              </w:rPr>
              <w:t>–</w:t>
            </w:r>
          </w:p>
        </w:tc>
      </w:tr>
    </w:tbl>
    <w:p>
      <w:pPr>
        <w:pStyle w:val="Single"/>
        <w:keepNext/>
        <w:spacing w:before="0" w:after="240"/>
        <w:jc w:val="center"/>
      </w:pPr>
      <w:r>
        <w:br w:type="page"/>
      </w:r>
      <w:r>
        <w:rPr>
          <w:b/>
          <w:sz w:val="28"/>
        </w:rPr>
        <w:t>ABBREVIATIONS</w:t>
      </w:r>
    </w:p>
    <w:tbl>
      <w:tblPr>
        <w:tblW w:type="dxa" w:w="8640"/>
        <w:tblCellMar>
          <w:top w:w="45" w:type="dxa"/>
          <w:left w:w="90" w:type="dxa"/>
          <w:bottom w:w="45" w:type="dxa"/>
          <w:right w:w="90" w:type="dxa"/>
        </w:tblCellMar>
        <w:tblLook w:firstColumn="1" w:firstRow="1" w:lastColumn="0" w:lastRow="0" w:noHBand="0" w:noVBand="1" w:val="04A0"/>
        <w:tblLayout w:type="fixed"/>
        <w:tblBorders>
          <w:top w:val="single" w:sz="12" w:color="000000"/>
          <w:left w:val="nil"/>
          <w:bottom w:val="single" w:sz="12" w:color="000000"/>
          <w:right w:val="nil"/>
          <w:insideH w:val="nil"/>
          <w:insideV w:val="nil"/>
        </w:tblBorders>
      </w:tblPr>
      <w:tblGrid>
        <w:gridCol w:w="2015"/>
        <w:gridCol w:w="6623"/>
      </w:tblGrid>
      <w:tr>
        <w:tc>
          <w:tcPr>
            <w:tcW w:type="dxa" w:w="2016"/>
            <w:tcBorders>
              <w:bottom w:val="single" w:sz="6" w:color="000000"/>
            </w:tcBorders>
          </w:tcPr>
          <w:p>
            <w:pPr>
              <w:pStyle w:val="TableText"/>
            </w:pPr>
            <w:r>
              <w:rPr>
                <w:rFonts w:ascii="Times New Roman" w:hAnsi="Times New Roman"/>
                <w:b/>
                <w:sz w:val="22"/>
              </w:rPr>
              <w:t>Abbreviation</w:t>
            </w:r>
          </w:p>
        </w:tc>
        <w:tc>
          <w:tcPr>
            <w:tcW w:type="dxa" w:w="6624"/>
            <w:tcBorders>
              <w:bottom w:val="single" w:sz="6" w:color="000000"/>
            </w:tcBorders>
          </w:tcPr>
          <w:p>
            <w:pPr>
              <w:pStyle w:val="TableText"/>
            </w:pPr>
            <w:r>
              <w:rPr>
                <w:rFonts w:ascii="Times New Roman" w:hAnsi="Times New Roman"/>
                <w:b/>
                <w:sz w:val="22"/>
              </w:rPr>
              <w:t>Meaning</w:t>
            </w:r>
          </w:p>
        </w:tc>
      </w:tr>
      <w:tr>
        <w:tc>
          <w:tcPr>
            <w:tcW w:type="dxa" w:w="2016"/>
          </w:tcPr>
          <w:p>
            <w:pPr>
              <w:pStyle w:val="TableText"/>
            </w:pPr>
            <w:r>
              <w:rPr>
                <w:rFonts w:ascii="Times New Roman" w:hAnsi="Times New Roman"/>
                <w:sz w:val="22"/>
              </w:rPr>
              <w:t>ARIMA</w:t>
            </w:r>
          </w:p>
        </w:tc>
        <w:tc>
          <w:tcPr>
            <w:tcW w:type="dxa" w:w="6624"/>
          </w:tcPr>
          <w:p>
            <w:pPr>
              <w:pStyle w:val="TableText"/>
            </w:pPr>
            <w:r>
              <w:rPr>
                <w:rFonts w:ascii="Times New Roman" w:hAnsi="Times New Roman"/>
                <w:sz w:val="22"/>
              </w:rPr>
              <w:t>Autoregressive integrated moving average</w:t>
            </w:r>
          </w:p>
        </w:tc>
      </w:tr>
      <w:tr>
        <w:tc>
          <w:tcPr>
            <w:tcW w:type="dxa" w:w="2016"/>
          </w:tcPr>
          <w:p>
            <w:pPr>
              <w:pStyle w:val="TableText"/>
            </w:pPr>
            <w:r>
              <w:rPr>
                <w:rFonts w:ascii="Times New Roman" w:hAnsi="Times New Roman"/>
                <w:sz w:val="22"/>
              </w:rPr>
              <w:t>BoB</w:t>
            </w:r>
          </w:p>
        </w:tc>
        <w:tc>
          <w:tcPr>
            <w:tcW w:type="dxa" w:w="6624"/>
          </w:tcPr>
          <w:p>
            <w:pPr>
              <w:pStyle w:val="TableText"/>
            </w:pPr>
            <w:r>
              <w:rPr>
                <w:rFonts w:ascii="Times New Roman" w:hAnsi="Times New Roman"/>
                <w:sz w:val="22"/>
              </w:rPr>
              <w:t>Bay of Bengal</w:t>
            </w:r>
          </w:p>
        </w:tc>
      </w:tr>
      <w:tr>
        <w:tc>
          <w:tcPr>
            <w:tcW w:type="dxa" w:w="2016"/>
          </w:tcPr>
          <w:p>
            <w:pPr>
              <w:pStyle w:val="TableText"/>
            </w:pPr>
            <w:r>
              <w:rPr>
                <w:rFonts w:ascii="Times New Roman" w:hAnsi="Times New Roman"/>
                <w:sz w:val="22"/>
              </w:rPr>
              <w:t>Bi-LSTM</w:t>
            </w:r>
          </w:p>
        </w:tc>
        <w:tc>
          <w:tcPr>
            <w:tcW w:type="dxa" w:w="6624"/>
          </w:tcPr>
          <w:p>
            <w:pPr>
              <w:pStyle w:val="TableText"/>
            </w:pPr>
            <w:r>
              <w:rPr>
                <w:rFonts w:ascii="Times New Roman" w:hAnsi="Times New Roman"/>
                <w:sz w:val="22"/>
              </w:rPr>
              <w:t>Bidirectional long short-term memory network</w:t>
            </w:r>
          </w:p>
        </w:tc>
      </w:tr>
      <w:tr>
        <w:tc>
          <w:tcPr>
            <w:tcW w:type="dxa" w:w="2016"/>
          </w:tcPr>
          <w:p>
            <w:pPr>
              <w:pStyle w:val="TableText"/>
            </w:pPr>
            <w:r>
              <w:rPr>
                <w:rFonts w:ascii="Times New Roman" w:hAnsi="Times New Roman"/>
                <w:sz w:val="22"/>
              </w:rPr>
              <w:t>CC</w:t>
            </w:r>
          </w:p>
        </w:tc>
        <w:tc>
          <w:tcPr>
            <w:tcW w:type="dxa" w:w="6624"/>
          </w:tcPr>
          <w:p>
            <w:pPr>
              <w:pStyle w:val="TableText"/>
            </w:pPr>
            <w:r>
              <w:rPr>
                <w:rFonts w:ascii="Times New Roman" w:hAnsi="Times New Roman"/>
                <w:sz w:val="22"/>
              </w:rPr>
              <w:t>Correlation coefficient</w:t>
            </w:r>
          </w:p>
        </w:tc>
      </w:tr>
      <w:tr>
        <w:tc>
          <w:tcPr>
            <w:tcW w:type="dxa" w:w="2016"/>
          </w:tcPr>
          <w:p>
            <w:pPr>
              <w:pStyle w:val="TableText"/>
            </w:pPr>
            <w:r>
              <w:rPr>
                <w:rFonts w:ascii="Times New Roman" w:hAnsi="Times New Roman"/>
                <w:sz w:val="22"/>
              </w:rPr>
              <w:t>CDS</w:t>
            </w:r>
          </w:p>
        </w:tc>
        <w:tc>
          <w:tcPr>
            <w:tcW w:type="dxa" w:w="6624"/>
          </w:tcPr>
          <w:p>
            <w:pPr>
              <w:pStyle w:val="TableText"/>
            </w:pPr>
            <w:r>
              <w:rPr>
                <w:rFonts w:ascii="Times New Roman" w:hAnsi="Times New Roman"/>
                <w:sz w:val="22"/>
              </w:rPr>
              <w:t>Copernicus Climate Data Store</w:t>
            </w:r>
          </w:p>
        </w:tc>
      </w:tr>
      <w:tr>
        <w:tc>
          <w:tcPr>
            <w:tcW w:type="dxa" w:w="2016"/>
          </w:tcPr>
          <w:p>
            <w:pPr>
              <w:pStyle w:val="TableText"/>
            </w:pPr>
            <w:r>
              <w:rPr>
                <w:rFonts w:ascii="Times New Roman" w:hAnsi="Times New Roman"/>
                <w:sz w:val="22"/>
              </w:rPr>
              <w:t>DM</w:t>
            </w:r>
          </w:p>
        </w:tc>
        <w:tc>
          <w:tcPr>
            <w:tcW w:type="dxa" w:w="6624"/>
          </w:tcPr>
          <w:p>
            <w:pPr>
              <w:pStyle w:val="TableText"/>
            </w:pPr>
            <w:r>
              <w:rPr>
                <w:rFonts w:ascii="Times New Roman" w:hAnsi="Times New Roman"/>
                <w:sz w:val="22"/>
              </w:rPr>
              <w:t>Diebold–Mariano test</w:t>
            </w:r>
          </w:p>
        </w:tc>
      </w:tr>
      <w:tr>
        <w:tc>
          <w:tcPr>
            <w:tcW w:type="dxa" w:w="2016"/>
          </w:tcPr>
          <w:p>
            <w:pPr>
              <w:pStyle w:val="TableText"/>
            </w:pPr>
            <w:r>
              <w:rPr>
                <w:rFonts w:ascii="Times New Roman" w:hAnsi="Times New Roman"/>
                <w:sz w:val="22"/>
              </w:rPr>
              <w:t>DMS</w:t>
            </w:r>
          </w:p>
        </w:tc>
        <w:tc>
          <w:tcPr>
            <w:tcW w:type="dxa" w:w="6624"/>
          </w:tcPr>
          <w:p>
            <w:pPr>
              <w:pStyle w:val="TableText"/>
            </w:pPr>
            <w:r>
              <w:rPr>
                <w:rFonts w:ascii="Times New Roman" w:hAnsi="Times New Roman"/>
                <w:sz w:val="22"/>
              </w:rPr>
              <w:t>Direct multi-step (forecasting strategy)</w:t>
            </w:r>
          </w:p>
        </w:tc>
      </w:tr>
      <w:tr>
        <w:tc>
          <w:tcPr>
            <w:tcW w:type="dxa" w:w="2016"/>
          </w:tcPr>
          <w:p>
            <w:pPr>
              <w:pStyle w:val="TableText"/>
            </w:pPr>
            <w:r>
              <w:rPr>
                <w:rFonts w:ascii="Times New Roman" w:hAnsi="Times New Roman"/>
                <w:sz w:val="22"/>
              </w:rPr>
              <w:t>ECMWF</w:t>
            </w:r>
          </w:p>
        </w:tc>
        <w:tc>
          <w:tcPr>
            <w:tcW w:type="dxa" w:w="6624"/>
          </w:tcPr>
          <w:p>
            <w:pPr>
              <w:pStyle w:val="TableText"/>
            </w:pPr>
            <w:r>
              <w:rPr>
                <w:rFonts w:ascii="Times New Roman" w:hAnsi="Times New Roman"/>
                <w:sz w:val="22"/>
              </w:rPr>
              <w:t>European Centre for Medium-Range Weather Forecasts</w:t>
            </w:r>
          </w:p>
        </w:tc>
      </w:tr>
      <w:tr>
        <w:tc>
          <w:tcPr>
            <w:tcW w:type="dxa" w:w="2016"/>
          </w:tcPr>
          <w:p>
            <w:pPr>
              <w:pStyle w:val="TableText"/>
            </w:pPr>
            <w:r>
              <w:rPr>
                <w:rFonts w:ascii="Times New Roman" w:hAnsi="Times New Roman"/>
                <w:sz w:val="22"/>
              </w:rPr>
              <w:t>ERA5</w:t>
            </w:r>
          </w:p>
        </w:tc>
        <w:tc>
          <w:tcPr>
            <w:tcW w:type="dxa" w:w="6624"/>
          </w:tcPr>
          <w:p>
            <w:pPr>
              <w:pStyle w:val="TableText"/>
            </w:pPr>
            <w:r>
              <w:rPr>
                <w:rFonts w:ascii="Times New Roman" w:hAnsi="Times New Roman"/>
                <w:sz w:val="22"/>
              </w:rPr>
              <w:t>Fifth-generation ECMWF atmospheric reanalysis</w:t>
            </w:r>
          </w:p>
        </w:tc>
      </w:tr>
      <w:tr>
        <w:tc>
          <w:tcPr>
            <w:tcW w:type="dxa" w:w="2016"/>
          </w:tcPr>
          <w:p>
            <w:pPr>
              <w:pStyle w:val="TableText"/>
            </w:pPr>
            <w:r>
              <w:rPr>
                <w:rFonts w:ascii="Times New Roman" w:hAnsi="Times New Roman"/>
                <w:sz w:val="22"/>
              </w:rPr>
              <w:t>GBDT</w:t>
            </w:r>
          </w:p>
        </w:tc>
        <w:tc>
          <w:tcPr>
            <w:tcW w:type="dxa" w:w="6624"/>
          </w:tcPr>
          <w:p>
            <w:pPr>
              <w:pStyle w:val="TableText"/>
            </w:pPr>
            <w:r>
              <w:rPr>
                <w:rFonts w:ascii="Times New Roman" w:hAnsi="Times New Roman"/>
                <w:sz w:val="22"/>
              </w:rPr>
              <w:t>Gradient-boosted decision trees</w:t>
            </w:r>
          </w:p>
        </w:tc>
      </w:tr>
      <w:tr>
        <w:tc>
          <w:tcPr>
            <w:tcW w:type="dxa" w:w="2016"/>
          </w:tcPr>
          <w:p>
            <w:pPr>
              <w:pStyle w:val="TableText"/>
            </w:pPr>
            <w:r>
              <w:rPr>
                <w:rFonts w:ascii="Times New Roman" w:hAnsi="Times New Roman"/>
                <w:sz w:val="22"/>
              </w:rPr>
              <w:t>IMD</w:t>
            </w:r>
          </w:p>
        </w:tc>
        <w:tc>
          <w:tcPr>
            <w:tcW w:type="dxa" w:w="6624"/>
          </w:tcPr>
          <w:p>
            <w:pPr>
              <w:pStyle w:val="TableText"/>
            </w:pPr>
            <w:r>
              <w:rPr>
                <w:rFonts w:ascii="Times New Roman" w:hAnsi="Times New Roman"/>
                <w:sz w:val="22"/>
              </w:rPr>
              <w:t>India Meteorological Department</w:t>
            </w:r>
          </w:p>
        </w:tc>
      </w:tr>
      <w:tr>
        <w:tc>
          <w:tcPr>
            <w:tcW w:type="dxa" w:w="2016"/>
          </w:tcPr>
          <w:p>
            <w:pPr>
              <w:pStyle w:val="TableText"/>
            </w:pPr>
            <w:r>
              <w:rPr>
                <w:rFonts w:ascii="Times New Roman" w:hAnsi="Times New Roman"/>
                <w:sz w:val="22"/>
              </w:rPr>
              <w:t>INCOIS</w:t>
            </w:r>
          </w:p>
        </w:tc>
        <w:tc>
          <w:tcPr>
            <w:tcW w:type="dxa" w:w="6624"/>
          </w:tcPr>
          <w:p>
            <w:pPr>
              <w:pStyle w:val="TableText"/>
            </w:pPr>
            <w:r>
              <w:rPr>
                <w:rFonts w:ascii="Times New Roman" w:hAnsi="Times New Roman"/>
                <w:sz w:val="22"/>
              </w:rPr>
              <w:t>Indian National Centre for Ocean Information Services</w:t>
            </w:r>
          </w:p>
        </w:tc>
      </w:tr>
      <w:tr>
        <w:tc>
          <w:tcPr>
            <w:tcW w:type="dxa" w:w="2016"/>
          </w:tcPr>
          <w:p>
            <w:pPr>
              <w:pStyle w:val="TableText"/>
            </w:pPr>
            <w:r>
              <w:rPr>
                <w:rFonts w:ascii="Times New Roman" w:hAnsi="Times New Roman"/>
                <w:sz w:val="22"/>
              </w:rPr>
              <w:t>LSTM</w:t>
            </w:r>
          </w:p>
        </w:tc>
        <w:tc>
          <w:tcPr>
            <w:tcW w:type="dxa" w:w="6624"/>
          </w:tcPr>
          <w:p>
            <w:pPr>
              <w:pStyle w:val="TableText"/>
            </w:pPr>
            <w:r>
              <w:rPr>
                <w:rFonts w:ascii="Times New Roman" w:hAnsi="Times New Roman"/>
                <w:sz w:val="22"/>
              </w:rPr>
              <w:t>Long short-term memory network</w:t>
            </w:r>
          </w:p>
        </w:tc>
      </w:tr>
      <w:tr>
        <w:tc>
          <w:tcPr>
            <w:tcW w:type="dxa" w:w="2016"/>
          </w:tcPr>
          <w:p>
            <w:pPr>
              <w:pStyle w:val="TableText"/>
            </w:pPr>
            <w:r>
              <w:rPr>
                <w:rFonts w:ascii="Times New Roman" w:hAnsi="Times New Roman"/>
                <w:sz w:val="22"/>
              </w:rPr>
              <w:t>MAE</w:t>
            </w:r>
          </w:p>
        </w:tc>
        <w:tc>
          <w:tcPr>
            <w:tcW w:type="dxa" w:w="6624"/>
          </w:tcPr>
          <w:p>
            <w:pPr>
              <w:pStyle w:val="TableText"/>
            </w:pPr>
            <w:r>
              <w:rPr>
                <w:rFonts w:ascii="Times New Roman" w:hAnsi="Times New Roman"/>
                <w:sz w:val="22"/>
              </w:rPr>
              <w:t>Mean absolute error</w:t>
            </w:r>
          </w:p>
        </w:tc>
      </w:tr>
      <w:tr>
        <w:tc>
          <w:tcPr>
            <w:tcW w:type="dxa" w:w="2016"/>
          </w:tcPr>
          <w:p>
            <w:pPr>
              <w:pStyle w:val="TableText"/>
            </w:pPr>
            <w:r>
              <w:rPr>
                <w:rFonts w:ascii="Times New Roman" w:hAnsi="Times New Roman"/>
                <w:sz w:val="22"/>
              </w:rPr>
              <w:t>MSE</w:t>
            </w:r>
          </w:p>
        </w:tc>
        <w:tc>
          <w:tcPr>
            <w:tcW w:type="dxa" w:w="6624"/>
          </w:tcPr>
          <w:p>
            <w:pPr>
              <w:pStyle w:val="TableText"/>
            </w:pPr>
            <w:r>
              <w:rPr>
                <w:rFonts w:ascii="Times New Roman" w:hAnsi="Times New Roman"/>
                <w:sz w:val="22"/>
              </w:rPr>
              <w:t>Mean squared error</w:t>
            </w:r>
          </w:p>
        </w:tc>
      </w:tr>
      <w:tr>
        <w:tc>
          <w:tcPr>
            <w:tcW w:type="dxa" w:w="2016"/>
          </w:tcPr>
          <w:p>
            <w:pPr>
              <w:pStyle w:val="TableText"/>
            </w:pPr>
            <w:r>
              <w:rPr>
                <w:rFonts w:ascii="Times New Roman" w:hAnsi="Times New Roman"/>
                <w:sz w:val="22"/>
              </w:rPr>
              <w:t>MSLP</w:t>
            </w:r>
          </w:p>
        </w:tc>
        <w:tc>
          <w:tcPr>
            <w:tcW w:type="dxa" w:w="6624"/>
          </w:tcPr>
          <w:p>
            <w:pPr>
              <w:pStyle w:val="TableText"/>
            </w:pPr>
            <w:r>
              <w:rPr>
                <w:rFonts w:ascii="Times New Roman" w:hAnsi="Times New Roman"/>
                <w:sz w:val="22"/>
              </w:rPr>
              <w:t>Mean sea-level pressure</w:t>
            </w:r>
          </w:p>
        </w:tc>
      </w:tr>
      <w:tr>
        <w:tc>
          <w:tcPr>
            <w:tcW w:type="dxa" w:w="2016"/>
          </w:tcPr>
          <w:p>
            <w:pPr>
              <w:pStyle w:val="TableText"/>
            </w:pPr>
            <w:r>
              <w:rPr>
                <w:rFonts w:ascii="Times New Roman" w:hAnsi="Times New Roman"/>
                <w:sz w:val="22"/>
              </w:rPr>
              <w:t>NWP</w:t>
            </w:r>
          </w:p>
        </w:tc>
        <w:tc>
          <w:tcPr>
            <w:tcW w:type="dxa" w:w="6624"/>
          </w:tcPr>
          <w:p>
            <w:pPr>
              <w:pStyle w:val="TableText"/>
            </w:pPr>
            <w:r>
              <w:rPr>
                <w:rFonts w:ascii="Times New Roman" w:hAnsi="Times New Roman"/>
                <w:sz w:val="22"/>
              </w:rPr>
              <w:t>Numerical weather prediction</w:t>
            </w:r>
          </w:p>
        </w:tc>
      </w:tr>
      <w:tr>
        <w:tc>
          <w:tcPr>
            <w:tcW w:type="dxa" w:w="2016"/>
          </w:tcPr>
          <w:p>
            <w:pPr>
              <w:pStyle w:val="TableText"/>
            </w:pPr>
            <w:r>
              <w:rPr>
                <w:rFonts w:ascii="Times New Roman" w:hAnsi="Times New Roman"/>
                <w:sz w:val="22"/>
              </w:rPr>
              <w:t>OMNI</w:t>
            </w:r>
          </w:p>
        </w:tc>
        <w:tc>
          <w:tcPr>
            <w:tcW w:type="dxa" w:w="6624"/>
          </w:tcPr>
          <w:p>
            <w:pPr>
              <w:pStyle w:val="TableText"/>
            </w:pPr>
            <w:r>
              <w:rPr>
                <w:rFonts w:ascii="Times New Roman" w:hAnsi="Times New Roman"/>
                <w:sz w:val="22"/>
              </w:rPr>
              <w:t>Ocean Moored buoy Network for the northern Indian Ocean</w:t>
            </w:r>
          </w:p>
        </w:tc>
      </w:tr>
      <w:tr>
        <w:tc>
          <w:tcPr>
            <w:tcW w:type="dxa" w:w="2016"/>
          </w:tcPr>
          <w:p>
            <w:pPr>
              <w:pStyle w:val="TableText"/>
            </w:pPr>
            <w:r>
              <w:rPr>
                <w:rFonts w:ascii="Times New Roman" w:hAnsi="Times New Roman"/>
                <w:sz w:val="22"/>
              </w:rPr>
              <w:t>RMSE</w:t>
            </w:r>
          </w:p>
        </w:tc>
        <w:tc>
          <w:tcPr>
            <w:tcW w:type="dxa" w:w="6624"/>
          </w:tcPr>
          <w:p>
            <w:pPr>
              <w:pStyle w:val="TableText"/>
            </w:pPr>
            <w:r>
              <w:rPr>
                <w:rFonts w:ascii="Times New Roman" w:hAnsi="Times New Roman"/>
                <w:sz w:val="22"/>
              </w:rPr>
              <w:t>Root-mean-square error</w:t>
            </w:r>
          </w:p>
        </w:tc>
      </w:tr>
      <w:tr>
        <w:tc>
          <w:tcPr>
            <w:tcW w:type="dxa" w:w="2016"/>
          </w:tcPr>
          <w:p>
            <w:pPr>
              <w:pStyle w:val="TableText"/>
            </w:pPr>
            <w:r>
              <w:rPr>
                <w:rFonts w:ascii="Times New Roman" w:hAnsi="Times New Roman"/>
                <w:sz w:val="22"/>
              </w:rPr>
              <w:t>Seq2Seq</w:t>
            </w:r>
          </w:p>
        </w:tc>
        <w:tc>
          <w:tcPr>
            <w:tcW w:type="dxa" w:w="6624"/>
          </w:tcPr>
          <w:p>
            <w:pPr>
              <w:pStyle w:val="TableText"/>
            </w:pPr>
            <w:r>
              <w:rPr>
                <w:rFonts w:ascii="Times New Roman" w:hAnsi="Times New Roman"/>
                <w:sz w:val="22"/>
              </w:rPr>
              <w:t>Sequence-to-sequence (encoder–decoder)</w:t>
            </w:r>
          </w:p>
        </w:tc>
      </w:tr>
      <w:tr>
        <w:tc>
          <w:tcPr>
            <w:tcW w:type="dxa" w:w="2016"/>
          </w:tcPr>
          <w:p>
            <w:pPr>
              <w:pStyle w:val="TableText"/>
            </w:pPr>
            <w:r>
              <w:rPr>
                <w:rFonts w:ascii="Times New Roman" w:hAnsi="Times New Roman"/>
                <w:sz w:val="22"/>
              </w:rPr>
              <w:t>SI</w:t>
            </w:r>
          </w:p>
        </w:tc>
        <w:tc>
          <w:tcPr>
            <w:tcW w:type="dxa" w:w="6624"/>
          </w:tcPr>
          <w:p>
            <w:pPr>
              <w:pStyle w:val="TableText"/>
            </w:pPr>
            <w:r>
              <w:rPr>
                <w:rFonts w:ascii="Times New Roman" w:hAnsi="Times New Roman"/>
                <w:sz w:val="22"/>
              </w:rPr>
              <w:t>Scatter index</w:t>
            </w:r>
          </w:p>
        </w:tc>
      </w:tr>
      <w:tr>
        <w:tc>
          <w:tcPr>
            <w:tcW w:type="dxa" w:w="2016"/>
          </w:tcPr>
          <w:p>
            <w:pPr>
              <w:pStyle w:val="TableText"/>
            </w:pPr>
            <w:r>
              <w:rPr>
                <w:rFonts w:ascii="Times New Roman" w:hAnsi="Times New Roman"/>
                <w:sz w:val="22"/>
              </w:rPr>
              <w:t>SST</w:t>
            </w:r>
          </w:p>
        </w:tc>
        <w:tc>
          <w:tcPr>
            <w:tcW w:type="dxa" w:w="6624"/>
          </w:tcPr>
          <w:p>
            <w:pPr>
              <w:pStyle w:val="TableText"/>
            </w:pPr>
            <w:r>
              <w:rPr>
                <w:rFonts w:ascii="Times New Roman" w:hAnsi="Times New Roman"/>
                <w:sz w:val="22"/>
              </w:rPr>
              <w:t>Sea surface temperature</w:t>
            </w:r>
          </w:p>
        </w:tc>
      </w:tr>
      <w:tr>
        <w:tc>
          <w:tcPr>
            <w:tcW w:type="dxa" w:w="2016"/>
          </w:tcPr>
          <w:p>
            <w:pPr>
              <w:pStyle w:val="TableText"/>
            </w:pPr>
            <w:r>
              <w:rPr>
                <w:rFonts w:ascii="Times New Roman" w:hAnsi="Times New Roman"/>
                <w:sz w:val="22"/>
              </w:rPr>
              <w:t>TPE</w:t>
            </w:r>
          </w:p>
        </w:tc>
        <w:tc>
          <w:tcPr>
            <w:tcW w:type="dxa" w:w="6624"/>
          </w:tcPr>
          <w:p>
            <w:pPr>
              <w:pStyle w:val="TableText"/>
            </w:pPr>
            <w:r>
              <w:rPr>
                <w:rFonts w:ascii="Times New Roman" w:hAnsi="Times New Roman"/>
                <w:sz w:val="22"/>
              </w:rPr>
              <w:t>Tree-structured Parzen estimator</w:t>
            </w:r>
          </w:p>
        </w:tc>
      </w:tr>
      <w:tr>
        <w:tc>
          <w:tcPr>
            <w:tcW w:type="dxa" w:w="2016"/>
          </w:tcPr>
          <w:p>
            <w:pPr>
              <w:pStyle w:val="TableText"/>
            </w:pPr>
            <w:r>
              <w:rPr>
                <w:rFonts w:ascii="Times New Roman" w:hAnsi="Times New Roman"/>
                <w:sz w:val="22"/>
              </w:rPr>
              <w:t>WAM</w:t>
            </w:r>
          </w:p>
        </w:tc>
        <w:tc>
          <w:tcPr>
            <w:tcW w:type="dxa" w:w="6624"/>
          </w:tcPr>
          <w:p>
            <w:pPr>
              <w:pStyle w:val="TableText"/>
            </w:pPr>
            <w:r>
              <w:rPr>
                <w:rFonts w:ascii="Times New Roman" w:hAnsi="Times New Roman"/>
                <w:sz w:val="22"/>
              </w:rPr>
              <w:t>Wave Model (third-generation spectral model)</w:t>
            </w:r>
          </w:p>
        </w:tc>
      </w:tr>
    </w:tbl>
    <w:p>
      <w:pPr>
        <w:sectPr>
          <w:footerReference w:type="default" r:id="rId38"/>
          <w:footerReference w:type="first" r:id="rId39"/>
          <w:headerReference w:type="default" r:id="rId41"/>
          <w:headerReference w:type="first" r:id="rId42"/>
          <w:pgSz w:w="12240" w:h="15840"/>
          <w:pgMar w:top="1440" w:right="1440" w:bottom="1440" w:left="2160" w:header="720" w:footer="720" w:gutter="0"/>
          <w:pgNumType w:fmt="lowerRoman" w:start="1"/>
          <w:cols w:space="720"/>
          <w:titlePg/>
          <w:docGrid w:linePitch="360"/>
        </w:sectPr>
      </w:pPr>
    </w:p>
    <w:p>
      <w:pPr>
        <w:pStyle w:val="Heading1"/>
      </w:pPr>
      <w:bookmarkStart w:id="101" w:name="_Toc101"/>
      <w:r>
        <w:rPr>
          <w:b/>
          <w:color w:val="444444"/>
          <w:sz w:val="26"/>
        </w:rPr>
        <w:t>CHAPTER 1</w:t>
        <w:br/>
      </w:r>
      <w:r>
        <w:rPr>
          <w:rFonts w:ascii="Times New Roman" w:hAnsi="Times New Roman"/>
        </w:rPr>
        <w:t>Introduction</w:t>
      </w:r>
      <w:bookmarkEnd w:id="101"/>
    </w:p>
    <w:p>
      <w:pPr>
        <w:pStyle w:val="Heading2"/>
      </w:pPr>
      <w:bookmarkStart w:id="102" w:name="_Toc102"/>
      <w:r>
        <w:rPr>
          <w:rFonts w:ascii="Times New Roman" w:hAnsi="Times New Roman"/>
        </w:rPr>
        <w:t>1.1</w:t>
        <w:tab/>
        <w:t>Background</w:t>
      </w:r>
      <w:bookmarkEnd w:id="102"/>
    </w:p>
    <w:p>
      <w:r>
        <w:rPr>
          <w:rFonts w:ascii="Times New Roman" w:hAnsi="Times New Roman"/>
        </w:rPr>
        <w:t>The Bay of Bengal is a semi-enclosed basin of the north-eastern Indian Ocean bounded by India, Bangladesh, Myanmar and Sri Lanka. Its sea state is governed by the reversing monsoon: south-westerly winds from June to September generate a persistent wind sea and long-period swell, while weaker north-easterlies prevail from November to February. Superimposed on this seasonal cycle are tropical cyclones, which form mainly in the pre-monsoon (April–May) and post-monsoon (October–December) seasons and raise the significant wave height from about 1–2 m to more than 8–10 m within one or two days [1]. The coasts that surround the bay are among the most densely populated in the world, and its ports, fishing fleets, offshore oil and gas installations and coastal communities all depend on timely warnings of hazardous seas.</w:t>
      </w:r>
    </w:p>
    <w:p>
      <w:r>
        <w:rPr>
          <w:rFonts w:ascii="Times New Roman" w:hAnsi="Times New Roman"/>
        </w:rPr>
        <w:t xml:space="preserve">The </w:t>
      </w:r>
      <w:r>
        <w:rPr>
          <w:rFonts w:ascii="Times New Roman" w:hAnsi="Times New Roman"/>
          <w:b/>
        </w:rPr>
        <w:t>significant wave height</w:t>
      </w:r>
      <w:r>
        <w:rPr>
          <w:rFonts w:ascii="Times New Roman" w:hAnsi="Times New Roman"/>
        </w:rPr>
        <w:t xml:space="preserve"> H</w:t>
      </w:r>
      <w:r>
        <w:rPr>
          <w:rFonts w:ascii="Times New Roman" w:hAnsi="Times New Roman"/>
          <w:vertAlign w:val="subscript"/>
        </w:rPr>
        <w:t>s</w:t>
      </w:r>
      <w:r>
        <w:rPr>
          <w:rFonts w:ascii="Times New Roman" w:hAnsi="Times New Roman"/>
        </w:rPr>
        <w:t>, defined as four times the square root of the zeroth moment of the wave spectrum and close to the mean height of the highest third of the waves [2], is the single most widely used descriptor of the sea state. Operational forecasts of H</w:t>
      </w:r>
      <w:r>
        <w:rPr>
          <w:rFonts w:ascii="Times New Roman" w:hAnsi="Times New Roman"/>
          <w:vertAlign w:val="subscript"/>
        </w:rPr>
        <w:t>s</w:t>
      </w:r>
      <w:r>
        <w:rPr>
          <w:rFonts w:ascii="Times New Roman" w:hAnsi="Times New Roman"/>
        </w:rPr>
        <w:t xml:space="preserve"> are produced by third-generation spectral wave models such as WAM [3] and WAVEWATCH III [4], which integrate the wave action balance equation forced by numerical weather prediction (NWP) winds. These models are physically complete but computationally expensive: a basin-scale ensemble run needs a supercomputer, a high-quality wind forcing and a long chain of pre- and post-processing. For an operator who needs a forecast at a fixed location, for example a mooring, a port approach or an offshore platform, a data-driven model that maps recent observations and forcing to future H</w:t>
      </w:r>
      <w:r>
        <w:rPr>
          <w:rFonts w:ascii="Times New Roman" w:hAnsi="Times New Roman"/>
          <w:vertAlign w:val="subscript"/>
        </w:rPr>
        <w:t>s</w:t>
      </w:r>
      <w:r>
        <w:rPr>
          <w:rFonts w:ascii="Times New Roman" w:hAnsi="Times New Roman"/>
        </w:rPr>
        <w:t xml:space="preserve"> can be orders of magnitude cheaper to run and can be retrained as new data arrive.</w:t>
      </w:r>
    </w:p>
    <w:p>
      <w:pPr>
        <w:pStyle w:val="Heading2"/>
      </w:pPr>
      <w:bookmarkStart w:id="103" w:name="_Toc103"/>
      <w:r>
        <w:rPr>
          <w:rFonts w:ascii="Times New Roman" w:hAnsi="Times New Roman"/>
        </w:rPr>
        <w:t>1.2</w:t>
        <w:tab/>
        <w:t>Problem statement</w:t>
      </w:r>
      <w:bookmarkEnd w:id="103"/>
    </w:p>
    <w:p>
      <w:r>
        <w:rPr>
          <w:rFonts w:ascii="Times New Roman" w:hAnsi="Times New Roman"/>
        </w:rPr>
        <w:t>Forecasting H</w:t>
      </w:r>
      <w:r>
        <w:rPr>
          <w:rFonts w:ascii="Times New Roman" w:hAnsi="Times New Roman"/>
          <w:vertAlign w:val="subscript"/>
        </w:rPr>
        <w:t>s</w:t>
      </w:r>
      <w:r>
        <w:rPr>
          <w:rFonts w:ascii="Times New Roman" w:hAnsi="Times New Roman"/>
        </w:rPr>
        <w:t xml:space="preserve"> at a point 6 to 72 hours ahead is a </w:t>
      </w:r>
      <w:r>
        <w:rPr>
          <w:rFonts w:ascii="Times New Roman" w:hAnsi="Times New Roman"/>
          <w:b/>
        </w:rPr>
        <w:t>multi-step time-series problem</w:t>
      </w:r>
      <w:r>
        <w:rPr>
          <w:rFonts w:ascii="Times New Roman" w:hAnsi="Times New Roman"/>
        </w:rPr>
        <w:t xml:space="preserve">. The simplest approach trains a one-step model and feeds its own predictions back as inputs to reach longer lead times (the recursive strategy). Errors then accumulate with every step, and the model is never trained on the inputs it receives at long lead times [5]. A sounder approach is the </w:t>
      </w:r>
      <w:r>
        <w:rPr>
          <w:rFonts w:ascii="Times New Roman" w:hAnsi="Times New Roman"/>
          <w:b/>
        </w:rPr>
        <w:t>direct multi-step</w:t>
      </w:r>
      <w:r>
        <w:rPr>
          <w:rFonts w:ascii="Times New Roman" w:hAnsi="Times New Roman"/>
        </w:rPr>
        <w:t xml:space="preserve"> (DMS) strategy, in which a separate mapping is learned for every lead time, or a sequence-to-sequence network that emits all lead times jointly without feedback. A second difficulty is that the most important forecasts are the rarest: tropical cyclones make up a small fraction of any record, and a model that minimises the mean squared error over all samples tends to under-predict exactly the peaks that matter for safety. A third is </w:t>
      </w:r>
      <w:r>
        <w:rPr>
          <w:rFonts w:ascii="Times New Roman" w:hAnsi="Times New Roman"/>
          <w:b/>
        </w:rPr>
        <w:t>information leakage</w:t>
      </w:r>
      <w:r>
        <w:rPr>
          <w:rFonts w:ascii="Times New Roman" w:hAnsi="Times New Roman"/>
        </w:rPr>
        <w:t>: sliding windows over an autocorrelated series make it easy to let future values reach the training set, which inflates every reported skill score. This thesis addresses all three.</w:t>
      </w:r>
    </w:p>
    <w:p>
      <w:pPr>
        <w:pStyle w:val="Heading2"/>
      </w:pPr>
      <w:bookmarkStart w:id="104" w:name="_Toc104"/>
      <w:r>
        <w:rPr>
          <w:rFonts w:ascii="Times New Roman" w:hAnsi="Times New Roman"/>
        </w:rPr>
        <w:t>1.3</w:t>
        <w:tab/>
        <w:t>Objectives</w:t>
      </w:r>
      <w:bookmarkEnd w:id="104"/>
    </w:p>
    <w:p>
      <w:pPr>
        <w:tabs>
          <w:tab w:pos="576" w:val="left"/>
        </w:tabs>
        <w:spacing w:after="80"/>
        <w:ind w:left="576" w:hanging="432"/>
      </w:pPr>
      <w:r>
        <w:t>1.</w:t>
        <w:tab/>
      </w:r>
      <w:r>
        <w:rPr>
          <w:rFonts w:ascii="Times New Roman" w:hAnsi="Times New Roman"/>
        </w:rPr>
        <w:t>To build a reproducible, leakage-free pipeline that ingests ECMWF ERA5 reanalysis and INCOIS OMNI buoy data, aligns them in space and time and engineers physically meaningful predictors (wind stress, pressure tendency, air–sea temperature difference, cyclically encoded directions).</w:t>
      </w:r>
    </w:p>
    <w:p>
      <w:pPr>
        <w:tabs>
          <w:tab w:pos="576" w:val="left"/>
        </w:tabs>
        <w:spacing w:after="80"/>
        <w:ind w:left="576" w:hanging="432"/>
      </w:pPr>
      <w:r>
        <w:t>2.</w:t>
        <w:tab/>
      </w:r>
      <w:r>
        <w:rPr>
          <w:rFonts w:ascii="Times New Roman" w:hAnsi="Times New Roman"/>
        </w:rPr>
        <w:t>To forecast H</w:t>
      </w:r>
      <w:r>
        <w:rPr>
          <w:rFonts w:ascii="Times New Roman" w:hAnsi="Times New Roman"/>
          <w:vertAlign w:val="subscript"/>
        </w:rPr>
        <w:t>s</w:t>
      </w:r>
      <w:r>
        <w:rPr>
          <w:rFonts w:ascii="Times New Roman" w:hAnsi="Times New Roman"/>
        </w:rPr>
        <w:t xml:space="preserve"> at lead times of 6, 12, 24, 48 and 72 h with direct multi-step gradient-boosted trees (LightGBM, CatBoost) tuned by Bayesian optimisation on a multi-horizon objective.</w:t>
      </w:r>
    </w:p>
    <w:p>
      <w:pPr>
        <w:tabs>
          <w:tab w:pos="576" w:val="left"/>
        </w:tabs>
        <w:spacing w:after="80"/>
        <w:ind w:left="576" w:hanging="432"/>
      </w:pPr>
      <w:r>
        <w:t>3.</w:t>
        <w:tab/>
      </w:r>
      <w:r>
        <w:rPr>
          <w:rFonts w:ascii="Times New Roman" w:hAnsi="Times New Roman"/>
        </w:rPr>
        <w:t>To design an encoder–decoder (sequence-to-sequence) bidirectional LSTM with attention for the same task, and a peak-weighted loss that penalises under-prediction during extreme sea states.</w:t>
      </w:r>
    </w:p>
    <w:p>
      <w:pPr>
        <w:tabs>
          <w:tab w:pos="576" w:val="left"/>
        </w:tabs>
        <w:spacing w:after="200"/>
        <w:ind w:left="576" w:hanging="432"/>
      </w:pPr>
      <w:r>
        <w:t>4.</w:t>
        <w:tab/>
      </w:r>
      <w:r>
        <w:rPr>
          <w:rFonts w:ascii="Times New Roman" w:hAnsi="Times New Roman"/>
        </w:rPr>
        <w:t>To compare all models against persistence, climatology and ARIMA on an unseen test period (2023–2024) that contains several tropical cyclones, using common samples, standard wave-verification metrics and formal significance tests.</w:t>
      </w:r>
    </w:p>
    <w:p>
      <w:pPr>
        <w:pStyle w:val="Heading2"/>
      </w:pPr>
      <w:bookmarkStart w:id="105" w:name="_Toc105"/>
      <w:r>
        <w:rPr>
          <w:rFonts w:ascii="Times New Roman" w:hAnsi="Times New Roman"/>
        </w:rPr>
        <w:t>1.4</w:t>
        <w:tab/>
        <w:t>Scope and contributions</w:t>
      </w:r>
      <w:bookmarkEnd w:id="105"/>
    </w:p>
    <w:p>
      <w:r>
        <w:rPr>
          <w:rFonts w:ascii="Times New Roman" w:hAnsi="Times New Roman"/>
        </w:rPr>
        <w:t xml:space="preserve">The study covers ten years (2015–2024) of hourly data at the positions of three OMNI moored buoys, BD08, BD10 and BD11, which sample the northern, central and south-western bay. Because the INCOIS buoy records had not been received when the experiments were run, all models in this report are trained and verified against </w:t>
      </w:r>
      <w:r>
        <w:rPr>
          <w:rFonts w:ascii="Times New Roman" w:hAnsi="Times New Roman"/>
          <w:b/>
        </w:rPr>
        <w:t>ERA5 significant wave height at the buoy positions</w:t>
      </w:r>
      <w:r>
        <w:rPr>
          <w:rFonts w:ascii="Times New Roman" w:hAnsi="Times New Roman"/>
        </w:rPr>
        <w:t>. The pipeline is written so that the buoy record can replace the ERA5 target without code changes, and Section 5.9 discusses what this choice implies. The main contributions are:</w:t>
      </w:r>
    </w:p>
    <w:p>
      <w:pPr>
        <w:pStyle w:val="ListBullet"/>
      </w:pPr>
      <w:r>
        <w:rPr>
          <w:rFonts w:ascii="Times New Roman" w:hAnsi="Times New Roman"/>
        </w:rPr>
        <w:t>A leakage-free windowing and splitting scheme in which every sample's inputs and all of its targets lie inside one chronological block, verified by automated tests.</w:t>
      </w:r>
    </w:p>
    <w:p>
      <w:pPr>
        <w:pStyle w:val="ListBullet"/>
      </w:pPr>
      <w:r>
        <w:rPr>
          <w:rFonts w:ascii="Times New Roman" w:hAnsi="Times New Roman"/>
        </w:rPr>
        <w:t>A fair, common-sample comparison of classical, tree-based and deep-learning forecasters at five lead times and three locations, including skill during the named cyclones of the test period.</w:t>
      </w:r>
    </w:p>
    <w:p>
      <w:pPr>
        <w:pStyle w:val="ListBullet"/>
      </w:pPr>
      <w:r>
        <w:rPr>
          <w:rFonts w:ascii="Times New Roman" w:hAnsi="Times New Roman"/>
        </w:rPr>
        <w:t>A peak-weighted asymmetric loss for the Seq2Seq LSTM, evaluated against an otherwise identical network trained with the mean squared error.</w:t>
      </w:r>
    </w:p>
    <w:p>
      <w:pPr>
        <w:pStyle w:val="ListBullet"/>
        <w:spacing w:after="200"/>
      </w:pPr>
      <w:r>
        <w:rPr>
          <w:rFonts w:ascii="Times New Roman" w:hAnsi="Times New Roman"/>
        </w:rPr>
        <w:t>An open, modular Python implementation with 44 automated tests, from which every table and figure in this report is regenerated.</w:t>
      </w:r>
    </w:p>
    <w:p>
      <w:pPr>
        <w:pStyle w:val="Heading2"/>
      </w:pPr>
      <w:bookmarkStart w:id="106" w:name="_Toc106"/>
      <w:r>
        <w:rPr>
          <w:rFonts w:ascii="Times New Roman" w:hAnsi="Times New Roman"/>
        </w:rPr>
        <w:t>1.5</w:t>
        <w:tab/>
        <w:t>Organisation of the report</w:t>
      </w:r>
      <w:bookmarkEnd w:id="106"/>
    </w:p>
    <w:p>
      <w:r>
        <w:rPr>
          <w:rFonts w:ascii="Times New Roman" w:hAnsi="Times New Roman"/>
        </w:rPr>
        <w:t>Chapter 2 reviews numerical and data-driven wave forecasting. Chapter 3 describes the study area, the ERA5 and buoy data, and the preprocessing. Chapter 4 presents the feature engineering, the forecasting strategy, the models and the verification framework. Chapter 5 reports and discusses the results, and Chapter 6 draws the conclusions and outlines future work.</w:t>
      </w:r>
    </w:p>
    <w:p>
      <w:pPr>
        <w:pStyle w:val="Heading1"/>
      </w:pPr>
      <w:bookmarkStart w:id="107" w:name="_Toc107"/>
      <w:r>
        <w:rPr>
          <w:b/>
          <w:color w:val="444444"/>
          <w:sz w:val="26"/>
        </w:rPr>
        <w:t>CHAPTER 2</w:t>
        <w:br/>
      </w:r>
      <w:r>
        <w:rPr>
          <w:rFonts w:ascii="Times New Roman" w:hAnsi="Times New Roman"/>
        </w:rPr>
        <w:t>Literature Review</w:t>
      </w:r>
      <w:bookmarkEnd w:id="107"/>
    </w:p>
    <w:p>
      <w:pPr>
        <w:pStyle w:val="Heading2"/>
      </w:pPr>
      <w:bookmarkStart w:id="108" w:name="_Toc108"/>
      <w:r>
        <w:rPr>
          <w:rFonts w:ascii="Times New Roman" w:hAnsi="Times New Roman"/>
        </w:rPr>
        <w:t>2.1</w:t>
        <w:tab/>
        <w:t>Numerical wave models and reanalyses</w:t>
      </w:r>
      <w:bookmarkEnd w:id="108"/>
    </w:p>
    <w:p>
      <w:r>
        <w:rPr>
          <w:rFonts w:ascii="Times New Roman" w:hAnsi="Times New Roman"/>
        </w:rPr>
        <w:t>Third-generation spectral models solve the action balance equation for the directional wave spectrum, with source terms for wind input, non-linear four-wave interactions and whitecapping dissipation [2]. WAM introduced this approach for global forecasting [3], and WAVEWATCH III extended it with improved physics and numerics [4]. Their skill is limited mainly by the quality of the forcing winds, particularly inside tropical cyclones where the wind field is poorly resolved.</w:t>
      </w:r>
    </w:p>
    <w:p>
      <w:r>
        <w:rPr>
          <w:rFonts w:ascii="Times New Roman" w:hAnsi="Times New Roman"/>
        </w:rPr>
        <w:t>Reanalyses combine such a model with data assimilation over decades. ERA5, the fifth-generation ECMWF reanalysis, couples the IFS atmospheric model with WAM, assimilates satellite altimeter wave heights, and provides hourly fields from 1940 to the present: atmospheric variables on a 0.25° grid and wave variables on a 0.5° grid [6]. Its homogeneous, gap-free record makes it the standard training source for data-driven models where in-situ data are short or interrupted.</w:t>
      </w:r>
    </w:p>
    <w:p>
      <w:pPr>
        <w:pStyle w:val="Heading2"/>
      </w:pPr>
      <w:bookmarkStart w:id="109" w:name="_Toc109"/>
      <w:r>
        <w:rPr>
          <w:rFonts w:ascii="Times New Roman" w:hAnsi="Times New Roman"/>
        </w:rPr>
        <w:t>2.2</w:t>
        <w:tab/>
        <w:t>Data-driven wave forecasting</w:t>
      </w:r>
      <w:bookmarkEnd w:id="109"/>
    </w:p>
    <w:p>
      <w:r>
        <w:rPr>
          <w:rFonts w:ascii="Times New Roman" w:hAnsi="Times New Roman"/>
        </w:rPr>
        <w:t>Neural networks were applied to wave forecasting from the late 1990s. Deo and Naidu forecast wave heights from preceding observations with a feed-forward network [7], and Deo et al. showed that networks driven by wind inputs can match empirical and numerical approaches at short lead times [8]. Londhe and Panchang extended point forecasts to 24 h with buoy data off the United States coast [9], and Mandal and Prabaharan used recurrent networks to capture the temporal dependence of the wave record [10]. Long short-term memory (LSTM) networks [11], whose gated memory cells mitigate the vanishing-gradient problem of simple recurrent networks, have since become the default deep-learning model for H</w:t>
      </w:r>
      <w:r>
        <w:rPr>
          <w:rFonts w:ascii="Times New Roman" w:hAnsi="Times New Roman"/>
          <w:vertAlign w:val="subscript"/>
        </w:rPr>
        <w:t>s</w:t>
      </w:r>
      <w:r>
        <w:rPr>
          <w:rFonts w:ascii="Times New Roman" w:hAnsi="Times New Roman"/>
        </w:rPr>
        <w:t xml:space="preserve"> series; Fan et al. reported clear gains of LSTM over conventional networks for multi-hour forecasts [12].</w:t>
      </w:r>
    </w:p>
    <w:p>
      <w:r>
        <w:rPr>
          <w:rFonts w:ascii="Times New Roman" w:hAnsi="Times New Roman"/>
        </w:rPr>
        <w:t>Sequence-to-sequence (Seq2Seq) encoder–decoder networks [13] map an input sequence to an output sequence of different length and are a natural fit for multi-horizon forecasting. Bidirectional encoders read the history in both directions [14], and attention mechanisms let each output step weigh the relevant part of the input [15]. In parallel, gradient-boosted decision trees [16], in their modern implementations XGBoost [17], LightGBM [18] and CatBoost [19], have become the strongest general-purpose learners for tabular data. They need little preprocessing, handle heterogeneous predictors and are fast to train, and they can be applied to time series through lagged features.</w:t>
      </w:r>
    </w:p>
    <w:p>
      <w:pPr>
        <w:pStyle w:val="Heading2"/>
      </w:pPr>
      <w:bookmarkStart w:id="110" w:name="_Toc110"/>
      <w:r>
        <w:rPr>
          <w:rFonts w:ascii="Times New Roman" w:hAnsi="Times New Roman"/>
        </w:rPr>
        <w:t>2.3</w:t>
        <w:tab/>
        <w:t>Multi-step strategies and verification</w:t>
      </w:r>
      <w:bookmarkEnd w:id="110"/>
    </w:p>
    <w:p>
      <w:r>
        <w:rPr>
          <w:rFonts w:ascii="Times New Roman" w:hAnsi="Times New Roman"/>
        </w:rPr>
        <w:t>Ben Taieb et al. compared recursive, direct and multiple-output strategies and found that direct and multiple-output approaches avoid the error accumulation of recursion at long horizons [5]. For verification, the wave-modelling community reports RMSE, bias, correlation and the scatter index; Mentaschi et al. showed that RMSE-based indices can favour models that under-predict variability, and recommended reporting bias-removed measures alongside them [20]. Differences between forecasters evaluated on the same sample should be tested for significance, for which the Diebold–Mariano test [21] with the small-sample correction of Harvey et al. [22] is the standard tool.</w:t>
      </w:r>
    </w:p>
    <w:p>
      <w:pPr>
        <w:pStyle w:val="Heading2"/>
      </w:pPr>
      <w:bookmarkStart w:id="111" w:name="_Toc111"/>
      <w:r>
        <w:rPr>
          <w:rFonts w:ascii="Times New Roman" w:hAnsi="Times New Roman"/>
        </w:rPr>
        <w:t>2.4</w:t>
        <w:tab/>
        <w:t>Research gap</w:t>
      </w:r>
      <w:bookmarkEnd w:id="111"/>
    </w:p>
    <w:p>
      <w:r>
        <w:rPr>
          <w:rFonts w:ascii="Times New Roman" w:hAnsi="Times New Roman"/>
        </w:rPr>
        <w:t>Three gaps motivate this work. First, most data-driven studies forecast one lead time or use recursion, and few compare direct multi-step trees with Seq2Seq networks on identical samples. Second, published skill scores rarely document how look-ahead bias was excluded, although overlapping windows make leakage easy. Third, models are usually trained with a symmetric loss and scored on all samples, so their behaviour in cyclones, the cases of greatest consequence in the Bay of Bengal, is seldom examined separately. This thesis addresses each of these.</w:t>
      </w:r>
    </w:p>
    <w:p>
      <w:pPr>
        <w:pStyle w:val="Heading1"/>
      </w:pPr>
      <w:bookmarkStart w:id="112" w:name="_Toc112"/>
      <w:r>
        <w:rPr>
          <w:b/>
          <w:color w:val="444444"/>
          <w:sz w:val="26"/>
        </w:rPr>
        <w:t>CHAPTER 3</w:t>
        <w:br/>
      </w:r>
      <w:r>
        <w:rPr>
          <w:rFonts w:ascii="Times New Roman" w:hAnsi="Times New Roman"/>
        </w:rPr>
        <w:t>Study Area and Data</w:t>
      </w:r>
      <w:bookmarkEnd w:id="112"/>
    </w:p>
    <w:p>
      <w:pPr>
        <w:pStyle w:val="Heading2"/>
      </w:pPr>
      <w:bookmarkStart w:id="113" w:name="_Toc113"/>
      <w:r>
        <w:rPr>
          <w:rFonts w:ascii="Times New Roman" w:hAnsi="Times New Roman"/>
        </w:rPr>
        <w:t>3.1</w:t>
        <w:tab/>
        <w:t>The Bay of Bengal and the buoy sites</w:t>
      </w:r>
      <w:bookmarkEnd w:id="113"/>
    </w:p>
    <w:p>
      <w:r>
        <w:rPr>
          <w:rFonts w:ascii="Times New Roman" w:hAnsi="Times New Roman"/>
        </w:rPr>
        <w:t>The study area is the Bay of Bengal between 4° and 23° N and 79° and 100° E. Three sites of the INCOIS Ocean Moored buoy Network for the northern Indian Ocean (OMNI) [23] were selected to sample different wave regimes: BD08 in the northern bay, on the track of most cyclones that recurve towards Odisha, West Bengal, Bangladesh and Myanmar; BD10 in the central bay; and BD11 in the south-western bay off the Andhra Pradesh and Tamil Nadu coasts, which is exposed to post-monsoon cyclones that move west. Table 3.1 lists their nominal positions and the ERA5 grid nodes matched to them (Section 4.1.3).</w:t>
      </w:r>
    </w:p>
    <w:p>
      <w:pPr>
        <w:pStyle w:val="TableCaption"/>
      </w:pPr>
      <w:r>
        <w:rPr>
          <w:b/>
        </w:rPr>
        <w:t xml:space="preserve">Table 3.1: </w:t>
      </w:r>
      <w:r>
        <w:rPr>
          <w:rFonts w:ascii="Times New Roman" w:hAnsi="Times New Roman"/>
        </w:rPr>
        <w:t>Buoy sites and the ERA5 nodes matched to them (distance from the buoy in brackets)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792"/>
        <w:gridCol w:w="1512"/>
        <w:gridCol w:w="1872"/>
        <w:gridCol w:w="2232"/>
        <w:gridCol w:w="2232"/>
      </w:tblGrid>
      <w:tr>
        <w:trPr>
          <w:cantSplit w:val="true"/>
          <w:tblHeader w:val="true"/>
        </w:trPr>
        <w:tc>
          <w:tcPr>
            <w:tcW w:type="dxa" w:w="792"/>
            <w:tcBorders>
              <w:bottom w:val="single" w:sz="6" w:color="000000"/>
            </w:tcBorders>
            <w:vAlign w:val="center"/>
          </w:tcPr>
          <w:p>
            <w:pPr>
              <w:pStyle w:val="TableText"/>
            </w:pPr>
            <w:r>
              <w:rPr>
                <w:rFonts w:ascii="Times New Roman" w:hAnsi="Times New Roman"/>
                <w:b/>
              </w:rPr>
              <w:t>Buoy</w:t>
            </w:r>
          </w:p>
        </w:tc>
        <w:tc>
          <w:tcPr>
            <w:tcW w:type="dxa" w:w="1512"/>
            <w:tcBorders>
              <w:bottom w:val="single" w:sz="6" w:color="000000"/>
            </w:tcBorders>
            <w:vAlign w:val="center"/>
          </w:tcPr>
          <w:p>
            <w:pPr>
              <w:pStyle w:val="TableText"/>
            </w:pPr>
            <w:r>
              <w:rPr>
                <w:rFonts w:ascii="Times New Roman" w:hAnsi="Times New Roman"/>
                <w:b/>
              </w:rPr>
              <w:t>Region</w:t>
            </w:r>
          </w:p>
        </w:tc>
        <w:tc>
          <w:tcPr>
            <w:tcW w:type="dxa" w:w="1872"/>
            <w:tcBorders>
              <w:bottom w:val="single" w:sz="6" w:color="000000"/>
            </w:tcBorders>
            <w:vAlign w:val="center"/>
          </w:tcPr>
          <w:p>
            <w:pPr>
              <w:pStyle w:val="TableText"/>
            </w:pPr>
            <w:r>
              <w:rPr>
                <w:rFonts w:ascii="Times New Roman" w:hAnsi="Times New Roman"/>
                <w:b/>
              </w:rPr>
              <w:t>Nominal position</w:t>
            </w:r>
          </w:p>
        </w:tc>
        <w:tc>
          <w:tcPr>
            <w:tcW w:type="dxa" w:w="2232"/>
            <w:tcBorders>
              <w:bottom w:val="single" w:sz="6" w:color="000000"/>
            </w:tcBorders>
            <w:vAlign w:val="center"/>
          </w:tcPr>
          <w:p>
            <w:pPr>
              <w:pStyle w:val="TableText"/>
            </w:pPr>
            <w:r>
              <w:rPr>
                <w:rFonts w:ascii="Times New Roman" w:hAnsi="Times New Roman"/>
                <w:b/>
              </w:rPr>
              <w:t>Atmospheric node (0.25°)</w:t>
            </w:r>
          </w:p>
        </w:tc>
        <w:tc>
          <w:tcPr>
            <w:tcW w:type="dxa" w:w="2232"/>
            <w:tcBorders>
              <w:bottom w:val="single" w:sz="6" w:color="000000"/>
            </w:tcBorders>
            <w:vAlign w:val="center"/>
          </w:tcPr>
          <w:p>
            <w:pPr>
              <w:pStyle w:val="TableText"/>
            </w:pPr>
            <w:r>
              <w:rPr>
                <w:rFonts w:ascii="Times New Roman" w:hAnsi="Times New Roman"/>
                <w:b/>
              </w:rPr>
              <w:t>Wave node (0.5°)</w:t>
            </w:r>
          </w:p>
        </w:tc>
      </w:tr>
      <w:tr>
        <w:trPr>
          <w:cantSplit w:val="true"/>
        </w:trPr>
        <w:tc>
          <w:tcPr>
            <w:tcW w:type="dxa" w:w="792"/>
            <w:vAlign w:val="center"/>
          </w:tcPr>
          <w:p>
            <w:pPr>
              <w:pStyle w:val="TableText"/>
            </w:pPr>
            <w:r>
              <w:rPr>
                <w:rFonts w:ascii="Times New Roman" w:hAnsi="Times New Roman"/>
              </w:rPr>
              <w:t>BD08</w:t>
            </w:r>
          </w:p>
        </w:tc>
        <w:tc>
          <w:tcPr>
            <w:tcW w:type="dxa" w:w="1512"/>
            <w:vAlign w:val="center"/>
          </w:tcPr>
          <w:p>
            <w:pPr>
              <w:pStyle w:val="TableText"/>
            </w:pPr>
            <w:r>
              <w:rPr>
                <w:rFonts w:ascii="Times New Roman" w:hAnsi="Times New Roman"/>
              </w:rPr>
              <w:t>northern bay</w:t>
            </w:r>
          </w:p>
        </w:tc>
        <w:tc>
          <w:tcPr>
            <w:tcW w:type="dxa" w:w="1872"/>
            <w:vAlign w:val="center"/>
          </w:tcPr>
          <w:p>
            <w:pPr>
              <w:pStyle w:val="TableText"/>
            </w:pPr>
            <w:r>
              <w:rPr>
                <w:rFonts w:ascii="Times New Roman" w:hAnsi="Times New Roman"/>
              </w:rPr>
              <w:t>18.15 N, 89.67 E</w:t>
            </w:r>
          </w:p>
        </w:tc>
        <w:tc>
          <w:tcPr>
            <w:tcW w:type="dxa" w:w="2232"/>
            <w:vAlign w:val="center"/>
          </w:tcPr>
          <w:p>
            <w:pPr>
              <w:pStyle w:val="TableText"/>
            </w:pPr>
            <w:r>
              <w:rPr>
                <w:rFonts w:ascii="Times New Roman" w:hAnsi="Times New Roman"/>
              </w:rPr>
              <w:t>18.25 N, 89.75 E (14 km)</w:t>
            </w:r>
          </w:p>
        </w:tc>
        <w:tc>
          <w:tcPr>
            <w:tcW w:type="dxa" w:w="2232"/>
            <w:vAlign w:val="center"/>
          </w:tcPr>
          <w:p>
            <w:pPr>
              <w:pStyle w:val="TableText"/>
            </w:pPr>
            <w:r>
              <w:rPr>
                <w:rFonts w:ascii="Times New Roman" w:hAnsi="Times New Roman"/>
              </w:rPr>
              <w:t>18.00 N, 89.50 E (25 km)</w:t>
            </w:r>
          </w:p>
        </w:tc>
      </w:tr>
      <w:tr>
        <w:trPr>
          <w:cantSplit w:val="true"/>
        </w:trPr>
        <w:tc>
          <w:tcPr>
            <w:tcW w:type="dxa" w:w="792"/>
            <w:vAlign w:val="center"/>
          </w:tcPr>
          <w:p>
            <w:pPr>
              <w:pStyle w:val="TableText"/>
            </w:pPr>
            <w:r>
              <w:rPr>
                <w:rFonts w:ascii="Times New Roman" w:hAnsi="Times New Roman"/>
              </w:rPr>
              <w:t>BD10</w:t>
            </w:r>
          </w:p>
        </w:tc>
        <w:tc>
          <w:tcPr>
            <w:tcW w:type="dxa" w:w="1512"/>
            <w:vAlign w:val="center"/>
          </w:tcPr>
          <w:p>
            <w:pPr>
              <w:pStyle w:val="TableText"/>
            </w:pPr>
            <w:r>
              <w:rPr>
                <w:rFonts w:ascii="Times New Roman" w:hAnsi="Times New Roman"/>
              </w:rPr>
              <w:t>central bay</w:t>
            </w:r>
          </w:p>
        </w:tc>
        <w:tc>
          <w:tcPr>
            <w:tcW w:type="dxa" w:w="1872"/>
            <w:vAlign w:val="center"/>
          </w:tcPr>
          <w:p>
            <w:pPr>
              <w:pStyle w:val="TableText"/>
            </w:pPr>
            <w:r>
              <w:rPr>
                <w:rFonts w:ascii="Times New Roman" w:hAnsi="Times New Roman"/>
              </w:rPr>
              <w:t>16.32 N, 87.98 E</w:t>
            </w:r>
          </w:p>
        </w:tc>
        <w:tc>
          <w:tcPr>
            <w:tcW w:type="dxa" w:w="2232"/>
            <w:vAlign w:val="center"/>
          </w:tcPr>
          <w:p>
            <w:pPr>
              <w:pStyle w:val="TableText"/>
            </w:pPr>
            <w:r>
              <w:rPr>
                <w:rFonts w:ascii="Times New Roman" w:hAnsi="Times New Roman"/>
              </w:rPr>
              <w:t>16.25 N, 88.00 E (8 km)</w:t>
            </w:r>
          </w:p>
        </w:tc>
        <w:tc>
          <w:tcPr>
            <w:tcW w:type="dxa" w:w="2232"/>
            <w:vAlign w:val="center"/>
          </w:tcPr>
          <w:p>
            <w:pPr>
              <w:pStyle w:val="TableText"/>
            </w:pPr>
            <w:r>
              <w:rPr>
                <w:rFonts w:ascii="Times New Roman" w:hAnsi="Times New Roman"/>
              </w:rPr>
              <w:t>16.50 N, 88.00 E (20 km)</w:t>
            </w:r>
          </w:p>
        </w:tc>
      </w:tr>
      <w:tr>
        <w:trPr>
          <w:cantSplit w:val="true"/>
        </w:trPr>
        <w:tc>
          <w:tcPr>
            <w:tcW w:type="dxa" w:w="792"/>
            <w:vAlign w:val="center"/>
          </w:tcPr>
          <w:p>
            <w:pPr>
              <w:pStyle w:val="TableText"/>
            </w:pPr>
            <w:r>
              <w:rPr>
                <w:rFonts w:ascii="Times New Roman" w:hAnsi="Times New Roman"/>
              </w:rPr>
              <w:t>BD11</w:t>
            </w:r>
          </w:p>
        </w:tc>
        <w:tc>
          <w:tcPr>
            <w:tcW w:type="dxa" w:w="1512"/>
            <w:vAlign w:val="center"/>
          </w:tcPr>
          <w:p>
            <w:pPr>
              <w:pStyle w:val="TableText"/>
            </w:pPr>
            <w:r>
              <w:rPr>
                <w:rFonts w:ascii="Times New Roman" w:hAnsi="Times New Roman"/>
              </w:rPr>
              <w:t>south-western bay</w:t>
            </w:r>
          </w:p>
        </w:tc>
        <w:tc>
          <w:tcPr>
            <w:tcW w:type="dxa" w:w="1872"/>
            <w:vAlign w:val="center"/>
          </w:tcPr>
          <w:p>
            <w:pPr>
              <w:pStyle w:val="TableText"/>
            </w:pPr>
            <w:r>
              <w:rPr>
                <w:rFonts w:ascii="Times New Roman" w:hAnsi="Times New Roman"/>
              </w:rPr>
              <w:t>13.58 N, 84.11 E</w:t>
            </w:r>
          </w:p>
        </w:tc>
        <w:tc>
          <w:tcPr>
            <w:tcW w:type="dxa" w:w="2232"/>
            <w:vAlign w:val="center"/>
          </w:tcPr>
          <w:p>
            <w:pPr>
              <w:pStyle w:val="TableText"/>
            </w:pPr>
            <w:r>
              <w:rPr>
                <w:rFonts w:ascii="Times New Roman" w:hAnsi="Times New Roman"/>
              </w:rPr>
              <w:t>13.50 N, 84.00 E (15 km)</w:t>
            </w:r>
          </w:p>
        </w:tc>
        <w:tc>
          <w:tcPr>
            <w:tcW w:type="dxa" w:w="2232"/>
            <w:vAlign w:val="center"/>
          </w:tcPr>
          <w:p>
            <w:pPr>
              <w:pStyle w:val="TableText"/>
            </w:pPr>
            <w:r>
              <w:rPr>
                <w:rFonts w:ascii="Times New Roman" w:hAnsi="Times New Roman"/>
              </w:rPr>
              <w:t>13.50 N, 84.00 E (15 km)</w:t>
            </w:r>
          </w:p>
        </w:tc>
      </w:tr>
    </w:tbl>
    <w:p>
      <w:pPr>
        <w:pStyle w:val="Single"/>
        <w:spacing w:after="200" w:line="40" w:lineRule="exact"/>
      </w:pPr>
    </w:p>
    <w:p>
      <w:pPr>
        <w:pStyle w:val="Heading2"/>
      </w:pPr>
      <w:bookmarkStart w:id="114" w:name="_Toc114"/>
      <w:r>
        <w:rPr>
          <w:rFonts w:ascii="Times New Roman" w:hAnsi="Times New Roman"/>
        </w:rPr>
        <w:t>3.2</w:t>
        <w:tab/>
        <w:t>ERA5 reanalysis</w:t>
      </w:r>
      <w:bookmarkEnd w:id="114"/>
    </w:p>
    <w:p>
      <w:r>
        <w:rPr>
          <w:rFonts w:ascii="Times New Roman" w:hAnsi="Times New Roman"/>
        </w:rPr>
        <w:t>ERA5 [6] supplies hourly fields of the variables in Table 3.2 for 1 January 2015 to 31 December 2024, i.e. 87,672 hours at every site. The data were retrieved from the Copernicus Climate Data Store (CDS) through its time-series service [24], which serves the same reanalysis values as the gridded product for a box of at most 2° × 2° over any period. One request per buoy (a 1.5° × 1.5° box) replaced the 60 two-month requests that the size limit of the gridded product would have required; the values were checked to agree with the gridded download for January 2015 to within 0.0002 in every variable. Every series is complete: there are no missing hours in the ten years at any site.</w:t>
      </w:r>
    </w:p>
    <w:p>
      <w:pPr>
        <w:pStyle w:val="TableCaption"/>
      </w:pPr>
      <w:r>
        <w:rPr>
          <w:b/>
        </w:rPr>
        <w:t xml:space="preserve">Table 3.2: </w:t>
      </w:r>
      <w:r>
        <w:rPr>
          <w:rFonts w:ascii="Times New Roman" w:hAnsi="Times New Roman"/>
        </w:rPr>
        <w:t>ERA5 variables used, their units (as delivered → as used) and native grid</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1440"/>
        <w:gridCol w:w="4176"/>
        <w:gridCol w:w="1872"/>
        <w:gridCol w:w="1152"/>
      </w:tblGrid>
      <w:tr>
        <w:trPr>
          <w:cantSplit w:val="true"/>
          <w:tblHeader w:val="true"/>
        </w:trPr>
        <w:tc>
          <w:tcPr>
            <w:tcW w:type="dxa" w:w="1440"/>
            <w:tcBorders>
              <w:bottom w:val="single" w:sz="6" w:color="000000"/>
            </w:tcBorders>
            <w:vAlign w:val="center"/>
          </w:tcPr>
          <w:p>
            <w:pPr>
              <w:pStyle w:val="TableText"/>
            </w:pPr>
            <w:r>
              <w:rPr>
                <w:rFonts w:ascii="Times New Roman" w:hAnsi="Times New Roman"/>
                <w:b/>
              </w:rPr>
              <w:t>Symbol</w:t>
            </w:r>
          </w:p>
        </w:tc>
        <w:tc>
          <w:tcPr>
            <w:tcW w:type="dxa" w:w="4176"/>
            <w:tcBorders>
              <w:bottom w:val="single" w:sz="6" w:color="000000"/>
            </w:tcBorders>
            <w:vAlign w:val="center"/>
          </w:tcPr>
          <w:p>
            <w:pPr>
              <w:pStyle w:val="TableText"/>
            </w:pPr>
            <w:r>
              <w:rPr>
                <w:rFonts w:ascii="Times New Roman" w:hAnsi="Times New Roman"/>
                <w:b/>
              </w:rPr>
              <w:t>Variable</w:t>
            </w:r>
          </w:p>
        </w:tc>
        <w:tc>
          <w:tcPr>
            <w:tcW w:type="dxa" w:w="1872"/>
            <w:tcBorders>
              <w:bottom w:val="single" w:sz="6" w:color="000000"/>
            </w:tcBorders>
            <w:vAlign w:val="center"/>
          </w:tcPr>
          <w:p>
            <w:pPr>
              <w:pStyle w:val="TableText"/>
            </w:pPr>
            <w:r>
              <w:rPr>
                <w:rFonts w:ascii="Times New Roman" w:hAnsi="Times New Roman"/>
                <w:b/>
              </w:rPr>
              <w:t>Units</w:t>
            </w:r>
          </w:p>
        </w:tc>
        <w:tc>
          <w:tcPr>
            <w:tcW w:type="dxa" w:w="1152"/>
            <w:tcBorders>
              <w:bottom w:val="single" w:sz="6" w:color="000000"/>
            </w:tcBorders>
            <w:vAlign w:val="center"/>
          </w:tcPr>
          <w:p>
            <w:pPr>
              <w:pStyle w:val="TableText"/>
            </w:pPr>
            <w:r>
              <w:rPr>
                <w:rFonts w:ascii="Times New Roman" w:hAnsi="Times New Roman"/>
                <w:b/>
              </w:rPr>
              <w:t>Grid</w:t>
            </w:r>
          </w:p>
        </w:tc>
      </w:tr>
      <w:tr>
        <w:trPr>
          <w:cantSplit w:val="true"/>
        </w:trPr>
        <w:tc>
          <w:tcPr>
            <w:tcW w:type="dxa" w:w="1440"/>
            <w:vAlign w:val="center"/>
          </w:tcPr>
          <w:p>
            <w:pPr>
              <w:pStyle w:val="TableText"/>
            </w:pPr>
            <w:r>
              <w:rPr>
                <w:rFonts w:ascii="Times New Roman" w:hAnsi="Times New Roman"/>
              </w:rPr>
              <w:t>u</w:t>
            </w:r>
            <w:r>
              <w:rPr>
                <w:rFonts w:ascii="Times New Roman" w:hAnsi="Times New Roman"/>
                <w:vertAlign w:val="subscript"/>
              </w:rPr>
              <w:t>10</w:t>
            </w:r>
            <w:r>
              <w:rPr>
                <w:rFonts w:ascii="Times New Roman" w:hAnsi="Times New Roman"/>
              </w:rPr>
              <w:t>, v</w:t>
            </w:r>
            <w:r>
              <w:rPr>
                <w:rFonts w:ascii="Times New Roman" w:hAnsi="Times New Roman"/>
                <w:vertAlign w:val="subscript"/>
              </w:rPr>
              <w:t>10</w:t>
            </w:r>
          </w:p>
        </w:tc>
        <w:tc>
          <w:tcPr>
            <w:tcW w:type="dxa" w:w="4176"/>
            <w:vAlign w:val="center"/>
          </w:tcPr>
          <w:p>
            <w:pPr>
              <w:pStyle w:val="TableText"/>
            </w:pPr>
            <w:r>
              <w:rPr>
                <w:rFonts w:ascii="Times New Roman" w:hAnsi="Times New Roman"/>
              </w:rPr>
              <w:t>10 m wind components</w:t>
            </w:r>
          </w:p>
        </w:tc>
        <w:tc>
          <w:tcPr>
            <w:tcW w:type="dxa" w:w="1872"/>
            <w:vAlign w:val="center"/>
          </w:tcPr>
          <w:p>
            <w:pPr>
              <w:pStyle w:val="TableText"/>
            </w:pPr>
            <w:r>
              <w:rPr>
                <w:rFonts w:ascii="Times New Roman" w:hAnsi="Times New Roman"/>
              </w:rPr>
              <w:t>m/s</w:t>
            </w:r>
          </w:p>
        </w:tc>
        <w:tc>
          <w:tcPr>
            <w:tcW w:type="dxa" w:w="1152"/>
            <w:vAlign w:val="center"/>
          </w:tcPr>
          <w:p>
            <w:pPr>
              <w:pStyle w:val="TableText"/>
            </w:pPr>
            <w:r>
              <w:rPr>
                <w:rFonts w:ascii="Times New Roman" w:hAnsi="Times New Roman"/>
              </w:rPr>
              <w:t>0.25°</w:t>
            </w:r>
          </w:p>
        </w:tc>
      </w:tr>
      <w:tr>
        <w:trPr>
          <w:cantSplit w:val="true"/>
        </w:trPr>
        <w:tc>
          <w:tcPr>
            <w:tcW w:type="dxa" w:w="1440"/>
            <w:vAlign w:val="center"/>
          </w:tcPr>
          <w:p>
            <w:pPr>
              <w:pStyle w:val="TableText"/>
            </w:pPr>
            <w:r>
              <w:rPr>
                <w:rFonts w:ascii="Times New Roman" w:hAnsi="Times New Roman"/>
              </w:rPr>
              <w:t>T</w:t>
            </w:r>
            <w:r>
              <w:rPr>
                <w:rFonts w:ascii="Times New Roman" w:hAnsi="Times New Roman"/>
                <w:vertAlign w:val="subscript"/>
              </w:rPr>
              <w:t>2m</w:t>
            </w:r>
          </w:p>
        </w:tc>
        <w:tc>
          <w:tcPr>
            <w:tcW w:type="dxa" w:w="4176"/>
            <w:vAlign w:val="center"/>
          </w:tcPr>
          <w:p>
            <w:pPr>
              <w:pStyle w:val="TableText"/>
            </w:pPr>
            <w:r>
              <w:rPr>
                <w:rFonts w:ascii="Times New Roman" w:hAnsi="Times New Roman"/>
              </w:rPr>
              <w:t>2 m air temperature</w:t>
            </w:r>
          </w:p>
        </w:tc>
        <w:tc>
          <w:tcPr>
            <w:tcW w:type="dxa" w:w="1872"/>
            <w:vAlign w:val="center"/>
          </w:tcPr>
          <w:p>
            <w:pPr>
              <w:pStyle w:val="TableText"/>
            </w:pPr>
            <w:r>
              <w:rPr>
                <w:rFonts w:ascii="Times New Roman" w:hAnsi="Times New Roman"/>
              </w:rPr>
              <w:t>K → °C</w:t>
            </w:r>
          </w:p>
        </w:tc>
        <w:tc>
          <w:tcPr>
            <w:tcW w:type="dxa" w:w="1152"/>
            <w:vAlign w:val="center"/>
          </w:tcPr>
          <w:p>
            <w:pPr>
              <w:pStyle w:val="TableText"/>
            </w:pPr>
            <w:r>
              <w:rPr>
                <w:rFonts w:ascii="Times New Roman" w:hAnsi="Times New Roman"/>
              </w:rPr>
              <w:t>0.25°</w:t>
            </w:r>
          </w:p>
        </w:tc>
      </w:tr>
      <w:tr>
        <w:trPr>
          <w:cantSplit w:val="true"/>
        </w:trPr>
        <w:tc>
          <w:tcPr>
            <w:tcW w:type="dxa" w:w="1440"/>
            <w:vAlign w:val="center"/>
          </w:tcPr>
          <w:p>
            <w:pPr>
              <w:pStyle w:val="TableText"/>
            </w:pPr>
            <w:r>
              <w:rPr>
                <w:rFonts w:ascii="Times New Roman" w:hAnsi="Times New Roman"/>
              </w:rPr>
              <w:t>MSLP</w:t>
            </w:r>
          </w:p>
        </w:tc>
        <w:tc>
          <w:tcPr>
            <w:tcW w:type="dxa" w:w="4176"/>
            <w:vAlign w:val="center"/>
          </w:tcPr>
          <w:p>
            <w:pPr>
              <w:pStyle w:val="TableText"/>
            </w:pPr>
            <w:r>
              <w:rPr>
                <w:rFonts w:ascii="Times New Roman" w:hAnsi="Times New Roman"/>
              </w:rPr>
              <w:t>Mean sea-level pressure</w:t>
            </w:r>
          </w:p>
        </w:tc>
        <w:tc>
          <w:tcPr>
            <w:tcW w:type="dxa" w:w="1872"/>
            <w:vAlign w:val="center"/>
          </w:tcPr>
          <w:p>
            <w:pPr>
              <w:pStyle w:val="TableText"/>
            </w:pPr>
            <w:r>
              <w:rPr>
                <w:rFonts w:ascii="Times New Roman" w:hAnsi="Times New Roman"/>
              </w:rPr>
              <w:t>Pa → hPa</w:t>
            </w:r>
          </w:p>
        </w:tc>
        <w:tc>
          <w:tcPr>
            <w:tcW w:type="dxa" w:w="1152"/>
            <w:vAlign w:val="center"/>
          </w:tcPr>
          <w:p>
            <w:pPr>
              <w:pStyle w:val="TableText"/>
            </w:pPr>
            <w:r>
              <w:rPr>
                <w:rFonts w:ascii="Times New Roman" w:hAnsi="Times New Roman"/>
              </w:rPr>
              <w:t>0.25°</w:t>
            </w:r>
          </w:p>
        </w:tc>
      </w:tr>
      <w:tr>
        <w:trPr>
          <w:cantSplit w:val="true"/>
        </w:trPr>
        <w:tc>
          <w:tcPr>
            <w:tcW w:type="dxa" w:w="1440"/>
            <w:vAlign w:val="center"/>
          </w:tcPr>
          <w:p>
            <w:pPr>
              <w:pStyle w:val="TableText"/>
            </w:pPr>
            <w:r>
              <w:rPr>
                <w:rFonts w:ascii="Times New Roman" w:hAnsi="Times New Roman"/>
              </w:rPr>
              <w:t>SST</w:t>
            </w:r>
          </w:p>
        </w:tc>
        <w:tc>
          <w:tcPr>
            <w:tcW w:type="dxa" w:w="4176"/>
            <w:vAlign w:val="center"/>
          </w:tcPr>
          <w:p>
            <w:pPr>
              <w:pStyle w:val="TableText"/>
            </w:pPr>
            <w:r>
              <w:rPr>
                <w:rFonts w:ascii="Times New Roman" w:hAnsi="Times New Roman"/>
              </w:rPr>
              <w:t>Sea surface temperature</w:t>
            </w:r>
          </w:p>
        </w:tc>
        <w:tc>
          <w:tcPr>
            <w:tcW w:type="dxa" w:w="1872"/>
            <w:vAlign w:val="center"/>
          </w:tcPr>
          <w:p>
            <w:pPr>
              <w:pStyle w:val="TableText"/>
            </w:pPr>
            <w:r>
              <w:rPr>
                <w:rFonts w:ascii="Times New Roman" w:hAnsi="Times New Roman"/>
              </w:rPr>
              <w:t>K → °C</w:t>
            </w:r>
          </w:p>
        </w:tc>
        <w:tc>
          <w:tcPr>
            <w:tcW w:type="dxa" w:w="1152"/>
            <w:vAlign w:val="center"/>
          </w:tcPr>
          <w:p>
            <w:pPr>
              <w:pStyle w:val="TableText"/>
            </w:pPr>
            <w:r>
              <w:rPr>
                <w:rFonts w:ascii="Times New Roman" w:hAnsi="Times New Roman"/>
              </w:rPr>
              <w:t>0.25°</w:t>
            </w:r>
          </w:p>
        </w:tc>
      </w:tr>
      <w:tr>
        <w:trPr>
          <w:cantSplit w:val="true"/>
        </w:trPr>
        <w:tc>
          <w:tcPr>
            <w:tcW w:type="dxa" w:w="1440"/>
            <w:vAlign w:val="center"/>
          </w:tcPr>
          <w:p>
            <w:pPr>
              <w:pStyle w:val="TableText"/>
            </w:pPr>
            <w:r>
              <w:rPr>
                <w:rFonts w:ascii="Times New Roman" w:hAnsi="Times New Roman"/>
              </w:rPr>
              <w:t>H</w:t>
            </w:r>
            <w:r>
              <w:rPr>
                <w:rFonts w:ascii="Times New Roman" w:hAnsi="Times New Roman"/>
                <w:vertAlign w:val="subscript"/>
              </w:rPr>
              <w:t>s</w:t>
            </w:r>
          </w:p>
        </w:tc>
        <w:tc>
          <w:tcPr>
            <w:tcW w:type="dxa" w:w="4176"/>
            <w:vAlign w:val="center"/>
          </w:tcPr>
          <w:p>
            <w:pPr>
              <w:pStyle w:val="TableText"/>
            </w:pPr>
            <w:r>
              <w:rPr>
                <w:rFonts w:ascii="Times New Roman" w:hAnsi="Times New Roman"/>
              </w:rPr>
              <w:t>Significant height of combined wind waves and swell</w:t>
            </w:r>
          </w:p>
        </w:tc>
        <w:tc>
          <w:tcPr>
            <w:tcW w:type="dxa" w:w="1872"/>
            <w:vAlign w:val="center"/>
          </w:tcPr>
          <w:p>
            <w:pPr>
              <w:pStyle w:val="TableText"/>
            </w:pPr>
            <w:r>
              <w:rPr>
                <w:rFonts w:ascii="Times New Roman" w:hAnsi="Times New Roman"/>
              </w:rPr>
              <w:t>m</w:t>
            </w:r>
          </w:p>
        </w:tc>
        <w:tc>
          <w:tcPr>
            <w:tcW w:type="dxa" w:w="1152"/>
            <w:vAlign w:val="center"/>
          </w:tcPr>
          <w:p>
            <w:pPr>
              <w:pStyle w:val="TableText"/>
            </w:pPr>
            <w:r>
              <w:rPr>
                <w:rFonts w:ascii="Times New Roman" w:hAnsi="Times New Roman"/>
              </w:rPr>
              <w:t>0.5°</w:t>
            </w:r>
          </w:p>
        </w:tc>
      </w:tr>
      <w:tr>
        <w:trPr>
          <w:cantSplit w:val="true"/>
        </w:trPr>
        <w:tc>
          <w:tcPr>
            <w:tcW w:type="dxa" w:w="1440"/>
            <w:vAlign w:val="center"/>
          </w:tcPr>
          <w:p>
            <w:pPr>
              <w:pStyle w:val="TableText"/>
            </w:pPr>
            <w:r>
              <w:rPr>
                <w:rFonts w:ascii="Times New Roman" w:hAnsi="Times New Roman"/>
              </w:rPr>
              <w:t>θ</w:t>
            </w:r>
            <w:r>
              <w:rPr>
                <w:rFonts w:ascii="Times New Roman" w:hAnsi="Times New Roman"/>
                <w:vertAlign w:val="subscript"/>
              </w:rPr>
              <w:t>w</w:t>
            </w:r>
          </w:p>
        </w:tc>
        <w:tc>
          <w:tcPr>
            <w:tcW w:type="dxa" w:w="4176"/>
            <w:vAlign w:val="center"/>
          </w:tcPr>
          <w:p>
            <w:pPr>
              <w:pStyle w:val="TableText"/>
            </w:pPr>
            <w:r>
              <w:rPr>
                <w:rFonts w:ascii="Times New Roman" w:hAnsi="Times New Roman"/>
              </w:rPr>
              <w:t>Mean wave direction (coming from)</w:t>
            </w:r>
          </w:p>
        </w:tc>
        <w:tc>
          <w:tcPr>
            <w:tcW w:type="dxa" w:w="1872"/>
            <w:vAlign w:val="center"/>
          </w:tcPr>
          <w:p>
            <w:pPr>
              <w:pStyle w:val="TableText"/>
            </w:pPr>
            <w:r>
              <w:rPr>
                <w:rFonts w:ascii="Times New Roman" w:hAnsi="Times New Roman"/>
              </w:rPr>
              <w:t>°</w:t>
            </w:r>
          </w:p>
        </w:tc>
        <w:tc>
          <w:tcPr>
            <w:tcW w:type="dxa" w:w="1152"/>
            <w:vAlign w:val="center"/>
          </w:tcPr>
          <w:p>
            <w:pPr>
              <w:pStyle w:val="TableText"/>
            </w:pPr>
            <w:r>
              <w:rPr>
                <w:rFonts w:ascii="Times New Roman" w:hAnsi="Times New Roman"/>
              </w:rPr>
              <w:t>0.5°</w:t>
            </w:r>
          </w:p>
        </w:tc>
      </w:tr>
      <w:tr>
        <w:trPr>
          <w:cantSplit w:val="true"/>
        </w:trPr>
        <w:tc>
          <w:tcPr>
            <w:tcW w:type="dxa" w:w="1440"/>
            <w:vAlign w:val="center"/>
          </w:tcPr>
          <w:p>
            <w:pPr>
              <w:pStyle w:val="TableText"/>
            </w:pPr>
            <w:r>
              <w:rPr>
                <w:rFonts w:ascii="Times New Roman" w:hAnsi="Times New Roman"/>
              </w:rPr>
              <w:t>T</w:t>
            </w:r>
            <w:r>
              <w:rPr>
                <w:rFonts w:ascii="Times New Roman" w:hAnsi="Times New Roman"/>
                <w:vertAlign w:val="subscript"/>
              </w:rPr>
              <w:t>m</w:t>
            </w:r>
          </w:p>
        </w:tc>
        <w:tc>
          <w:tcPr>
            <w:tcW w:type="dxa" w:w="4176"/>
            <w:vAlign w:val="center"/>
          </w:tcPr>
          <w:p>
            <w:pPr>
              <w:pStyle w:val="TableText"/>
            </w:pPr>
            <w:r>
              <w:rPr>
                <w:rFonts w:ascii="Times New Roman" w:hAnsi="Times New Roman"/>
              </w:rPr>
              <w:t>Mean wave period</w:t>
            </w:r>
          </w:p>
        </w:tc>
        <w:tc>
          <w:tcPr>
            <w:tcW w:type="dxa" w:w="1872"/>
            <w:vAlign w:val="center"/>
          </w:tcPr>
          <w:p>
            <w:pPr>
              <w:pStyle w:val="TableText"/>
            </w:pPr>
            <w:r>
              <w:rPr>
                <w:rFonts w:ascii="Times New Roman" w:hAnsi="Times New Roman"/>
              </w:rPr>
              <w:t>s</w:t>
            </w:r>
          </w:p>
        </w:tc>
        <w:tc>
          <w:tcPr>
            <w:tcW w:type="dxa" w:w="1152"/>
            <w:vAlign w:val="center"/>
          </w:tcPr>
          <w:p>
            <w:pPr>
              <w:pStyle w:val="TableText"/>
            </w:pPr>
            <w:r>
              <w:rPr>
                <w:rFonts w:ascii="Times New Roman" w:hAnsi="Times New Roman"/>
              </w:rPr>
              <w:t>0.5°</w:t>
            </w:r>
          </w:p>
        </w:tc>
      </w:tr>
    </w:tbl>
    <w:p>
      <w:pPr>
        <w:pStyle w:val="Single"/>
        <w:spacing w:after="200" w:line="40" w:lineRule="exact"/>
      </w:pPr>
    </w:p>
    <w:p>
      <w:r>
        <w:rPr>
          <w:rFonts w:ascii="Times New Roman" w:hAnsi="Times New Roman"/>
        </w:rPr>
        <w:t>Summary statistics are given in Table 3.3. Mean H</w:t>
      </w:r>
      <w:r>
        <w:rPr>
          <w:rFonts w:ascii="Times New Roman" w:hAnsi="Times New Roman"/>
          <w:vertAlign w:val="subscript"/>
        </w:rPr>
        <w:t>s</w:t>
      </w:r>
      <w:r>
        <w:rPr>
          <w:rFonts w:ascii="Times New Roman" w:hAnsi="Times New Roman"/>
        </w:rPr>
        <w:t xml:space="preserve"> is about 1.5 m at all three sites, but the tails differ: H</w:t>
      </w:r>
      <w:r>
        <w:rPr>
          <w:rFonts w:ascii="Times New Roman" w:hAnsi="Times New Roman"/>
          <w:vertAlign w:val="subscript"/>
        </w:rPr>
        <w:t>s</w:t>
      </w:r>
      <w:r>
        <w:rPr>
          <w:rFonts w:ascii="Times New Roman" w:hAnsi="Times New Roman"/>
        </w:rPr>
        <w:t xml:space="preserve"> exceeded 10 m at BD10 during cyclone Amphan (2020) and at BD08 during Yaas (2021), while the maximum at BD11 is about 7 m. The seasonal cycle (Figure 3.2) peaks in July at the two northern sites, with median H</w:t>
      </w:r>
      <w:r>
        <w:rPr>
          <w:rFonts w:ascii="Times New Roman" w:hAnsi="Times New Roman"/>
          <w:vertAlign w:val="subscript"/>
        </w:rPr>
        <w:t>s</w:t>
      </w:r>
      <w:r>
        <w:rPr>
          <w:rFonts w:ascii="Times New Roman" w:hAnsi="Times New Roman"/>
        </w:rPr>
        <w:t xml:space="preserve"> above 2 m during the south-west monsoon, whereas BD11 has a flatter cycle with relatively higher seas during the north-east monsoon (November–January). The largest events at each site (Table 3.4) all coincide with named tropical cyclones in the IMD records [1], which confirms that the reanalysis resolves cyclone-driven seas at these positions, if with some smoothing of the peak.</w:t>
      </w:r>
    </w:p>
    <w:p>
      <w:pPr>
        <w:pStyle w:val="TableCaption"/>
      </w:pPr>
      <w:r>
        <w:rPr>
          <w:b/>
        </w:rPr>
        <w:t xml:space="preserve">Table 3.3: </w:t>
      </w:r>
      <w:r>
        <w:rPr>
          <w:rFonts w:ascii="Times New Roman" w:hAnsi="Times New Roman"/>
        </w:rPr>
        <w:t>Statistics of ERA5 at the buoy sites, 2015–2024</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792"/>
        <w:gridCol w:w="936"/>
        <w:gridCol w:w="792"/>
        <w:gridCol w:w="864"/>
        <w:gridCol w:w="864"/>
        <w:gridCol w:w="864"/>
        <w:gridCol w:w="1080"/>
        <w:gridCol w:w="1224"/>
        <w:gridCol w:w="1224"/>
      </w:tblGrid>
      <w:tr>
        <w:trPr>
          <w:cantSplit w:val="true"/>
          <w:tblHeader w:val="true"/>
        </w:trPr>
        <w:tc>
          <w:tcPr>
            <w:tcW w:type="dxa" w:w="792"/>
            <w:tcBorders>
              <w:bottom w:val="single" w:sz="6" w:color="000000"/>
            </w:tcBorders>
            <w:vAlign w:val="center"/>
          </w:tcPr>
          <w:p>
            <w:pPr>
              <w:pStyle w:val="TableText"/>
            </w:pPr>
            <w:r>
              <w:rPr>
                <w:rFonts w:ascii="Times New Roman" w:hAnsi="Times New Roman"/>
                <w:b/>
              </w:rPr>
              <w:t>Buoy</w:t>
            </w:r>
          </w:p>
        </w:tc>
        <w:tc>
          <w:tcPr>
            <w:tcW w:type="dxa" w:w="936"/>
            <w:tcBorders>
              <w:bottom w:val="single" w:sz="6" w:color="000000"/>
            </w:tcBorders>
            <w:vAlign w:val="center"/>
          </w:tcPr>
          <w:p>
            <w:pPr>
              <w:pStyle w:val="TableText"/>
              <w:jc w:val="center"/>
            </w:pPr>
            <w:r>
              <w:rPr>
                <w:rFonts w:ascii="Times New Roman" w:hAnsi="Times New Roman"/>
                <w:b/>
              </w:rPr>
              <w:t>Mean H</w:t>
            </w:r>
            <w:r>
              <w:rPr>
                <w:rFonts w:ascii="Times New Roman" w:hAnsi="Times New Roman"/>
                <w:b/>
                <w:vertAlign w:val="subscript"/>
              </w:rPr>
              <w:t>s</w:t>
            </w:r>
            <w:r>
              <w:rPr>
                <w:rFonts w:ascii="Times New Roman" w:hAnsi="Times New Roman"/>
                <w:b/>
              </w:rPr>
              <w:t xml:space="preserve"> (m)</w:t>
            </w:r>
          </w:p>
        </w:tc>
        <w:tc>
          <w:tcPr>
            <w:tcW w:type="dxa" w:w="792"/>
            <w:tcBorders>
              <w:bottom w:val="single" w:sz="6" w:color="000000"/>
            </w:tcBorders>
            <w:vAlign w:val="center"/>
          </w:tcPr>
          <w:p>
            <w:pPr>
              <w:pStyle w:val="TableText"/>
              <w:jc w:val="center"/>
            </w:pPr>
            <w:r>
              <w:rPr>
                <w:rFonts w:ascii="Times New Roman" w:hAnsi="Times New Roman"/>
                <w:b/>
              </w:rPr>
              <w:t>Std (m)</w:t>
            </w:r>
          </w:p>
        </w:tc>
        <w:tc>
          <w:tcPr>
            <w:tcW w:type="dxa" w:w="864"/>
            <w:tcBorders>
              <w:bottom w:val="single" w:sz="6" w:color="000000"/>
            </w:tcBorders>
            <w:vAlign w:val="center"/>
          </w:tcPr>
          <w:p>
            <w:pPr>
              <w:pStyle w:val="TableText"/>
              <w:jc w:val="center"/>
            </w:pPr>
            <w:r>
              <w:rPr>
                <w:rFonts w:ascii="Times New Roman" w:hAnsi="Times New Roman"/>
                <w:b/>
              </w:rPr>
              <w:t>q95 (m)</w:t>
            </w:r>
          </w:p>
        </w:tc>
        <w:tc>
          <w:tcPr>
            <w:tcW w:type="dxa" w:w="864"/>
            <w:tcBorders>
              <w:bottom w:val="single" w:sz="6" w:color="000000"/>
            </w:tcBorders>
            <w:vAlign w:val="center"/>
          </w:tcPr>
          <w:p>
            <w:pPr>
              <w:pStyle w:val="TableText"/>
              <w:jc w:val="center"/>
            </w:pPr>
            <w:r>
              <w:rPr>
                <w:rFonts w:ascii="Times New Roman" w:hAnsi="Times New Roman"/>
                <w:b/>
              </w:rPr>
              <w:t>q99 (m)</w:t>
            </w:r>
          </w:p>
        </w:tc>
        <w:tc>
          <w:tcPr>
            <w:tcW w:type="dxa" w:w="864"/>
            <w:tcBorders>
              <w:bottom w:val="single" w:sz="6" w:color="000000"/>
            </w:tcBorders>
            <w:vAlign w:val="center"/>
          </w:tcPr>
          <w:p>
            <w:pPr>
              <w:pStyle w:val="TableText"/>
              <w:jc w:val="center"/>
            </w:pPr>
            <w:r>
              <w:rPr>
                <w:rFonts w:ascii="Times New Roman" w:hAnsi="Times New Roman"/>
                <w:b/>
              </w:rPr>
              <w:t>Max (m)</w:t>
            </w:r>
          </w:p>
        </w:tc>
        <w:tc>
          <w:tcPr>
            <w:tcW w:type="dxa" w:w="1080"/>
            <w:tcBorders>
              <w:bottom w:val="single" w:sz="6" w:color="000000"/>
            </w:tcBorders>
            <w:vAlign w:val="center"/>
          </w:tcPr>
          <w:p>
            <w:pPr>
              <w:pStyle w:val="TableText"/>
              <w:jc w:val="center"/>
            </w:pPr>
            <w:r>
              <w:rPr>
                <w:rFonts w:ascii="Times New Roman" w:hAnsi="Times New Roman"/>
                <w:b/>
              </w:rPr>
              <w:t>Mean T</w:t>
            </w:r>
            <w:r>
              <w:rPr>
                <w:rFonts w:ascii="Times New Roman" w:hAnsi="Times New Roman"/>
                <w:b/>
                <w:vertAlign w:val="subscript"/>
              </w:rPr>
              <w:t>m</w:t>
            </w:r>
            <w:r>
              <w:rPr>
                <w:rFonts w:ascii="Times New Roman" w:hAnsi="Times New Roman"/>
                <w:b/>
              </w:rPr>
              <w:t xml:space="preserve"> (s)</w:t>
            </w:r>
          </w:p>
        </w:tc>
        <w:tc>
          <w:tcPr>
            <w:tcW w:type="dxa" w:w="1224"/>
            <w:tcBorders>
              <w:bottom w:val="single" w:sz="6" w:color="000000"/>
            </w:tcBorders>
            <w:vAlign w:val="center"/>
          </w:tcPr>
          <w:p>
            <w:pPr>
              <w:pStyle w:val="TableText"/>
              <w:jc w:val="center"/>
            </w:pPr>
            <w:r>
              <w:rPr>
                <w:rFonts w:ascii="Times New Roman" w:hAnsi="Times New Roman"/>
                <w:b/>
              </w:rPr>
              <w:t>Mean U</w:t>
            </w:r>
            <w:r>
              <w:rPr>
                <w:rFonts w:ascii="Times New Roman" w:hAnsi="Times New Roman"/>
                <w:b/>
                <w:vertAlign w:val="subscript"/>
              </w:rPr>
              <w:t>10</w:t>
            </w:r>
            <w:r>
              <w:rPr>
                <w:rFonts w:ascii="Times New Roman" w:hAnsi="Times New Roman"/>
                <w:b/>
              </w:rPr>
              <w:t xml:space="preserve"> (m/s)</w:t>
            </w:r>
          </w:p>
        </w:tc>
        <w:tc>
          <w:tcPr>
            <w:tcW w:type="dxa" w:w="1224"/>
            <w:tcBorders>
              <w:bottom w:val="single" w:sz="6" w:color="000000"/>
            </w:tcBorders>
            <w:vAlign w:val="center"/>
          </w:tcPr>
          <w:p>
            <w:pPr>
              <w:pStyle w:val="TableText"/>
              <w:jc w:val="center"/>
            </w:pPr>
            <w:r>
              <w:rPr>
                <w:rFonts w:ascii="Times New Roman" w:hAnsi="Times New Roman"/>
                <w:b/>
              </w:rPr>
              <w:t>Min MSLP (hPa)</w:t>
            </w:r>
          </w:p>
        </w:tc>
      </w:tr>
      <w:tr>
        <w:trPr>
          <w:cantSplit w:val="true"/>
        </w:trPr>
        <w:tc>
          <w:tcPr>
            <w:tcW w:type="dxa" w:w="792"/>
            <w:vAlign w:val="center"/>
          </w:tcPr>
          <w:p>
            <w:pPr>
              <w:pStyle w:val="TableText"/>
            </w:pPr>
            <w:r>
              <w:rPr>
                <w:rFonts w:ascii="Times New Roman" w:hAnsi="Times New Roman"/>
              </w:rPr>
              <w:t>BD08</w:t>
            </w:r>
          </w:p>
        </w:tc>
        <w:tc>
          <w:tcPr>
            <w:tcW w:type="dxa" w:w="936"/>
            <w:vAlign w:val="center"/>
          </w:tcPr>
          <w:p>
            <w:pPr>
              <w:pStyle w:val="TableText"/>
              <w:jc w:val="center"/>
            </w:pPr>
            <w:r>
              <w:rPr>
                <w:rFonts w:ascii="Times New Roman" w:hAnsi="Times New Roman"/>
              </w:rPr>
              <w:t>1.54</w:t>
            </w:r>
          </w:p>
        </w:tc>
        <w:tc>
          <w:tcPr>
            <w:tcW w:type="dxa" w:w="792"/>
            <w:vAlign w:val="center"/>
          </w:tcPr>
          <w:p>
            <w:pPr>
              <w:pStyle w:val="TableText"/>
              <w:jc w:val="center"/>
            </w:pPr>
            <w:r>
              <w:rPr>
                <w:rFonts w:ascii="Times New Roman" w:hAnsi="Times New Roman"/>
              </w:rPr>
              <w:t>0.74</w:t>
            </w:r>
          </w:p>
        </w:tc>
        <w:tc>
          <w:tcPr>
            <w:tcW w:type="dxa" w:w="864"/>
            <w:vAlign w:val="center"/>
          </w:tcPr>
          <w:p>
            <w:pPr>
              <w:pStyle w:val="TableText"/>
              <w:jc w:val="center"/>
            </w:pPr>
            <w:r>
              <w:rPr>
                <w:rFonts w:ascii="Times New Roman" w:hAnsi="Times New Roman"/>
              </w:rPr>
              <w:t>2.98</w:t>
            </w:r>
          </w:p>
        </w:tc>
        <w:tc>
          <w:tcPr>
            <w:tcW w:type="dxa" w:w="864"/>
            <w:vAlign w:val="center"/>
          </w:tcPr>
          <w:p>
            <w:pPr>
              <w:pStyle w:val="TableText"/>
              <w:jc w:val="center"/>
            </w:pPr>
            <w:r>
              <w:rPr>
                <w:rFonts w:ascii="Times New Roman" w:hAnsi="Times New Roman"/>
              </w:rPr>
              <w:t>3.94</w:t>
            </w:r>
          </w:p>
        </w:tc>
        <w:tc>
          <w:tcPr>
            <w:tcW w:type="dxa" w:w="864"/>
            <w:vAlign w:val="center"/>
          </w:tcPr>
          <w:p>
            <w:pPr>
              <w:pStyle w:val="TableText"/>
              <w:jc w:val="center"/>
            </w:pPr>
            <w:r>
              <w:rPr>
                <w:rFonts w:ascii="Times New Roman" w:hAnsi="Times New Roman"/>
              </w:rPr>
              <w:t>10.47</w:t>
            </w:r>
          </w:p>
        </w:tc>
        <w:tc>
          <w:tcPr>
            <w:tcW w:type="dxa" w:w="1080"/>
            <w:vAlign w:val="center"/>
          </w:tcPr>
          <w:p>
            <w:pPr>
              <w:pStyle w:val="TableText"/>
              <w:jc w:val="center"/>
            </w:pPr>
            <w:r>
              <w:rPr>
                <w:rFonts w:ascii="Times New Roman" w:hAnsi="Times New Roman"/>
              </w:rPr>
              <w:t>8.9</w:t>
            </w:r>
          </w:p>
        </w:tc>
        <w:tc>
          <w:tcPr>
            <w:tcW w:type="dxa" w:w="1224"/>
            <w:vAlign w:val="center"/>
          </w:tcPr>
          <w:p>
            <w:pPr>
              <w:pStyle w:val="TableText"/>
              <w:jc w:val="center"/>
            </w:pPr>
            <w:r>
              <w:rPr>
                <w:rFonts w:ascii="Times New Roman" w:hAnsi="Times New Roman"/>
              </w:rPr>
              <w:t>5.5</w:t>
            </w:r>
          </w:p>
        </w:tc>
        <w:tc>
          <w:tcPr>
            <w:tcW w:type="dxa" w:w="1224"/>
            <w:vAlign w:val="center"/>
          </w:tcPr>
          <w:p>
            <w:pPr>
              <w:pStyle w:val="TableText"/>
              <w:jc w:val="center"/>
            </w:pPr>
            <w:r>
              <w:rPr>
                <w:rFonts w:ascii="Times New Roman" w:hAnsi="Times New Roman"/>
              </w:rPr>
              <w:t>979</w:t>
            </w:r>
          </w:p>
        </w:tc>
      </w:tr>
      <w:tr>
        <w:trPr>
          <w:cantSplit w:val="true"/>
        </w:trPr>
        <w:tc>
          <w:tcPr>
            <w:tcW w:type="dxa" w:w="792"/>
            <w:vAlign w:val="center"/>
          </w:tcPr>
          <w:p>
            <w:pPr>
              <w:pStyle w:val="TableText"/>
            </w:pPr>
            <w:r>
              <w:rPr>
                <w:rFonts w:ascii="Times New Roman" w:hAnsi="Times New Roman"/>
              </w:rPr>
              <w:t>BD10</w:t>
            </w:r>
          </w:p>
        </w:tc>
        <w:tc>
          <w:tcPr>
            <w:tcW w:type="dxa" w:w="936"/>
            <w:vAlign w:val="center"/>
          </w:tcPr>
          <w:p>
            <w:pPr>
              <w:pStyle w:val="TableText"/>
              <w:jc w:val="center"/>
            </w:pPr>
            <w:r>
              <w:rPr>
                <w:rFonts w:ascii="Times New Roman" w:hAnsi="Times New Roman"/>
              </w:rPr>
              <w:t>1.59</w:t>
            </w:r>
          </w:p>
        </w:tc>
        <w:tc>
          <w:tcPr>
            <w:tcW w:type="dxa" w:w="792"/>
            <w:vAlign w:val="center"/>
          </w:tcPr>
          <w:p>
            <w:pPr>
              <w:pStyle w:val="TableText"/>
              <w:jc w:val="center"/>
            </w:pPr>
            <w:r>
              <w:rPr>
                <w:rFonts w:ascii="Times New Roman" w:hAnsi="Times New Roman"/>
              </w:rPr>
              <w:t>0.73</w:t>
            </w:r>
          </w:p>
        </w:tc>
        <w:tc>
          <w:tcPr>
            <w:tcW w:type="dxa" w:w="864"/>
            <w:vAlign w:val="center"/>
          </w:tcPr>
          <w:p>
            <w:pPr>
              <w:pStyle w:val="TableText"/>
              <w:jc w:val="center"/>
            </w:pPr>
            <w:r>
              <w:rPr>
                <w:rFonts w:ascii="Times New Roman" w:hAnsi="Times New Roman"/>
              </w:rPr>
              <w:t>3.00</w:t>
            </w:r>
          </w:p>
        </w:tc>
        <w:tc>
          <w:tcPr>
            <w:tcW w:type="dxa" w:w="864"/>
            <w:vAlign w:val="center"/>
          </w:tcPr>
          <w:p>
            <w:pPr>
              <w:pStyle w:val="TableText"/>
              <w:jc w:val="center"/>
            </w:pPr>
            <w:r>
              <w:rPr>
                <w:rFonts w:ascii="Times New Roman" w:hAnsi="Times New Roman"/>
              </w:rPr>
              <w:t>3.92</w:t>
            </w:r>
          </w:p>
        </w:tc>
        <w:tc>
          <w:tcPr>
            <w:tcW w:type="dxa" w:w="864"/>
            <w:vAlign w:val="center"/>
          </w:tcPr>
          <w:p>
            <w:pPr>
              <w:pStyle w:val="TableText"/>
              <w:jc w:val="center"/>
            </w:pPr>
            <w:r>
              <w:rPr>
                <w:rFonts w:ascii="Times New Roman" w:hAnsi="Times New Roman"/>
              </w:rPr>
              <w:t>10.68</w:t>
            </w:r>
          </w:p>
        </w:tc>
        <w:tc>
          <w:tcPr>
            <w:tcW w:type="dxa" w:w="1080"/>
            <w:vAlign w:val="center"/>
          </w:tcPr>
          <w:p>
            <w:pPr>
              <w:pStyle w:val="TableText"/>
              <w:jc w:val="center"/>
            </w:pPr>
            <w:r>
              <w:rPr>
                <w:rFonts w:ascii="Times New Roman" w:hAnsi="Times New Roman"/>
              </w:rPr>
              <w:t>8.8</w:t>
            </w:r>
          </w:p>
        </w:tc>
        <w:tc>
          <w:tcPr>
            <w:tcW w:type="dxa" w:w="1224"/>
            <w:vAlign w:val="center"/>
          </w:tcPr>
          <w:p>
            <w:pPr>
              <w:pStyle w:val="TableText"/>
              <w:jc w:val="center"/>
            </w:pPr>
            <w:r>
              <w:rPr>
                <w:rFonts w:ascii="Times New Roman" w:hAnsi="Times New Roman"/>
              </w:rPr>
              <w:t>5.9</w:t>
            </w:r>
          </w:p>
        </w:tc>
        <w:tc>
          <w:tcPr>
            <w:tcW w:type="dxa" w:w="1224"/>
            <w:vAlign w:val="center"/>
          </w:tcPr>
          <w:p>
            <w:pPr>
              <w:pStyle w:val="TableText"/>
              <w:jc w:val="center"/>
            </w:pPr>
            <w:r>
              <w:rPr>
                <w:rFonts w:ascii="Times New Roman" w:hAnsi="Times New Roman"/>
              </w:rPr>
              <w:t>981</w:t>
            </w:r>
          </w:p>
        </w:tc>
      </w:tr>
      <w:tr>
        <w:trPr>
          <w:cantSplit w:val="true"/>
        </w:trPr>
        <w:tc>
          <w:tcPr>
            <w:tcW w:type="dxa" w:w="792"/>
            <w:vAlign w:val="center"/>
          </w:tcPr>
          <w:p>
            <w:pPr>
              <w:pStyle w:val="TableText"/>
            </w:pPr>
            <w:r>
              <w:rPr>
                <w:rFonts w:ascii="Times New Roman" w:hAnsi="Times New Roman"/>
              </w:rPr>
              <w:t>BD11</w:t>
            </w:r>
          </w:p>
        </w:tc>
        <w:tc>
          <w:tcPr>
            <w:tcW w:type="dxa" w:w="936"/>
            <w:vAlign w:val="center"/>
          </w:tcPr>
          <w:p>
            <w:pPr>
              <w:pStyle w:val="TableText"/>
              <w:jc w:val="center"/>
            </w:pPr>
            <w:r>
              <w:rPr>
                <w:rFonts w:ascii="Times New Roman" w:hAnsi="Times New Roman"/>
              </w:rPr>
              <w:t>1.49</w:t>
            </w:r>
          </w:p>
        </w:tc>
        <w:tc>
          <w:tcPr>
            <w:tcW w:type="dxa" w:w="792"/>
            <w:vAlign w:val="center"/>
          </w:tcPr>
          <w:p>
            <w:pPr>
              <w:pStyle w:val="TableText"/>
              <w:jc w:val="center"/>
            </w:pPr>
            <w:r>
              <w:rPr>
                <w:rFonts w:ascii="Times New Roman" w:hAnsi="Times New Roman"/>
              </w:rPr>
              <w:t>0.57</w:t>
            </w:r>
          </w:p>
        </w:tc>
        <w:tc>
          <w:tcPr>
            <w:tcW w:type="dxa" w:w="864"/>
            <w:vAlign w:val="center"/>
          </w:tcPr>
          <w:p>
            <w:pPr>
              <w:pStyle w:val="TableText"/>
              <w:jc w:val="center"/>
            </w:pPr>
            <w:r>
              <w:rPr>
                <w:rFonts w:ascii="Times New Roman" w:hAnsi="Times New Roman"/>
              </w:rPr>
              <w:t>2.54</w:t>
            </w:r>
          </w:p>
        </w:tc>
        <w:tc>
          <w:tcPr>
            <w:tcW w:type="dxa" w:w="864"/>
            <w:vAlign w:val="center"/>
          </w:tcPr>
          <w:p>
            <w:pPr>
              <w:pStyle w:val="TableText"/>
              <w:jc w:val="center"/>
            </w:pPr>
            <w:r>
              <w:rPr>
                <w:rFonts w:ascii="Times New Roman" w:hAnsi="Times New Roman"/>
              </w:rPr>
              <w:t>3.12</w:t>
            </w:r>
          </w:p>
        </w:tc>
        <w:tc>
          <w:tcPr>
            <w:tcW w:type="dxa" w:w="864"/>
            <w:vAlign w:val="center"/>
          </w:tcPr>
          <w:p>
            <w:pPr>
              <w:pStyle w:val="TableText"/>
              <w:jc w:val="center"/>
            </w:pPr>
            <w:r>
              <w:rPr>
                <w:rFonts w:ascii="Times New Roman" w:hAnsi="Times New Roman"/>
              </w:rPr>
              <w:t>7.18</w:t>
            </w:r>
          </w:p>
        </w:tc>
        <w:tc>
          <w:tcPr>
            <w:tcW w:type="dxa" w:w="1080"/>
            <w:vAlign w:val="center"/>
          </w:tcPr>
          <w:p>
            <w:pPr>
              <w:pStyle w:val="TableText"/>
              <w:jc w:val="center"/>
            </w:pPr>
            <w:r>
              <w:rPr>
                <w:rFonts w:ascii="Times New Roman" w:hAnsi="Times New Roman"/>
              </w:rPr>
              <w:t>7.9</w:t>
            </w:r>
          </w:p>
        </w:tc>
        <w:tc>
          <w:tcPr>
            <w:tcW w:type="dxa" w:w="1224"/>
            <w:vAlign w:val="center"/>
          </w:tcPr>
          <w:p>
            <w:pPr>
              <w:pStyle w:val="TableText"/>
              <w:jc w:val="center"/>
            </w:pPr>
            <w:r>
              <w:rPr>
                <w:rFonts w:ascii="Times New Roman" w:hAnsi="Times New Roman"/>
              </w:rPr>
              <w:t>6.1</w:t>
            </w:r>
          </w:p>
        </w:tc>
        <w:tc>
          <w:tcPr>
            <w:tcW w:type="dxa" w:w="1224"/>
            <w:vAlign w:val="center"/>
          </w:tcPr>
          <w:p>
            <w:pPr>
              <w:pStyle w:val="TableText"/>
              <w:jc w:val="center"/>
            </w:pPr>
            <w:r>
              <w:rPr>
                <w:rFonts w:ascii="Times New Roman" w:hAnsi="Times New Roman"/>
              </w:rPr>
              <w:t>988</w:t>
            </w:r>
          </w:p>
        </w:tc>
      </w:tr>
    </w:tbl>
    <w:p>
      <w:pPr>
        <w:pStyle w:val="Single"/>
        <w:spacing w:after="200" w:line="40" w:lineRule="exact"/>
      </w:pPr>
    </w:p>
    <w:p>
      <w:pPr>
        <w:pStyle w:val="TableCaption"/>
      </w:pPr>
      <w:r>
        <w:rPr>
          <w:b/>
        </w:rPr>
        <w:t xml:space="preserve">Table 3.4: </w:t>
      </w:r>
      <w:r>
        <w:rPr>
          <w:rFonts w:ascii="Times New Roman" w:hAnsi="Times New Roman"/>
        </w:rPr>
        <w:t>Largest wave events at each site (distinct events at least five days apart)</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1152"/>
        <w:gridCol w:w="2736"/>
        <w:gridCol w:w="1872"/>
        <w:gridCol w:w="2880"/>
      </w:tblGrid>
      <w:tr>
        <w:trPr>
          <w:cantSplit w:val="true"/>
          <w:tblHeader w:val="true"/>
        </w:trPr>
        <w:tc>
          <w:tcPr>
            <w:tcW w:type="dxa" w:w="1152"/>
            <w:tcBorders>
              <w:bottom w:val="single" w:sz="6" w:color="000000"/>
            </w:tcBorders>
            <w:vAlign w:val="center"/>
          </w:tcPr>
          <w:p>
            <w:pPr>
              <w:pStyle w:val="TableText"/>
            </w:pPr>
            <w:r>
              <w:rPr>
                <w:rFonts w:ascii="Times New Roman" w:hAnsi="Times New Roman"/>
                <w:b/>
              </w:rPr>
              <w:t>Buoy</w:t>
            </w:r>
          </w:p>
        </w:tc>
        <w:tc>
          <w:tcPr>
            <w:tcW w:type="dxa" w:w="2736"/>
            <w:tcBorders>
              <w:bottom w:val="single" w:sz="6" w:color="000000"/>
            </w:tcBorders>
            <w:vAlign w:val="center"/>
          </w:tcPr>
          <w:p>
            <w:pPr>
              <w:pStyle w:val="TableText"/>
            </w:pPr>
            <w:r>
              <w:rPr>
                <w:rFonts w:ascii="Times New Roman" w:hAnsi="Times New Roman"/>
                <w:b/>
              </w:rPr>
              <w:t>Time of peak (UTC)</w:t>
            </w:r>
          </w:p>
        </w:tc>
        <w:tc>
          <w:tcPr>
            <w:tcW w:type="dxa" w:w="1872"/>
            <w:tcBorders>
              <w:bottom w:val="single" w:sz="6" w:color="000000"/>
            </w:tcBorders>
            <w:vAlign w:val="center"/>
          </w:tcPr>
          <w:p>
            <w:pPr>
              <w:pStyle w:val="TableText"/>
              <w:jc w:val="center"/>
            </w:pPr>
            <w:r>
              <w:rPr>
                <w:rFonts w:ascii="Times New Roman" w:hAnsi="Times New Roman"/>
                <w:b/>
              </w:rPr>
              <w:t>Peak H</w:t>
            </w:r>
            <w:r>
              <w:rPr>
                <w:rFonts w:ascii="Times New Roman" w:hAnsi="Times New Roman"/>
                <w:b/>
                <w:vertAlign w:val="subscript"/>
              </w:rPr>
              <w:t>s</w:t>
            </w:r>
            <w:r>
              <w:rPr>
                <w:rFonts w:ascii="Times New Roman" w:hAnsi="Times New Roman"/>
                <w:b/>
              </w:rPr>
              <w:t xml:space="preserve"> (m)</w:t>
            </w:r>
          </w:p>
        </w:tc>
        <w:tc>
          <w:tcPr>
            <w:tcW w:type="dxa" w:w="2880"/>
            <w:tcBorders>
              <w:bottom w:val="single" w:sz="6" w:color="000000"/>
            </w:tcBorders>
            <w:vAlign w:val="center"/>
          </w:tcPr>
          <w:p>
            <w:pPr>
              <w:pStyle w:val="TableText"/>
              <w:jc w:val="center"/>
            </w:pPr>
            <w:r>
              <w:rPr>
                <w:rFonts w:ascii="Times New Roman" w:hAnsi="Times New Roman"/>
                <w:b/>
              </w:rPr>
              <w:t>Min MSLP within ±2 days (hPa)</w:t>
            </w:r>
          </w:p>
        </w:tc>
      </w:tr>
      <w:tr>
        <w:trPr>
          <w:cantSplit w:val="true"/>
        </w:trPr>
        <w:tc>
          <w:tcPr>
            <w:tcW w:type="dxa" w:w="1152"/>
            <w:vAlign w:val="center"/>
          </w:tcPr>
          <w:p>
            <w:pPr>
              <w:pStyle w:val="TableText"/>
            </w:pPr>
            <w:r>
              <w:rPr>
                <w:rFonts w:ascii="Times New Roman" w:hAnsi="Times New Roman"/>
              </w:rPr>
              <w:t>BD08</w:t>
            </w:r>
          </w:p>
        </w:tc>
        <w:tc>
          <w:tcPr>
            <w:tcW w:type="dxa" w:w="2736"/>
            <w:vAlign w:val="center"/>
          </w:tcPr>
          <w:p>
            <w:pPr>
              <w:pStyle w:val="TableText"/>
            </w:pPr>
            <w:r>
              <w:rPr>
                <w:rFonts w:ascii="Times New Roman" w:hAnsi="Times New Roman"/>
              </w:rPr>
              <w:t>25 May 2021 07:00</w:t>
            </w:r>
          </w:p>
        </w:tc>
        <w:tc>
          <w:tcPr>
            <w:tcW w:type="dxa" w:w="1872"/>
            <w:vAlign w:val="center"/>
          </w:tcPr>
          <w:p>
            <w:pPr>
              <w:pStyle w:val="TableText"/>
              <w:jc w:val="center"/>
            </w:pPr>
            <w:r>
              <w:rPr>
                <w:rFonts w:ascii="Times New Roman" w:hAnsi="Times New Roman"/>
              </w:rPr>
              <w:t>10.5</w:t>
            </w:r>
          </w:p>
        </w:tc>
        <w:tc>
          <w:tcPr>
            <w:tcW w:type="dxa" w:w="2880"/>
            <w:vAlign w:val="center"/>
          </w:tcPr>
          <w:p>
            <w:pPr>
              <w:pStyle w:val="TableText"/>
              <w:jc w:val="center"/>
            </w:pPr>
            <w:r>
              <w:rPr>
                <w:rFonts w:ascii="Times New Roman" w:hAnsi="Times New Roman"/>
              </w:rPr>
              <w:t>979</w:t>
            </w:r>
          </w:p>
        </w:tc>
      </w:tr>
      <w:tr>
        <w:trPr>
          <w:cantSplit w:val="true"/>
        </w:trPr>
        <w:tc>
          <w:tcPr>
            <w:tcW w:type="dxa" w:w="1152"/>
            <w:vAlign w:val="center"/>
          </w:tcPr>
          <w:p>
            <w:pPr>
              <w:pStyle w:val="TableText"/>
            </w:pPr>
            <w:r>
              <w:rPr>
                <w:rFonts w:ascii="Times New Roman" w:hAnsi="Times New Roman"/>
              </w:rPr>
              <w:t>BD08</w:t>
            </w:r>
          </w:p>
        </w:tc>
        <w:tc>
          <w:tcPr>
            <w:tcW w:type="dxa" w:w="2736"/>
            <w:vAlign w:val="center"/>
          </w:tcPr>
          <w:p>
            <w:pPr>
              <w:pStyle w:val="TableText"/>
            </w:pPr>
            <w:r>
              <w:rPr>
                <w:rFonts w:ascii="Times New Roman" w:hAnsi="Times New Roman"/>
              </w:rPr>
              <w:t>20 May 2020 03:00</w:t>
            </w:r>
          </w:p>
        </w:tc>
        <w:tc>
          <w:tcPr>
            <w:tcW w:type="dxa" w:w="1872"/>
            <w:vAlign w:val="center"/>
          </w:tcPr>
          <w:p>
            <w:pPr>
              <w:pStyle w:val="TableText"/>
              <w:jc w:val="center"/>
            </w:pPr>
            <w:r>
              <w:rPr>
                <w:rFonts w:ascii="Times New Roman" w:hAnsi="Times New Roman"/>
              </w:rPr>
              <w:t>8.6</w:t>
            </w:r>
          </w:p>
        </w:tc>
        <w:tc>
          <w:tcPr>
            <w:tcW w:type="dxa" w:w="2880"/>
            <w:vAlign w:val="center"/>
          </w:tcPr>
          <w:p>
            <w:pPr>
              <w:pStyle w:val="TableText"/>
              <w:jc w:val="center"/>
            </w:pPr>
            <w:r>
              <w:rPr>
                <w:rFonts w:ascii="Times New Roman" w:hAnsi="Times New Roman"/>
              </w:rPr>
              <w:t>991</w:t>
            </w:r>
          </w:p>
        </w:tc>
      </w:tr>
      <w:tr>
        <w:trPr>
          <w:cantSplit w:val="true"/>
        </w:trPr>
        <w:tc>
          <w:tcPr>
            <w:tcW w:type="dxa" w:w="1152"/>
            <w:vAlign w:val="center"/>
          </w:tcPr>
          <w:p>
            <w:pPr>
              <w:pStyle w:val="TableText"/>
            </w:pPr>
            <w:r>
              <w:rPr>
                <w:rFonts w:ascii="Times New Roman" w:hAnsi="Times New Roman"/>
              </w:rPr>
              <w:t>BD08</w:t>
            </w:r>
          </w:p>
        </w:tc>
        <w:tc>
          <w:tcPr>
            <w:tcW w:type="dxa" w:w="2736"/>
            <w:vAlign w:val="center"/>
          </w:tcPr>
          <w:p>
            <w:pPr>
              <w:pStyle w:val="TableText"/>
            </w:pPr>
            <w:r>
              <w:rPr>
                <w:rFonts w:ascii="Times New Roman" w:hAnsi="Times New Roman"/>
              </w:rPr>
              <w:t>13 May 2023 21:00</w:t>
            </w:r>
          </w:p>
        </w:tc>
        <w:tc>
          <w:tcPr>
            <w:tcW w:type="dxa" w:w="1872"/>
            <w:vAlign w:val="center"/>
          </w:tcPr>
          <w:p>
            <w:pPr>
              <w:pStyle w:val="TableText"/>
              <w:jc w:val="center"/>
            </w:pPr>
            <w:r>
              <w:rPr>
                <w:rFonts w:ascii="Times New Roman" w:hAnsi="Times New Roman"/>
              </w:rPr>
              <w:t>6.2</w:t>
            </w:r>
          </w:p>
        </w:tc>
        <w:tc>
          <w:tcPr>
            <w:tcW w:type="dxa" w:w="2880"/>
            <w:vAlign w:val="center"/>
          </w:tcPr>
          <w:p>
            <w:pPr>
              <w:pStyle w:val="TableText"/>
              <w:jc w:val="center"/>
            </w:pPr>
            <w:r>
              <w:rPr>
                <w:rFonts w:ascii="Times New Roman" w:hAnsi="Times New Roman"/>
              </w:rPr>
              <w:t>986</w:t>
            </w:r>
          </w:p>
        </w:tc>
      </w:tr>
      <w:tr>
        <w:trPr>
          <w:cantSplit w:val="true"/>
        </w:trPr>
        <w:tc>
          <w:tcPr>
            <w:tcW w:type="dxa" w:w="1152"/>
            <w:vAlign w:val="center"/>
          </w:tcPr>
          <w:p>
            <w:pPr>
              <w:pStyle w:val="TableText"/>
            </w:pPr>
            <w:r>
              <w:rPr>
                <w:rFonts w:ascii="Times New Roman" w:hAnsi="Times New Roman"/>
              </w:rPr>
              <w:t>BD08</w:t>
            </w:r>
          </w:p>
        </w:tc>
        <w:tc>
          <w:tcPr>
            <w:tcW w:type="dxa" w:w="2736"/>
            <w:vAlign w:val="center"/>
          </w:tcPr>
          <w:p>
            <w:pPr>
              <w:pStyle w:val="TableText"/>
            </w:pPr>
            <w:r>
              <w:rPr>
                <w:rFonts w:ascii="Times New Roman" w:hAnsi="Times New Roman"/>
              </w:rPr>
              <w:t>07 Aug 2019 00:00</w:t>
            </w:r>
          </w:p>
        </w:tc>
        <w:tc>
          <w:tcPr>
            <w:tcW w:type="dxa" w:w="1872"/>
            <w:vAlign w:val="center"/>
          </w:tcPr>
          <w:p>
            <w:pPr>
              <w:pStyle w:val="TableText"/>
              <w:jc w:val="center"/>
            </w:pPr>
            <w:r>
              <w:rPr>
                <w:rFonts w:ascii="Times New Roman" w:hAnsi="Times New Roman"/>
              </w:rPr>
              <w:t>5.7</w:t>
            </w:r>
          </w:p>
        </w:tc>
        <w:tc>
          <w:tcPr>
            <w:tcW w:type="dxa" w:w="2880"/>
            <w:vAlign w:val="center"/>
          </w:tcPr>
          <w:p>
            <w:pPr>
              <w:pStyle w:val="TableText"/>
              <w:jc w:val="center"/>
            </w:pPr>
            <w:r>
              <w:rPr>
                <w:rFonts w:ascii="Times New Roman" w:hAnsi="Times New Roman"/>
              </w:rPr>
              <w:t>992</w:t>
            </w:r>
          </w:p>
        </w:tc>
      </w:tr>
      <w:tr>
        <w:trPr>
          <w:cantSplit w:val="true"/>
        </w:trPr>
        <w:tc>
          <w:tcPr>
            <w:tcW w:type="dxa" w:w="1152"/>
            <w:vAlign w:val="center"/>
          </w:tcPr>
          <w:p>
            <w:pPr>
              <w:pStyle w:val="TableText"/>
            </w:pPr>
            <w:r>
              <w:rPr>
                <w:rFonts w:ascii="Times New Roman" w:hAnsi="Times New Roman"/>
              </w:rPr>
              <w:t>BD10</w:t>
            </w:r>
          </w:p>
        </w:tc>
        <w:tc>
          <w:tcPr>
            <w:tcW w:type="dxa" w:w="2736"/>
            <w:vAlign w:val="center"/>
          </w:tcPr>
          <w:p>
            <w:pPr>
              <w:pStyle w:val="TableText"/>
            </w:pPr>
            <w:r>
              <w:rPr>
                <w:rFonts w:ascii="Times New Roman" w:hAnsi="Times New Roman"/>
              </w:rPr>
              <w:t>19 May 2020 06:00</w:t>
            </w:r>
          </w:p>
        </w:tc>
        <w:tc>
          <w:tcPr>
            <w:tcW w:type="dxa" w:w="1872"/>
            <w:vAlign w:val="center"/>
          </w:tcPr>
          <w:p>
            <w:pPr>
              <w:pStyle w:val="TableText"/>
              <w:jc w:val="center"/>
            </w:pPr>
            <w:r>
              <w:rPr>
                <w:rFonts w:ascii="Times New Roman" w:hAnsi="Times New Roman"/>
              </w:rPr>
              <w:t>10.7</w:t>
            </w:r>
          </w:p>
        </w:tc>
        <w:tc>
          <w:tcPr>
            <w:tcW w:type="dxa" w:w="2880"/>
            <w:vAlign w:val="center"/>
          </w:tcPr>
          <w:p>
            <w:pPr>
              <w:pStyle w:val="TableText"/>
              <w:jc w:val="center"/>
            </w:pPr>
            <w:r>
              <w:rPr>
                <w:rFonts w:ascii="Times New Roman" w:hAnsi="Times New Roman"/>
              </w:rPr>
              <w:t>981</w:t>
            </w:r>
          </w:p>
        </w:tc>
      </w:tr>
      <w:tr>
        <w:trPr>
          <w:cantSplit w:val="true"/>
        </w:trPr>
        <w:tc>
          <w:tcPr>
            <w:tcW w:type="dxa" w:w="1152"/>
            <w:vAlign w:val="center"/>
          </w:tcPr>
          <w:p>
            <w:pPr>
              <w:pStyle w:val="TableText"/>
            </w:pPr>
            <w:r>
              <w:rPr>
                <w:rFonts w:ascii="Times New Roman" w:hAnsi="Times New Roman"/>
              </w:rPr>
              <w:t>BD10</w:t>
            </w:r>
          </w:p>
        </w:tc>
        <w:tc>
          <w:tcPr>
            <w:tcW w:type="dxa" w:w="2736"/>
            <w:vAlign w:val="center"/>
          </w:tcPr>
          <w:p>
            <w:pPr>
              <w:pStyle w:val="TableText"/>
            </w:pPr>
            <w:r>
              <w:rPr>
                <w:rFonts w:ascii="Times New Roman" w:hAnsi="Times New Roman"/>
              </w:rPr>
              <w:t>24 May 2021 19:00</w:t>
            </w:r>
          </w:p>
        </w:tc>
        <w:tc>
          <w:tcPr>
            <w:tcW w:type="dxa" w:w="1872"/>
            <w:vAlign w:val="center"/>
          </w:tcPr>
          <w:p>
            <w:pPr>
              <w:pStyle w:val="TableText"/>
              <w:jc w:val="center"/>
            </w:pPr>
            <w:r>
              <w:rPr>
                <w:rFonts w:ascii="Times New Roman" w:hAnsi="Times New Roman"/>
              </w:rPr>
              <w:t>8.1</w:t>
            </w:r>
          </w:p>
        </w:tc>
        <w:tc>
          <w:tcPr>
            <w:tcW w:type="dxa" w:w="2880"/>
            <w:vAlign w:val="center"/>
          </w:tcPr>
          <w:p>
            <w:pPr>
              <w:pStyle w:val="TableText"/>
              <w:jc w:val="center"/>
            </w:pPr>
            <w:r>
              <w:rPr>
                <w:rFonts w:ascii="Times New Roman" w:hAnsi="Times New Roman"/>
              </w:rPr>
              <w:t>988</w:t>
            </w:r>
          </w:p>
        </w:tc>
      </w:tr>
      <w:tr>
        <w:trPr>
          <w:cantSplit w:val="true"/>
        </w:trPr>
        <w:tc>
          <w:tcPr>
            <w:tcW w:type="dxa" w:w="1152"/>
            <w:vAlign w:val="center"/>
          </w:tcPr>
          <w:p>
            <w:pPr>
              <w:pStyle w:val="TableText"/>
            </w:pPr>
            <w:r>
              <w:rPr>
                <w:rFonts w:ascii="Times New Roman" w:hAnsi="Times New Roman"/>
              </w:rPr>
              <w:t>BD10</w:t>
            </w:r>
          </w:p>
        </w:tc>
        <w:tc>
          <w:tcPr>
            <w:tcW w:type="dxa" w:w="2736"/>
            <w:vAlign w:val="center"/>
          </w:tcPr>
          <w:p>
            <w:pPr>
              <w:pStyle w:val="TableText"/>
            </w:pPr>
            <w:r>
              <w:rPr>
                <w:rFonts w:ascii="Times New Roman" w:hAnsi="Times New Roman"/>
              </w:rPr>
              <w:t>07 Aug 2019 00:00</w:t>
            </w:r>
          </w:p>
        </w:tc>
        <w:tc>
          <w:tcPr>
            <w:tcW w:type="dxa" w:w="1872"/>
            <w:vAlign w:val="center"/>
          </w:tcPr>
          <w:p>
            <w:pPr>
              <w:pStyle w:val="TableText"/>
              <w:jc w:val="center"/>
            </w:pPr>
            <w:r>
              <w:rPr>
                <w:rFonts w:ascii="Times New Roman" w:hAnsi="Times New Roman"/>
              </w:rPr>
              <w:t>5.6</w:t>
            </w:r>
          </w:p>
        </w:tc>
        <w:tc>
          <w:tcPr>
            <w:tcW w:type="dxa" w:w="2880"/>
            <w:vAlign w:val="center"/>
          </w:tcPr>
          <w:p>
            <w:pPr>
              <w:pStyle w:val="TableText"/>
              <w:jc w:val="center"/>
            </w:pPr>
            <w:r>
              <w:rPr>
                <w:rFonts w:ascii="Times New Roman" w:hAnsi="Times New Roman"/>
              </w:rPr>
              <w:t>996</w:t>
            </w:r>
          </w:p>
        </w:tc>
      </w:tr>
      <w:tr>
        <w:trPr>
          <w:cantSplit w:val="true"/>
        </w:trPr>
        <w:tc>
          <w:tcPr>
            <w:tcW w:type="dxa" w:w="1152"/>
            <w:vAlign w:val="center"/>
          </w:tcPr>
          <w:p>
            <w:pPr>
              <w:pStyle w:val="TableText"/>
            </w:pPr>
            <w:r>
              <w:rPr>
                <w:rFonts w:ascii="Times New Roman" w:hAnsi="Times New Roman"/>
              </w:rPr>
              <w:t>BD10</w:t>
            </w:r>
          </w:p>
        </w:tc>
        <w:tc>
          <w:tcPr>
            <w:tcW w:type="dxa" w:w="2736"/>
            <w:vAlign w:val="center"/>
          </w:tcPr>
          <w:p>
            <w:pPr>
              <w:pStyle w:val="TableText"/>
            </w:pPr>
            <w:r>
              <w:rPr>
                <w:rFonts w:ascii="Times New Roman" w:hAnsi="Times New Roman"/>
              </w:rPr>
              <w:t>20 Jun 2015 06:00</w:t>
            </w:r>
          </w:p>
        </w:tc>
        <w:tc>
          <w:tcPr>
            <w:tcW w:type="dxa" w:w="1872"/>
            <w:vAlign w:val="center"/>
          </w:tcPr>
          <w:p>
            <w:pPr>
              <w:pStyle w:val="TableText"/>
              <w:jc w:val="center"/>
            </w:pPr>
            <w:r>
              <w:rPr>
                <w:rFonts w:ascii="Times New Roman" w:hAnsi="Times New Roman"/>
              </w:rPr>
              <w:t>5.3</w:t>
            </w:r>
          </w:p>
        </w:tc>
        <w:tc>
          <w:tcPr>
            <w:tcW w:type="dxa" w:w="2880"/>
            <w:vAlign w:val="center"/>
          </w:tcPr>
          <w:p>
            <w:pPr>
              <w:pStyle w:val="TableText"/>
              <w:jc w:val="center"/>
            </w:pPr>
            <w:r>
              <w:rPr>
                <w:rFonts w:ascii="Times New Roman" w:hAnsi="Times New Roman"/>
              </w:rPr>
              <w:t>994</w:t>
            </w:r>
          </w:p>
        </w:tc>
      </w:tr>
      <w:tr>
        <w:trPr>
          <w:cantSplit w:val="true"/>
        </w:trPr>
        <w:tc>
          <w:tcPr>
            <w:tcW w:type="dxa" w:w="1152"/>
            <w:vAlign w:val="center"/>
          </w:tcPr>
          <w:p>
            <w:pPr>
              <w:pStyle w:val="TableText"/>
            </w:pPr>
            <w:r>
              <w:rPr>
                <w:rFonts w:ascii="Times New Roman" w:hAnsi="Times New Roman"/>
              </w:rPr>
              <w:t>BD11</w:t>
            </w:r>
          </w:p>
        </w:tc>
        <w:tc>
          <w:tcPr>
            <w:tcW w:type="dxa" w:w="2736"/>
            <w:vAlign w:val="center"/>
          </w:tcPr>
          <w:p>
            <w:pPr>
              <w:pStyle w:val="TableText"/>
            </w:pPr>
            <w:r>
              <w:rPr>
                <w:rFonts w:ascii="Times New Roman" w:hAnsi="Times New Roman"/>
              </w:rPr>
              <w:t>09 May 2022 19:00</w:t>
            </w:r>
          </w:p>
        </w:tc>
        <w:tc>
          <w:tcPr>
            <w:tcW w:type="dxa" w:w="1872"/>
            <w:vAlign w:val="center"/>
          </w:tcPr>
          <w:p>
            <w:pPr>
              <w:pStyle w:val="TableText"/>
              <w:jc w:val="center"/>
            </w:pPr>
            <w:r>
              <w:rPr>
                <w:rFonts w:ascii="Times New Roman" w:hAnsi="Times New Roman"/>
              </w:rPr>
              <w:t>7.2</w:t>
            </w:r>
          </w:p>
        </w:tc>
        <w:tc>
          <w:tcPr>
            <w:tcW w:type="dxa" w:w="2880"/>
            <w:vAlign w:val="center"/>
          </w:tcPr>
          <w:p>
            <w:pPr>
              <w:pStyle w:val="TableText"/>
              <w:jc w:val="center"/>
            </w:pPr>
            <w:r>
              <w:rPr>
                <w:rFonts w:ascii="Times New Roman" w:hAnsi="Times New Roman"/>
              </w:rPr>
              <w:t>988</w:t>
            </w:r>
          </w:p>
        </w:tc>
      </w:tr>
      <w:tr>
        <w:trPr>
          <w:cantSplit w:val="true"/>
        </w:trPr>
        <w:tc>
          <w:tcPr>
            <w:tcW w:type="dxa" w:w="1152"/>
            <w:vAlign w:val="center"/>
          </w:tcPr>
          <w:p>
            <w:pPr>
              <w:pStyle w:val="TableText"/>
            </w:pPr>
            <w:r>
              <w:rPr>
                <w:rFonts w:ascii="Times New Roman" w:hAnsi="Times New Roman"/>
              </w:rPr>
              <w:t>BD11</w:t>
            </w:r>
          </w:p>
        </w:tc>
        <w:tc>
          <w:tcPr>
            <w:tcW w:type="dxa" w:w="2736"/>
            <w:vAlign w:val="center"/>
          </w:tcPr>
          <w:p>
            <w:pPr>
              <w:pStyle w:val="TableText"/>
            </w:pPr>
            <w:r>
              <w:rPr>
                <w:rFonts w:ascii="Times New Roman" w:hAnsi="Times New Roman"/>
              </w:rPr>
              <w:t>01 May 2019 08:00</w:t>
            </w:r>
          </w:p>
        </w:tc>
        <w:tc>
          <w:tcPr>
            <w:tcW w:type="dxa" w:w="1872"/>
            <w:vAlign w:val="center"/>
          </w:tcPr>
          <w:p>
            <w:pPr>
              <w:pStyle w:val="TableText"/>
              <w:jc w:val="center"/>
            </w:pPr>
            <w:r>
              <w:rPr>
                <w:rFonts w:ascii="Times New Roman" w:hAnsi="Times New Roman"/>
              </w:rPr>
              <w:t>7.1</w:t>
            </w:r>
          </w:p>
        </w:tc>
        <w:tc>
          <w:tcPr>
            <w:tcW w:type="dxa" w:w="2880"/>
            <w:vAlign w:val="center"/>
          </w:tcPr>
          <w:p>
            <w:pPr>
              <w:pStyle w:val="TableText"/>
              <w:jc w:val="center"/>
            </w:pPr>
            <w:r>
              <w:rPr>
                <w:rFonts w:ascii="Times New Roman" w:hAnsi="Times New Roman"/>
              </w:rPr>
              <w:t>992</w:t>
            </w:r>
          </w:p>
        </w:tc>
      </w:tr>
      <w:tr>
        <w:trPr>
          <w:cantSplit w:val="true"/>
        </w:trPr>
        <w:tc>
          <w:tcPr>
            <w:tcW w:type="dxa" w:w="1152"/>
            <w:vAlign w:val="center"/>
          </w:tcPr>
          <w:p>
            <w:pPr>
              <w:pStyle w:val="TableText"/>
            </w:pPr>
            <w:r>
              <w:rPr>
                <w:rFonts w:ascii="Times New Roman" w:hAnsi="Times New Roman"/>
              </w:rPr>
              <w:t>BD11</w:t>
            </w:r>
          </w:p>
        </w:tc>
        <w:tc>
          <w:tcPr>
            <w:tcW w:type="dxa" w:w="2736"/>
            <w:vAlign w:val="center"/>
          </w:tcPr>
          <w:p>
            <w:pPr>
              <w:pStyle w:val="TableText"/>
            </w:pPr>
            <w:r>
              <w:rPr>
                <w:rFonts w:ascii="Times New Roman" w:hAnsi="Times New Roman"/>
              </w:rPr>
              <w:t>11 Dec 2016 03:00</w:t>
            </w:r>
          </w:p>
        </w:tc>
        <w:tc>
          <w:tcPr>
            <w:tcW w:type="dxa" w:w="1872"/>
            <w:vAlign w:val="center"/>
          </w:tcPr>
          <w:p>
            <w:pPr>
              <w:pStyle w:val="TableText"/>
              <w:jc w:val="center"/>
            </w:pPr>
            <w:r>
              <w:rPr>
                <w:rFonts w:ascii="Times New Roman" w:hAnsi="Times New Roman"/>
              </w:rPr>
              <w:t>6.0</w:t>
            </w:r>
          </w:p>
        </w:tc>
        <w:tc>
          <w:tcPr>
            <w:tcW w:type="dxa" w:w="2880"/>
            <w:vAlign w:val="center"/>
          </w:tcPr>
          <w:p>
            <w:pPr>
              <w:pStyle w:val="TableText"/>
              <w:jc w:val="center"/>
            </w:pPr>
            <w:r>
              <w:rPr>
                <w:rFonts w:ascii="Times New Roman" w:hAnsi="Times New Roman"/>
              </w:rPr>
              <w:t>992</w:t>
            </w:r>
          </w:p>
        </w:tc>
      </w:tr>
      <w:tr>
        <w:trPr>
          <w:cantSplit w:val="true"/>
        </w:trPr>
        <w:tc>
          <w:tcPr>
            <w:tcW w:type="dxa" w:w="1152"/>
            <w:vAlign w:val="center"/>
          </w:tcPr>
          <w:p>
            <w:pPr>
              <w:pStyle w:val="TableText"/>
            </w:pPr>
            <w:r>
              <w:rPr>
                <w:rFonts w:ascii="Times New Roman" w:hAnsi="Times New Roman"/>
              </w:rPr>
              <w:t>BD11</w:t>
            </w:r>
          </w:p>
        </w:tc>
        <w:tc>
          <w:tcPr>
            <w:tcW w:type="dxa" w:w="2736"/>
            <w:vAlign w:val="center"/>
          </w:tcPr>
          <w:p>
            <w:pPr>
              <w:pStyle w:val="TableText"/>
            </w:pPr>
            <w:r>
              <w:rPr>
                <w:rFonts w:ascii="Times New Roman" w:hAnsi="Times New Roman"/>
              </w:rPr>
              <w:t>18 May 2020 07:00</w:t>
            </w:r>
          </w:p>
        </w:tc>
        <w:tc>
          <w:tcPr>
            <w:tcW w:type="dxa" w:w="1872"/>
            <w:vAlign w:val="center"/>
          </w:tcPr>
          <w:p>
            <w:pPr>
              <w:pStyle w:val="TableText"/>
              <w:jc w:val="center"/>
            </w:pPr>
            <w:r>
              <w:rPr>
                <w:rFonts w:ascii="Times New Roman" w:hAnsi="Times New Roman"/>
              </w:rPr>
              <w:t>5.0</w:t>
            </w:r>
          </w:p>
        </w:tc>
        <w:tc>
          <w:tcPr>
            <w:tcW w:type="dxa" w:w="2880"/>
            <w:vAlign w:val="center"/>
          </w:tcPr>
          <w:p>
            <w:pPr>
              <w:pStyle w:val="TableText"/>
              <w:jc w:val="center"/>
            </w:pPr>
            <w:r>
              <w:rPr>
                <w:rFonts w:ascii="Times New Roman" w:hAnsi="Times New Roman"/>
              </w:rPr>
              <w:t>993</w:t>
            </w:r>
          </w:p>
        </w:tc>
      </w:tr>
    </w:tbl>
    <w:p>
      <w:pPr>
        <w:pStyle w:val="Single"/>
        <w:spacing w:after="200" w:line="40" w:lineRule="exact"/>
      </w:pPr>
    </w:p>
    <w:p>
      <w:pPr>
        <w:pStyle w:val="Single"/>
        <w:keepNext/>
        <w:spacing w:before="120" w:after="40"/>
        <w:jc w:val="center"/>
      </w:pPr>
      <w:r>
        <w:drawing>
          <wp:inline xmlns:a="http://schemas.openxmlformats.org/drawingml/2006/main" xmlns:pic="http://schemas.openxmlformats.org/drawingml/2006/picture">
            <wp:extent cx="4937760" cy="3914692"/>
            <wp:docPr id="3" name="Picture 3"/>
            <wp:cNvGraphicFramePr>
              <a:graphicFrameLocks noChangeAspect="1"/>
            </wp:cNvGraphicFramePr>
            <a:graphic>
              <a:graphicData uri="http://schemas.openxmlformats.org/drawingml/2006/picture">
                <pic:pic>
                  <pic:nvPicPr>
                    <pic:cNvPr id="0" name="fig_record.png"/>
                    <pic:cNvPicPr/>
                  </pic:nvPicPr>
                  <pic:blipFill>
                    <a:blip r:embed="rId10"/>
                    <a:stretch>
                      <a:fillRect/>
                    </a:stretch>
                  </pic:blipFill>
                  <pic:spPr>
                    <a:xfrm>
                      <a:off x="0" y="0"/>
                      <a:ext cx="4937760" cy="3914692"/>
                    </a:xfrm>
                    <a:prstGeom prst="rect"/>
                  </pic:spPr>
                </pic:pic>
              </a:graphicData>
            </a:graphic>
          </wp:inline>
        </w:drawing>
      </w:r>
    </w:p>
    <w:p>
      <w:pPr>
        <w:pStyle w:val="FigureCaption"/>
      </w:pPr>
      <w:r>
        <w:rPr>
          <w:b/>
        </w:rPr>
        <w:t xml:space="preserve">Figure 3.1: </w:t>
      </w:r>
      <w:r>
        <w:rPr>
          <w:rFonts w:ascii="Times New Roman" w:hAnsi="Times New Roman"/>
        </w:rPr>
        <w:t>ERA5 significant wave height at the three sites, 2015–2024, with the fit, early-stopping, validation and test blocks shaded</w:t>
      </w:r>
    </w:p>
    <w:p>
      <w:pPr>
        <w:pStyle w:val="Single"/>
        <w:keepNext/>
        <w:spacing w:before="120" w:after="40"/>
        <w:jc w:val="center"/>
      </w:pPr>
      <w:r>
        <w:drawing>
          <wp:inline xmlns:a="http://schemas.openxmlformats.org/drawingml/2006/main" xmlns:pic="http://schemas.openxmlformats.org/drawingml/2006/picture">
            <wp:extent cx="4572000" cy="2368659"/>
            <wp:docPr id="4" name="Picture 4"/>
            <wp:cNvGraphicFramePr>
              <a:graphicFrameLocks noChangeAspect="1"/>
            </wp:cNvGraphicFramePr>
            <a:graphic>
              <a:graphicData uri="http://schemas.openxmlformats.org/drawingml/2006/picture">
                <pic:pic>
                  <pic:nvPicPr>
                    <pic:cNvPr id="0" name="fig_season.png"/>
                    <pic:cNvPicPr/>
                  </pic:nvPicPr>
                  <pic:blipFill>
                    <a:blip r:embed="rId11"/>
                    <a:stretch>
                      <a:fillRect/>
                    </a:stretch>
                  </pic:blipFill>
                  <pic:spPr>
                    <a:xfrm>
                      <a:off x="0" y="0"/>
                      <a:ext cx="4572000" cy="2368659"/>
                    </a:xfrm>
                    <a:prstGeom prst="rect"/>
                  </pic:spPr>
                </pic:pic>
              </a:graphicData>
            </a:graphic>
          </wp:inline>
        </w:drawing>
      </w:r>
    </w:p>
    <w:p>
      <w:pPr>
        <w:pStyle w:val="FigureCaption"/>
      </w:pPr>
      <w:r>
        <w:rPr>
          <w:b/>
        </w:rPr>
        <w:t xml:space="preserve">Figure 3.2: </w:t>
      </w:r>
      <w:r>
        <w:rPr>
          <w:rFonts w:ascii="Times New Roman" w:hAnsi="Times New Roman"/>
        </w:rPr>
        <w:t>Monthly distribution of H</w:t>
      </w:r>
      <w:r>
        <w:rPr>
          <w:rFonts w:ascii="Times New Roman" w:hAnsi="Times New Roman"/>
          <w:vertAlign w:val="subscript"/>
        </w:rPr>
        <w:t>s</w:t>
      </w:r>
      <w:r>
        <w:rPr>
          <w:rFonts w:ascii="Times New Roman" w:hAnsi="Times New Roman"/>
        </w:rPr>
        <w:t xml:space="preserve"> at the three sites (median and 5–95 % range)</w:t>
      </w:r>
    </w:p>
    <w:p>
      <w:pPr>
        <w:pStyle w:val="Heading2"/>
      </w:pPr>
      <w:bookmarkStart w:id="115" w:name="_Toc115"/>
      <w:r>
        <w:rPr>
          <w:rFonts w:ascii="Times New Roman" w:hAnsi="Times New Roman"/>
        </w:rPr>
        <w:t>3.3</w:t>
        <w:tab/>
        <w:t>INCOIS OMNI buoy data</w:t>
      </w:r>
      <w:bookmarkEnd w:id="115"/>
    </w:p>
    <w:p>
      <w:r>
        <w:rPr>
          <w:rFonts w:ascii="Times New Roman" w:hAnsi="Times New Roman"/>
        </w:rPr>
        <w:t>The OMNI buoys measure H</w:t>
      </w:r>
      <w:r>
        <w:rPr>
          <w:rFonts w:ascii="Times New Roman" w:hAnsi="Times New Roman"/>
          <w:vertAlign w:val="subscript"/>
        </w:rPr>
        <w:t>s</w:t>
      </w:r>
      <w:r>
        <w:rPr>
          <w:rFonts w:ascii="Times New Roman" w:hAnsi="Times New Roman"/>
        </w:rPr>
        <w:t>, wave period and direction, wind, pressure, air temperature and SST, typically every hour or three hours. The pipeline includes a reader for INCOIS CSV/TXT exports that maps the varying column headers to canonical names, removes sentinel codes and converts timestamps to UTC, together with range checks, an isolated-spike test and short-gap filling (Section 4.1). The buoy records had not been received when the experiments in this report were run, so ERA5 H</w:t>
      </w:r>
      <w:r>
        <w:rPr>
          <w:rFonts w:ascii="Times New Roman" w:hAnsi="Times New Roman"/>
          <w:vertAlign w:val="subscript"/>
        </w:rPr>
        <w:t>s</w:t>
      </w:r>
      <w:r>
        <w:rPr>
          <w:rFonts w:ascii="Times New Roman" w:hAnsi="Times New Roman"/>
        </w:rPr>
        <w:t xml:space="preserve"> at the buoy positions serves as the forecast target throughout; the buoy data can be substituted without changes to the code.</w:t>
      </w:r>
    </w:p>
    <w:p>
      <w:pPr>
        <w:pStyle w:val="Heading1"/>
      </w:pPr>
      <w:bookmarkStart w:id="116" w:name="_Toc116"/>
      <w:r>
        <w:rPr>
          <w:b/>
          <w:color w:val="444444"/>
          <w:sz w:val="26"/>
        </w:rPr>
        <w:t>CHAPTER 4</w:t>
        <w:br/>
      </w:r>
      <w:r>
        <w:rPr>
          <w:rFonts w:ascii="Times New Roman" w:hAnsi="Times New Roman"/>
        </w:rPr>
        <w:t>Methodology</w:t>
      </w:r>
      <w:bookmarkEnd w:id="116"/>
    </w:p>
    <w:p>
      <w:r>
        <w:rPr>
          <w:rFonts w:ascii="Times New Roman" w:hAnsi="Times New Roman"/>
        </w:rPr>
        <w:t>The methodology is organised in five phases (Figure 4.1): data ingestion and preprocessing, feature engineering and sample generation, baseline and tree-based models, the Seq2Seq LSTM, and evaluation. Every phase is a module of the Python package written for this work, and an automated test suite checks each guardrail described below.</w:t>
      </w:r>
    </w:p>
    <w:p>
      <w:pPr>
        <w:pStyle w:val="Single"/>
        <w:keepNext/>
        <w:spacing w:before="120" w:after="40"/>
        <w:jc w:val="center"/>
      </w:pPr>
      <w:r>
        <w:drawing>
          <wp:inline xmlns:a="http://schemas.openxmlformats.org/drawingml/2006/main" xmlns:pic="http://schemas.openxmlformats.org/drawingml/2006/picture">
            <wp:extent cx="4206240" cy="3570290"/>
            <wp:docPr id="5" name="Picture 5"/>
            <wp:cNvGraphicFramePr>
              <a:graphicFrameLocks noChangeAspect="1"/>
            </wp:cNvGraphicFramePr>
            <a:graphic>
              <a:graphicData uri="http://schemas.openxmlformats.org/drawingml/2006/picture">
                <pic:pic>
                  <pic:nvPicPr>
                    <pic:cNvPr id="0" name="fig_flowchart.png"/>
                    <pic:cNvPicPr/>
                  </pic:nvPicPr>
                  <pic:blipFill>
                    <a:blip r:embed="rId12"/>
                    <a:stretch>
                      <a:fillRect/>
                    </a:stretch>
                  </pic:blipFill>
                  <pic:spPr>
                    <a:xfrm>
                      <a:off x="0" y="0"/>
                      <a:ext cx="4206240" cy="3570290"/>
                    </a:xfrm>
                    <a:prstGeom prst="rect"/>
                  </pic:spPr>
                </pic:pic>
              </a:graphicData>
            </a:graphic>
          </wp:inline>
        </w:drawing>
      </w:r>
    </w:p>
    <w:p>
      <w:pPr>
        <w:pStyle w:val="FigureCaption"/>
      </w:pPr>
      <w:r>
        <w:rPr>
          <w:b/>
        </w:rPr>
        <w:t xml:space="preserve">Figure 4.1: </w:t>
      </w:r>
      <w:r>
        <w:rPr>
          <w:rFonts w:ascii="Times New Roman" w:hAnsi="Times New Roman"/>
        </w:rPr>
        <w:t>Methodology: the five phases of the forecasting framework</w:t>
      </w:r>
    </w:p>
    <w:p>
      <w:pPr>
        <w:pStyle w:val="Heading2"/>
      </w:pPr>
      <w:bookmarkStart w:id="117" w:name="_Toc117"/>
      <w:r>
        <w:rPr>
          <w:rFonts w:ascii="Times New Roman" w:hAnsi="Times New Roman"/>
        </w:rPr>
        <w:t>4.1</w:t>
        <w:tab/>
        <w:t>Phase 1: ingestion, quality control and alignment</w:t>
      </w:r>
      <w:bookmarkEnd w:id="117"/>
    </w:p>
    <w:p>
      <w:pPr>
        <w:pStyle w:val="Heading3"/>
      </w:pPr>
      <w:bookmarkStart w:id="118" w:name="_Toc118"/>
      <w:r>
        <w:rPr>
          <w:rFonts w:ascii="Times New Roman" w:hAnsi="Times New Roman"/>
        </w:rPr>
        <w:t>4.1.1</w:t>
        <w:tab/>
        <w:t>Quality control and regularisation</w:t>
      </w:r>
      <w:bookmarkEnd w:id="118"/>
    </w:p>
    <w:p>
      <w:r>
        <w:rPr>
          <w:rFonts w:ascii="Times New Roman" w:hAnsi="Times New Roman"/>
        </w:rPr>
        <w:t>Values outside physically admissible ranges (for example 0 ≤ H</w:t>
      </w:r>
      <w:r>
        <w:rPr>
          <w:rFonts w:ascii="Times New Roman" w:hAnsi="Times New Roman"/>
          <w:vertAlign w:val="subscript"/>
        </w:rPr>
        <w:t>s</w:t>
      </w:r>
      <w:r>
        <w:rPr>
          <w:rFonts w:ascii="Times New Roman" w:hAnsi="Times New Roman"/>
        </w:rPr>
        <w:t xml:space="preserve"> ≤ 20 m and 870 ≤ p ≤ 1060 hPa) are rejected. Only negative sentinel codes (−999, −99.9, …) are removed as codes, because 999 hPa is a valid pressure inside a cyclone. Sensor records are averaged onto an hourly grid in right-closed bins, (t − 1 h, t] ↦ t, so that a value labelled t never contains later information; directions are averaged as unit vectors. An isolated spike is a sample that departs from both neighbours by more than 1.5 m in the same sense while the neighbours agree within 0.5 m; sustained storm peaks pass this test, unlike a standard-deviation filter, which would clip them.</w:t>
      </w:r>
    </w:p>
    <w:p>
      <w:pPr>
        <w:pStyle w:val="Heading3"/>
      </w:pPr>
      <w:bookmarkStart w:id="119" w:name="_Toc119"/>
      <w:r>
        <w:rPr>
          <w:rFonts w:ascii="Times New Roman" w:hAnsi="Times New Roman"/>
        </w:rPr>
        <w:t>4.1.2</w:t>
        <w:tab/>
        <w:t>Gap filling</w:t>
      </w:r>
      <w:bookmarkEnd w:id="119"/>
    </w:p>
    <w:p>
      <w:r>
        <w:rPr>
          <w:rFonts w:ascii="Times New Roman" w:hAnsi="Times New Roman"/>
        </w:rPr>
        <w:t>Gaps of at most three hours are filled by forward fill, which is causal. Linear, PCHIP and cubic interpolation are available but use the first value after the gap, which would leak up to three hours of future information into the inputs. Filled values are flagged, and a filled value is never used as a training or verification target. Longer gaps are left missing and remove every sample that touches them.</w:t>
      </w:r>
    </w:p>
    <w:p>
      <w:pPr>
        <w:pStyle w:val="Heading3"/>
      </w:pPr>
      <w:bookmarkStart w:id="120" w:name="_Toc120"/>
      <w:r>
        <w:rPr>
          <w:rFonts w:ascii="Times New Roman" w:hAnsi="Times New Roman"/>
        </w:rPr>
        <w:t>4.1.3</w:t>
        <w:tab/>
        <w:t>Spatial alignment</w:t>
      </w:r>
      <w:bookmarkEnd w:id="120"/>
    </w:p>
    <w:p>
      <w:r>
        <w:rPr>
          <w:rFonts w:ascii="Times New Roman" w:hAnsi="Times New Roman"/>
        </w:rPr>
        <w:t>Grid nodes and buoy positions are mapped to Cartesian coordinates on the unit sphere and indexed with a KD-tree. The chord distance c = 2 sin(d/2R) increases monotonically with the great-circle distance:</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4572000" cy="338256"/>
            <wp:docPr id="6" name="Picture 6"/>
            <wp:cNvGraphicFramePr>
              <a:graphicFrameLocks noChangeAspect="1"/>
            </wp:cNvGraphicFramePr>
            <a:graphic>
              <a:graphicData uri="http://schemas.openxmlformats.org/drawingml/2006/picture">
                <pic:pic>
                  <pic:nvPicPr>
                    <pic:cNvPr id="0" name="eq_4_1.png"/>
                    <pic:cNvPicPr/>
                  </pic:nvPicPr>
                  <pic:blipFill>
                    <a:blip r:embed="rId13"/>
                    <a:stretch>
                      <a:fillRect/>
                    </a:stretch>
                  </pic:blipFill>
                  <pic:spPr>
                    <a:xfrm>
                      <a:off x="0" y="0"/>
                      <a:ext cx="4572000" cy="338256"/>
                    </a:xfrm>
                    <a:prstGeom prst="rect"/>
                  </pic:spPr>
                </pic:pic>
              </a:graphicData>
            </a:graphic>
          </wp:inline>
        </w:drawing>
      </w:r>
      <w:r>
        <w:tab/>
        <w:t>(4.1)</w:t>
      </w:r>
    </w:p>
    <w:p>
      <w:r>
        <w:rPr>
          <w:rFonts w:ascii="Times New Roman" w:hAnsi="Times New Roman"/>
        </w:rPr>
        <w:t xml:space="preserve">Hence the KD-tree nearest neighbour is exactly the haversine nearest neighbour. Only </w:t>
      </w:r>
      <w:r>
        <w:rPr>
          <w:rFonts w:ascii="Times New Roman" w:hAnsi="Times New Roman"/>
          <w:i/>
        </w:rPr>
        <w:t>valid</w:t>
      </w:r>
      <w:r>
        <w:rPr>
          <w:rFonts w:ascii="Times New Roman" w:hAnsi="Times New Roman"/>
        </w:rPr>
        <w:t xml:space="preserve"> nodes enter the tree: nodes where any field is undefined (land in the wave grid) are excluded, so a coastal buoy is never matched to a land point. The atmospheric (0.25°) and wave (0.5°) grids are matched separately (Table 3.1).</w:t>
      </w:r>
    </w:p>
    <w:p>
      <w:pPr>
        <w:pStyle w:val="Heading2"/>
      </w:pPr>
      <w:bookmarkStart w:id="121" w:name="_Toc121"/>
      <w:r>
        <w:rPr>
          <w:rFonts w:ascii="Times New Roman" w:hAnsi="Times New Roman"/>
        </w:rPr>
        <w:t>4.2</w:t>
        <w:tab/>
        <w:t>Phase 2: feature engineering</w:t>
      </w:r>
      <w:bookmarkEnd w:id="121"/>
    </w:p>
    <w:p>
      <w:r>
        <w:rPr>
          <w:rFonts w:ascii="Times New Roman" w:hAnsi="Times New Roman"/>
        </w:rPr>
        <w:t>The predictors, summarised in Table 4.1, encode the physics of wave generation.</w:t>
      </w:r>
    </w:p>
    <w:p>
      <w:r>
        <w:rPr>
          <w:rFonts w:ascii="Times New Roman" w:hAnsi="Times New Roman"/>
        </w:rPr>
        <w:t>The surface wind stress and the air density are:</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2679192" cy="283464"/>
            <wp:docPr id="7" name="Picture 7"/>
            <wp:cNvGraphicFramePr>
              <a:graphicFrameLocks noChangeAspect="1"/>
            </wp:cNvGraphicFramePr>
            <a:graphic>
              <a:graphicData uri="http://schemas.openxmlformats.org/drawingml/2006/picture">
                <pic:pic>
                  <pic:nvPicPr>
                    <pic:cNvPr id="0" name="eq_4_2.png"/>
                    <pic:cNvPicPr/>
                  </pic:nvPicPr>
                  <pic:blipFill>
                    <a:blip r:embed="rId14"/>
                    <a:stretch>
                      <a:fillRect/>
                    </a:stretch>
                  </pic:blipFill>
                  <pic:spPr>
                    <a:xfrm>
                      <a:off x="0" y="0"/>
                      <a:ext cx="2679192" cy="283464"/>
                    </a:xfrm>
                    <a:prstGeom prst="rect"/>
                  </pic:spPr>
                </pic:pic>
              </a:graphicData>
            </a:graphic>
          </wp:inline>
        </w:drawing>
      </w:r>
      <w:r>
        <w:tab/>
        <w:t>(4.2)</w:t>
      </w:r>
    </w:p>
    <w:p>
      <w:r>
        <w:rPr>
          <w:rFonts w:ascii="Times New Roman" w:hAnsi="Times New Roman"/>
        </w:rPr>
        <w:t>Here τ is the momentum flux from the wind to the sea surface. The drag coefficient follows Large and Pond [25]:</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4572000" cy="202557"/>
            <wp:docPr id="8" name="Picture 8"/>
            <wp:cNvGraphicFramePr>
              <a:graphicFrameLocks noChangeAspect="1"/>
            </wp:cNvGraphicFramePr>
            <a:graphic>
              <a:graphicData uri="http://schemas.openxmlformats.org/drawingml/2006/picture">
                <pic:pic>
                  <pic:nvPicPr>
                    <pic:cNvPr id="0" name="eq_4_3.png"/>
                    <pic:cNvPicPr/>
                  </pic:nvPicPr>
                  <pic:blipFill>
                    <a:blip r:embed="rId15"/>
                    <a:stretch>
                      <a:fillRect/>
                    </a:stretch>
                  </pic:blipFill>
                  <pic:spPr>
                    <a:xfrm>
                      <a:off x="0" y="0"/>
                      <a:ext cx="4572000" cy="202557"/>
                    </a:xfrm>
                    <a:prstGeom prst="rect"/>
                  </pic:spPr>
                </pic:pic>
              </a:graphicData>
            </a:graphic>
          </wp:inline>
        </w:drawing>
      </w:r>
      <w:r>
        <w:tab/>
        <w:t>(4.3)</w:t>
      </w:r>
    </w:p>
    <w:p>
      <w:r>
        <w:rPr>
          <w:rFonts w:ascii="Times New Roman" w:hAnsi="Times New Roman"/>
        </w:rPr>
        <w:t>Above 25 m/s the coefficient is held at its 25 m/s value, because field measurements in tropical cyclones show C</w:t>
      </w:r>
      <w:r>
        <w:rPr>
          <w:rFonts w:ascii="Times New Roman" w:hAnsi="Times New Roman"/>
          <w:vertAlign w:val="subscript"/>
        </w:rPr>
        <w:t>d</w:t>
      </w:r>
      <w:r>
        <w:rPr>
          <w:rFonts w:ascii="Times New Roman" w:hAnsi="Times New Roman"/>
        </w:rPr>
        <w:t xml:space="preserve"> levelling off at high wind speeds [26]; an alternative scheme after Wu [27] is also implemented. Waves are duration-limited, so the stress is also averaged over the preceding 6, 12 and 24 h. A falling pressure is the earliest sign of an approaching depression, and the air–sea temperature difference measures the stability of the surface layer. Directions are encoded by their sine and cosine to remove the 359° → 0° discontinuity, and raw degree values are excluded from the model inputs. Every feature at time t uses data at times ≤ t only (backward differences, trailing windows); a test confirms that changing future values leaves all earlier features unchanged.</w:t>
      </w:r>
    </w:p>
    <w:p>
      <w:pPr>
        <w:pStyle w:val="TableCaption"/>
      </w:pPr>
      <w:r>
        <w:rPr>
          <w:b/>
        </w:rPr>
        <w:t xml:space="preserve">Table 4.1: </w:t>
      </w:r>
      <w:r>
        <w:rPr>
          <w:rFonts w:ascii="Times New Roman" w:hAnsi="Times New Roman"/>
        </w:rPr>
        <w:t>Engineered features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376"/>
        <w:gridCol w:w="3384"/>
        <w:gridCol w:w="2880"/>
      </w:tblGrid>
      <w:tr>
        <w:trPr>
          <w:cantSplit w:val="true"/>
          <w:tblHeader w:val="true"/>
        </w:trPr>
        <w:tc>
          <w:tcPr>
            <w:tcW w:type="dxa" w:w="2376"/>
            <w:tcBorders>
              <w:bottom w:val="single" w:sz="6" w:color="000000"/>
            </w:tcBorders>
            <w:vAlign w:val="center"/>
          </w:tcPr>
          <w:p>
            <w:pPr>
              <w:pStyle w:val="TableText"/>
            </w:pPr>
            <w:r>
              <w:rPr>
                <w:rFonts w:ascii="Times New Roman" w:hAnsi="Times New Roman"/>
                <w:b/>
              </w:rPr>
              <w:t>Feature</w:t>
            </w:r>
          </w:p>
        </w:tc>
        <w:tc>
          <w:tcPr>
            <w:tcW w:type="dxa" w:w="3384"/>
            <w:tcBorders>
              <w:bottom w:val="single" w:sz="6" w:color="000000"/>
            </w:tcBorders>
            <w:vAlign w:val="center"/>
          </w:tcPr>
          <w:p>
            <w:pPr>
              <w:pStyle w:val="TableText"/>
            </w:pPr>
            <w:r>
              <w:rPr>
                <w:rFonts w:ascii="Times New Roman" w:hAnsi="Times New Roman"/>
                <w:b/>
              </w:rPr>
              <w:t>Definition</w:t>
            </w:r>
          </w:p>
        </w:tc>
        <w:tc>
          <w:tcPr>
            <w:tcW w:type="dxa" w:w="2880"/>
            <w:tcBorders>
              <w:bottom w:val="single" w:sz="6" w:color="000000"/>
            </w:tcBorders>
            <w:vAlign w:val="center"/>
          </w:tcPr>
          <w:p>
            <w:pPr>
              <w:pStyle w:val="TableText"/>
            </w:pPr>
            <w:r>
              <w:rPr>
                <w:rFonts w:ascii="Times New Roman" w:hAnsi="Times New Roman"/>
                <w:b/>
              </w:rPr>
              <w:t>Physical rationale</w:t>
            </w:r>
          </w:p>
        </w:tc>
      </w:tr>
      <w:tr>
        <w:trPr>
          <w:cantSplit w:val="true"/>
        </w:trPr>
        <w:tc>
          <w:tcPr>
            <w:tcW w:type="dxa" w:w="2376"/>
            <w:vAlign w:val="center"/>
          </w:tcPr>
          <w:p>
            <w:pPr>
              <w:pStyle w:val="TableText"/>
            </w:pPr>
            <w:r>
              <w:rPr>
                <w:rFonts w:ascii="Times New Roman" w:hAnsi="Times New Roman"/>
              </w:rPr>
              <w:t>Wind speed U</w:t>
            </w:r>
            <w:r>
              <w:rPr>
                <w:rFonts w:ascii="Times New Roman" w:hAnsi="Times New Roman"/>
                <w:vertAlign w:val="subscript"/>
              </w:rPr>
              <w:t>10</w:t>
            </w:r>
          </w:p>
        </w:tc>
        <w:tc>
          <w:tcPr>
            <w:tcW w:type="dxa" w:w="3384"/>
            <w:vAlign w:val="center"/>
          </w:tcPr>
          <w:p>
            <w:pPr>
              <w:pStyle w:val="TableText"/>
            </w:pPr>
            <w:r>
              <w:rPr>
                <w:rFonts w:ascii="Times New Roman" w:hAnsi="Times New Roman"/>
              </w:rPr>
              <w:t>√(u</w:t>
            </w:r>
            <w:r>
              <w:rPr>
                <w:rFonts w:ascii="Times New Roman" w:hAnsi="Times New Roman"/>
                <w:vertAlign w:val="subscript"/>
              </w:rPr>
              <w:t>10</w:t>
            </w:r>
            <w:r>
              <w:rPr>
                <w:rFonts w:ascii="Times New Roman" w:hAnsi="Times New Roman"/>
              </w:rPr>
              <w:t>² + v</w:t>
            </w:r>
            <w:r>
              <w:rPr>
                <w:rFonts w:ascii="Times New Roman" w:hAnsi="Times New Roman"/>
                <w:vertAlign w:val="subscript"/>
              </w:rPr>
              <w:t>10</w:t>
            </w:r>
            <w:r>
              <w:rPr>
                <w:rFonts w:ascii="Times New Roman" w:hAnsi="Times New Roman"/>
              </w:rPr>
              <w:t>²)</w:t>
            </w:r>
          </w:p>
        </w:tc>
        <w:tc>
          <w:tcPr>
            <w:tcW w:type="dxa" w:w="2880"/>
            <w:vAlign w:val="center"/>
          </w:tcPr>
          <w:p>
            <w:pPr>
              <w:pStyle w:val="TableText"/>
            </w:pPr>
            <w:r>
              <w:rPr>
                <w:rFonts w:ascii="Times New Roman" w:hAnsi="Times New Roman"/>
              </w:rPr>
              <w:t>Forcing of wind-sea growth</w:t>
            </w:r>
          </w:p>
        </w:tc>
      </w:tr>
      <w:tr>
        <w:trPr>
          <w:cantSplit w:val="true"/>
        </w:trPr>
        <w:tc>
          <w:tcPr>
            <w:tcW w:type="dxa" w:w="2376"/>
            <w:vAlign w:val="center"/>
          </w:tcPr>
          <w:p>
            <w:pPr>
              <w:pStyle w:val="TableText"/>
            </w:pPr>
            <w:r>
              <w:rPr>
                <w:rFonts w:ascii="Times New Roman" w:hAnsi="Times New Roman"/>
              </w:rPr>
              <w:t>Wind direction θ</w:t>
            </w:r>
            <w:r>
              <w:rPr>
                <w:rFonts w:ascii="Times New Roman" w:hAnsi="Times New Roman"/>
                <w:vertAlign w:val="subscript"/>
              </w:rPr>
              <w:t>U</w:t>
            </w:r>
          </w:p>
        </w:tc>
        <w:tc>
          <w:tcPr>
            <w:tcW w:type="dxa" w:w="3384"/>
            <w:vAlign w:val="center"/>
          </w:tcPr>
          <w:p>
            <w:pPr>
              <w:pStyle w:val="TableText"/>
            </w:pPr>
            <w:r>
              <w:rPr>
                <w:rFonts w:ascii="Times New Roman" w:hAnsi="Times New Roman"/>
              </w:rPr>
              <w:t>atan2(−u, −v) mod 360°</w:t>
            </w:r>
          </w:p>
        </w:tc>
        <w:tc>
          <w:tcPr>
            <w:tcW w:type="dxa" w:w="2880"/>
            <w:vAlign w:val="center"/>
          </w:tcPr>
          <w:p>
            <w:pPr>
              <w:pStyle w:val="TableText"/>
            </w:pPr>
            <w:r>
              <w:rPr>
                <w:rFonts w:ascii="Times New Roman" w:hAnsi="Times New Roman"/>
              </w:rPr>
              <w:t>Same convention as θ</w:t>
            </w:r>
            <w:r>
              <w:rPr>
                <w:rFonts w:ascii="Times New Roman" w:hAnsi="Times New Roman"/>
                <w:vertAlign w:val="subscript"/>
              </w:rPr>
              <w:t>w</w:t>
            </w:r>
          </w:p>
        </w:tc>
      </w:tr>
      <w:tr>
        <w:trPr>
          <w:cantSplit w:val="true"/>
        </w:trPr>
        <w:tc>
          <w:tcPr>
            <w:tcW w:type="dxa" w:w="2376"/>
            <w:vAlign w:val="center"/>
          </w:tcPr>
          <w:p>
            <w:pPr>
              <w:pStyle w:val="TableText"/>
            </w:pPr>
            <w:r>
              <w:rPr>
                <w:rFonts w:ascii="Times New Roman" w:hAnsi="Times New Roman"/>
              </w:rPr>
              <w:t>Air density ρ</w:t>
            </w:r>
            <w:r>
              <w:rPr>
                <w:rFonts w:ascii="Times New Roman" w:hAnsi="Times New Roman"/>
                <w:vertAlign w:val="subscript"/>
              </w:rPr>
              <w:t>a</w:t>
            </w:r>
          </w:p>
        </w:tc>
        <w:tc>
          <w:tcPr>
            <w:tcW w:type="dxa" w:w="3384"/>
            <w:vAlign w:val="center"/>
          </w:tcPr>
          <w:p>
            <w:pPr>
              <w:pStyle w:val="TableText"/>
            </w:pPr>
            <w:r>
              <w:rPr>
                <w:rFonts w:ascii="Times New Roman" w:hAnsi="Times New Roman"/>
              </w:rPr>
              <w:t>p / (R</w:t>
            </w:r>
            <w:r>
              <w:rPr>
                <w:rFonts w:ascii="Times New Roman" w:hAnsi="Times New Roman"/>
                <w:vertAlign w:val="subscript"/>
              </w:rPr>
              <w:t>d</w:t>
            </w:r>
            <w:r>
              <w:rPr>
                <w:rFonts w:ascii="Times New Roman" w:hAnsi="Times New Roman"/>
              </w:rPr>
              <w:t xml:space="preserve"> T)</w:t>
            </w:r>
          </w:p>
        </w:tc>
        <w:tc>
          <w:tcPr>
            <w:tcW w:type="dxa" w:w="2880"/>
            <w:vAlign w:val="center"/>
          </w:tcPr>
          <w:p>
            <w:pPr>
              <w:pStyle w:val="TableText"/>
            </w:pPr>
            <w:r>
              <w:rPr>
                <w:rFonts w:ascii="Times New Roman" w:hAnsi="Times New Roman"/>
              </w:rPr>
              <w:t>Scales the momentum flux</w:t>
            </w:r>
          </w:p>
        </w:tc>
      </w:tr>
      <w:tr>
        <w:trPr>
          <w:cantSplit w:val="true"/>
        </w:trPr>
        <w:tc>
          <w:tcPr>
            <w:tcW w:type="dxa" w:w="2376"/>
            <w:vAlign w:val="center"/>
          </w:tcPr>
          <w:p>
            <w:pPr>
              <w:pStyle w:val="TableText"/>
            </w:pPr>
            <w:r>
              <w:rPr>
                <w:rFonts w:ascii="Times New Roman" w:hAnsi="Times New Roman"/>
              </w:rPr>
              <w:t>Wind stress τ</w:t>
            </w:r>
          </w:p>
        </w:tc>
        <w:tc>
          <w:tcPr>
            <w:tcW w:type="dxa" w:w="3384"/>
            <w:vAlign w:val="center"/>
          </w:tcPr>
          <w:p>
            <w:pPr>
              <w:pStyle w:val="TableText"/>
            </w:pPr>
            <w:r>
              <w:rPr>
                <w:rFonts w:ascii="Times New Roman" w:hAnsi="Times New Roman"/>
              </w:rPr>
              <w:t>ρ</w:t>
            </w:r>
            <w:r>
              <w:rPr>
                <w:rFonts w:ascii="Times New Roman" w:hAnsi="Times New Roman"/>
                <w:vertAlign w:val="subscript"/>
              </w:rPr>
              <w:t>a</w:t>
            </w:r>
            <w:r>
              <w:rPr>
                <w:rFonts w:ascii="Times New Roman" w:hAnsi="Times New Roman"/>
              </w:rPr>
              <w:t xml:space="preserve"> C</w:t>
            </w:r>
            <w:r>
              <w:rPr>
                <w:rFonts w:ascii="Times New Roman" w:hAnsi="Times New Roman"/>
                <w:vertAlign w:val="subscript"/>
              </w:rPr>
              <w:t>d</w:t>
            </w:r>
            <w:r>
              <w:rPr>
                <w:rFonts w:ascii="Times New Roman" w:hAnsi="Times New Roman"/>
              </w:rPr>
              <w:t xml:space="preserve"> |U| (u, v)</w:t>
            </w:r>
          </w:p>
        </w:tc>
        <w:tc>
          <w:tcPr>
            <w:tcW w:type="dxa" w:w="2880"/>
            <w:vAlign w:val="center"/>
          </w:tcPr>
          <w:p>
            <w:pPr>
              <w:pStyle w:val="TableText"/>
            </w:pPr>
            <w:r>
              <w:rPr>
                <w:rFonts w:ascii="Times New Roman" w:hAnsi="Times New Roman"/>
              </w:rPr>
              <w:t>Momentum input to waves</w:t>
            </w:r>
          </w:p>
        </w:tc>
      </w:tr>
      <w:tr>
        <w:trPr>
          <w:cantSplit w:val="true"/>
        </w:trPr>
        <w:tc>
          <w:tcPr>
            <w:tcW w:type="dxa" w:w="2376"/>
            <w:vAlign w:val="center"/>
          </w:tcPr>
          <w:p>
            <w:pPr>
              <w:pStyle w:val="TableText"/>
            </w:pPr>
            <w:r>
              <w:rPr>
                <w:rFonts w:ascii="Times New Roman" w:hAnsi="Times New Roman"/>
              </w:rPr>
              <w:t>Stress history</w:t>
            </w:r>
          </w:p>
        </w:tc>
        <w:tc>
          <w:tcPr>
            <w:tcW w:type="dxa" w:w="3384"/>
            <w:vAlign w:val="center"/>
          </w:tcPr>
          <w:p>
            <w:pPr>
              <w:pStyle w:val="TableText"/>
            </w:pPr>
            <w:r>
              <w:rPr>
                <w:rFonts w:ascii="Times New Roman" w:hAnsi="Times New Roman"/>
              </w:rPr>
              <w:t>mean τ, max U</w:t>
            </w:r>
            <w:r>
              <w:rPr>
                <w:rFonts w:ascii="Times New Roman" w:hAnsi="Times New Roman"/>
                <w:vertAlign w:val="subscript"/>
              </w:rPr>
              <w:t>10</w:t>
            </w:r>
            <w:r>
              <w:rPr>
                <w:rFonts w:ascii="Times New Roman" w:hAnsi="Times New Roman"/>
              </w:rPr>
              <w:t xml:space="preserve"> over 6–24 h</w:t>
            </w:r>
          </w:p>
        </w:tc>
        <w:tc>
          <w:tcPr>
            <w:tcW w:type="dxa" w:w="2880"/>
            <w:vAlign w:val="center"/>
          </w:tcPr>
          <w:p>
            <w:pPr>
              <w:pStyle w:val="TableText"/>
            </w:pPr>
            <w:r>
              <w:rPr>
                <w:rFonts w:ascii="Times New Roman" w:hAnsi="Times New Roman"/>
              </w:rPr>
              <w:t>Duration-limited growth</w:t>
            </w:r>
          </w:p>
        </w:tc>
      </w:tr>
      <w:tr>
        <w:trPr>
          <w:cantSplit w:val="true"/>
        </w:trPr>
        <w:tc>
          <w:tcPr>
            <w:tcW w:type="dxa" w:w="2376"/>
            <w:vAlign w:val="center"/>
          </w:tcPr>
          <w:p>
            <w:pPr>
              <w:pStyle w:val="TableText"/>
            </w:pPr>
            <w:r>
              <w:rPr>
                <w:rFonts w:ascii="Times New Roman" w:hAnsi="Times New Roman"/>
              </w:rPr>
              <w:t>Pressure tendency</w:t>
            </w:r>
          </w:p>
        </w:tc>
        <w:tc>
          <w:tcPr>
            <w:tcW w:type="dxa" w:w="3384"/>
            <w:vAlign w:val="center"/>
          </w:tcPr>
          <w:p>
            <w:pPr>
              <w:pStyle w:val="TableText"/>
            </w:pPr>
            <w:r>
              <w:rPr>
                <w:rFonts w:ascii="Times New Roman" w:hAnsi="Times New Roman"/>
              </w:rPr>
              <w:t>p(t) − p(t − h), h = 3–24 h</w:t>
            </w:r>
          </w:p>
        </w:tc>
        <w:tc>
          <w:tcPr>
            <w:tcW w:type="dxa" w:w="2880"/>
            <w:vAlign w:val="center"/>
          </w:tcPr>
          <w:p>
            <w:pPr>
              <w:pStyle w:val="TableText"/>
            </w:pPr>
            <w:r>
              <w:rPr>
                <w:rFonts w:ascii="Times New Roman" w:hAnsi="Times New Roman"/>
              </w:rPr>
              <w:t>Approaching depression</w:t>
            </w:r>
          </w:p>
        </w:tc>
      </w:tr>
      <w:tr>
        <w:trPr>
          <w:cantSplit w:val="true"/>
        </w:trPr>
        <w:tc>
          <w:tcPr>
            <w:tcW w:type="dxa" w:w="2376"/>
            <w:vAlign w:val="center"/>
          </w:tcPr>
          <w:p>
            <w:pPr>
              <w:pStyle w:val="TableText"/>
            </w:pPr>
            <w:r>
              <w:rPr>
                <w:rFonts w:ascii="Times New Roman" w:hAnsi="Times New Roman"/>
              </w:rPr>
              <w:t>Pressure anomaly</w:t>
            </w:r>
          </w:p>
        </w:tc>
        <w:tc>
          <w:tcPr>
            <w:tcW w:type="dxa" w:w="3384"/>
            <w:vAlign w:val="center"/>
          </w:tcPr>
          <w:p>
            <w:pPr>
              <w:pStyle w:val="TableText"/>
            </w:pPr>
            <w:r>
              <w:rPr>
                <w:rFonts w:ascii="Times New Roman" w:hAnsi="Times New Roman"/>
              </w:rPr>
              <w:t>p − 30-day trailing mean</w:t>
            </w:r>
          </w:p>
        </w:tc>
        <w:tc>
          <w:tcPr>
            <w:tcW w:type="dxa" w:w="2880"/>
            <w:vAlign w:val="center"/>
          </w:tcPr>
          <w:p>
            <w:pPr>
              <w:pStyle w:val="TableText"/>
            </w:pPr>
            <w:r>
              <w:rPr>
                <w:rFonts w:ascii="Times New Roman" w:hAnsi="Times New Roman"/>
              </w:rPr>
              <w:t>Synoptic signal</w:t>
            </w:r>
          </w:p>
        </w:tc>
      </w:tr>
      <w:tr>
        <w:trPr>
          <w:cantSplit w:val="true"/>
        </w:trPr>
        <w:tc>
          <w:tcPr>
            <w:tcW w:type="dxa" w:w="2376"/>
            <w:vAlign w:val="center"/>
          </w:tcPr>
          <w:p>
            <w:pPr>
              <w:pStyle w:val="TableText"/>
            </w:pPr>
            <w:r>
              <w:rPr>
                <w:rFonts w:ascii="Times New Roman" w:hAnsi="Times New Roman"/>
              </w:rPr>
              <w:t>Air–sea ΔT</w:t>
            </w:r>
          </w:p>
        </w:tc>
        <w:tc>
          <w:tcPr>
            <w:tcW w:type="dxa" w:w="3384"/>
            <w:vAlign w:val="center"/>
          </w:tcPr>
          <w:p>
            <w:pPr>
              <w:pStyle w:val="TableText"/>
            </w:pPr>
            <w:r>
              <w:rPr>
                <w:rFonts w:ascii="Times New Roman" w:hAnsi="Times New Roman"/>
              </w:rPr>
              <w:t>T</w:t>
            </w:r>
            <w:r>
              <w:rPr>
                <w:rFonts w:ascii="Times New Roman" w:hAnsi="Times New Roman"/>
                <w:vertAlign w:val="subscript"/>
              </w:rPr>
              <w:t>2m</w:t>
            </w:r>
            <w:r>
              <w:rPr>
                <w:rFonts w:ascii="Times New Roman" w:hAnsi="Times New Roman"/>
              </w:rPr>
              <w:t xml:space="preserve"> − SST</w:t>
            </w:r>
          </w:p>
        </w:tc>
        <w:tc>
          <w:tcPr>
            <w:tcW w:type="dxa" w:w="2880"/>
            <w:vAlign w:val="center"/>
          </w:tcPr>
          <w:p>
            <w:pPr>
              <w:pStyle w:val="TableText"/>
            </w:pPr>
            <w:r>
              <w:rPr>
                <w:rFonts w:ascii="Times New Roman" w:hAnsi="Times New Roman"/>
              </w:rPr>
              <w:t>Surface-layer stability</w:t>
            </w:r>
          </w:p>
        </w:tc>
      </w:tr>
      <w:tr>
        <w:trPr>
          <w:cantSplit w:val="true"/>
        </w:trPr>
        <w:tc>
          <w:tcPr>
            <w:tcW w:type="dxa" w:w="2376"/>
            <w:vAlign w:val="center"/>
          </w:tcPr>
          <w:p>
            <w:pPr>
              <w:pStyle w:val="TableText"/>
            </w:pPr>
            <w:r>
              <w:rPr>
                <w:rFonts w:ascii="Times New Roman" w:hAnsi="Times New Roman"/>
              </w:rPr>
              <w:t>Direction encodings</w:t>
            </w:r>
          </w:p>
        </w:tc>
        <w:tc>
          <w:tcPr>
            <w:tcW w:type="dxa" w:w="3384"/>
            <w:vAlign w:val="center"/>
          </w:tcPr>
          <w:p>
            <w:pPr>
              <w:pStyle w:val="TableText"/>
            </w:pPr>
            <w:r>
              <w:rPr>
                <w:rFonts w:ascii="Times New Roman" w:hAnsi="Times New Roman"/>
              </w:rPr>
              <w:t>sin θ, cos θ (θ</w:t>
            </w:r>
            <w:r>
              <w:rPr>
                <w:rFonts w:ascii="Times New Roman" w:hAnsi="Times New Roman"/>
                <w:vertAlign w:val="subscript"/>
              </w:rPr>
              <w:t>w</w:t>
            </w:r>
            <w:r>
              <w:rPr>
                <w:rFonts w:ascii="Times New Roman" w:hAnsi="Times New Roman"/>
              </w:rPr>
              <w:t>, θ</w:t>
            </w:r>
            <w:r>
              <w:rPr>
                <w:rFonts w:ascii="Times New Roman" w:hAnsi="Times New Roman"/>
                <w:vertAlign w:val="subscript"/>
              </w:rPr>
              <w:t>U</w:t>
            </w:r>
            <w:r>
              <w:rPr>
                <w:rFonts w:ascii="Times New Roman" w:hAnsi="Times New Roman"/>
              </w:rPr>
              <w:t>)</w:t>
            </w:r>
          </w:p>
        </w:tc>
        <w:tc>
          <w:tcPr>
            <w:tcW w:type="dxa" w:w="2880"/>
            <w:vAlign w:val="center"/>
          </w:tcPr>
          <w:p>
            <w:pPr>
              <w:pStyle w:val="TableText"/>
            </w:pPr>
            <w:r>
              <w:rPr>
                <w:rFonts w:ascii="Times New Roman" w:hAnsi="Times New Roman"/>
              </w:rPr>
              <w:t>No 359° → 0° jump</w:t>
            </w:r>
          </w:p>
        </w:tc>
      </w:tr>
      <w:tr>
        <w:trPr>
          <w:cantSplit w:val="true"/>
        </w:trPr>
        <w:tc>
          <w:tcPr>
            <w:tcW w:type="dxa" w:w="2376"/>
            <w:vAlign w:val="center"/>
          </w:tcPr>
          <w:p>
            <w:pPr>
              <w:pStyle w:val="TableText"/>
            </w:pPr>
            <w:r>
              <w:rPr>
                <w:rFonts w:ascii="Times New Roman" w:hAnsi="Times New Roman"/>
              </w:rPr>
              <w:t>Wind–wave alignment</w:t>
            </w:r>
          </w:p>
        </w:tc>
        <w:tc>
          <w:tcPr>
            <w:tcW w:type="dxa" w:w="3384"/>
            <w:vAlign w:val="center"/>
          </w:tcPr>
          <w:p>
            <w:pPr>
              <w:pStyle w:val="TableText"/>
            </w:pPr>
            <w:r>
              <w:rPr>
                <w:rFonts w:ascii="Times New Roman" w:hAnsi="Times New Roman"/>
              </w:rPr>
              <w:t>cos(θ</w:t>
            </w:r>
            <w:r>
              <w:rPr>
                <w:rFonts w:ascii="Times New Roman" w:hAnsi="Times New Roman"/>
                <w:vertAlign w:val="subscript"/>
              </w:rPr>
              <w:t>U</w:t>
            </w:r>
            <w:r>
              <w:rPr>
                <w:rFonts w:ascii="Times New Roman" w:hAnsi="Times New Roman"/>
              </w:rPr>
              <w:t xml:space="preserve"> − θ</w:t>
            </w:r>
            <w:r>
              <w:rPr>
                <w:rFonts w:ascii="Times New Roman" w:hAnsi="Times New Roman"/>
                <w:vertAlign w:val="subscript"/>
              </w:rPr>
              <w:t>w</w:t>
            </w:r>
            <w:r>
              <w:rPr>
                <w:rFonts w:ascii="Times New Roman" w:hAnsi="Times New Roman"/>
              </w:rPr>
              <w:t>)</w:t>
            </w:r>
          </w:p>
        </w:tc>
        <w:tc>
          <w:tcPr>
            <w:tcW w:type="dxa" w:w="2880"/>
            <w:vAlign w:val="center"/>
          </w:tcPr>
          <w:p>
            <w:pPr>
              <w:pStyle w:val="TableText"/>
            </w:pPr>
            <w:r>
              <w:rPr>
                <w:rFonts w:ascii="Times New Roman" w:hAnsi="Times New Roman"/>
              </w:rPr>
              <w:t>Wind sea vs. crossing swell</w:t>
            </w:r>
          </w:p>
        </w:tc>
      </w:tr>
      <w:tr>
        <w:trPr>
          <w:cantSplit w:val="true"/>
        </w:trPr>
        <w:tc>
          <w:tcPr>
            <w:tcW w:type="dxa" w:w="2376"/>
            <w:vAlign w:val="center"/>
          </w:tcPr>
          <w:p>
            <w:pPr>
              <w:pStyle w:val="TableText"/>
            </w:pPr>
            <w:r>
              <w:rPr>
                <w:rFonts w:ascii="Times New Roman" w:hAnsi="Times New Roman"/>
              </w:rPr>
              <w:t>Wave steepness</w:t>
            </w:r>
          </w:p>
        </w:tc>
        <w:tc>
          <w:tcPr>
            <w:tcW w:type="dxa" w:w="3384"/>
            <w:vAlign w:val="center"/>
          </w:tcPr>
          <w:p>
            <w:pPr>
              <w:pStyle w:val="TableText"/>
            </w:pPr>
            <w:r>
              <w:rPr>
                <w:rFonts w:ascii="Times New Roman" w:hAnsi="Times New Roman"/>
              </w:rPr>
              <w:t>H</w:t>
            </w:r>
            <w:r>
              <w:rPr>
                <w:rFonts w:ascii="Times New Roman" w:hAnsi="Times New Roman"/>
                <w:vertAlign w:val="subscript"/>
              </w:rPr>
              <w:t>s</w:t>
            </w:r>
            <w:r>
              <w:rPr>
                <w:rFonts w:ascii="Times New Roman" w:hAnsi="Times New Roman"/>
              </w:rPr>
              <w:t xml:space="preserve"> / L</w:t>
            </w:r>
            <w:r>
              <w:rPr>
                <w:rFonts w:ascii="Times New Roman" w:hAnsi="Times New Roman"/>
                <w:vertAlign w:val="subscript"/>
              </w:rPr>
              <w:t>0</w:t>
            </w:r>
            <w:r>
              <w:rPr>
                <w:rFonts w:ascii="Times New Roman" w:hAnsi="Times New Roman"/>
              </w:rPr>
              <w:t>, L</w:t>
            </w:r>
            <w:r>
              <w:rPr>
                <w:rFonts w:ascii="Times New Roman" w:hAnsi="Times New Roman"/>
                <w:vertAlign w:val="subscript"/>
              </w:rPr>
              <w:t>0</w:t>
            </w:r>
            <w:r>
              <w:rPr>
                <w:rFonts w:ascii="Times New Roman" w:hAnsi="Times New Roman"/>
              </w:rPr>
              <w:t xml:space="preserve"> = gT</w:t>
            </w:r>
            <w:r>
              <w:rPr>
                <w:rFonts w:ascii="Times New Roman" w:hAnsi="Times New Roman"/>
                <w:vertAlign w:val="subscript"/>
              </w:rPr>
              <w:t>m</w:t>
            </w:r>
            <w:r>
              <w:rPr>
                <w:rFonts w:ascii="Times New Roman" w:hAnsi="Times New Roman"/>
              </w:rPr>
              <w:t>²/2π</w:t>
            </w:r>
          </w:p>
        </w:tc>
        <w:tc>
          <w:tcPr>
            <w:tcW w:type="dxa" w:w="2880"/>
            <w:vAlign w:val="center"/>
          </w:tcPr>
          <w:p>
            <w:pPr>
              <w:pStyle w:val="TableText"/>
            </w:pPr>
            <w:r>
              <w:rPr>
                <w:rFonts w:ascii="Times New Roman" w:hAnsi="Times New Roman"/>
              </w:rPr>
              <w:t>Wind sea vs. swell</w:t>
            </w:r>
          </w:p>
        </w:tc>
      </w:tr>
      <w:tr>
        <w:trPr>
          <w:cantSplit w:val="true"/>
        </w:trPr>
        <w:tc>
          <w:tcPr>
            <w:tcW w:type="dxa" w:w="2376"/>
            <w:vAlign w:val="center"/>
          </w:tcPr>
          <w:p>
            <w:pPr>
              <w:pStyle w:val="TableText"/>
            </w:pPr>
            <w:r>
              <w:rPr>
                <w:rFonts w:ascii="Times New Roman" w:hAnsi="Times New Roman"/>
              </w:rPr>
              <w:t>H</w:t>
            </w:r>
            <w:r>
              <w:rPr>
                <w:rFonts w:ascii="Times New Roman" w:hAnsi="Times New Roman"/>
                <w:vertAlign w:val="subscript"/>
              </w:rPr>
              <w:t>s</w:t>
            </w:r>
            <w:r>
              <w:rPr>
                <w:rFonts w:ascii="Times New Roman" w:hAnsi="Times New Roman"/>
              </w:rPr>
              <w:t xml:space="preserve"> tendency</w:t>
            </w:r>
          </w:p>
        </w:tc>
        <w:tc>
          <w:tcPr>
            <w:tcW w:type="dxa" w:w="3384"/>
            <w:vAlign w:val="center"/>
          </w:tcPr>
          <w:p>
            <w:pPr>
              <w:pStyle w:val="TableText"/>
            </w:pPr>
            <w:r>
              <w:rPr>
                <w:rFonts w:ascii="Times New Roman" w:hAnsi="Times New Roman"/>
              </w:rPr>
              <w:t>H</w:t>
            </w:r>
            <w:r>
              <w:rPr>
                <w:rFonts w:ascii="Times New Roman" w:hAnsi="Times New Roman"/>
                <w:vertAlign w:val="subscript"/>
              </w:rPr>
              <w:t>s</w:t>
            </w:r>
            <w:r>
              <w:rPr>
                <w:rFonts w:ascii="Times New Roman" w:hAnsi="Times New Roman"/>
              </w:rPr>
              <w:t>(t) − H</w:t>
            </w:r>
            <w:r>
              <w:rPr>
                <w:rFonts w:ascii="Times New Roman" w:hAnsi="Times New Roman"/>
                <w:vertAlign w:val="subscript"/>
              </w:rPr>
              <w:t>s</w:t>
            </w:r>
            <w:r>
              <w:rPr>
                <w:rFonts w:ascii="Times New Roman" w:hAnsi="Times New Roman"/>
              </w:rPr>
              <w:t>(t − h), h = 3–12 h</w:t>
            </w:r>
          </w:p>
        </w:tc>
        <w:tc>
          <w:tcPr>
            <w:tcW w:type="dxa" w:w="2880"/>
            <w:vAlign w:val="center"/>
          </w:tcPr>
          <w:p>
            <w:pPr>
              <w:pStyle w:val="TableText"/>
            </w:pPr>
            <w:r>
              <w:rPr>
                <w:rFonts w:ascii="Times New Roman" w:hAnsi="Times New Roman"/>
              </w:rPr>
              <w:t>Growth or decay phase</w:t>
            </w:r>
          </w:p>
        </w:tc>
      </w:tr>
      <w:tr>
        <w:trPr>
          <w:cantSplit w:val="true"/>
        </w:trPr>
        <w:tc>
          <w:tcPr>
            <w:tcW w:type="dxa" w:w="2376"/>
            <w:vAlign w:val="center"/>
          </w:tcPr>
          <w:p>
            <w:pPr>
              <w:pStyle w:val="TableText"/>
            </w:pPr>
            <w:r>
              <w:rPr>
                <w:rFonts w:ascii="Times New Roman" w:hAnsi="Times New Roman"/>
              </w:rPr>
              <w:t>Seasonal phase</w:t>
            </w:r>
          </w:p>
        </w:tc>
        <w:tc>
          <w:tcPr>
            <w:tcW w:type="dxa" w:w="3384"/>
            <w:vAlign w:val="center"/>
          </w:tcPr>
          <w:p>
            <w:pPr>
              <w:pStyle w:val="TableText"/>
            </w:pPr>
            <w:r>
              <w:rPr>
                <w:rFonts w:ascii="Times New Roman" w:hAnsi="Times New Roman"/>
              </w:rPr>
              <w:t>sin, cos of 2π·doy/365.25</w:t>
            </w:r>
          </w:p>
        </w:tc>
        <w:tc>
          <w:tcPr>
            <w:tcW w:type="dxa" w:w="2880"/>
            <w:vAlign w:val="center"/>
          </w:tcPr>
          <w:p>
            <w:pPr>
              <w:pStyle w:val="TableText"/>
            </w:pPr>
            <w:r>
              <w:rPr>
                <w:rFonts w:ascii="Times New Roman" w:hAnsi="Times New Roman"/>
              </w:rPr>
              <w:t>Monsoon cycle</w:t>
            </w:r>
          </w:p>
        </w:tc>
      </w:tr>
    </w:tbl>
    <w:p>
      <w:pPr>
        <w:pStyle w:val="Single"/>
        <w:spacing w:after="200" w:line="40" w:lineRule="exact"/>
      </w:pPr>
    </w:p>
    <w:p>
      <w:pPr>
        <w:pStyle w:val="Heading2"/>
      </w:pPr>
      <w:bookmarkStart w:id="122" w:name="_Toc122"/>
      <w:r>
        <w:rPr>
          <w:rFonts w:ascii="Times New Roman" w:hAnsi="Times New Roman"/>
        </w:rPr>
        <w:t>4.3</w:t>
        <w:tab/>
        <w:t>Forecasting strategy and sample generation</w:t>
      </w:r>
      <w:bookmarkEnd w:id="122"/>
    </w:p>
    <w:p>
      <w:r>
        <w:rPr>
          <w:rFonts w:ascii="Times New Roman" w:hAnsi="Times New Roman"/>
        </w:rPr>
        <w:t>For a forecast origin t, look-back L = 72 h and horizons h ∈ {6, 12, 24, 48, 72} h, a sample is:</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4572000" cy="173746"/>
            <wp:docPr id="9" name="Picture 9"/>
            <wp:cNvGraphicFramePr>
              <a:graphicFrameLocks noChangeAspect="1"/>
            </wp:cNvGraphicFramePr>
            <a:graphic>
              <a:graphicData uri="http://schemas.openxmlformats.org/drawingml/2006/picture">
                <pic:pic>
                  <pic:nvPicPr>
                    <pic:cNvPr id="0" name="eq_4_4.png"/>
                    <pic:cNvPicPr/>
                  </pic:nvPicPr>
                  <pic:blipFill>
                    <a:blip r:embed="rId16"/>
                    <a:stretch>
                      <a:fillRect/>
                    </a:stretch>
                  </pic:blipFill>
                  <pic:spPr>
                    <a:xfrm>
                      <a:off x="0" y="0"/>
                      <a:ext cx="4572000" cy="173746"/>
                    </a:xfrm>
                    <a:prstGeom prst="rect"/>
                  </pic:spPr>
                </pic:pic>
              </a:graphicData>
            </a:graphic>
          </wp:inline>
        </w:drawing>
      </w:r>
      <w:r>
        <w:tab/>
        <w:t>(4.4)</w:t>
      </w:r>
    </w:p>
    <w:p>
      <w:r>
        <w:rPr>
          <w:rFonts w:ascii="Times New Roman" w:hAnsi="Times New Roman"/>
        </w:rPr>
        <w:t>Each horizon is a target of its own (direct multi-step), so no forecast is ever fed back as an input. The tree models receive a flat layout of lags H</w:t>
      </w:r>
      <w:r>
        <w:rPr>
          <w:rFonts w:ascii="Times New Roman" w:hAnsi="Times New Roman"/>
          <w:vertAlign w:val="subscript"/>
        </w:rPr>
        <w:t>s</w:t>
      </w:r>
      <w:r>
        <w:rPr>
          <w:rFonts w:ascii="Times New Roman" w:hAnsi="Times New Roman"/>
        </w:rPr>
        <w:t>(t − k), k ∈ {0, 1, 2, 3, 6, 9, 12, 18, 24, 36, 48, 72} h, of H</w:t>
      </w:r>
      <w:r>
        <w:rPr>
          <w:rFonts w:ascii="Times New Roman" w:hAnsi="Times New Roman"/>
          <w:vertAlign w:val="subscript"/>
        </w:rPr>
        <w:t>s</w:t>
      </w:r>
      <w:r>
        <w:rPr>
          <w:rFonts w:ascii="Times New Roman" w:hAnsi="Times New Roman"/>
        </w:rPr>
        <w:t>, ERA5 wind stress, wind speed and pressure, plus all other features at t (78 inputs). The LSTM receives the sequence itself. A sample is kept only if every input over [t − L, t] and every target is available, and both layouts keep exactly the same origins.</w:t>
      </w:r>
    </w:p>
    <w:p>
      <w:pPr>
        <w:pStyle w:val="Heading3"/>
      </w:pPr>
      <w:bookmarkStart w:id="123" w:name="_Toc123"/>
      <w:r>
        <w:rPr>
          <w:rFonts w:ascii="Times New Roman" w:hAnsi="Times New Roman"/>
        </w:rPr>
        <w:t>4.3.1</w:t>
        <w:tab/>
        <w:t>Chronological blocks without leakage</w:t>
      </w:r>
      <w:bookmarkEnd w:id="123"/>
    </w:p>
    <w:p>
      <w:pPr>
        <w:pStyle w:val="TableCaption"/>
      </w:pPr>
      <w:r>
        <w:rPr>
          <w:b/>
        </w:rPr>
        <w:t xml:space="preserve">Table 4.2: </w:t>
      </w:r>
      <w:r>
        <w:rPr>
          <w:rFonts w:ascii="Times New Roman" w:hAnsi="Times New Roman"/>
        </w:rPr>
        <w:t>Chronological blocks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1728"/>
        <w:gridCol w:w="1440"/>
        <w:gridCol w:w="2880"/>
        <w:gridCol w:w="2592"/>
      </w:tblGrid>
      <w:tr>
        <w:trPr>
          <w:cantSplit w:val="true"/>
          <w:tblHeader w:val="true"/>
        </w:trPr>
        <w:tc>
          <w:tcPr>
            <w:tcW w:type="dxa" w:w="1728"/>
            <w:tcBorders>
              <w:bottom w:val="single" w:sz="6" w:color="000000"/>
            </w:tcBorders>
            <w:vAlign w:val="center"/>
          </w:tcPr>
          <w:p>
            <w:pPr>
              <w:pStyle w:val="TableText"/>
            </w:pPr>
            <w:r>
              <w:rPr>
                <w:rFonts w:ascii="Times New Roman" w:hAnsi="Times New Roman"/>
                <w:b/>
              </w:rPr>
              <w:t>Block</w:t>
            </w:r>
          </w:p>
        </w:tc>
        <w:tc>
          <w:tcPr>
            <w:tcW w:type="dxa" w:w="1440"/>
            <w:tcBorders>
              <w:bottom w:val="single" w:sz="6" w:color="000000"/>
            </w:tcBorders>
            <w:vAlign w:val="center"/>
          </w:tcPr>
          <w:p>
            <w:pPr>
              <w:pStyle w:val="TableText"/>
            </w:pPr>
            <w:r>
              <w:rPr>
                <w:rFonts w:ascii="Times New Roman" w:hAnsi="Times New Roman"/>
                <w:b/>
              </w:rPr>
              <w:t>Period</w:t>
            </w:r>
          </w:p>
        </w:tc>
        <w:tc>
          <w:tcPr>
            <w:tcW w:type="dxa" w:w="2880"/>
            <w:tcBorders>
              <w:bottom w:val="single" w:sz="6" w:color="000000"/>
            </w:tcBorders>
            <w:vAlign w:val="center"/>
          </w:tcPr>
          <w:p>
            <w:pPr>
              <w:pStyle w:val="TableText"/>
            </w:pPr>
            <w:r>
              <w:rPr>
                <w:rFonts w:ascii="Times New Roman" w:hAnsi="Times New Roman"/>
                <w:b/>
              </w:rPr>
              <w:t>Use</w:t>
            </w:r>
          </w:p>
        </w:tc>
        <w:tc>
          <w:tcPr>
            <w:tcW w:type="dxa" w:w="2592"/>
            <w:tcBorders>
              <w:bottom w:val="single" w:sz="6" w:color="000000"/>
            </w:tcBorders>
            <w:vAlign w:val="center"/>
          </w:tcPr>
          <w:p>
            <w:pPr>
              <w:pStyle w:val="TableText"/>
            </w:pPr>
            <w:r>
              <w:rPr>
                <w:rFonts w:ascii="Times New Roman" w:hAnsi="Times New Roman"/>
                <w:b/>
              </w:rPr>
              <w:t>Cyclones</w:t>
            </w:r>
          </w:p>
        </w:tc>
      </w:tr>
      <w:tr>
        <w:trPr>
          <w:cantSplit w:val="true"/>
        </w:trPr>
        <w:tc>
          <w:tcPr>
            <w:tcW w:type="dxa" w:w="1728"/>
            <w:vAlign w:val="center"/>
          </w:tcPr>
          <w:p>
            <w:pPr>
              <w:pStyle w:val="TableText"/>
            </w:pPr>
            <w:r>
              <w:rPr>
                <w:rFonts w:ascii="Times New Roman" w:hAnsi="Times New Roman"/>
              </w:rPr>
              <w:t>Fit</w:t>
            </w:r>
          </w:p>
        </w:tc>
        <w:tc>
          <w:tcPr>
            <w:tcW w:type="dxa" w:w="1440"/>
            <w:vAlign w:val="center"/>
          </w:tcPr>
          <w:p>
            <w:pPr>
              <w:pStyle w:val="TableText"/>
            </w:pPr>
            <w:r>
              <w:rPr>
                <w:rFonts w:ascii="Times New Roman" w:hAnsi="Times New Roman"/>
              </w:rPr>
              <w:t>2015–2019</w:t>
            </w:r>
          </w:p>
        </w:tc>
        <w:tc>
          <w:tcPr>
            <w:tcW w:type="dxa" w:w="2880"/>
            <w:vAlign w:val="center"/>
          </w:tcPr>
          <w:p>
            <w:pPr>
              <w:pStyle w:val="TableText"/>
            </w:pPr>
            <w:r>
              <w:rPr>
                <w:rFonts w:ascii="Times New Roman" w:hAnsi="Times New Roman"/>
              </w:rPr>
              <w:t>Training</w:t>
            </w:r>
          </w:p>
        </w:tc>
        <w:tc>
          <w:tcPr>
            <w:tcW w:type="dxa" w:w="2592"/>
            <w:vAlign w:val="center"/>
          </w:tcPr>
          <w:p>
            <w:pPr>
              <w:pStyle w:val="TableText"/>
            </w:pPr>
            <w:r>
              <w:rPr>
                <w:rFonts w:ascii="Times New Roman" w:hAnsi="Times New Roman"/>
              </w:rPr>
              <w:t>Fani (2019) and others</w:t>
            </w:r>
          </w:p>
        </w:tc>
      </w:tr>
      <w:tr>
        <w:trPr>
          <w:cantSplit w:val="true"/>
        </w:trPr>
        <w:tc>
          <w:tcPr>
            <w:tcW w:type="dxa" w:w="1728"/>
            <w:vAlign w:val="center"/>
          </w:tcPr>
          <w:p>
            <w:pPr>
              <w:pStyle w:val="TableText"/>
            </w:pPr>
            <w:r>
              <w:rPr>
                <w:rFonts w:ascii="Times New Roman" w:hAnsi="Times New Roman"/>
              </w:rPr>
              <w:t>Early stopping</w:t>
            </w:r>
          </w:p>
        </w:tc>
        <w:tc>
          <w:tcPr>
            <w:tcW w:type="dxa" w:w="1440"/>
            <w:vAlign w:val="center"/>
          </w:tcPr>
          <w:p>
            <w:pPr>
              <w:pStyle w:val="TableText"/>
            </w:pPr>
            <w:r>
              <w:rPr>
                <w:rFonts w:ascii="Times New Roman" w:hAnsi="Times New Roman"/>
              </w:rPr>
              <w:t>2020</w:t>
            </w:r>
          </w:p>
        </w:tc>
        <w:tc>
          <w:tcPr>
            <w:tcW w:type="dxa" w:w="2880"/>
            <w:vAlign w:val="center"/>
          </w:tcPr>
          <w:p>
            <w:pPr>
              <w:pStyle w:val="TableText"/>
            </w:pPr>
            <w:r>
              <w:rPr>
                <w:rFonts w:ascii="Times New Roman" w:hAnsi="Times New Roman"/>
              </w:rPr>
              <w:t>Number of boosting rounds / epochs</w:t>
            </w:r>
          </w:p>
        </w:tc>
        <w:tc>
          <w:tcPr>
            <w:tcW w:type="dxa" w:w="2592"/>
            <w:vAlign w:val="center"/>
          </w:tcPr>
          <w:p>
            <w:pPr>
              <w:pStyle w:val="TableText"/>
            </w:pPr>
            <w:r>
              <w:rPr>
                <w:rFonts w:ascii="Times New Roman" w:hAnsi="Times New Roman"/>
              </w:rPr>
              <w:t>Amphan</w:t>
            </w:r>
          </w:p>
        </w:tc>
      </w:tr>
      <w:tr>
        <w:trPr>
          <w:cantSplit w:val="true"/>
        </w:trPr>
        <w:tc>
          <w:tcPr>
            <w:tcW w:type="dxa" w:w="1728"/>
            <w:vAlign w:val="center"/>
          </w:tcPr>
          <w:p>
            <w:pPr>
              <w:pStyle w:val="TableText"/>
            </w:pPr>
            <w:r>
              <w:rPr>
                <w:rFonts w:ascii="Times New Roman" w:hAnsi="Times New Roman"/>
              </w:rPr>
              <w:t>Validation</w:t>
            </w:r>
          </w:p>
        </w:tc>
        <w:tc>
          <w:tcPr>
            <w:tcW w:type="dxa" w:w="1440"/>
            <w:vAlign w:val="center"/>
          </w:tcPr>
          <w:p>
            <w:pPr>
              <w:pStyle w:val="TableText"/>
            </w:pPr>
            <w:r>
              <w:rPr>
                <w:rFonts w:ascii="Times New Roman" w:hAnsi="Times New Roman"/>
              </w:rPr>
              <w:t>2021–2022</w:t>
            </w:r>
          </w:p>
        </w:tc>
        <w:tc>
          <w:tcPr>
            <w:tcW w:type="dxa" w:w="2880"/>
            <w:vAlign w:val="center"/>
          </w:tcPr>
          <w:p>
            <w:pPr>
              <w:pStyle w:val="TableText"/>
            </w:pPr>
            <w:r>
              <w:rPr>
                <w:rFonts w:ascii="Times New Roman" w:hAnsi="Times New Roman"/>
              </w:rPr>
              <w:t>Hyperparameter selection</w:t>
            </w:r>
          </w:p>
        </w:tc>
        <w:tc>
          <w:tcPr>
            <w:tcW w:type="dxa" w:w="2592"/>
            <w:vAlign w:val="center"/>
          </w:tcPr>
          <w:p>
            <w:pPr>
              <w:pStyle w:val="TableText"/>
            </w:pPr>
            <w:r>
              <w:rPr>
                <w:rFonts w:ascii="Times New Roman" w:hAnsi="Times New Roman"/>
              </w:rPr>
              <w:t>Yaas, Asani, Sitrang</w:t>
            </w:r>
          </w:p>
        </w:tc>
      </w:tr>
      <w:tr>
        <w:trPr>
          <w:cantSplit w:val="true"/>
        </w:trPr>
        <w:tc>
          <w:tcPr>
            <w:tcW w:type="dxa" w:w="1728"/>
            <w:vAlign w:val="center"/>
          </w:tcPr>
          <w:p>
            <w:pPr>
              <w:pStyle w:val="TableText"/>
            </w:pPr>
            <w:r>
              <w:rPr>
                <w:rFonts w:ascii="Times New Roman" w:hAnsi="Times New Roman"/>
              </w:rPr>
              <w:t>Test</w:t>
            </w:r>
          </w:p>
        </w:tc>
        <w:tc>
          <w:tcPr>
            <w:tcW w:type="dxa" w:w="1440"/>
            <w:vAlign w:val="center"/>
          </w:tcPr>
          <w:p>
            <w:pPr>
              <w:pStyle w:val="TableText"/>
            </w:pPr>
            <w:r>
              <w:rPr>
                <w:rFonts w:ascii="Times New Roman" w:hAnsi="Times New Roman"/>
              </w:rPr>
              <w:t>2023–2024</w:t>
            </w:r>
          </w:p>
        </w:tc>
        <w:tc>
          <w:tcPr>
            <w:tcW w:type="dxa" w:w="2880"/>
            <w:vAlign w:val="center"/>
          </w:tcPr>
          <w:p>
            <w:pPr>
              <w:pStyle w:val="TableText"/>
            </w:pPr>
            <w:r>
              <w:rPr>
                <w:rFonts w:ascii="Times New Roman" w:hAnsi="Times New Roman"/>
              </w:rPr>
              <w:t>Reported results only</w:t>
            </w:r>
          </w:p>
        </w:tc>
        <w:tc>
          <w:tcPr>
            <w:tcW w:type="dxa" w:w="2592"/>
            <w:vAlign w:val="center"/>
          </w:tcPr>
          <w:p>
            <w:pPr>
              <w:pStyle w:val="TableText"/>
            </w:pPr>
            <w:r>
              <w:rPr>
                <w:rFonts w:ascii="Times New Roman" w:hAnsi="Times New Roman"/>
              </w:rPr>
              <w:t>Mocha, Michaung, Remal, Dana, Fengal</w:t>
            </w:r>
          </w:p>
        </w:tc>
      </w:tr>
    </w:tbl>
    <w:p>
      <w:pPr>
        <w:pStyle w:val="Single"/>
        <w:spacing w:after="200" w:line="40" w:lineRule="exact"/>
      </w:pPr>
    </w:p>
    <w:p>
      <w:r>
        <w:rPr>
          <w:rFonts w:ascii="Times New Roman" w:hAnsi="Times New Roman"/>
        </w:rPr>
        <w:t>The record is divided into four blocks (Table 4.2). A sample belongs to block [T</w:t>
      </w:r>
      <w:r>
        <w:rPr>
          <w:rFonts w:ascii="Times New Roman" w:hAnsi="Times New Roman"/>
          <w:vertAlign w:val="subscript"/>
        </w:rPr>
        <w:t>s</w:t>
      </w:r>
      <w:r>
        <w:rPr>
          <w:rFonts w:ascii="Times New Roman" w:hAnsi="Times New Roman"/>
        </w:rPr>
        <w:t>, T</w:t>
      </w:r>
      <w:r>
        <w:rPr>
          <w:rFonts w:ascii="Times New Roman" w:hAnsi="Times New Roman"/>
          <w:vertAlign w:val="subscript"/>
        </w:rPr>
        <w:t>e</w:t>
      </w:r>
      <w:r>
        <w:rPr>
          <w:rFonts w:ascii="Times New Roman" w:hAnsi="Times New Roman"/>
        </w:rPr>
        <w:t>] only if:</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2011680" cy="213360"/>
            <wp:docPr id="10" name="Picture 10"/>
            <wp:cNvGraphicFramePr>
              <a:graphicFrameLocks noChangeAspect="1"/>
            </wp:cNvGraphicFramePr>
            <a:graphic>
              <a:graphicData uri="http://schemas.openxmlformats.org/drawingml/2006/picture">
                <pic:pic>
                  <pic:nvPicPr>
                    <pic:cNvPr id="0" name="eq_4_5.png"/>
                    <pic:cNvPicPr/>
                  </pic:nvPicPr>
                  <pic:blipFill>
                    <a:blip r:embed="rId17"/>
                    <a:stretch>
                      <a:fillRect/>
                    </a:stretch>
                  </pic:blipFill>
                  <pic:spPr>
                    <a:xfrm>
                      <a:off x="0" y="0"/>
                      <a:ext cx="2011680" cy="213360"/>
                    </a:xfrm>
                    <a:prstGeom prst="rect"/>
                  </pic:spPr>
                </pic:pic>
              </a:graphicData>
            </a:graphic>
          </wp:inline>
        </w:drawing>
      </w:r>
      <w:r>
        <w:tab/>
        <w:t>(4.5)</w:t>
      </w:r>
    </w:p>
    <w:p>
      <w:r>
        <w:rPr>
          <w:rFonts w:ascii="Times New Roman" w:hAnsi="Times New Roman"/>
        </w:rPr>
        <w:t>The second condition removes the usual multi-step leak, in which the last training samples have targets inside the validation period; the first keeps the blocks fully independent. Early stopping uses the 2020 block and hyperparameter selection the 2021–2022 block, so the validation score is optimised only once, and the test block is used for reporting only. Every block contains named cyclones.</w:t>
      </w:r>
    </w:p>
    <w:p>
      <w:pPr>
        <w:pStyle w:val="Heading2"/>
      </w:pPr>
      <w:bookmarkStart w:id="124" w:name="_Toc124"/>
      <w:r>
        <w:rPr>
          <w:rFonts w:ascii="Times New Roman" w:hAnsi="Times New Roman"/>
        </w:rPr>
        <w:t>4.4</w:t>
        <w:tab/>
        <w:t>Phase 3a: reference forecasts</w:t>
      </w:r>
      <w:bookmarkEnd w:id="124"/>
    </w:p>
    <w:p>
      <w:r>
        <w:rPr>
          <w:rFonts w:ascii="Times New Roman" w:hAnsi="Times New Roman"/>
          <w:b/>
        </w:rPr>
        <w:t>Persistence</w:t>
      </w:r>
      <w:r>
        <w:rPr>
          <w:rFonts w:ascii="Times New Roman" w:hAnsi="Times New Roman"/>
        </w:rPr>
        <w:t xml:space="preserve"> forecasts Ĥ</w:t>
      </w:r>
      <w:r>
        <w:rPr>
          <w:rFonts w:ascii="Times New Roman" w:hAnsi="Times New Roman"/>
          <w:vertAlign w:val="subscript"/>
        </w:rPr>
        <w:t>s</w:t>
      </w:r>
      <w:r>
        <w:rPr>
          <w:rFonts w:ascii="Times New Roman" w:hAnsi="Times New Roman"/>
        </w:rPr>
        <w:t>(t + h) = H</w:t>
      </w:r>
      <w:r>
        <w:rPr>
          <w:rFonts w:ascii="Times New Roman" w:hAnsi="Times New Roman"/>
          <w:vertAlign w:val="subscript"/>
        </w:rPr>
        <w:t>s</w:t>
      </w:r>
      <w:r>
        <w:rPr>
          <w:rFonts w:ascii="Times New Roman" w:hAnsi="Times New Roman"/>
        </w:rPr>
        <w:t xml:space="preserve">(t), which is hard to beat at short lead times. </w:t>
      </w:r>
      <w:r>
        <w:rPr>
          <w:rFonts w:ascii="Times New Roman" w:hAnsi="Times New Roman"/>
          <w:b/>
        </w:rPr>
        <w:t>Climatology</w:t>
      </w:r>
      <w:r>
        <w:rPr>
          <w:rFonts w:ascii="Times New Roman" w:hAnsi="Times New Roman"/>
        </w:rPr>
        <w:t xml:space="preserve"> forecasts the training-period mean for the calendar day of t + h, smoothed over ±15 days. </w:t>
      </w:r>
      <w:r>
        <w:rPr>
          <w:rFonts w:ascii="Times New Roman" w:hAnsi="Times New Roman"/>
          <w:b/>
        </w:rPr>
        <w:t>ARIMA</w:t>
      </w:r>
      <w:r>
        <w:rPr>
          <w:rFonts w:ascii="Times New Roman" w:hAnsi="Times New Roman"/>
        </w:rPr>
        <w:t>(p, d, q) [28] models the differenced series as:</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1761744" cy="246888"/>
            <wp:docPr id="11" name="Picture 11"/>
            <wp:cNvGraphicFramePr>
              <a:graphicFrameLocks noChangeAspect="1"/>
            </wp:cNvGraphicFramePr>
            <a:graphic>
              <a:graphicData uri="http://schemas.openxmlformats.org/drawingml/2006/picture">
                <pic:pic>
                  <pic:nvPicPr>
                    <pic:cNvPr id="0" name="eq_4_6.png"/>
                    <pic:cNvPicPr/>
                  </pic:nvPicPr>
                  <pic:blipFill>
                    <a:blip r:embed="rId18"/>
                    <a:stretch>
                      <a:fillRect/>
                    </a:stretch>
                  </pic:blipFill>
                  <pic:spPr>
                    <a:xfrm>
                      <a:off x="0" y="0"/>
                      <a:ext cx="1761744" cy="246888"/>
                    </a:xfrm>
                    <a:prstGeom prst="rect"/>
                  </pic:spPr>
                </pic:pic>
              </a:graphicData>
            </a:graphic>
          </wp:inline>
        </w:drawing>
      </w:r>
      <w:r>
        <w:tab/>
        <w:t>(4.6)</w:t>
      </w:r>
    </w:p>
    <w:p>
      <w:r>
        <w:rPr>
          <w:rFonts w:ascii="Times New Roman" w:hAnsi="Times New Roman"/>
        </w:rPr>
        <w:t>Here B is the backshift operator. The order (2, 1, 1) was chosen by AIC, and the parameters were estimated on the last two years of the training period with statsmodels [29]. At test time the state-space form [30] is filtered through the record with fixed parameters, and the h-step forecast from every origin is obtained from the filtered state, a</w:t>
      </w:r>
      <w:r>
        <w:rPr>
          <w:rFonts w:ascii="Times New Roman" w:hAnsi="Times New Roman"/>
          <w:vertAlign w:val="subscript"/>
        </w:rPr>
        <w:t>t+h|t</w:t>
      </w:r>
      <w:r>
        <w:rPr>
          <w:rFonts w:ascii="Times New Roman" w:hAnsi="Times New Roman"/>
        </w:rPr>
        <w:t xml:space="preserve"> = T a</w:t>
      </w:r>
      <w:r>
        <w:rPr>
          <w:rFonts w:ascii="Times New Roman" w:hAnsi="Times New Roman"/>
          <w:vertAlign w:val="subscript"/>
        </w:rPr>
        <w:t>t+h−1|t</w:t>
      </w:r>
      <w:r>
        <w:rPr>
          <w:rFonts w:ascii="Times New Roman" w:hAnsi="Times New Roman"/>
        </w:rPr>
        <w:t>, using information up to t only. This reproduces the statsmodels forecast at each origin to machine precision but needs a single filter pass for all 17,400 test origins. The baseline is univariate because forcing at t + h is not known at forecast time.</w:t>
      </w:r>
    </w:p>
    <w:p>
      <w:pPr>
        <w:pStyle w:val="Heading2"/>
      </w:pPr>
      <w:bookmarkStart w:id="125" w:name="_Toc125"/>
      <w:r>
        <w:rPr>
          <w:rFonts w:ascii="Times New Roman" w:hAnsi="Times New Roman"/>
        </w:rPr>
        <w:t>4.5</w:t>
        <w:tab/>
        <w:t>Phase 3b: direct multi-step gradient boosting</w:t>
      </w:r>
      <w:bookmarkEnd w:id="125"/>
    </w:p>
    <w:p>
      <w:r>
        <w:rPr>
          <w:rFonts w:ascii="Times New Roman" w:hAnsi="Times New Roman"/>
        </w:rPr>
        <w:t>For each horizon, an independent ensemble of regression trees is trained [16]:</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2154936" cy="472440"/>
            <wp:docPr id="12" name="Picture 12"/>
            <wp:cNvGraphicFramePr>
              <a:graphicFrameLocks noChangeAspect="1"/>
            </wp:cNvGraphicFramePr>
            <a:graphic>
              <a:graphicData uri="http://schemas.openxmlformats.org/drawingml/2006/picture">
                <pic:pic>
                  <pic:nvPicPr>
                    <pic:cNvPr id="0" name="eq_4_7.png"/>
                    <pic:cNvPicPr/>
                  </pic:nvPicPr>
                  <pic:blipFill>
                    <a:blip r:embed="rId19"/>
                    <a:stretch>
                      <a:fillRect/>
                    </a:stretch>
                  </pic:blipFill>
                  <pic:spPr>
                    <a:xfrm>
                      <a:off x="0" y="0"/>
                      <a:ext cx="2154936" cy="472440"/>
                    </a:xfrm>
                    <a:prstGeom prst="rect"/>
                  </pic:spPr>
                </pic:pic>
              </a:graphicData>
            </a:graphic>
          </wp:inline>
        </w:drawing>
      </w:r>
      <w:r>
        <w:tab/>
        <w:t>(4.7)</w:t>
      </w:r>
    </w:p>
    <w:p>
      <w:r>
        <w:rPr>
          <w:rFonts w:ascii="Times New Roman" w:hAnsi="Times New Roman"/>
        </w:rPr>
        <w:t>LightGBM [18] grows trees leaf-wise on histogram-binned features; CatBoost [19] uses symmetric (oblivious) trees with ordered boosting, which reduces the prediction shift of classical gradient boosting. The number of rounds M</w:t>
      </w:r>
      <w:r>
        <w:rPr>
          <w:rFonts w:ascii="Times New Roman" w:hAnsi="Times New Roman"/>
          <w:vertAlign w:val="subscript"/>
        </w:rPr>
        <w:t>h</w:t>
      </w:r>
      <w:r>
        <w:rPr>
          <w:rFonts w:ascii="Times New Roman" w:hAnsi="Times New Roman"/>
        </w:rPr>
        <w:t xml:space="preserve"> is set by early stopping on the 2020 block for each horizon separately. Hyperparameters were searched with the tree-structured Parzen estimator [31] of Optuna [32], with a median pruner, minimising the pooled multi-horizon RMSE on the validation block:</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1694688" cy="426720"/>
            <wp:docPr id="13" name="Picture 13"/>
            <wp:cNvGraphicFramePr>
              <a:graphicFrameLocks noChangeAspect="1"/>
            </wp:cNvGraphicFramePr>
            <a:graphic>
              <a:graphicData uri="http://schemas.openxmlformats.org/drawingml/2006/picture">
                <pic:pic>
                  <pic:nvPicPr>
                    <pic:cNvPr id="0" name="eq_4_8.png"/>
                    <pic:cNvPicPr/>
                  </pic:nvPicPr>
                  <pic:blipFill>
                    <a:blip r:embed="rId20"/>
                    <a:stretch>
                      <a:fillRect/>
                    </a:stretch>
                  </pic:blipFill>
                  <pic:spPr>
                    <a:xfrm>
                      <a:off x="0" y="0"/>
                      <a:ext cx="1694688" cy="426720"/>
                    </a:xfrm>
                    <a:prstGeom prst="rect"/>
                  </pic:spPr>
                </pic:pic>
              </a:graphicData>
            </a:graphic>
          </wp:inline>
        </w:drawing>
      </w:r>
      <w:r>
        <w:tab/>
        <w:t>(4.8)</w:t>
      </w:r>
    </w:p>
    <w:p>
      <w:r>
        <w:rPr>
          <w:rFonts w:ascii="Times New Roman" w:hAnsi="Times New Roman"/>
        </w:rPr>
        <w:t>One parameter set is shared by all horizons. Every third training origin was used during the search (adjacent hourly origins are nearly collinear), and the final models were refitted on all origins. Within the computing budget of this project (a laptop CPU), each search was limited to 15 minutes or 40 trials. LightGBM completed 40 trials at every site (about a third pruned after the first horizons), CatBoost, whose deep symmetric trees are slower to fit, only 8–27; the search spaces are listed in Appendix A.</w:t>
      </w:r>
    </w:p>
    <w:p>
      <w:pPr>
        <w:pStyle w:val="Heading2"/>
      </w:pPr>
      <w:bookmarkStart w:id="126" w:name="_Toc126"/>
      <w:r>
        <w:rPr>
          <w:rFonts w:ascii="Times New Roman" w:hAnsi="Times New Roman"/>
        </w:rPr>
        <w:t>4.6</w:t>
        <w:tab/>
        <w:t>Phase 4: Seq2Seq LSTM with attention</w:t>
      </w:r>
      <w:bookmarkEnd w:id="126"/>
    </w:p>
    <w:p>
      <w:r>
        <w:rPr>
          <w:rFonts w:ascii="Times New Roman" w:hAnsi="Times New Roman"/>
        </w:rPr>
        <w:t>An LSTM cell [11] updates a memory c</w:t>
      </w:r>
      <w:r>
        <w:rPr>
          <w:rFonts w:ascii="Times New Roman" w:hAnsi="Times New Roman"/>
          <w:vertAlign w:val="subscript"/>
        </w:rPr>
        <w:t>t</w:t>
      </w:r>
      <w:r>
        <w:rPr>
          <w:rFonts w:ascii="Times New Roman" w:hAnsi="Times New Roman"/>
        </w:rPr>
        <w:t xml:space="preserve"> through input, forget and output gates:</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4218432" cy="213360"/>
            <wp:docPr id="14" name="Picture 14"/>
            <wp:cNvGraphicFramePr>
              <a:graphicFrameLocks noChangeAspect="1"/>
            </wp:cNvGraphicFramePr>
            <a:graphic>
              <a:graphicData uri="http://schemas.openxmlformats.org/drawingml/2006/picture">
                <pic:pic>
                  <pic:nvPicPr>
                    <pic:cNvPr id="0" name="eq_4_9.png"/>
                    <pic:cNvPicPr/>
                  </pic:nvPicPr>
                  <pic:blipFill>
                    <a:blip r:embed="rId21"/>
                    <a:stretch>
                      <a:fillRect/>
                    </a:stretch>
                  </pic:blipFill>
                  <pic:spPr>
                    <a:xfrm>
                      <a:off x="0" y="0"/>
                      <a:ext cx="4218432" cy="213360"/>
                    </a:xfrm>
                    <a:prstGeom prst="rect"/>
                  </pic:spPr>
                </pic:pic>
              </a:graphicData>
            </a:graphic>
          </wp:inline>
        </w:drawing>
      </w:r>
      <w:r>
        <w:tab/>
        <w:t>(4.9)</w:t>
      </w:r>
    </w:p>
    <w:p>
      <w:r>
        <w:rPr>
          <w:rFonts w:ascii="Times New Roman" w:hAnsi="Times New Roman"/>
        </w:rPr>
        <w:t>Here f</w:t>
      </w:r>
      <w:r>
        <w:rPr>
          <w:rFonts w:ascii="Times New Roman" w:hAnsi="Times New Roman"/>
          <w:vertAlign w:val="subscript"/>
        </w:rPr>
        <w:t>t</w:t>
      </w:r>
      <w:r>
        <w:rPr>
          <w:rFonts w:ascii="Times New Roman" w:hAnsi="Times New Roman"/>
        </w:rPr>
        <w:t>, i</w:t>
      </w:r>
      <w:r>
        <w:rPr>
          <w:rFonts w:ascii="Times New Roman" w:hAnsi="Times New Roman"/>
          <w:vertAlign w:val="subscript"/>
        </w:rPr>
        <w:t>t</w:t>
      </w:r>
      <w:r>
        <w:rPr>
          <w:rFonts w:ascii="Times New Roman" w:hAnsi="Times New Roman"/>
        </w:rPr>
        <w:t xml:space="preserve"> and o</w:t>
      </w:r>
      <w:r>
        <w:rPr>
          <w:rFonts w:ascii="Times New Roman" w:hAnsi="Times New Roman"/>
          <w:vertAlign w:val="subscript"/>
        </w:rPr>
        <w:t>t</w:t>
      </w:r>
      <w:r>
        <w:rPr>
          <w:rFonts w:ascii="Times New Roman" w:hAnsi="Times New Roman"/>
        </w:rPr>
        <w:t xml:space="preserve"> are sigmoid gates of [h</w:t>
      </w:r>
      <w:r>
        <w:rPr>
          <w:rFonts w:ascii="Times New Roman" w:hAnsi="Times New Roman"/>
          <w:vertAlign w:val="subscript"/>
        </w:rPr>
        <w:t>t−1</w:t>
      </w:r>
      <w:r>
        <w:rPr>
          <w:rFonts w:ascii="Times New Roman" w:hAnsi="Times New Roman"/>
        </w:rPr>
        <w:t>, x</w:t>
      </w:r>
      <w:r>
        <w:rPr>
          <w:rFonts w:ascii="Times New Roman" w:hAnsi="Times New Roman"/>
          <w:vertAlign w:val="subscript"/>
        </w:rPr>
        <w:t>t</w:t>
      </w:r>
      <w:r>
        <w:rPr>
          <w:rFonts w:ascii="Times New Roman" w:hAnsi="Times New Roman"/>
        </w:rPr>
        <w:t xml:space="preserve">]. The forecaster (Figure 4.2) has three parts. A </w:t>
      </w:r>
      <w:r>
        <w:rPr>
          <w:rFonts w:ascii="Times New Roman" w:hAnsi="Times New Roman"/>
          <w:b/>
        </w:rPr>
        <w:t>bidirectional LSTM encoder</w:t>
      </w:r>
      <w:r>
        <w:rPr>
          <w:rFonts w:ascii="Times New Roman" w:hAnsi="Times New Roman"/>
        </w:rPr>
        <w:t xml:space="preserve"> [14] with 64 units per direction reads the history of H</w:t>
      </w:r>
      <w:r>
        <w:rPr>
          <w:rFonts w:ascii="Times New Roman" w:hAnsi="Times New Roman"/>
          <w:vertAlign w:val="subscript"/>
        </w:rPr>
        <w:t>s</w:t>
      </w:r>
      <w:r>
        <w:rPr>
          <w:rFonts w:ascii="Times New Roman" w:hAnsi="Times New Roman"/>
        </w:rPr>
        <w:t>, u</w:t>
      </w:r>
      <w:r>
        <w:rPr>
          <w:rFonts w:ascii="Times New Roman" w:hAnsi="Times New Roman"/>
          <w:vertAlign w:val="subscript"/>
        </w:rPr>
        <w:t>10</w:t>
      </w:r>
      <w:r>
        <w:rPr>
          <w:rFonts w:ascii="Times New Roman" w:hAnsi="Times New Roman"/>
        </w:rPr>
        <w:t>, v</w:t>
      </w:r>
      <w:r>
        <w:rPr>
          <w:rFonts w:ascii="Times New Roman" w:hAnsi="Times New Roman"/>
          <w:vertAlign w:val="subscript"/>
        </w:rPr>
        <w:t>10</w:t>
      </w:r>
      <w:r>
        <w:rPr>
          <w:rFonts w:ascii="Times New Roman" w:hAnsi="Times New Roman"/>
        </w:rPr>
        <w:t>, MSLP and T</w:t>
      </w:r>
      <w:r>
        <w:rPr>
          <w:rFonts w:ascii="Times New Roman" w:hAnsi="Times New Roman"/>
          <w:vertAlign w:val="subscript"/>
        </w:rPr>
        <w:t>m</w:t>
      </w:r>
      <w:r>
        <w:rPr>
          <w:rFonts w:ascii="Times New Roman" w:hAnsi="Times New Roman"/>
        </w:rPr>
        <w:t xml:space="preserve"> over 72 h at a 3-hourly step (25 steps); its final states initialise the decoder. An </w:t>
      </w:r>
      <w:r>
        <w:rPr>
          <w:rFonts w:ascii="Times New Roman" w:hAnsi="Times New Roman"/>
          <w:b/>
        </w:rPr>
        <w:t>LSTM decoder</w:t>
      </w:r>
      <w:r>
        <w:rPr>
          <w:rFonts w:ascii="Times New Roman" w:hAnsi="Times New Roman"/>
        </w:rPr>
        <w:t xml:space="preserve"> runs over five steps, one per horizon, whose inputs are only quantities known at forecast time: the normalised lead time h/72 and the seasonal phase at t + h. </w:t>
      </w:r>
      <w:r>
        <w:rPr>
          <w:rFonts w:ascii="Times New Roman" w:hAnsi="Times New Roman"/>
          <w:b/>
        </w:rPr>
        <w:t>Additive attention</w:t>
      </w:r>
      <w:r>
        <w:rPr>
          <w:rFonts w:ascii="Times New Roman" w:hAnsi="Times New Roman"/>
        </w:rPr>
        <w:t xml:space="preserve"> [15] forms, for each decoder state s</w:t>
      </w:r>
      <w:r>
        <w:rPr>
          <w:rFonts w:ascii="Times New Roman" w:hAnsi="Times New Roman"/>
          <w:vertAlign w:val="subscript"/>
        </w:rPr>
        <w:t>j</w:t>
      </w:r>
      <w:r>
        <w:rPr>
          <w:rFonts w:ascii="Times New Roman" w:hAnsi="Times New Roman"/>
        </w:rPr>
        <w:t>, a context vector over the encoder outputs e</w:t>
      </w:r>
      <w:r>
        <w:rPr>
          <w:rFonts w:ascii="Times New Roman" w:hAnsi="Times New Roman"/>
          <w:vertAlign w:val="subscript"/>
        </w:rPr>
        <w:t>k</w:t>
      </w:r>
      <w:r>
        <w:rPr>
          <w:rFonts w:ascii="Times New Roman" w:hAnsi="Times New Roman"/>
        </w:rPr>
        <w:t>:</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3566160" cy="359664"/>
            <wp:docPr id="15" name="Picture 15"/>
            <wp:cNvGraphicFramePr>
              <a:graphicFrameLocks noChangeAspect="1"/>
            </wp:cNvGraphicFramePr>
            <a:graphic>
              <a:graphicData uri="http://schemas.openxmlformats.org/drawingml/2006/picture">
                <pic:pic>
                  <pic:nvPicPr>
                    <pic:cNvPr id="0" name="eq_4_10.png"/>
                    <pic:cNvPicPr/>
                  </pic:nvPicPr>
                  <pic:blipFill>
                    <a:blip r:embed="rId22"/>
                    <a:stretch>
                      <a:fillRect/>
                    </a:stretch>
                  </pic:blipFill>
                  <pic:spPr>
                    <a:xfrm>
                      <a:off x="0" y="0"/>
                      <a:ext cx="3566160" cy="359664"/>
                    </a:xfrm>
                    <a:prstGeom prst="rect"/>
                  </pic:spPr>
                </pic:pic>
              </a:graphicData>
            </a:graphic>
          </wp:inline>
        </w:drawing>
      </w:r>
      <w:r>
        <w:tab/>
        <w:t>(4.10)</w:t>
      </w:r>
    </w:p>
    <w:p>
      <w:r>
        <w:rPr>
          <w:rFonts w:ascii="Times New Roman" w:hAnsi="Times New Roman"/>
        </w:rPr>
        <w:t>A dense head then predicts the change from the value at the origin, Ĥ</w:t>
      </w:r>
      <w:r>
        <w:rPr>
          <w:rFonts w:ascii="Times New Roman" w:hAnsi="Times New Roman"/>
          <w:vertAlign w:val="subscript"/>
        </w:rPr>
        <w:t>s</w:t>
      </w:r>
      <w:r>
        <w:rPr>
          <w:rFonts w:ascii="Times New Roman" w:hAnsi="Times New Roman"/>
        </w:rPr>
        <w:t>(t + h</w:t>
      </w:r>
      <w:r>
        <w:rPr>
          <w:rFonts w:ascii="Times New Roman" w:hAnsi="Times New Roman"/>
          <w:vertAlign w:val="subscript"/>
        </w:rPr>
        <w:t>j</w:t>
      </w:r>
      <w:r>
        <w:rPr>
          <w:rFonts w:ascii="Times New Roman" w:hAnsi="Times New Roman"/>
        </w:rPr>
        <w:t>) = H</w:t>
      </w:r>
      <w:r>
        <w:rPr>
          <w:rFonts w:ascii="Times New Roman" w:hAnsi="Times New Roman"/>
          <w:vertAlign w:val="subscript"/>
        </w:rPr>
        <w:t>s</w:t>
      </w:r>
      <w:r>
        <w:rPr>
          <w:rFonts w:ascii="Times New Roman" w:hAnsi="Times New Roman"/>
        </w:rPr>
        <w:t>(t) + Δ</w:t>
      </w:r>
      <w:r>
        <w:rPr>
          <w:rFonts w:ascii="Times New Roman" w:hAnsi="Times New Roman"/>
          <w:vertAlign w:val="subscript"/>
        </w:rPr>
        <w:t>j</w:t>
      </w:r>
      <w:r>
        <w:rPr>
          <w:rFonts w:ascii="Times New Roman" w:hAnsi="Times New Roman"/>
        </w:rPr>
        <w:t>, so the untrained network starts from persistence. The decoder is non-autoregressive: it never receives its own predictions, so there is no error feedback between horizons and no exposure bias. Inputs are standardised with statistics of the fit block only. Training used Adam [33] (learning rate 10</w:t>
      </w:r>
      <w:r>
        <w:rPr>
          <w:rFonts w:ascii="Times New Roman" w:hAnsi="Times New Roman"/>
          <w:vertAlign w:val="superscript"/>
        </w:rPr>
        <w:t>−3</w:t>
      </w:r>
      <w:r>
        <w:rPr>
          <w:rFonts w:ascii="Times New Roman" w:hAnsi="Times New Roman"/>
        </w:rPr>
        <w:t>, gradient clipping at 1, batch 256), early stopping on the 2020 block with patience 6, and learning-rate halving on plateaus [34].</w:t>
      </w:r>
    </w:p>
    <w:p>
      <w:pPr>
        <w:pStyle w:val="Single"/>
        <w:keepNext/>
        <w:spacing w:before="120" w:after="40"/>
        <w:jc w:val="center"/>
      </w:pPr>
      <w:r>
        <w:drawing>
          <wp:inline xmlns:a="http://schemas.openxmlformats.org/drawingml/2006/main" xmlns:pic="http://schemas.openxmlformats.org/drawingml/2006/picture">
            <wp:extent cx="5486400" cy="2604499"/>
            <wp:docPr id="16" name="Picture 16"/>
            <wp:cNvGraphicFramePr>
              <a:graphicFrameLocks noChangeAspect="1"/>
            </wp:cNvGraphicFramePr>
            <a:graphic>
              <a:graphicData uri="http://schemas.openxmlformats.org/drawingml/2006/picture">
                <pic:pic>
                  <pic:nvPicPr>
                    <pic:cNvPr id="0" name="fig_architecture.png"/>
                    <pic:cNvPicPr/>
                  </pic:nvPicPr>
                  <pic:blipFill>
                    <a:blip r:embed="rId23"/>
                    <a:stretch>
                      <a:fillRect/>
                    </a:stretch>
                  </pic:blipFill>
                  <pic:spPr>
                    <a:xfrm>
                      <a:off x="0" y="0"/>
                      <a:ext cx="5486400" cy="2604499"/>
                    </a:xfrm>
                    <a:prstGeom prst="rect"/>
                  </pic:spPr>
                </pic:pic>
              </a:graphicData>
            </a:graphic>
          </wp:inline>
        </w:drawing>
      </w:r>
    </w:p>
    <w:p>
      <w:pPr>
        <w:pStyle w:val="FigureCaption"/>
      </w:pPr>
      <w:r>
        <w:rPr>
          <w:b/>
        </w:rPr>
        <w:t xml:space="preserve">Figure 4.2: </w:t>
      </w:r>
      <w:r>
        <w:rPr>
          <w:rFonts w:ascii="Times New Roman" w:hAnsi="Times New Roman"/>
        </w:rPr>
        <w:t>Architecture of the Seq2Seq Bi-LSTM forecaster with attention</w:t>
      </w:r>
    </w:p>
    <w:p>
      <w:pPr>
        <w:pStyle w:val="Heading3"/>
      </w:pPr>
      <w:bookmarkStart w:id="127" w:name="_Toc127"/>
      <w:r>
        <w:rPr>
          <w:rFonts w:ascii="Times New Roman" w:hAnsi="Times New Roman"/>
        </w:rPr>
        <w:t>4.6.1</w:t>
        <w:tab/>
        <w:t>Peak-weighted loss</w:t>
      </w:r>
      <w:bookmarkEnd w:id="127"/>
    </w:p>
    <w:p>
      <w:r>
        <w:rPr>
          <w:rFonts w:ascii="Times New Roman" w:hAnsi="Times New Roman"/>
        </w:rPr>
        <w:t>Let e = y − ŷ (e &gt; 0 is an under-prediction) and s(y) = σ((y − q)/τ</w:t>
      </w:r>
      <w:r>
        <w:rPr>
          <w:rFonts w:ascii="Times New Roman" w:hAnsi="Times New Roman"/>
          <w:vertAlign w:val="subscript"/>
        </w:rPr>
        <w:t>s</w:t>
      </w:r>
      <w:r>
        <w:rPr>
          <w:rFonts w:ascii="Times New Roman" w:hAnsi="Times New Roman"/>
        </w:rPr>
        <w:t>) a soft indicator of an extreme sea state, with q the 95th percentile of the training targets and τ</w:t>
      </w:r>
      <w:r>
        <w:rPr>
          <w:rFonts w:ascii="Times New Roman" w:hAnsi="Times New Roman"/>
          <w:vertAlign w:val="subscript"/>
        </w:rPr>
        <w:t>s</w:t>
      </w:r>
      <w:r>
        <w:rPr>
          <w:rFonts w:ascii="Times New Roman" w:hAnsi="Times New Roman"/>
        </w:rPr>
        <w:t xml:space="preserve"> = 0.25 m. The loss is:</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2410968" cy="481583"/>
            <wp:docPr id="17" name="Picture 17"/>
            <wp:cNvGraphicFramePr>
              <a:graphicFrameLocks noChangeAspect="1"/>
            </wp:cNvGraphicFramePr>
            <a:graphic>
              <a:graphicData uri="http://schemas.openxmlformats.org/drawingml/2006/picture">
                <pic:pic>
                  <pic:nvPicPr>
                    <pic:cNvPr id="0" name="eq_4_11.png"/>
                    <pic:cNvPicPr/>
                  </pic:nvPicPr>
                  <pic:blipFill>
                    <a:blip r:embed="rId24"/>
                    <a:stretch>
                      <a:fillRect/>
                    </a:stretch>
                  </pic:blipFill>
                  <pic:spPr>
                    <a:xfrm>
                      <a:off x="0" y="0"/>
                      <a:ext cx="2410968" cy="481583"/>
                    </a:xfrm>
                    <a:prstGeom prst="rect"/>
                  </pic:spPr>
                </pic:pic>
              </a:graphicData>
            </a:graphic>
          </wp:inline>
        </w:drawing>
      </w:r>
      <w:r>
        <w:tab/>
        <w:t>(4.11)</w:t>
      </w:r>
    </w:p>
    <w:p>
      <w:r>
        <w:rPr>
          <w:rFonts w:ascii="Times New Roman" w:hAnsi="Times New Roman"/>
        </w:rPr>
        <w:t>In ordinary seas (s ≈ 0) it reduces to the MSE; in extreme seas (s ≈ 1) every error weighs 1 + β = 2 times as much and an under-prediction 1 + β + γ = 6 times as much. The loss accepts some positive bias at the peaks in return for fewer missed extremes. An otherwise identical network trained with the MSE isolates the effect.</w:t>
      </w:r>
    </w:p>
    <w:p>
      <w:pPr>
        <w:pStyle w:val="Heading2"/>
      </w:pPr>
      <w:bookmarkStart w:id="128" w:name="_Toc128"/>
      <w:r>
        <w:rPr>
          <w:rFonts w:ascii="Times New Roman" w:hAnsi="Times New Roman"/>
        </w:rPr>
        <w:t>4.7</w:t>
        <w:tab/>
        <w:t>Phase 5: verification</w:t>
      </w:r>
      <w:bookmarkEnd w:id="128"/>
    </w:p>
    <w:p>
      <w:r>
        <w:rPr>
          <w:rFonts w:ascii="Times New Roman" w:hAnsi="Times New Roman"/>
        </w:rPr>
        <w:t>All models are scored on the same test origins. For observations o</w:t>
      </w:r>
      <w:r>
        <w:rPr>
          <w:rFonts w:ascii="Times New Roman" w:hAnsi="Times New Roman"/>
          <w:vertAlign w:val="subscript"/>
        </w:rPr>
        <w:t>i</w:t>
      </w:r>
      <w:r>
        <w:rPr>
          <w:rFonts w:ascii="Times New Roman" w:hAnsi="Times New Roman"/>
        </w:rPr>
        <w:t xml:space="preserve"> and forecasts p</w:t>
      </w:r>
      <w:r>
        <w:rPr>
          <w:rFonts w:ascii="Times New Roman" w:hAnsi="Times New Roman"/>
          <w:vertAlign w:val="subscript"/>
        </w:rPr>
        <w:t>i</w:t>
      </w:r>
      <w:r>
        <w:rPr>
          <w:rFonts w:ascii="Times New Roman" w:hAnsi="Times New Roman"/>
        </w:rPr>
        <w:t xml:space="preserve"> at one horizon:</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4572000" cy="464766"/>
            <wp:docPr id="18" name="Picture 18"/>
            <wp:cNvGraphicFramePr>
              <a:graphicFrameLocks noChangeAspect="1"/>
            </wp:cNvGraphicFramePr>
            <a:graphic>
              <a:graphicData uri="http://schemas.openxmlformats.org/drawingml/2006/picture">
                <pic:pic>
                  <pic:nvPicPr>
                    <pic:cNvPr id="0" name="eq_4_12.png"/>
                    <pic:cNvPicPr/>
                  </pic:nvPicPr>
                  <pic:blipFill>
                    <a:blip r:embed="rId25"/>
                    <a:stretch>
                      <a:fillRect/>
                    </a:stretch>
                  </pic:blipFill>
                  <pic:spPr>
                    <a:xfrm>
                      <a:off x="0" y="0"/>
                      <a:ext cx="4572000" cy="464766"/>
                    </a:xfrm>
                    <a:prstGeom prst="rect"/>
                  </pic:spPr>
                </pic:pic>
              </a:graphicData>
            </a:graphic>
          </wp:inline>
        </w:drawing>
      </w:r>
      <w:r>
        <w:tab/>
        <w:t>(4.12)</w:t>
      </w:r>
    </w:p>
    <w:p>
      <w:r>
        <w:rPr>
          <w:rFonts w:ascii="Times New Roman" w:hAnsi="Times New Roman"/>
        </w:rPr>
        <w:t>The bias and the correlation coefficient are reported alongside these [20], together with the skill relative to persistence:</w:t>
      </w:r>
    </w:p>
    <w:p>
      <w:pPr>
        <w:pStyle w:val="Single"/>
        <w:tabs>
          <w:tab w:pos="4320" w:val="center"/>
          <w:tab w:pos="8568" w:val="right"/>
        </w:tabs>
        <w:spacing w:before="160" w:after="200"/>
      </w:pPr>
      <w:r>
        <w:tab/>
      </w:r>
      <w:r>
        <w:drawing>
          <wp:inline xmlns:a="http://schemas.openxmlformats.org/drawingml/2006/main" xmlns:pic="http://schemas.openxmlformats.org/drawingml/2006/picture">
            <wp:extent cx="1310640" cy="329184"/>
            <wp:docPr id="19" name="Picture 19"/>
            <wp:cNvGraphicFramePr>
              <a:graphicFrameLocks noChangeAspect="1"/>
            </wp:cNvGraphicFramePr>
            <a:graphic>
              <a:graphicData uri="http://schemas.openxmlformats.org/drawingml/2006/picture">
                <pic:pic>
                  <pic:nvPicPr>
                    <pic:cNvPr id="0" name="eq_4_13.png"/>
                    <pic:cNvPicPr/>
                  </pic:nvPicPr>
                  <pic:blipFill>
                    <a:blip r:embed="rId26"/>
                    <a:stretch>
                      <a:fillRect/>
                    </a:stretch>
                  </pic:blipFill>
                  <pic:spPr>
                    <a:xfrm>
                      <a:off x="0" y="0"/>
                      <a:ext cx="1310640" cy="329184"/>
                    </a:xfrm>
                    <a:prstGeom prst="rect"/>
                  </pic:spPr>
                </pic:pic>
              </a:graphicData>
            </a:graphic>
          </wp:inline>
        </w:drawing>
      </w:r>
      <w:r>
        <w:tab/>
        <w:t>(4.13)</w:t>
      </w:r>
    </w:p>
    <w:p>
      <w:r>
        <w:rPr>
          <w:rFonts w:ascii="Times New Roman" w:hAnsi="Times New Roman"/>
        </w:rPr>
        <w:t>Scores are also computed on the extreme subset (o ≥ q) and within the windows of the named cyclones of 2023–2024. Differences in squared error between models are tested with the Diebold–Mariano statistic [21] with the small-sample correction of Harvey et al. [22]; because forecasts issued every hour overlap, the long-run variance uses a Newey–West estimator with h lags.</w:t>
      </w:r>
    </w:p>
    <w:p>
      <w:pPr>
        <w:pStyle w:val="Heading1"/>
      </w:pPr>
      <w:bookmarkStart w:id="129" w:name="_Toc129"/>
      <w:r>
        <w:rPr>
          <w:b/>
          <w:color w:val="444444"/>
          <w:sz w:val="26"/>
        </w:rPr>
        <w:t>CHAPTER 5</w:t>
        <w:br/>
      </w:r>
      <w:r>
        <w:rPr>
          <w:rFonts w:ascii="Times New Roman" w:hAnsi="Times New Roman"/>
        </w:rPr>
        <w:t>Results and Discussion</w:t>
      </w:r>
      <w:bookmarkEnd w:id="129"/>
    </w:p>
    <w:p>
      <w:r>
        <w:rPr>
          <w:rFonts w:ascii="Times New Roman" w:hAnsi="Times New Roman"/>
        </w:rPr>
        <w:t>All results in this chapter are for the test period 2023–2024, which no model saw during training, early stopping or hyperparameter selection. The target is ERA5 H</w:t>
      </w:r>
      <w:r>
        <w:rPr>
          <w:rFonts w:ascii="Times New Roman" w:hAnsi="Times New Roman"/>
          <w:vertAlign w:val="subscript"/>
        </w:rPr>
        <w:t>s</w:t>
      </w:r>
      <w:r>
        <w:rPr>
          <w:rFonts w:ascii="Times New Roman" w:hAnsi="Times New Roman"/>
        </w:rPr>
        <w:t xml:space="preserve"> at the buoy positions (Section 3.3), and every model is scored on exactly the same forecast origins at each site.</w:t>
      </w:r>
    </w:p>
    <w:p>
      <w:pPr>
        <w:pStyle w:val="Heading2"/>
      </w:pPr>
      <w:bookmarkStart w:id="130" w:name="_Toc130"/>
      <w:r>
        <w:rPr>
          <w:rFonts w:ascii="Times New Roman" w:hAnsi="Times New Roman"/>
        </w:rPr>
        <w:t>5.1</w:t>
        <w:tab/>
        <w:t>Overall accuracy by lead time</w:t>
      </w:r>
      <w:bookmarkEnd w:id="130"/>
    </w:p>
    <w:p>
      <w:r>
        <w:rPr>
          <w:rFonts w:ascii="Times New Roman" w:hAnsi="Times New Roman"/>
        </w:rPr>
        <w:t>Tables 5.1–5.3 give the RMSE of every model at every lead time, and Figure 5.1 shows the same results graphically. Averaged over the three sites, the most accurate model is LightGBM at 6 h (0.106 m), CatBoost at 24 h (0.247 m) and LightGBM at 72 h (0.419 m). Errors grow with lead time for every model, from about 0.11 m at 6 h to 0.42 m at 72 h for the best model, against 0.13 m and 0.54 m for persistence.</w:t>
      </w:r>
    </w:p>
    <w:p>
      <w:pPr>
        <w:pStyle w:val="TableCaption"/>
      </w:pPr>
      <w:r>
        <w:rPr>
          <w:b/>
        </w:rPr>
        <w:t xml:space="preserve">Table 5.1: </w:t>
      </w:r>
      <w:r>
        <w:rPr>
          <w:rFonts w:ascii="Times New Roman" w:hAnsi="Times New Roman"/>
        </w:rPr>
        <w:t>Test RMSE (m) at BD08, 2023–2024 (17,400 common forecast origins; best learned or baseline model per lead time in bold)</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160"/>
        <w:gridCol w:w="1296"/>
        <w:gridCol w:w="1296"/>
        <w:gridCol w:w="1296"/>
        <w:gridCol w:w="1296"/>
        <w:gridCol w:w="1296"/>
      </w:tblGrid>
      <w:tr>
        <w:trPr>
          <w:cantSplit w:val="true"/>
          <w:tblHeader w:val="true"/>
        </w:trPr>
        <w:tc>
          <w:tcPr>
            <w:tcW w:type="dxa" w:w="2160"/>
            <w:tcBorders>
              <w:bottom w:val="single" w:sz="6" w:color="000000"/>
            </w:tcBorders>
            <w:vAlign w:val="center"/>
          </w:tcPr>
          <w:p>
            <w:pPr>
              <w:pStyle w:val="TableText"/>
            </w:pPr>
            <w:r>
              <w:rPr>
                <w:rFonts w:ascii="Times New Roman" w:hAnsi="Times New Roman"/>
                <w:b/>
              </w:rPr>
              <w:t>Model</w:t>
            </w:r>
          </w:p>
        </w:tc>
        <w:tc>
          <w:tcPr>
            <w:tcW w:type="dxa" w:w="1296"/>
            <w:tcBorders>
              <w:bottom w:val="single" w:sz="6" w:color="000000"/>
            </w:tcBorders>
            <w:vAlign w:val="center"/>
          </w:tcPr>
          <w:p>
            <w:pPr>
              <w:pStyle w:val="TableText"/>
              <w:jc w:val="center"/>
            </w:pPr>
            <w:r>
              <w:rPr>
                <w:rFonts w:ascii="Times New Roman" w:hAnsi="Times New Roman"/>
                <w:b/>
              </w:rPr>
              <w:t>6 h</w:t>
            </w:r>
          </w:p>
        </w:tc>
        <w:tc>
          <w:tcPr>
            <w:tcW w:type="dxa" w:w="1296"/>
            <w:tcBorders>
              <w:bottom w:val="single" w:sz="6" w:color="000000"/>
            </w:tcBorders>
            <w:vAlign w:val="center"/>
          </w:tcPr>
          <w:p>
            <w:pPr>
              <w:pStyle w:val="TableText"/>
              <w:jc w:val="center"/>
            </w:pPr>
            <w:r>
              <w:rPr>
                <w:rFonts w:ascii="Times New Roman" w:hAnsi="Times New Roman"/>
                <w:b/>
              </w:rPr>
              <w:t>12 h</w:t>
            </w:r>
          </w:p>
        </w:tc>
        <w:tc>
          <w:tcPr>
            <w:tcW w:type="dxa" w:w="1296"/>
            <w:tcBorders>
              <w:bottom w:val="single" w:sz="6" w:color="000000"/>
            </w:tcBorders>
            <w:vAlign w:val="center"/>
          </w:tcPr>
          <w:p>
            <w:pPr>
              <w:pStyle w:val="TableText"/>
              <w:jc w:val="center"/>
            </w:pPr>
            <w:r>
              <w:rPr>
                <w:rFonts w:ascii="Times New Roman" w:hAnsi="Times New Roman"/>
                <w:b/>
              </w:rPr>
              <w:t>24 h</w:t>
            </w:r>
          </w:p>
        </w:tc>
        <w:tc>
          <w:tcPr>
            <w:tcW w:type="dxa" w:w="1296"/>
            <w:tcBorders>
              <w:bottom w:val="single" w:sz="6" w:color="000000"/>
            </w:tcBorders>
            <w:vAlign w:val="center"/>
          </w:tcPr>
          <w:p>
            <w:pPr>
              <w:pStyle w:val="TableText"/>
              <w:jc w:val="center"/>
            </w:pPr>
            <w:r>
              <w:rPr>
                <w:rFonts w:ascii="Times New Roman" w:hAnsi="Times New Roman"/>
                <w:b/>
              </w:rPr>
              <w:t>48 h</w:t>
            </w:r>
          </w:p>
        </w:tc>
        <w:tc>
          <w:tcPr>
            <w:tcW w:type="dxa" w:w="129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160"/>
            <w:vAlign w:val="center"/>
          </w:tcPr>
          <w:p>
            <w:pPr>
              <w:pStyle w:val="TableText"/>
            </w:pPr>
            <w:r>
              <w:rPr>
                <w:rFonts w:ascii="Times New Roman" w:hAnsi="Times New Roman"/>
              </w:rPr>
              <w:t>Persistence</w:t>
            </w:r>
          </w:p>
        </w:tc>
        <w:tc>
          <w:tcPr>
            <w:tcW w:type="dxa" w:w="1296"/>
            <w:vAlign w:val="center"/>
          </w:tcPr>
          <w:p>
            <w:pPr>
              <w:pStyle w:val="TableText"/>
              <w:jc w:val="center"/>
            </w:pPr>
            <w:r>
              <w:rPr>
                <w:rFonts w:ascii="Times New Roman" w:hAnsi="Times New Roman"/>
              </w:rPr>
              <w:t>0.133</w:t>
            </w:r>
          </w:p>
        </w:tc>
        <w:tc>
          <w:tcPr>
            <w:tcW w:type="dxa" w:w="1296"/>
            <w:vAlign w:val="center"/>
          </w:tcPr>
          <w:p>
            <w:pPr>
              <w:pStyle w:val="TableText"/>
              <w:jc w:val="center"/>
            </w:pPr>
            <w:r>
              <w:rPr>
                <w:rFonts w:ascii="Times New Roman" w:hAnsi="Times New Roman"/>
              </w:rPr>
              <w:t>0.218</w:t>
            </w:r>
          </w:p>
        </w:tc>
        <w:tc>
          <w:tcPr>
            <w:tcW w:type="dxa" w:w="1296"/>
            <w:vAlign w:val="center"/>
          </w:tcPr>
          <w:p>
            <w:pPr>
              <w:pStyle w:val="TableText"/>
              <w:jc w:val="center"/>
            </w:pPr>
            <w:r>
              <w:rPr>
                <w:rFonts w:ascii="Times New Roman" w:hAnsi="Times New Roman"/>
              </w:rPr>
              <w:t>0.345</w:t>
            </w:r>
          </w:p>
        </w:tc>
        <w:tc>
          <w:tcPr>
            <w:tcW w:type="dxa" w:w="1296"/>
            <w:vAlign w:val="center"/>
          </w:tcPr>
          <w:p>
            <w:pPr>
              <w:pStyle w:val="TableText"/>
              <w:jc w:val="center"/>
            </w:pPr>
            <w:r>
              <w:rPr>
                <w:rFonts w:ascii="Times New Roman" w:hAnsi="Times New Roman"/>
              </w:rPr>
              <w:t>0.527</w:t>
            </w:r>
          </w:p>
        </w:tc>
        <w:tc>
          <w:tcPr>
            <w:tcW w:type="dxa" w:w="1296"/>
            <w:vAlign w:val="center"/>
          </w:tcPr>
          <w:p>
            <w:pPr>
              <w:pStyle w:val="TableText"/>
              <w:jc w:val="center"/>
            </w:pPr>
            <w:r>
              <w:rPr>
                <w:rFonts w:ascii="Times New Roman" w:hAnsi="Times New Roman"/>
              </w:rPr>
              <w:t>0.621</w:t>
            </w:r>
          </w:p>
        </w:tc>
      </w:tr>
      <w:tr>
        <w:trPr>
          <w:cantSplit w:val="true"/>
        </w:trPr>
        <w:tc>
          <w:tcPr>
            <w:tcW w:type="dxa" w:w="2160"/>
            <w:vAlign w:val="center"/>
          </w:tcPr>
          <w:p>
            <w:pPr>
              <w:pStyle w:val="TableText"/>
            </w:pPr>
            <w:r>
              <w:rPr>
                <w:rFonts w:ascii="Times New Roman" w:hAnsi="Times New Roman"/>
              </w:rPr>
              <w:t>Climatology</w:t>
            </w:r>
          </w:p>
        </w:tc>
        <w:tc>
          <w:tcPr>
            <w:tcW w:type="dxa" w:w="1296"/>
            <w:vAlign w:val="center"/>
          </w:tcPr>
          <w:p>
            <w:pPr>
              <w:pStyle w:val="TableText"/>
              <w:jc w:val="center"/>
            </w:pPr>
            <w:r>
              <w:rPr>
                <w:rFonts w:ascii="Times New Roman" w:hAnsi="Times New Roman"/>
              </w:rPr>
              <w:t>0.508</w:t>
            </w:r>
          </w:p>
        </w:tc>
        <w:tc>
          <w:tcPr>
            <w:tcW w:type="dxa" w:w="1296"/>
            <w:vAlign w:val="center"/>
          </w:tcPr>
          <w:p>
            <w:pPr>
              <w:pStyle w:val="TableText"/>
              <w:jc w:val="center"/>
            </w:pPr>
            <w:r>
              <w:rPr>
                <w:rFonts w:ascii="Times New Roman" w:hAnsi="Times New Roman"/>
              </w:rPr>
              <w:t>0.508</w:t>
            </w:r>
          </w:p>
        </w:tc>
        <w:tc>
          <w:tcPr>
            <w:tcW w:type="dxa" w:w="1296"/>
            <w:vAlign w:val="center"/>
          </w:tcPr>
          <w:p>
            <w:pPr>
              <w:pStyle w:val="TableText"/>
              <w:jc w:val="center"/>
            </w:pPr>
            <w:r>
              <w:rPr>
                <w:rFonts w:ascii="Times New Roman" w:hAnsi="Times New Roman"/>
              </w:rPr>
              <w:t>0.508</w:t>
            </w:r>
          </w:p>
        </w:tc>
        <w:tc>
          <w:tcPr>
            <w:tcW w:type="dxa" w:w="1296"/>
            <w:vAlign w:val="center"/>
          </w:tcPr>
          <w:p>
            <w:pPr>
              <w:pStyle w:val="TableText"/>
              <w:jc w:val="center"/>
            </w:pPr>
            <w:r>
              <w:rPr>
                <w:rFonts w:ascii="Times New Roman" w:hAnsi="Times New Roman"/>
              </w:rPr>
              <w:t>0.508</w:t>
            </w:r>
          </w:p>
        </w:tc>
        <w:tc>
          <w:tcPr>
            <w:tcW w:type="dxa" w:w="1296"/>
            <w:vAlign w:val="center"/>
          </w:tcPr>
          <w:p>
            <w:pPr>
              <w:pStyle w:val="TableText"/>
              <w:jc w:val="center"/>
            </w:pPr>
            <w:r>
              <w:rPr>
                <w:rFonts w:ascii="Times New Roman" w:hAnsi="Times New Roman"/>
              </w:rPr>
              <w:t>0.507</w:t>
            </w:r>
          </w:p>
        </w:tc>
      </w:tr>
      <w:tr>
        <w:trPr>
          <w:cantSplit w:val="true"/>
        </w:trPr>
        <w:tc>
          <w:tcPr>
            <w:tcW w:type="dxa" w:w="2160"/>
            <w:vAlign w:val="center"/>
          </w:tcPr>
          <w:p>
            <w:pPr>
              <w:pStyle w:val="TableText"/>
            </w:pPr>
            <w:r>
              <w:rPr>
                <w:rFonts w:ascii="Times New Roman" w:hAnsi="Times New Roman"/>
              </w:rPr>
              <w:t>ARIMA</w:t>
            </w:r>
          </w:p>
        </w:tc>
        <w:tc>
          <w:tcPr>
            <w:tcW w:type="dxa" w:w="1296"/>
            <w:vAlign w:val="center"/>
          </w:tcPr>
          <w:p>
            <w:pPr>
              <w:pStyle w:val="TableText"/>
              <w:jc w:val="center"/>
            </w:pPr>
            <w:r>
              <w:rPr>
                <w:rFonts w:ascii="Times New Roman" w:hAnsi="Times New Roman"/>
              </w:rPr>
              <w:t>0.120</w:t>
            </w:r>
          </w:p>
        </w:tc>
        <w:tc>
          <w:tcPr>
            <w:tcW w:type="dxa" w:w="1296"/>
            <w:vAlign w:val="center"/>
          </w:tcPr>
          <w:p>
            <w:pPr>
              <w:pStyle w:val="TableText"/>
              <w:jc w:val="center"/>
            </w:pPr>
            <w:r>
              <w:rPr>
                <w:rFonts w:ascii="Times New Roman" w:hAnsi="Times New Roman"/>
              </w:rPr>
              <w:t>0.206</w:t>
            </w:r>
          </w:p>
        </w:tc>
        <w:tc>
          <w:tcPr>
            <w:tcW w:type="dxa" w:w="1296"/>
            <w:vAlign w:val="center"/>
          </w:tcPr>
          <w:p>
            <w:pPr>
              <w:pStyle w:val="TableText"/>
              <w:jc w:val="center"/>
            </w:pPr>
            <w:r>
              <w:rPr>
                <w:rFonts w:ascii="Times New Roman" w:hAnsi="Times New Roman"/>
              </w:rPr>
              <w:t>0.331</w:t>
            </w:r>
          </w:p>
        </w:tc>
        <w:tc>
          <w:tcPr>
            <w:tcW w:type="dxa" w:w="1296"/>
            <w:vAlign w:val="center"/>
          </w:tcPr>
          <w:p>
            <w:pPr>
              <w:pStyle w:val="TableText"/>
              <w:jc w:val="center"/>
            </w:pPr>
            <w:r>
              <w:rPr>
                <w:rFonts w:ascii="Times New Roman" w:hAnsi="Times New Roman"/>
              </w:rPr>
              <w:t>0.520</w:t>
            </w:r>
          </w:p>
        </w:tc>
        <w:tc>
          <w:tcPr>
            <w:tcW w:type="dxa" w:w="1296"/>
            <w:vAlign w:val="center"/>
          </w:tcPr>
          <w:p>
            <w:pPr>
              <w:pStyle w:val="TableText"/>
              <w:jc w:val="center"/>
            </w:pPr>
            <w:r>
              <w:rPr>
                <w:rFonts w:ascii="Times New Roman" w:hAnsi="Times New Roman"/>
              </w:rPr>
              <w:t>0.623</w:t>
            </w:r>
          </w:p>
        </w:tc>
      </w:tr>
      <w:tr>
        <w:trPr>
          <w:cantSplit w:val="true"/>
        </w:trPr>
        <w:tc>
          <w:tcPr>
            <w:tcW w:type="dxa" w:w="2160"/>
            <w:vAlign w:val="center"/>
          </w:tcPr>
          <w:p>
            <w:pPr>
              <w:pStyle w:val="TableText"/>
            </w:pPr>
            <w:r>
              <w:rPr>
                <w:rFonts w:ascii="Times New Roman" w:hAnsi="Times New Roman"/>
              </w:rPr>
              <w:t>LightGBM</w:t>
            </w:r>
          </w:p>
        </w:tc>
        <w:tc>
          <w:tcPr>
            <w:tcW w:type="dxa" w:w="1296"/>
            <w:vAlign w:val="center"/>
          </w:tcPr>
          <w:p>
            <w:pPr>
              <w:pStyle w:val="TableText"/>
              <w:jc w:val="center"/>
            </w:pPr>
            <w:r>
              <w:rPr>
                <w:rFonts w:ascii="Times New Roman" w:hAnsi="Times New Roman"/>
                <w:b/>
              </w:rPr>
              <w:t>0.115</w:t>
            </w:r>
          </w:p>
        </w:tc>
        <w:tc>
          <w:tcPr>
            <w:tcW w:type="dxa" w:w="1296"/>
            <w:vAlign w:val="center"/>
          </w:tcPr>
          <w:p>
            <w:pPr>
              <w:pStyle w:val="TableText"/>
              <w:jc w:val="center"/>
            </w:pPr>
            <w:r>
              <w:rPr>
                <w:rFonts w:ascii="Times New Roman" w:hAnsi="Times New Roman"/>
                <w:b/>
              </w:rPr>
              <w:t>0.178</w:t>
            </w:r>
          </w:p>
        </w:tc>
        <w:tc>
          <w:tcPr>
            <w:tcW w:type="dxa" w:w="1296"/>
            <w:vAlign w:val="center"/>
          </w:tcPr>
          <w:p>
            <w:pPr>
              <w:pStyle w:val="TableText"/>
              <w:jc w:val="center"/>
            </w:pPr>
            <w:r>
              <w:rPr>
                <w:rFonts w:ascii="Times New Roman" w:hAnsi="Times New Roman"/>
              </w:rPr>
              <w:t>0.270</w:t>
            </w:r>
          </w:p>
        </w:tc>
        <w:tc>
          <w:tcPr>
            <w:tcW w:type="dxa" w:w="1296"/>
            <w:vAlign w:val="center"/>
          </w:tcPr>
          <w:p>
            <w:pPr>
              <w:pStyle w:val="TableText"/>
              <w:jc w:val="center"/>
            </w:pPr>
            <w:r>
              <w:rPr>
                <w:rFonts w:ascii="Times New Roman" w:hAnsi="Times New Roman"/>
                <w:b/>
              </w:rPr>
              <w:t>0.386</w:t>
            </w:r>
          </w:p>
        </w:tc>
        <w:tc>
          <w:tcPr>
            <w:tcW w:type="dxa" w:w="1296"/>
            <w:vAlign w:val="center"/>
          </w:tcPr>
          <w:p>
            <w:pPr>
              <w:pStyle w:val="TableText"/>
              <w:jc w:val="center"/>
            </w:pPr>
            <w:r>
              <w:rPr>
                <w:rFonts w:ascii="Times New Roman" w:hAnsi="Times New Roman"/>
                <w:b/>
              </w:rPr>
              <w:t>0.446</w:t>
            </w:r>
          </w:p>
        </w:tc>
      </w:tr>
      <w:tr>
        <w:trPr>
          <w:cantSplit w:val="true"/>
        </w:trPr>
        <w:tc>
          <w:tcPr>
            <w:tcW w:type="dxa" w:w="2160"/>
            <w:vAlign w:val="center"/>
          </w:tcPr>
          <w:p>
            <w:pPr>
              <w:pStyle w:val="TableText"/>
            </w:pPr>
            <w:r>
              <w:rPr>
                <w:rFonts w:ascii="Times New Roman" w:hAnsi="Times New Roman"/>
              </w:rPr>
              <w:t>CatBoost</w:t>
            </w:r>
          </w:p>
        </w:tc>
        <w:tc>
          <w:tcPr>
            <w:tcW w:type="dxa" w:w="1296"/>
            <w:vAlign w:val="center"/>
          </w:tcPr>
          <w:p>
            <w:pPr>
              <w:pStyle w:val="TableText"/>
              <w:jc w:val="center"/>
            </w:pPr>
            <w:r>
              <w:rPr>
                <w:rFonts w:ascii="Times New Roman" w:hAnsi="Times New Roman"/>
              </w:rPr>
              <w:t>0.116</w:t>
            </w:r>
          </w:p>
        </w:tc>
        <w:tc>
          <w:tcPr>
            <w:tcW w:type="dxa" w:w="1296"/>
            <w:vAlign w:val="center"/>
          </w:tcPr>
          <w:p>
            <w:pPr>
              <w:pStyle w:val="TableText"/>
              <w:jc w:val="center"/>
            </w:pPr>
            <w:r>
              <w:rPr>
                <w:rFonts w:ascii="Times New Roman" w:hAnsi="Times New Roman"/>
              </w:rPr>
              <w:t>0.180</w:t>
            </w:r>
          </w:p>
        </w:tc>
        <w:tc>
          <w:tcPr>
            <w:tcW w:type="dxa" w:w="1296"/>
            <w:vAlign w:val="center"/>
          </w:tcPr>
          <w:p>
            <w:pPr>
              <w:pStyle w:val="TableText"/>
              <w:jc w:val="center"/>
            </w:pPr>
            <w:r>
              <w:rPr>
                <w:rFonts w:ascii="Times New Roman" w:hAnsi="Times New Roman"/>
                <w:b/>
              </w:rPr>
              <w:t>0.266</w:t>
            </w:r>
          </w:p>
        </w:tc>
        <w:tc>
          <w:tcPr>
            <w:tcW w:type="dxa" w:w="1296"/>
            <w:vAlign w:val="center"/>
          </w:tcPr>
          <w:p>
            <w:pPr>
              <w:pStyle w:val="TableText"/>
              <w:jc w:val="center"/>
            </w:pPr>
            <w:r>
              <w:rPr>
                <w:rFonts w:ascii="Times New Roman" w:hAnsi="Times New Roman"/>
              </w:rPr>
              <w:t>0.392</w:t>
            </w:r>
          </w:p>
        </w:tc>
        <w:tc>
          <w:tcPr>
            <w:tcW w:type="dxa" w:w="1296"/>
            <w:vAlign w:val="center"/>
          </w:tcPr>
          <w:p>
            <w:pPr>
              <w:pStyle w:val="TableText"/>
              <w:jc w:val="center"/>
            </w:pPr>
            <w:r>
              <w:rPr>
                <w:rFonts w:ascii="Times New Roman" w:hAnsi="Times New Roman"/>
              </w:rPr>
              <w:t>0.448</w:t>
            </w:r>
          </w:p>
        </w:tc>
      </w:tr>
      <w:tr>
        <w:trPr>
          <w:cantSplit w:val="true"/>
        </w:trPr>
        <w:tc>
          <w:tcPr>
            <w:tcW w:type="dxa" w:w="2160"/>
            <w:vAlign w:val="center"/>
          </w:tcPr>
          <w:p>
            <w:pPr>
              <w:pStyle w:val="TableText"/>
            </w:pPr>
            <w:r>
              <w:rPr>
                <w:rFonts w:ascii="Times New Roman" w:hAnsi="Times New Roman"/>
              </w:rPr>
              <w:t>LSTM (MSE)</w:t>
            </w:r>
          </w:p>
        </w:tc>
        <w:tc>
          <w:tcPr>
            <w:tcW w:type="dxa" w:w="1296"/>
            <w:vAlign w:val="center"/>
          </w:tcPr>
          <w:p>
            <w:pPr>
              <w:pStyle w:val="TableText"/>
              <w:jc w:val="center"/>
            </w:pPr>
            <w:r>
              <w:rPr>
                <w:rFonts w:ascii="Times New Roman" w:hAnsi="Times New Roman"/>
              </w:rPr>
              <w:t>0.125</w:t>
            </w:r>
          </w:p>
        </w:tc>
        <w:tc>
          <w:tcPr>
            <w:tcW w:type="dxa" w:w="1296"/>
            <w:vAlign w:val="center"/>
          </w:tcPr>
          <w:p>
            <w:pPr>
              <w:pStyle w:val="TableText"/>
              <w:jc w:val="center"/>
            </w:pPr>
            <w:r>
              <w:rPr>
                <w:rFonts w:ascii="Times New Roman" w:hAnsi="Times New Roman"/>
              </w:rPr>
              <w:t>0.194</w:t>
            </w:r>
          </w:p>
        </w:tc>
        <w:tc>
          <w:tcPr>
            <w:tcW w:type="dxa" w:w="1296"/>
            <w:vAlign w:val="center"/>
          </w:tcPr>
          <w:p>
            <w:pPr>
              <w:pStyle w:val="TableText"/>
              <w:jc w:val="center"/>
            </w:pPr>
            <w:r>
              <w:rPr>
                <w:rFonts w:ascii="Times New Roman" w:hAnsi="Times New Roman"/>
              </w:rPr>
              <w:t>0.285</w:t>
            </w:r>
          </w:p>
        </w:tc>
        <w:tc>
          <w:tcPr>
            <w:tcW w:type="dxa" w:w="1296"/>
            <w:vAlign w:val="center"/>
          </w:tcPr>
          <w:p>
            <w:pPr>
              <w:pStyle w:val="TableText"/>
              <w:jc w:val="center"/>
            </w:pPr>
            <w:r>
              <w:rPr>
                <w:rFonts w:ascii="Times New Roman" w:hAnsi="Times New Roman"/>
              </w:rPr>
              <w:t>0.403</w:t>
            </w:r>
          </w:p>
        </w:tc>
        <w:tc>
          <w:tcPr>
            <w:tcW w:type="dxa" w:w="1296"/>
            <w:vAlign w:val="center"/>
          </w:tcPr>
          <w:p>
            <w:pPr>
              <w:pStyle w:val="TableText"/>
              <w:jc w:val="center"/>
            </w:pPr>
            <w:r>
              <w:rPr>
                <w:rFonts w:ascii="Times New Roman" w:hAnsi="Times New Roman"/>
              </w:rPr>
              <w:t>0.473</w:t>
            </w:r>
          </w:p>
        </w:tc>
      </w:tr>
      <w:tr>
        <w:trPr>
          <w:cantSplit w:val="true"/>
        </w:trPr>
        <w:tc>
          <w:tcPr>
            <w:tcW w:type="dxa" w:w="2160"/>
            <w:vAlign w:val="center"/>
          </w:tcPr>
          <w:p>
            <w:pPr>
              <w:pStyle w:val="TableText"/>
            </w:pPr>
            <w:r>
              <w:rPr>
                <w:rFonts w:ascii="Times New Roman" w:hAnsi="Times New Roman"/>
              </w:rPr>
              <w:t>LSTM (peak loss)</w:t>
            </w:r>
          </w:p>
        </w:tc>
        <w:tc>
          <w:tcPr>
            <w:tcW w:type="dxa" w:w="1296"/>
            <w:vAlign w:val="center"/>
          </w:tcPr>
          <w:p>
            <w:pPr>
              <w:pStyle w:val="TableText"/>
              <w:jc w:val="center"/>
            </w:pPr>
            <w:r>
              <w:rPr>
                <w:rFonts w:ascii="Times New Roman" w:hAnsi="Times New Roman"/>
              </w:rPr>
              <w:t>0.150</w:t>
            </w:r>
          </w:p>
        </w:tc>
        <w:tc>
          <w:tcPr>
            <w:tcW w:type="dxa" w:w="1296"/>
            <w:vAlign w:val="center"/>
          </w:tcPr>
          <w:p>
            <w:pPr>
              <w:pStyle w:val="TableText"/>
              <w:jc w:val="center"/>
            </w:pPr>
            <w:r>
              <w:rPr>
                <w:rFonts w:ascii="Times New Roman" w:hAnsi="Times New Roman"/>
              </w:rPr>
              <w:t>0.218</w:t>
            </w:r>
          </w:p>
        </w:tc>
        <w:tc>
          <w:tcPr>
            <w:tcW w:type="dxa" w:w="1296"/>
            <w:vAlign w:val="center"/>
          </w:tcPr>
          <w:p>
            <w:pPr>
              <w:pStyle w:val="TableText"/>
              <w:jc w:val="center"/>
            </w:pPr>
            <w:r>
              <w:rPr>
                <w:rFonts w:ascii="Times New Roman" w:hAnsi="Times New Roman"/>
              </w:rPr>
              <w:t>0.309</w:t>
            </w:r>
          </w:p>
        </w:tc>
        <w:tc>
          <w:tcPr>
            <w:tcW w:type="dxa" w:w="1296"/>
            <w:vAlign w:val="center"/>
          </w:tcPr>
          <w:p>
            <w:pPr>
              <w:pStyle w:val="TableText"/>
              <w:jc w:val="center"/>
            </w:pPr>
            <w:r>
              <w:rPr>
                <w:rFonts w:ascii="Times New Roman" w:hAnsi="Times New Roman"/>
              </w:rPr>
              <w:t>0.444</w:t>
            </w:r>
          </w:p>
        </w:tc>
        <w:tc>
          <w:tcPr>
            <w:tcW w:type="dxa" w:w="1296"/>
            <w:vAlign w:val="center"/>
          </w:tcPr>
          <w:p>
            <w:pPr>
              <w:pStyle w:val="TableText"/>
              <w:jc w:val="center"/>
            </w:pPr>
            <w:r>
              <w:rPr>
                <w:rFonts w:ascii="Times New Roman" w:hAnsi="Times New Roman"/>
              </w:rPr>
              <w:t>0.544</w:t>
            </w:r>
          </w:p>
        </w:tc>
      </w:tr>
    </w:tbl>
    <w:p>
      <w:pPr>
        <w:pStyle w:val="Single"/>
        <w:spacing w:after="200" w:line="40" w:lineRule="exact"/>
      </w:pPr>
    </w:p>
    <w:p>
      <w:pPr>
        <w:pStyle w:val="TableCaption"/>
      </w:pPr>
      <w:r>
        <w:rPr>
          <w:b/>
        </w:rPr>
        <w:t xml:space="preserve">Table 5.2: </w:t>
      </w:r>
      <w:r>
        <w:rPr>
          <w:rFonts w:ascii="Times New Roman" w:hAnsi="Times New Roman"/>
        </w:rPr>
        <w:t>Test RMSE (m) at BD10, 2023–2024 (17,400 common forecast origins; best learned or baseline model per lead time in bold)</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160"/>
        <w:gridCol w:w="1296"/>
        <w:gridCol w:w="1296"/>
        <w:gridCol w:w="1296"/>
        <w:gridCol w:w="1296"/>
        <w:gridCol w:w="1296"/>
      </w:tblGrid>
      <w:tr>
        <w:trPr>
          <w:cantSplit w:val="true"/>
          <w:tblHeader w:val="true"/>
        </w:trPr>
        <w:tc>
          <w:tcPr>
            <w:tcW w:type="dxa" w:w="2160"/>
            <w:tcBorders>
              <w:bottom w:val="single" w:sz="6" w:color="000000"/>
            </w:tcBorders>
            <w:vAlign w:val="center"/>
          </w:tcPr>
          <w:p>
            <w:pPr>
              <w:pStyle w:val="TableText"/>
            </w:pPr>
            <w:r>
              <w:rPr>
                <w:rFonts w:ascii="Times New Roman" w:hAnsi="Times New Roman"/>
                <w:b/>
              </w:rPr>
              <w:t>Model</w:t>
            </w:r>
          </w:p>
        </w:tc>
        <w:tc>
          <w:tcPr>
            <w:tcW w:type="dxa" w:w="1296"/>
            <w:tcBorders>
              <w:bottom w:val="single" w:sz="6" w:color="000000"/>
            </w:tcBorders>
            <w:vAlign w:val="center"/>
          </w:tcPr>
          <w:p>
            <w:pPr>
              <w:pStyle w:val="TableText"/>
              <w:jc w:val="center"/>
            </w:pPr>
            <w:r>
              <w:rPr>
                <w:rFonts w:ascii="Times New Roman" w:hAnsi="Times New Roman"/>
                <w:b/>
              </w:rPr>
              <w:t>6 h</w:t>
            </w:r>
          </w:p>
        </w:tc>
        <w:tc>
          <w:tcPr>
            <w:tcW w:type="dxa" w:w="1296"/>
            <w:tcBorders>
              <w:bottom w:val="single" w:sz="6" w:color="000000"/>
            </w:tcBorders>
            <w:vAlign w:val="center"/>
          </w:tcPr>
          <w:p>
            <w:pPr>
              <w:pStyle w:val="TableText"/>
              <w:jc w:val="center"/>
            </w:pPr>
            <w:r>
              <w:rPr>
                <w:rFonts w:ascii="Times New Roman" w:hAnsi="Times New Roman"/>
                <w:b/>
              </w:rPr>
              <w:t>12 h</w:t>
            </w:r>
          </w:p>
        </w:tc>
        <w:tc>
          <w:tcPr>
            <w:tcW w:type="dxa" w:w="1296"/>
            <w:tcBorders>
              <w:bottom w:val="single" w:sz="6" w:color="000000"/>
            </w:tcBorders>
            <w:vAlign w:val="center"/>
          </w:tcPr>
          <w:p>
            <w:pPr>
              <w:pStyle w:val="TableText"/>
              <w:jc w:val="center"/>
            </w:pPr>
            <w:r>
              <w:rPr>
                <w:rFonts w:ascii="Times New Roman" w:hAnsi="Times New Roman"/>
                <w:b/>
              </w:rPr>
              <w:t>24 h</w:t>
            </w:r>
          </w:p>
        </w:tc>
        <w:tc>
          <w:tcPr>
            <w:tcW w:type="dxa" w:w="1296"/>
            <w:tcBorders>
              <w:bottom w:val="single" w:sz="6" w:color="000000"/>
            </w:tcBorders>
            <w:vAlign w:val="center"/>
          </w:tcPr>
          <w:p>
            <w:pPr>
              <w:pStyle w:val="TableText"/>
              <w:jc w:val="center"/>
            </w:pPr>
            <w:r>
              <w:rPr>
                <w:rFonts w:ascii="Times New Roman" w:hAnsi="Times New Roman"/>
                <w:b/>
              </w:rPr>
              <w:t>48 h</w:t>
            </w:r>
          </w:p>
        </w:tc>
        <w:tc>
          <w:tcPr>
            <w:tcW w:type="dxa" w:w="129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160"/>
            <w:vAlign w:val="center"/>
          </w:tcPr>
          <w:p>
            <w:pPr>
              <w:pStyle w:val="TableText"/>
            </w:pPr>
            <w:r>
              <w:rPr>
                <w:rFonts w:ascii="Times New Roman" w:hAnsi="Times New Roman"/>
              </w:rPr>
              <w:t>Persistence</w:t>
            </w:r>
          </w:p>
        </w:tc>
        <w:tc>
          <w:tcPr>
            <w:tcW w:type="dxa" w:w="1296"/>
            <w:vAlign w:val="center"/>
          </w:tcPr>
          <w:p>
            <w:pPr>
              <w:pStyle w:val="TableText"/>
              <w:jc w:val="center"/>
            </w:pPr>
            <w:r>
              <w:rPr>
                <w:rFonts w:ascii="Times New Roman" w:hAnsi="Times New Roman"/>
              </w:rPr>
              <w:t>0.125</w:t>
            </w:r>
          </w:p>
        </w:tc>
        <w:tc>
          <w:tcPr>
            <w:tcW w:type="dxa" w:w="1296"/>
            <w:vAlign w:val="center"/>
          </w:tcPr>
          <w:p>
            <w:pPr>
              <w:pStyle w:val="TableText"/>
              <w:jc w:val="center"/>
            </w:pPr>
            <w:r>
              <w:rPr>
                <w:rFonts w:ascii="Times New Roman" w:hAnsi="Times New Roman"/>
              </w:rPr>
              <w:t>0.202</w:t>
            </w:r>
          </w:p>
        </w:tc>
        <w:tc>
          <w:tcPr>
            <w:tcW w:type="dxa" w:w="1296"/>
            <w:vAlign w:val="center"/>
          </w:tcPr>
          <w:p>
            <w:pPr>
              <w:pStyle w:val="TableText"/>
              <w:jc w:val="center"/>
            </w:pPr>
            <w:r>
              <w:rPr>
                <w:rFonts w:ascii="Times New Roman" w:hAnsi="Times New Roman"/>
              </w:rPr>
              <w:t>0.309</w:t>
            </w:r>
          </w:p>
        </w:tc>
        <w:tc>
          <w:tcPr>
            <w:tcW w:type="dxa" w:w="1296"/>
            <w:vAlign w:val="center"/>
          </w:tcPr>
          <w:p>
            <w:pPr>
              <w:pStyle w:val="TableText"/>
              <w:jc w:val="center"/>
            </w:pPr>
            <w:r>
              <w:rPr>
                <w:rFonts w:ascii="Times New Roman" w:hAnsi="Times New Roman"/>
              </w:rPr>
              <w:t>0.471</w:t>
            </w:r>
          </w:p>
        </w:tc>
        <w:tc>
          <w:tcPr>
            <w:tcW w:type="dxa" w:w="1296"/>
            <w:vAlign w:val="center"/>
          </w:tcPr>
          <w:p>
            <w:pPr>
              <w:pStyle w:val="TableText"/>
              <w:jc w:val="center"/>
            </w:pPr>
            <w:r>
              <w:rPr>
                <w:rFonts w:ascii="Times New Roman" w:hAnsi="Times New Roman"/>
              </w:rPr>
              <w:t>0.561</w:t>
            </w:r>
          </w:p>
        </w:tc>
      </w:tr>
      <w:tr>
        <w:trPr>
          <w:cantSplit w:val="true"/>
        </w:trPr>
        <w:tc>
          <w:tcPr>
            <w:tcW w:type="dxa" w:w="2160"/>
            <w:vAlign w:val="center"/>
          </w:tcPr>
          <w:p>
            <w:pPr>
              <w:pStyle w:val="TableText"/>
            </w:pPr>
            <w:r>
              <w:rPr>
                <w:rFonts w:ascii="Times New Roman" w:hAnsi="Times New Roman"/>
              </w:rPr>
              <w:t>Climatology</w:t>
            </w:r>
          </w:p>
        </w:tc>
        <w:tc>
          <w:tcPr>
            <w:tcW w:type="dxa" w:w="1296"/>
            <w:vAlign w:val="center"/>
          </w:tcPr>
          <w:p>
            <w:pPr>
              <w:pStyle w:val="TableText"/>
              <w:jc w:val="center"/>
            </w:pPr>
            <w:r>
              <w:rPr>
                <w:rFonts w:ascii="Times New Roman" w:hAnsi="Times New Roman"/>
              </w:rPr>
              <w:t>0.480</w:t>
            </w:r>
          </w:p>
        </w:tc>
        <w:tc>
          <w:tcPr>
            <w:tcW w:type="dxa" w:w="1296"/>
            <w:vAlign w:val="center"/>
          </w:tcPr>
          <w:p>
            <w:pPr>
              <w:pStyle w:val="TableText"/>
              <w:jc w:val="center"/>
            </w:pPr>
            <w:r>
              <w:rPr>
                <w:rFonts w:ascii="Times New Roman" w:hAnsi="Times New Roman"/>
              </w:rPr>
              <w:t>0.480</w:t>
            </w:r>
          </w:p>
        </w:tc>
        <w:tc>
          <w:tcPr>
            <w:tcW w:type="dxa" w:w="1296"/>
            <w:vAlign w:val="center"/>
          </w:tcPr>
          <w:p>
            <w:pPr>
              <w:pStyle w:val="TableText"/>
              <w:jc w:val="center"/>
            </w:pPr>
            <w:r>
              <w:rPr>
                <w:rFonts w:ascii="Times New Roman" w:hAnsi="Times New Roman"/>
              </w:rPr>
              <w:t>0.480</w:t>
            </w:r>
          </w:p>
        </w:tc>
        <w:tc>
          <w:tcPr>
            <w:tcW w:type="dxa" w:w="1296"/>
            <w:vAlign w:val="center"/>
          </w:tcPr>
          <w:p>
            <w:pPr>
              <w:pStyle w:val="TableText"/>
              <w:jc w:val="center"/>
            </w:pPr>
            <w:r>
              <w:rPr>
                <w:rFonts w:ascii="Times New Roman" w:hAnsi="Times New Roman"/>
              </w:rPr>
              <w:t>0.479</w:t>
            </w:r>
          </w:p>
        </w:tc>
        <w:tc>
          <w:tcPr>
            <w:tcW w:type="dxa" w:w="1296"/>
            <w:vAlign w:val="center"/>
          </w:tcPr>
          <w:p>
            <w:pPr>
              <w:pStyle w:val="TableText"/>
              <w:jc w:val="center"/>
            </w:pPr>
            <w:r>
              <w:rPr>
                <w:rFonts w:ascii="Times New Roman" w:hAnsi="Times New Roman"/>
              </w:rPr>
              <w:t>0.479</w:t>
            </w:r>
          </w:p>
        </w:tc>
      </w:tr>
      <w:tr>
        <w:trPr>
          <w:cantSplit w:val="true"/>
        </w:trPr>
        <w:tc>
          <w:tcPr>
            <w:tcW w:type="dxa" w:w="2160"/>
            <w:vAlign w:val="center"/>
          </w:tcPr>
          <w:p>
            <w:pPr>
              <w:pStyle w:val="TableText"/>
            </w:pPr>
            <w:r>
              <w:rPr>
                <w:rFonts w:ascii="Times New Roman" w:hAnsi="Times New Roman"/>
              </w:rPr>
              <w:t>ARIMA</w:t>
            </w:r>
          </w:p>
        </w:tc>
        <w:tc>
          <w:tcPr>
            <w:tcW w:type="dxa" w:w="1296"/>
            <w:vAlign w:val="center"/>
          </w:tcPr>
          <w:p>
            <w:pPr>
              <w:pStyle w:val="TableText"/>
              <w:jc w:val="center"/>
            </w:pPr>
            <w:r>
              <w:rPr>
                <w:rFonts w:ascii="Times New Roman" w:hAnsi="Times New Roman"/>
              </w:rPr>
              <w:t>0.115</w:t>
            </w:r>
          </w:p>
        </w:tc>
        <w:tc>
          <w:tcPr>
            <w:tcW w:type="dxa" w:w="1296"/>
            <w:vAlign w:val="center"/>
          </w:tcPr>
          <w:p>
            <w:pPr>
              <w:pStyle w:val="TableText"/>
              <w:jc w:val="center"/>
            </w:pPr>
            <w:r>
              <w:rPr>
                <w:rFonts w:ascii="Times New Roman" w:hAnsi="Times New Roman"/>
              </w:rPr>
              <w:t>0.194</w:t>
            </w:r>
          </w:p>
        </w:tc>
        <w:tc>
          <w:tcPr>
            <w:tcW w:type="dxa" w:w="1296"/>
            <w:vAlign w:val="center"/>
          </w:tcPr>
          <w:p>
            <w:pPr>
              <w:pStyle w:val="TableText"/>
              <w:jc w:val="center"/>
            </w:pPr>
            <w:r>
              <w:rPr>
                <w:rFonts w:ascii="Times New Roman" w:hAnsi="Times New Roman"/>
              </w:rPr>
              <w:t>0.299</w:t>
            </w:r>
          </w:p>
        </w:tc>
        <w:tc>
          <w:tcPr>
            <w:tcW w:type="dxa" w:w="1296"/>
            <w:vAlign w:val="center"/>
          </w:tcPr>
          <w:p>
            <w:pPr>
              <w:pStyle w:val="TableText"/>
              <w:jc w:val="center"/>
            </w:pPr>
            <w:r>
              <w:rPr>
                <w:rFonts w:ascii="Times New Roman" w:hAnsi="Times New Roman"/>
              </w:rPr>
              <w:t>0.466</w:t>
            </w:r>
          </w:p>
        </w:tc>
        <w:tc>
          <w:tcPr>
            <w:tcW w:type="dxa" w:w="1296"/>
            <w:vAlign w:val="center"/>
          </w:tcPr>
          <w:p>
            <w:pPr>
              <w:pStyle w:val="TableText"/>
              <w:jc w:val="center"/>
            </w:pPr>
            <w:r>
              <w:rPr>
                <w:rFonts w:ascii="Times New Roman" w:hAnsi="Times New Roman"/>
              </w:rPr>
              <w:t>0.564</w:t>
            </w:r>
          </w:p>
        </w:tc>
      </w:tr>
      <w:tr>
        <w:trPr>
          <w:cantSplit w:val="true"/>
        </w:trPr>
        <w:tc>
          <w:tcPr>
            <w:tcW w:type="dxa" w:w="2160"/>
            <w:vAlign w:val="center"/>
          </w:tcPr>
          <w:p>
            <w:pPr>
              <w:pStyle w:val="TableText"/>
            </w:pPr>
            <w:r>
              <w:rPr>
                <w:rFonts w:ascii="Times New Roman" w:hAnsi="Times New Roman"/>
              </w:rPr>
              <w:t>LightGBM</w:t>
            </w:r>
          </w:p>
        </w:tc>
        <w:tc>
          <w:tcPr>
            <w:tcW w:type="dxa" w:w="1296"/>
            <w:vAlign w:val="center"/>
          </w:tcPr>
          <w:p>
            <w:pPr>
              <w:pStyle w:val="TableText"/>
              <w:jc w:val="center"/>
            </w:pPr>
            <w:r>
              <w:rPr>
                <w:rFonts w:ascii="Times New Roman" w:hAnsi="Times New Roman"/>
                <w:b/>
              </w:rPr>
              <w:t>0.103</w:t>
            </w:r>
          </w:p>
        </w:tc>
        <w:tc>
          <w:tcPr>
            <w:tcW w:type="dxa" w:w="1296"/>
            <w:vAlign w:val="center"/>
          </w:tcPr>
          <w:p>
            <w:pPr>
              <w:pStyle w:val="TableText"/>
              <w:jc w:val="center"/>
            </w:pPr>
            <w:r>
              <w:rPr>
                <w:rFonts w:ascii="Times New Roman" w:hAnsi="Times New Roman"/>
                <w:b/>
              </w:rPr>
              <w:t>0.170</w:t>
            </w:r>
          </w:p>
        </w:tc>
        <w:tc>
          <w:tcPr>
            <w:tcW w:type="dxa" w:w="1296"/>
            <w:vAlign w:val="center"/>
          </w:tcPr>
          <w:p>
            <w:pPr>
              <w:pStyle w:val="TableText"/>
              <w:jc w:val="center"/>
            </w:pPr>
            <w:r>
              <w:rPr>
                <w:rFonts w:ascii="Times New Roman" w:hAnsi="Times New Roman"/>
                <w:b/>
              </w:rPr>
              <w:t>0.249</w:t>
            </w:r>
          </w:p>
        </w:tc>
        <w:tc>
          <w:tcPr>
            <w:tcW w:type="dxa" w:w="1296"/>
            <w:vAlign w:val="center"/>
          </w:tcPr>
          <w:p>
            <w:pPr>
              <w:pStyle w:val="TableText"/>
              <w:jc w:val="center"/>
            </w:pPr>
            <w:r>
              <w:rPr>
                <w:rFonts w:ascii="Times New Roman" w:hAnsi="Times New Roman"/>
              </w:rPr>
              <w:t>0.364</w:t>
            </w:r>
          </w:p>
        </w:tc>
        <w:tc>
          <w:tcPr>
            <w:tcW w:type="dxa" w:w="1296"/>
            <w:vAlign w:val="center"/>
          </w:tcPr>
          <w:p>
            <w:pPr>
              <w:pStyle w:val="TableText"/>
              <w:jc w:val="center"/>
            </w:pPr>
            <w:r>
              <w:rPr>
                <w:rFonts w:ascii="Times New Roman" w:hAnsi="Times New Roman"/>
              </w:rPr>
              <w:t>0.434</w:t>
            </w:r>
          </w:p>
        </w:tc>
      </w:tr>
      <w:tr>
        <w:trPr>
          <w:cantSplit w:val="true"/>
        </w:trPr>
        <w:tc>
          <w:tcPr>
            <w:tcW w:type="dxa" w:w="2160"/>
            <w:vAlign w:val="center"/>
          </w:tcPr>
          <w:p>
            <w:pPr>
              <w:pStyle w:val="TableText"/>
            </w:pPr>
            <w:r>
              <w:rPr>
                <w:rFonts w:ascii="Times New Roman" w:hAnsi="Times New Roman"/>
              </w:rPr>
              <w:t>CatBoost</w:t>
            </w:r>
          </w:p>
        </w:tc>
        <w:tc>
          <w:tcPr>
            <w:tcW w:type="dxa" w:w="1296"/>
            <w:vAlign w:val="center"/>
          </w:tcPr>
          <w:p>
            <w:pPr>
              <w:pStyle w:val="TableText"/>
              <w:jc w:val="center"/>
            </w:pPr>
            <w:r>
              <w:rPr>
                <w:rFonts w:ascii="Times New Roman" w:hAnsi="Times New Roman"/>
              </w:rPr>
              <w:t>0.106</w:t>
            </w:r>
          </w:p>
        </w:tc>
        <w:tc>
          <w:tcPr>
            <w:tcW w:type="dxa" w:w="1296"/>
            <w:vAlign w:val="center"/>
          </w:tcPr>
          <w:p>
            <w:pPr>
              <w:pStyle w:val="TableText"/>
              <w:jc w:val="center"/>
            </w:pPr>
            <w:r>
              <w:rPr>
                <w:rFonts w:ascii="Times New Roman" w:hAnsi="Times New Roman"/>
              </w:rPr>
              <w:t>0.170</w:t>
            </w:r>
          </w:p>
        </w:tc>
        <w:tc>
          <w:tcPr>
            <w:tcW w:type="dxa" w:w="1296"/>
            <w:vAlign w:val="center"/>
          </w:tcPr>
          <w:p>
            <w:pPr>
              <w:pStyle w:val="TableText"/>
              <w:jc w:val="center"/>
            </w:pPr>
            <w:r>
              <w:rPr>
                <w:rFonts w:ascii="Times New Roman" w:hAnsi="Times New Roman"/>
              </w:rPr>
              <w:t>0.251</w:t>
            </w:r>
          </w:p>
        </w:tc>
        <w:tc>
          <w:tcPr>
            <w:tcW w:type="dxa" w:w="1296"/>
            <w:vAlign w:val="center"/>
          </w:tcPr>
          <w:p>
            <w:pPr>
              <w:pStyle w:val="TableText"/>
              <w:jc w:val="center"/>
            </w:pPr>
            <w:r>
              <w:rPr>
                <w:rFonts w:ascii="Times New Roman" w:hAnsi="Times New Roman"/>
                <w:b/>
              </w:rPr>
              <w:t>0.359</w:t>
            </w:r>
          </w:p>
        </w:tc>
        <w:tc>
          <w:tcPr>
            <w:tcW w:type="dxa" w:w="1296"/>
            <w:vAlign w:val="center"/>
          </w:tcPr>
          <w:p>
            <w:pPr>
              <w:pStyle w:val="TableText"/>
              <w:jc w:val="center"/>
            </w:pPr>
            <w:r>
              <w:rPr>
                <w:rFonts w:ascii="Times New Roman" w:hAnsi="Times New Roman"/>
                <w:b/>
              </w:rPr>
              <w:t>0.426</w:t>
            </w:r>
          </w:p>
        </w:tc>
      </w:tr>
      <w:tr>
        <w:trPr>
          <w:cantSplit w:val="true"/>
        </w:trPr>
        <w:tc>
          <w:tcPr>
            <w:tcW w:type="dxa" w:w="2160"/>
            <w:vAlign w:val="center"/>
          </w:tcPr>
          <w:p>
            <w:pPr>
              <w:pStyle w:val="TableText"/>
            </w:pPr>
            <w:r>
              <w:rPr>
                <w:rFonts w:ascii="Times New Roman" w:hAnsi="Times New Roman"/>
              </w:rPr>
              <w:t>LSTM (MSE)</w:t>
            </w:r>
          </w:p>
        </w:tc>
        <w:tc>
          <w:tcPr>
            <w:tcW w:type="dxa" w:w="1296"/>
            <w:vAlign w:val="center"/>
          </w:tcPr>
          <w:p>
            <w:pPr>
              <w:pStyle w:val="TableText"/>
              <w:jc w:val="center"/>
            </w:pPr>
            <w:r>
              <w:rPr>
                <w:rFonts w:ascii="Times New Roman" w:hAnsi="Times New Roman"/>
              </w:rPr>
              <w:t>0.121</w:t>
            </w:r>
          </w:p>
        </w:tc>
        <w:tc>
          <w:tcPr>
            <w:tcW w:type="dxa" w:w="1296"/>
            <w:vAlign w:val="center"/>
          </w:tcPr>
          <w:p>
            <w:pPr>
              <w:pStyle w:val="TableText"/>
              <w:jc w:val="center"/>
            </w:pPr>
            <w:r>
              <w:rPr>
                <w:rFonts w:ascii="Times New Roman" w:hAnsi="Times New Roman"/>
              </w:rPr>
              <w:t>0.187</w:t>
            </w:r>
          </w:p>
        </w:tc>
        <w:tc>
          <w:tcPr>
            <w:tcW w:type="dxa" w:w="1296"/>
            <w:vAlign w:val="center"/>
          </w:tcPr>
          <w:p>
            <w:pPr>
              <w:pStyle w:val="TableText"/>
              <w:jc w:val="center"/>
            </w:pPr>
            <w:r>
              <w:rPr>
                <w:rFonts w:ascii="Times New Roman" w:hAnsi="Times New Roman"/>
              </w:rPr>
              <w:t>0.267</w:t>
            </w:r>
          </w:p>
        </w:tc>
        <w:tc>
          <w:tcPr>
            <w:tcW w:type="dxa" w:w="1296"/>
            <w:vAlign w:val="center"/>
          </w:tcPr>
          <w:p>
            <w:pPr>
              <w:pStyle w:val="TableText"/>
              <w:jc w:val="center"/>
            </w:pPr>
            <w:r>
              <w:rPr>
                <w:rFonts w:ascii="Times New Roman" w:hAnsi="Times New Roman"/>
              </w:rPr>
              <w:t>0.375</w:t>
            </w:r>
          </w:p>
        </w:tc>
        <w:tc>
          <w:tcPr>
            <w:tcW w:type="dxa" w:w="1296"/>
            <w:vAlign w:val="center"/>
          </w:tcPr>
          <w:p>
            <w:pPr>
              <w:pStyle w:val="TableText"/>
              <w:jc w:val="center"/>
            </w:pPr>
            <w:r>
              <w:rPr>
                <w:rFonts w:ascii="Times New Roman" w:hAnsi="Times New Roman"/>
              </w:rPr>
              <w:t>0.430</w:t>
            </w:r>
          </w:p>
        </w:tc>
      </w:tr>
      <w:tr>
        <w:trPr>
          <w:cantSplit w:val="true"/>
        </w:trPr>
        <w:tc>
          <w:tcPr>
            <w:tcW w:type="dxa" w:w="2160"/>
            <w:vAlign w:val="center"/>
          </w:tcPr>
          <w:p>
            <w:pPr>
              <w:pStyle w:val="TableText"/>
            </w:pPr>
            <w:r>
              <w:rPr>
                <w:rFonts w:ascii="Times New Roman" w:hAnsi="Times New Roman"/>
              </w:rPr>
              <w:t>LSTM (peak loss)</w:t>
            </w:r>
          </w:p>
        </w:tc>
        <w:tc>
          <w:tcPr>
            <w:tcW w:type="dxa" w:w="1296"/>
            <w:vAlign w:val="center"/>
          </w:tcPr>
          <w:p>
            <w:pPr>
              <w:pStyle w:val="TableText"/>
              <w:jc w:val="center"/>
            </w:pPr>
            <w:r>
              <w:rPr>
                <w:rFonts w:ascii="Times New Roman" w:hAnsi="Times New Roman"/>
              </w:rPr>
              <w:t>0.151</w:t>
            </w:r>
          </w:p>
        </w:tc>
        <w:tc>
          <w:tcPr>
            <w:tcW w:type="dxa" w:w="1296"/>
            <w:vAlign w:val="center"/>
          </w:tcPr>
          <w:p>
            <w:pPr>
              <w:pStyle w:val="TableText"/>
              <w:jc w:val="center"/>
            </w:pPr>
            <w:r>
              <w:rPr>
                <w:rFonts w:ascii="Times New Roman" w:hAnsi="Times New Roman"/>
              </w:rPr>
              <w:t>0.216</w:t>
            </w:r>
          </w:p>
        </w:tc>
        <w:tc>
          <w:tcPr>
            <w:tcW w:type="dxa" w:w="1296"/>
            <w:vAlign w:val="center"/>
          </w:tcPr>
          <w:p>
            <w:pPr>
              <w:pStyle w:val="TableText"/>
              <w:jc w:val="center"/>
            </w:pPr>
            <w:r>
              <w:rPr>
                <w:rFonts w:ascii="Times New Roman" w:hAnsi="Times New Roman"/>
              </w:rPr>
              <w:t>0.303</w:t>
            </w:r>
          </w:p>
        </w:tc>
        <w:tc>
          <w:tcPr>
            <w:tcW w:type="dxa" w:w="1296"/>
            <w:vAlign w:val="center"/>
          </w:tcPr>
          <w:p>
            <w:pPr>
              <w:pStyle w:val="TableText"/>
              <w:jc w:val="center"/>
            </w:pPr>
            <w:r>
              <w:rPr>
                <w:rFonts w:ascii="Times New Roman" w:hAnsi="Times New Roman"/>
              </w:rPr>
              <w:t>0.432</w:t>
            </w:r>
          </w:p>
        </w:tc>
        <w:tc>
          <w:tcPr>
            <w:tcW w:type="dxa" w:w="1296"/>
            <w:vAlign w:val="center"/>
          </w:tcPr>
          <w:p>
            <w:pPr>
              <w:pStyle w:val="TableText"/>
              <w:jc w:val="center"/>
            </w:pPr>
            <w:r>
              <w:rPr>
                <w:rFonts w:ascii="Times New Roman" w:hAnsi="Times New Roman"/>
              </w:rPr>
              <w:t>0.524</w:t>
            </w:r>
          </w:p>
        </w:tc>
      </w:tr>
    </w:tbl>
    <w:p>
      <w:pPr>
        <w:pStyle w:val="Single"/>
        <w:spacing w:after="200" w:line="40" w:lineRule="exact"/>
      </w:pPr>
    </w:p>
    <w:p>
      <w:pPr>
        <w:pStyle w:val="TableCaption"/>
      </w:pPr>
      <w:r>
        <w:rPr>
          <w:b/>
        </w:rPr>
        <w:t xml:space="preserve">Table 5.3: </w:t>
      </w:r>
      <w:r>
        <w:rPr>
          <w:rFonts w:ascii="Times New Roman" w:hAnsi="Times New Roman"/>
        </w:rPr>
        <w:t>Test RMSE (m) at BD11, 2023–2024 (17,400 common forecast origins; best learned or baseline model per lead time in bold)</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160"/>
        <w:gridCol w:w="1296"/>
        <w:gridCol w:w="1296"/>
        <w:gridCol w:w="1296"/>
        <w:gridCol w:w="1296"/>
        <w:gridCol w:w="1296"/>
      </w:tblGrid>
      <w:tr>
        <w:trPr>
          <w:cantSplit w:val="true"/>
          <w:tblHeader w:val="true"/>
        </w:trPr>
        <w:tc>
          <w:tcPr>
            <w:tcW w:type="dxa" w:w="2160"/>
            <w:tcBorders>
              <w:bottom w:val="single" w:sz="6" w:color="000000"/>
            </w:tcBorders>
            <w:vAlign w:val="center"/>
          </w:tcPr>
          <w:p>
            <w:pPr>
              <w:pStyle w:val="TableText"/>
            </w:pPr>
            <w:r>
              <w:rPr>
                <w:rFonts w:ascii="Times New Roman" w:hAnsi="Times New Roman"/>
                <w:b/>
              </w:rPr>
              <w:t>Model</w:t>
            </w:r>
          </w:p>
        </w:tc>
        <w:tc>
          <w:tcPr>
            <w:tcW w:type="dxa" w:w="1296"/>
            <w:tcBorders>
              <w:bottom w:val="single" w:sz="6" w:color="000000"/>
            </w:tcBorders>
            <w:vAlign w:val="center"/>
          </w:tcPr>
          <w:p>
            <w:pPr>
              <w:pStyle w:val="TableText"/>
              <w:jc w:val="center"/>
            </w:pPr>
            <w:r>
              <w:rPr>
                <w:rFonts w:ascii="Times New Roman" w:hAnsi="Times New Roman"/>
                <w:b/>
              </w:rPr>
              <w:t>6 h</w:t>
            </w:r>
          </w:p>
        </w:tc>
        <w:tc>
          <w:tcPr>
            <w:tcW w:type="dxa" w:w="1296"/>
            <w:tcBorders>
              <w:bottom w:val="single" w:sz="6" w:color="000000"/>
            </w:tcBorders>
            <w:vAlign w:val="center"/>
          </w:tcPr>
          <w:p>
            <w:pPr>
              <w:pStyle w:val="TableText"/>
              <w:jc w:val="center"/>
            </w:pPr>
            <w:r>
              <w:rPr>
                <w:rFonts w:ascii="Times New Roman" w:hAnsi="Times New Roman"/>
                <w:b/>
              </w:rPr>
              <w:t>12 h</w:t>
            </w:r>
          </w:p>
        </w:tc>
        <w:tc>
          <w:tcPr>
            <w:tcW w:type="dxa" w:w="1296"/>
            <w:tcBorders>
              <w:bottom w:val="single" w:sz="6" w:color="000000"/>
            </w:tcBorders>
            <w:vAlign w:val="center"/>
          </w:tcPr>
          <w:p>
            <w:pPr>
              <w:pStyle w:val="TableText"/>
              <w:jc w:val="center"/>
            </w:pPr>
            <w:r>
              <w:rPr>
                <w:rFonts w:ascii="Times New Roman" w:hAnsi="Times New Roman"/>
                <w:b/>
              </w:rPr>
              <w:t>24 h</w:t>
            </w:r>
          </w:p>
        </w:tc>
        <w:tc>
          <w:tcPr>
            <w:tcW w:type="dxa" w:w="1296"/>
            <w:tcBorders>
              <w:bottom w:val="single" w:sz="6" w:color="000000"/>
            </w:tcBorders>
            <w:vAlign w:val="center"/>
          </w:tcPr>
          <w:p>
            <w:pPr>
              <w:pStyle w:val="TableText"/>
              <w:jc w:val="center"/>
            </w:pPr>
            <w:r>
              <w:rPr>
                <w:rFonts w:ascii="Times New Roman" w:hAnsi="Times New Roman"/>
                <w:b/>
              </w:rPr>
              <w:t>48 h</w:t>
            </w:r>
          </w:p>
        </w:tc>
        <w:tc>
          <w:tcPr>
            <w:tcW w:type="dxa" w:w="129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160"/>
            <w:vAlign w:val="center"/>
          </w:tcPr>
          <w:p>
            <w:pPr>
              <w:pStyle w:val="TableText"/>
            </w:pPr>
            <w:r>
              <w:rPr>
                <w:rFonts w:ascii="Times New Roman" w:hAnsi="Times New Roman"/>
              </w:rPr>
              <w:t>Persistence</w:t>
            </w:r>
          </w:p>
        </w:tc>
        <w:tc>
          <w:tcPr>
            <w:tcW w:type="dxa" w:w="1296"/>
            <w:vAlign w:val="center"/>
          </w:tcPr>
          <w:p>
            <w:pPr>
              <w:pStyle w:val="TableText"/>
              <w:jc w:val="center"/>
            </w:pPr>
            <w:r>
              <w:rPr>
                <w:rFonts w:ascii="Times New Roman" w:hAnsi="Times New Roman"/>
              </w:rPr>
              <w:t>0.122</w:t>
            </w:r>
          </w:p>
        </w:tc>
        <w:tc>
          <w:tcPr>
            <w:tcW w:type="dxa" w:w="1296"/>
            <w:vAlign w:val="center"/>
          </w:tcPr>
          <w:p>
            <w:pPr>
              <w:pStyle w:val="TableText"/>
              <w:jc w:val="center"/>
            </w:pPr>
            <w:r>
              <w:rPr>
                <w:rFonts w:ascii="Times New Roman" w:hAnsi="Times New Roman"/>
              </w:rPr>
              <w:t>0.186</w:t>
            </w:r>
          </w:p>
        </w:tc>
        <w:tc>
          <w:tcPr>
            <w:tcW w:type="dxa" w:w="1296"/>
            <w:vAlign w:val="center"/>
          </w:tcPr>
          <w:p>
            <w:pPr>
              <w:pStyle w:val="TableText"/>
              <w:jc w:val="center"/>
            </w:pPr>
            <w:r>
              <w:rPr>
                <w:rFonts w:ascii="Times New Roman" w:hAnsi="Times New Roman"/>
              </w:rPr>
              <w:t>0.251</w:t>
            </w:r>
          </w:p>
        </w:tc>
        <w:tc>
          <w:tcPr>
            <w:tcW w:type="dxa" w:w="1296"/>
            <w:vAlign w:val="center"/>
          </w:tcPr>
          <w:p>
            <w:pPr>
              <w:pStyle w:val="TableText"/>
              <w:jc w:val="center"/>
            </w:pPr>
            <w:r>
              <w:rPr>
                <w:rFonts w:ascii="Times New Roman" w:hAnsi="Times New Roman"/>
              </w:rPr>
              <w:t>0.373</w:t>
            </w:r>
          </w:p>
        </w:tc>
        <w:tc>
          <w:tcPr>
            <w:tcW w:type="dxa" w:w="1296"/>
            <w:vAlign w:val="center"/>
          </w:tcPr>
          <w:p>
            <w:pPr>
              <w:pStyle w:val="TableText"/>
              <w:jc w:val="center"/>
            </w:pPr>
            <w:r>
              <w:rPr>
                <w:rFonts w:ascii="Times New Roman" w:hAnsi="Times New Roman"/>
              </w:rPr>
              <w:t>0.451</w:t>
            </w:r>
          </w:p>
        </w:tc>
      </w:tr>
      <w:tr>
        <w:trPr>
          <w:cantSplit w:val="true"/>
        </w:trPr>
        <w:tc>
          <w:tcPr>
            <w:tcW w:type="dxa" w:w="2160"/>
            <w:vAlign w:val="center"/>
          </w:tcPr>
          <w:p>
            <w:pPr>
              <w:pStyle w:val="TableText"/>
            </w:pPr>
            <w:r>
              <w:rPr>
                <w:rFonts w:ascii="Times New Roman" w:hAnsi="Times New Roman"/>
              </w:rPr>
              <w:t>Climatology</w:t>
            </w:r>
          </w:p>
        </w:tc>
        <w:tc>
          <w:tcPr>
            <w:tcW w:type="dxa" w:w="1296"/>
            <w:vAlign w:val="center"/>
          </w:tcPr>
          <w:p>
            <w:pPr>
              <w:pStyle w:val="TableText"/>
              <w:jc w:val="center"/>
            </w:pPr>
            <w:r>
              <w:rPr>
                <w:rFonts w:ascii="Times New Roman" w:hAnsi="Times New Roman"/>
              </w:rPr>
              <w:t>0.400</w:t>
            </w:r>
          </w:p>
        </w:tc>
        <w:tc>
          <w:tcPr>
            <w:tcW w:type="dxa" w:w="1296"/>
            <w:vAlign w:val="center"/>
          </w:tcPr>
          <w:p>
            <w:pPr>
              <w:pStyle w:val="TableText"/>
              <w:jc w:val="center"/>
            </w:pPr>
            <w:r>
              <w:rPr>
                <w:rFonts w:ascii="Times New Roman" w:hAnsi="Times New Roman"/>
              </w:rPr>
              <w:t>0.400</w:t>
            </w:r>
          </w:p>
        </w:tc>
        <w:tc>
          <w:tcPr>
            <w:tcW w:type="dxa" w:w="1296"/>
            <w:vAlign w:val="center"/>
          </w:tcPr>
          <w:p>
            <w:pPr>
              <w:pStyle w:val="TableText"/>
              <w:jc w:val="center"/>
            </w:pPr>
            <w:r>
              <w:rPr>
                <w:rFonts w:ascii="Times New Roman" w:hAnsi="Times New Roman"/>
              </w:rPr>
              <w:t>0.400</w:t>
            </w:r>
          </w:p>
        </w:tc>
        <w:tc>
          <w:tcPr>
            <w:tcW w:type="dxa" w:w="1296"/>
            <w:vAlign w:val="center"/>
          </w:tcPr>
          <w:p>
            <w:pPr>
              <w:pStyle w:val="TableText"/>
              <w:jc w:val="center"/>
            </w:pPr>
            <w:r>
              <w:rPr>
                <w:rFonts w:ascii="Times New Roman" w:hAnsi="Times New Roman"/>
              </w:rPr>
              <w:t>0.399</w:t>
            </w:r>
          </w:p>
        </w:tc>
        <w:tc>
          <w:tcPr>
            <w:tcW w:type="dxa" w:w="1296"/>
            <w:vAlign w:val="center"/>
          </w:tcPr>
          <w:p>
            <w:pPr>
              <w:pStyle w:val="TableText"/>
              <w:jc w:val="center"/>
            </w:pPr>
            <w:r>
              <w:rPr>
                <w:rFonts w:ascii="Times New Roman" w:hAnsi="Times New Roman"/>
              </w:rPr>
              <w:t>0.398</w:t>
            </w:r>
          </w:p>
        </w:tc>
      </w:tr>
      <w:tr>
        <w:trPr>
          <w:cantSplit w:val="true"/>
        </w:trPr>
        <w:tc>
          <w:tcPr>
            <w:tcW w:type="dxa" w:w="2160"/>
            <w:vAlign w:val="center"/>
          </w:tcPr>
          <w:p>
            <w:pPr>
              <w:pStyle w:val="TableText"/>
            </w:pPr>
            <w:r>
              <w:rPr>
                <w:rFonts w:ascii="Times New Roman" w:hAnsi="Times New Roman"/>
              </w:rPr>
              <w:t>ARIMA</w:t>
            </w:r>
          </w:p>
        </w:tc>
        <w:tc>
          <w:tcPr>
            <w:tcW w:type="dxa" w:w="1296"/>
            <w:vAlign w:val="center"/>
          </w:tcPr>
          <w:p>
            <w:pPr>
              <w:pStyle w:val="TableText"/>
              <w:jc w:val="center"/>
            </w:pPr>
            <w:r>
              <w:rPr>
                <w:rFonts w:ascii="Times New Roman" w:hAnsi="Times New Roman"/>
              </w:rPr>
              <w:t>0.114</w:t>
            </w:r>
          </w:p>
        </w:tc>
        <w:tc>
          <w:tcPr>
            <w:tcW w:type="dxa" w:w="1296"/>
            <w:vAlign w:val="center"/>
          </w:tcPr>
          <w:p>
            <w:pPr>
              <w:pStyle w:val="TableText"/>
              <w:jc w:val="center"/>
            </w:pPr>
            <w:r>
              <w:rPr>
                <w:rFonts w:ascii="Times New Roman" w:hAnsi="Times New Roman"/>
              </w:rPr>
              <w:t>0.186</w:t>
            </w:r>
          </w:p>
        </w:tc>
        <w:tc>
          <w:tcPr>
            <w:tcW w:type="dxa" w:w="1296"/>
            <w:vAlign w:val="center"/>
          </w:tcPr>
          <w:p>
            <w:pPr>
              <w:pStyle w:val="TableText"/>
              <w:jc w:val="center"/>
            </w:pPr>
            <w:r>
              <w:rPr>
                <w:rFonts w:ascii="Times New Roman" w:hAnsi="Times New Roman"/>
              </w:rPr>
              <w:t>0.247</w:t>
            </w:r>
          </w:p>
        </w:tc>
        <w:tc>
          <w:tcPr>
            <w:tcW w:type="dxa" w:w="1296"/>
            <w:vAlign w:val="center"/>
          </w:tcPr>
          <w:p>
            <w:pPr>
              <w:pStyle w:val="TableText"/>
              <w:jc w:val="center"/>
            </w:pPr>
            <w:r>
              <w:rPr>
                <w:rFonts w:ascii="Times New Roman" w:hAnsi="Times New Roman"/>
              </w:rPr>
              <w:t>0.372</w:t>
            </w:r>
          </w:p>
        </w:tc>
        <w:tc>
          <w:tcPr>
            <w:tcW w:type="dxa" w:w="1296"/>
            <w:vAlign w:val="center"/>
          </w:tcPr>
          <w:p>
            <w:pPr>
              <w:pStyle w:val="TableText"/>
              <w:jc w:val="center"/>
            </w:pPr>
            <w:r>
              <w:rPr>
                <w:rFonts w:ascii="Times New Roman" w:hAnsi="Times New Roman"/>
              </w:rPr>
              <w:t>0.451</w:t>
            </w:r>
          </w:p>
        </w:tc>
      </w:tr>
      <w:tr>
        <w:trPr>
          <w:cantSplit w:val="true"/>
        </w:trPr>
        <w:tc>
          <w:tcPr>
            <w:tcW w:type="dxa" w:w="2160"/>
            <w:vAlign w:val="center"/>
          </w:tcPr>
          <w:p>
            <w:pPr>
              <w:pStyle w:val="TableText"/>
            </w:pPr>
            <w:r>
              <w:rPr>
                <w:rFonts w:ascii="Times New Roman" w:hAnsi="Times New Roman"/>
              </w:rPr>
              <w:t>LightGBM</w:t>
            </w:r>
          </w:p>
        </w:tc>
        <w:tc>
          <w:tcPr>
            <w:tcW w:type="dxa" w:w="1296"/>
            <w:vAlign w:val="center"/>
          </w:tcPr>
          <w:p>
            <w:pPr>
              <w:pStyle w:val="TableText"/>
              <w:jc w:val="center"/>
            </w:pPr>
            <w:r>
              <w:rPr>
                <w:rFonts w:ascii="Times New Roman" w:hAnsi="Times New Roman"/>
                <w:b/>
              </w:rPr>
              <w:t>0.101</w:t>
            </w:r>
          </w:p>
        </w:tc>
        <w:tc>
          <w:tcPr>
            <w:tcW w:type="dxa" w:w="1296"/>
            <w:vAlign w:val="center"/>
          </w:tcPr>
          <w:p>
            <w:pPr>
              <w:pStyle w:val="TableText"/>
              <w:jc w:val="center"/>
            </w:pPr>
            <w:r>
              <w:rPr>
                <w:rFonts w:ascii="Times New Roman" w:hAnsi="Times New Roman"/>
              </w:rPr>
              <w:t>0.160</w:t>
            </w:r>
          </w:p>
        </w:tc>
        <w:tc>
          <w:tcPr>
            <w:tcW w:type="dxa" w:w="1296"/>
            <w:vAlign w:val="center"/>
          </w:tcPr>
          <w:p>
            <w:pPr>
              <w:pStyle w:val="TableText"/>
              <w:jc w:val="center"/>
            </w:pPr>
            <w:r>
              <w:rPr>
                <w:rFonts w:ascii="Times New Roman" w:hAnsi="Times New Roman"/>
              </w:rPr>
              <w:t>0.230</w:t>
            </w:r>
          </w:p>
        </w:tc>
        <w:tc>
          <w:tcPr>
            <w:tcW w:type="dxa" w:w="1296"/>
            <w:vAlign w:val="center"/>
          </w:tcPr>
          <w:p>
            <w:pPr>
              <w:pStyle w:val="TableText"/>
              <w:jc w:val="center"/>
            </w:pPr>
            <w:r>
              <w:rPr>
                <w:rFonts w:ascii="Times New Roman" w:hAnsi="Times New Roman"/>
              </w:rPr>
              <w:t>0.326</w:t>
            </w:r>
          </w:p>
        </w:tc>
        <w:tc>
          <w:tcPr>
            <w:tcW w:type="dxa" w:w="1296"/>
            <w:vAlign w:val="center"/>
          </w:tcPr>
          <w:p>
            <w:pPr>
              <w:pStyle w:val="TableText"/>
              <w:jc w:val="center"/>
            </w:pPr>
            <w:r>
              <w:rPr>
                <w:rFonts w:ascii="Times New Roman" w:hAnsi="Times New Roman"/>
              </w:rPr>
              <w:t>0.377</w:t>
            </w:r>
          </w:p>
        </w:tc>
      </w:tr>
      <w:tr>
        <w:trPr>
          <w:cantSplit w:val="true"/>
        </w:trPr>
        <w:tc>
          <w:tcPr>
            <w:tcW w:type="dxa" w:w="2160"/>
            <w:vAlign w:val="center"/>
          </w:tcPr>
          <w:p>
            <w:pPr>
              <w:pStyle w:val="TableText"/>
            </w:pPr>
            <w:r>
              <w:rPr>
                <w:rFonts w:ascii="Times New Roman" w:hAnsi="Times New Roman"/>
              </w:rPr>
              <w:t>CatBoost</w:t>
            </w:r>
          </w:p>
        </w:tc>
        <w:tc>
          <w:tcPr>
            <w:tcW w:type="dxa" w:w="1296"/>
            <w:vAlign w:val="center"/>
          </w:tcPr>
          <w:p>
            <w:pPr>
              <w:pStyle w:val="TableText"/>
              <w:jc w:val="center"/>
            </w:pPr>
            <w:r>
              <w:rPr>
                <w:rFonts w:ascii="Times New Roman" w:hAnsi="Times New Roman"/>
              </w:rPr>
              <w:t>0.101</w:t>
            </w:r>
          </w:p>
        </w:tc>
        <w:tc>
          <w:tcPr>
            <w:tcW w:type="dxa" w:w="1296"/>
            <w:vAlign w:val="center"/>
          </w:tcPr>
          <w:p>
            <w:pPr>
              <w:pStyle w:val="TableText"/>
              <w:jc w:val="center"/>
            </w:pPr>
            <w:r>
              <w:rPr>
                <w:rFonts w:ascii="Times New Roman" w:hAnsi="Times New Roman"/>
                <w:b/>
              </w:rPr>
              <w:t>0.158</w:t>
            </w:r>
          </w:p>
        </w:tc>
        <w:tc>
          <w:tcPr>
            <w:tcW w:type="dxa" w:w="1296"/>
            <w:vAlign w:val="center"/>
          </w:tcPr>
          <w:p>
            <w:pPr>
              <w:pStyle w:val="TableText"/>
              <w:jc w:val="center"/>
            </w:pPr>
            <w:r>
              <w:rPr>
                <w:rFonts w:ascii="Times New Roman" w:hAnsi="Times New Roman"/>
                <w:b/>
              </w:rPr>
              <w:t>0.225</w:t>
            </w:r>
          </w:p>
        </w:tc>
        <w:tc>
          <w:tcPr>
            <w:tcW w:type="dxa" w:w="1296"/>
            <w:vAlign w:val="center"/>
          </w:tcPr>
          <w:p>
            <w:pPr>
              <w:pStyle w:val="TableText"/>
              <w:jc w:val="center"/>
            </w:pPr>
            <w:r>
              <w:rPr>
                <w:rFonts w:ascii="Times New Roman" w:hAnsi="Times New Roman"/>
              </w:rPr>
              <w:t>0.351</w:t>
            </w:r>
          </w:p>
        </w:tc>
        <w:tc>
          <w:tcPr>
            <w:tcW w:type="dxa" w:w="1296"/>
            <w:vAlign w:val="center"/>
          </w:tcPr>
          <w:p>
            <w:pPr>
              <w:pStyle w:val="TableText"/>
              <w:jc w:val="center"/>
            </w:pPr>
            <w:r>
              <w:rPr>
                <w:rFonts w:ascii="Times New Roman" w:hAnsi="Times New Roman"/>
              </w:rPr>
              <w:t>0.386</w:t>
            </w:r>
          </w:p>
        </w:tc>
      </w:tr>
      <w:tr>
        <w:trPr>
          <w:cantSplit w:val="true"/>
        </w:trPr>
        <w:tc>
          <w:tcPr>
            <w:tcW w:type="dxa" w:w="2160"/>
            <w:vAlign w:val="center"/>
          </w:tcPr>
          <w:p>
            <w:pPr>
              <w:pStyle w:val="TableText"/>
            </w:pPr>
            <w:r>
              <w:rPr>
                <w:rFonts w:ascii="Times New Roman" w:hAnsi="Times New Roman"/>
              </w:rPr>
              <w:t>LSTM (MSE)</w:t>
            </w:r>
          </w:p>
        </w:tc>
        <w:tc>
          <w:tcPr>
            <w:tcW w:type="dxa" w:w="1296"/>
            <w:vAlign w:val="center"/>
          </w:tcPr>
          <w:p>
            <w:pPr>
              <w:pStyle w:val="TableText"/>
              <w:jc w:val="center"/>
            </w:pPr>
            <w:r>
              <w:rPr>
                <w:rFonts w:ascii="Times New Roman" w:hAnsi="Times New Roman"/>
              </w:rPr>
              <w:t>0.115</w:t>
            </w:r>
          </w:p>
        </w:tc>
        <w:tc>
          <w:tcPr>
            <w:tcW w:type="dxa" w:w="1296"/>
            <w:vAlign w:val="center"/>
          </w:tcPr>
          <w:p>
            <w:pPr>
              <w:pStyle w:val="TableText"/>
              <w:jc w:val="center"/>
            </w:pPr>
            <w:r>
              <w:rPr>
                <w:rFonts w:ascii="Times New Roman" w:hAnsi="Times New Roman"/>
              </w:rPr>
              <w:t>0.175</w:t>
            </w:r>
          </w:p>
        </w:tc>
        <w:tc>
          <w:tcPr>
            <w:tcW w:type="dxa" w:w="1296"/>
            <w:vAlign w:val="center"/>
          </w:tcPr>
          <w:p>
            <w:pPr>
              <w:pStyle w:val="TableText"/>
              <w:jc w:val="center"/>
            </w:pPr>
            <w:r>
              <w:rPr>
                <w:rFonts w:ascii="Times New Roman" w:hAnsi="Times New Roman"/>
              </w:rPr>
              <w:t>0.230</w:t>
            </w:r>
          </w:p>
        </w:tc>
        <w:tc>
          <w:tcPr>
            <w:tcW w:type="dxa" w:w="1296"/>
            <w:vAlign w:val="center"/>
          </w:tcPr>
          <w:p>
            <w:pPr>
              <w:pStyle w:val="TableText"/>
              <w:jc w:val="center"/>
            </w:pPr>
            <w:r>
              <w:rPr>
                <w:rFonts w:ascii="Times New Roman" w:hAnsi="Times New Roman"/>
                <w:b/>
              </w:rPr>
              <w:t>0.322</w:t>
            </w:r>
          </w:p>
        </w:tc>
        <w:tc>
          <w:tcPr>
            <w:tcW w:type="dxa" w:w="1296"/>
            <w:vAlign w:val="center"/>
          </w:tcPr>
          <w:p>
            <w:pPr>
              <w:pStyle w:val="TableText"/>
              <w:jc w:val="center"/>
            </w:pPr>
            <w:r>
              <w:rPr>
                <w:rFonts w:ascii="Times New Roman" w:hAnsi="Times New Roman"/>
                <w:b/>
              </w:rPr>
              <w:t>0.375</w:t>
            </w:r>
          </w:p>
        </w:tc>
      </w:tr>
      <w:tr>
        <w:trPr>
          <w:cantSplit w:val="true"/>
        </w:trPr>
        <w:tc>
          <w:tcPr>
            <w:tcW w:type="dxa" w:w="2160"/>
            <w:vAlign w:val="center"/>
          </w:tcPr>
          <w:p>
            <w:pPr>
              <w:pStyle w:val="TableText"/>
            </w:pPr>
            <w:r>
              <w:rPr>
                <w:rFonts w:ascii="Times New Roman" w:hAnsi="Times New Roman"/>
              </w:rPr>
              <w:t>LSTM (peak loss)</w:t>
            </w:r>
          </w:p>
        </w:tc>
        <w:tc>
          <w:tcPr>
            <w:tcW w:type="dxa" w:w="1296"/>
            <w:vAlign w:val="center"/>
          </w:tcPr>
          <w:p>
            <w:pPr>
              <w:pStyle w:val="TableText"/>
              <w:jc w:val="center"/>
            </w:pPr>
            <w:r>
              <w:rPr>
                <w:rFonts w:ascii="Times New Roman" w:hAnsi="Times New Roman"/>
              </w:rPr>
              <w:t>0.170</w:t>
            </w:r>
          </w:p>
        </w:tc>
        <w:tc>
          <w:tcPr>
            <w:tcW w:type="dxa" w:w="1296"/>
            <w:vAlign w:val="center"/>
          </w:tcPr>
          <w:p>
            <w:pPr>
              <w:pStyle w:val="TableText"/>
              <w:jc w:val="center"/>
            </w:pPr>
            <w:r>
              <w:rPr>
                <w:rFonts w:ascii="Times New Roman" w:hAnsi="Times New Roman"/>
              </w:rPr>
              <w:t>0.226</w:t>
            </w:r>
          </w:p>
        </w:tc>
        <w:tc>
          <w:tcPr>
            <w:tcW w:type="dxa" w:w="1296"/>
            <w:vAlign w:val="center"/>
          </w:tcPr>
          <w:p>
            <w:pPr>
              <w:pStyle w:val="TableText"/>
              <w:jc w:val="center"/>
            </w:pPr>
            <w:r>
              <w:rPr>
                <w:rFonts w:ascii="Times New Roman" w:hAnsi="Times New Roman"/>
              </w:rPr>
              <w:t>0.285</w:t>
            </w:r>
          </w:p>
        </w:tc>
        <w:tc>
          <w:tcPr>
            <w:tcW w:type="dxa" w:w="1296"/>
            <w:vAlign w:val="center"/>
          </w:tcPr>
          <w:p>
            <w:pPr>
              <w:pStyle w:val="TableText"/>
              <w:jc w:val="center"/>
            </w:pPr>
            <w:r>
              <w:rPr>
                <w:rFonts w:ascii="Times New Roman" w:hAnsi="Times New Roman"/>
              </w:rPr>
              <w:t>0.381</w:t>
            </w:r>
          </w:p>
        </w:tc>
        <w:tc>
          <w:tcPr>
            <w:tcW w:type="dxa" w:w="1296"/>
            <w:vAlign w:val="center"/>
          </w:tcPr>
          <w:p>
            <w:pPr>
              <w:pStyle w:val="TableText"/>
              <w:jc w:val="center"/>
            </w:pPr>
            <w:r>
              <w:rPr>
                <w:rFonts w:ascii="Times New Roman" w:hAnsi="Times New Roman"/>
              </w:rPr>
              <w:t>0.438</w:t>
            </w:r>
          </w:p>
        </w:tc>
      </w:tr>
    </w:tbl>
    <w:p>
      <w:pPr>
        <w:pStyle w:val="Single"/>
        <w:spacing w:after="200" w:line="40" w:lineRule="exact"/>
      </w:pPr>
    </w:p>
    <w:p>
      <w:pPr>
        <w:pStyle w:val="Single"/>
        <w:keepNext/>
        <w:spacing w:before="120" w:after="40"/>
        <w:jc w:val="center"/>
      </w:pPr>
      <w:r>
        <w:drawing>
          <wp:inline xmlns:a="http://schemas.openxmlformats.org/drawingml/2006/main" xmlns:pic="http://schemas.openxmlformats.org/drawingml/2006/picture">
            <wp:extent cx="5486400" cy="2258832"/>
            <wp:docPr id="20" name="Picture 20"/>
            <wp:cNvGraphicFramePr>
              <a:graphicFrameLocks noChangeAspect="1"/>
            </wp:cNvGraphicFramePr>
            <a:graphic>
              <a:graphicData uri="http://schemas.openxmlformats.org/drawingml/2006/picture">
                <pic:pic>
                  <pic:nvPicPr>
                    <pic:cNvPr id="0" name="fig_rmse_horizon.png"/>
                    <pic:cNvPicPr/>
                  </pic:nvPicPr>
                  <pic:blipFill>
                    <a:blip r:embed="rId27"/>
                    <a:stretch>
                      <a:fillRect/>
                    </a:stretch>
                  </pic:blipFill>
                  <pic:spPr>
                    <a:xfrm>
                      <a:off x="0" y="0"/>
                      <a:ext cx="5486400" cy="2258832"/>
                    </a:xfrm>
                    <a:prstGeom prst="rect"/>
                  </pic:spPr>
                </pic:pic>
              </a:graphicData>
            </a:graphic>
          </wp:inline>
        </w:drawing>
      </w:r>
    </w:p>
    <w:p>
      <w:pPr>
        <w:pStyle w:val="FigureCaption"/>
      </w:pPr>
      <w:r>
        <w:rPr>
          <w:b/>
        </w:rPr>
        <w:t xml:space="preserve">Figure 5.1: </w:t>
      </w:r>
      <w:r>
        <w:rPr>
          <w:rFonts w:ascii="Times New Roman" w:hAnsi="Times New Roman"/>
        </w:rPr>
        <w:t>Test RMSE against lead time at the three sites</w:t>
      </w:r>
    </w:p>
    <w:p>
      <w:r>
        <w:rPr>
          <w:rFonts w:ascii="Times New Roman" w:hAnsi="Times New Roman"/>
        </w:rPr>
        <w:t>Persistence is a strong reference at short lead times because hourly H</w:t>
      </w:r>
      <w:r>
        <w:rPr>
          <w:rFonts w:ascii="Times New Roman" w:hAnsi="Times New Roman"/>
          <w:vertAlign w:val="subscript"/>
        </w:rPr>
        <w:t>s</w:t>
      </w:r>
      <w:r>
        <w:rPr>
          <w:rFonts w:ascii="Times New Roman" w:hAnsi="Times New Roman"/>
        </w:rPr>
        <w:t xml:space="preserve"> is highly autocorrelated. ARIMA improves on it at 6–24 h (mean RMSE 0.116 against 0.126 m at 6 h) but converges to persistence by 48–72 h (0.546 against 0.544 m at 72 h), as expected of a univariate linear model whose forecasts revert towards the recent level. Climatology does not depend on the lead time (0.462 m) and is the weakest model up to 24 h. At 48 h it roughly matches persistence (better at BD08, worse at BD10 and BD11), and at 72 h it beats both persistence and ARIMA at every site: three days ahead, the seasonal mean is a better guess than the current state. A useful forecaster at long lead times must therefore beat climatology, not only persistence. The learned models do both: at 24 h the best of them reduces the persistence RMSE by 18%, and at 72 h by 23%, which is 9% below climatology (Figure 5.2, Table 5.4).</w:t>
      </w:r>
    </w:p>
    <w:p>
      <w:pPr>
        <w:pStyle w:val="Single"/>
        <w:keepNext/>
        <w:spacing w:before="120" w:after="40"/>
        <w:jc w:val="center"/>
      </w:pPr>
      <w:r>
        <w:drawing>
          <wp:inline xmlns:a="http://schemas.openxmlformats.org/drawingml/2006/main" xmlns:pic="http://schemas.openxmlformats.org/drawingml/2006/picture">
            <wp:extent cx="5486400" cy="2258832"/>
            <wp:docPr id="21" name="Picture 21"/>
            <wp:cNvGraphicFramePr>
              <a:graphicFrameLocks noChangeAspect="1"/>
            </wp:cNvGraphicFramePr>
            <a:graphic>
              <a:graphicData uri="http://schemas.openxmlformats.org/drawingml/2006/picture">
                <pic:pic>
                  <pic:nvPicPr>
                    <pic:cNvPr id="0" name="fig_skill_horizon.png"/>
                    <pic:cNvPicPr/>
                  </pic:nvPicPr>
                  <pic:blipFill>
                    <a:blip r:embed="rId28"/>
                    <a:stretch>
                      <a:fillRect/>
                    </a:stretch>
                  </pic:blipFill>
                  <pic:spPr>
                    <a:xfrm>
                      <a:off x="0" y="0"/>
                      <a:ext cx="5486400" cy="2258832"/>
                    </a:xfrm>
                    <a:prstGeom prst="rect"/>
                  </pic:spPr>
                </pic:pic>
              </a:graphicData>
            </a:graphic>
          </wp:inline>
        </w:drawing>
      </w:r>
    </w:p>
    <w:p>
      <w:pPr>
        <w:pStyle w:val="FigureCaption"/>
      </w:pPr>
      <w:r>
        <w:rPr>
          <w:b/>
        </w:rPr>
        <w:t xml:space="preserve">Figure 5.2: </w:t>
      </w:r>
      <w:r>
        <w:rPr>
          <w:rFonts w:ascii="Times New Roman" w:hAnsi="Times New Roman"/>
        </w:rPr>
        <w:t>Skill relative to persistence, SS = 1 − RMSE/RMSE</w:t>
      </w:r>
      <w:r>
        <w:rPr>
          <w:rFonts w:ascii="Times New Roman" w:hAnsi="Times New Roman"/>
          <w:vertAlign w:val="subscript"/>
        </w:rPr>
        <w:t>pers</w:t>
      </w:r>
    </w:p>
    <w:p>
      <w:pPr>
        <w:pStyle w:val="TableCaption"/>
      </w:pPr>
      <w:r>
        <w:rPr>
          <w:b/>
        </w:rPr>
        <w:t xml:space="preserve">Table 5.4: </w:t>
      </w:r>
      <w:r>
        <w:rPr>
          <w:rFonts w:ascii="Times New Roman" w:hAnsi="Times New Roman"/>
        </w:rPr>
        <w:t>Skill score relative to persistence, mean over the three sites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160"/>
        <w:gridCol w:w="1296"/>
        <w:gridCol w:w="1296"/>
        <w:gridCol w:w="1296"/>
        <w:gridCol w:w="1296"/>
        <w:gridCol w:w="1296"/>
      </w:tblGrid>
      <w:tr>
        <w:trPr>
          <w:cantSplit w:val="true"/>
          <w:tblHeader w:val="true"/>
        </w:trPr>
        <w:tc>
          <w:tcPr>
            <w:tcW w:type="dxa" w:w="2160"/>
            <w:tcBorders>
              <w:bottom w:val="single" w:sz="6" w:color="000000"/>
            </w:tcBorders>
            <w:vAlign w:val="center"/>
          </w:tcPr>
          <w:p>
            <w:pPr>
              <w:pStyle w:val="TableText"/>
            </w:pPr>
            <w:r>
              <w:rPr>
                <w:rFonts w:ascii="Times New Roman" w:hAnsi="Times New Roman"/>
                <w:b/>
              </w:rPr>
              <w:t>Model</w:t>
            </w:r>
          </w:p>
        </w:tc>
        <w:tc>
          <w:tcPr>
            <w:tcW w:type="dxa" w:w="1296"/>
            <w:tcBorders>
              <w:bottom w:val="single" w:sz="6" w:color="000000"/>
            </w:tcBorders>
            <w:vAlign w:val="center"/>
          </w:tcPr>
          <w:p>
            <w:pPr>
              <w:pStyle w:val="TableText"/>
              <w:jc w:val="center"/>
            </w:pPr>
            <w:r>
              <w:rPr>
                <w:rFonts w:ascii="Times New Roman" w:hAnsi="Times New Roman"/>
                <w:b/>
              </w:rPr>
              <w:t>6 h</w:t>
            </w:r>
          </w:p>
        </w:tc>
        <w:tc>
          <w:tcPr>
            <w:tcW w:type="dxa" w:w="1296"/>
            <w:tcBorders>
              <w:bottom w:val="single" w:sz="6" w:color="000000"/>
            </w:tcBorders>
            <w:vAlign w:val="center"/>
          </w:tcPr>
          <w:p>
            <w:pPr>
              <w:pStyle w:val="TableText"/>
              <w:jc w:val="center"/>
            </w:pPr>
            <w:r>
              <w:rPr>
                <w:rFonts w:ascii="Times New Roman" w:hAnsi="Times New Roman"/>
                <w:b/>
              </w:rPr>
              <w:t>12 h</w:t>
            </w:r>
          </w:p>
        </w:tc>
        <w:tc>
          <w:tcPr>
            <w:tcW w:type="dxa" w:w="1296"/>
            <w:tcBorders>
              <w:bottom w:val="single" w:sz="6" w:color="000000"/>
            </w:tcBorders>
            <w:vAlign w:val="center"/>
          </w:tcPr>
          <w:p>
            <w:pPr>
              <w:pStyle w:val="TableText"/>
              <w:jc w:val="center"/>
            </w:pPr>
            <w:r>
              <w:rPr>
                <w:rFonts w:ascii="Times New Roman" w:hAnsi="Times New Roman"/>
                <w:b/>
              </w:rPr>
              <w:t>24 h</w:t>
            </w:r>
          </w:p>
        </w:tc>
        <w:tc>
          <w:tcPr>
            <w:tcW w:type="dxa" w:w="1296"/>
            <w:tcBorders>
              <w:bottom w:val="single" w:sz="6" w:color="000000"/>
            </w:tcBorders>
            <w:vAlign w:val="center"/>
          </w:tcPr>
          <w:p>
            <w:pPr>
              <w:pStyle w:val="TableText"/>
              <w:jc w:val="center"/>
            </w:pPr>
            <w:r>
              <w:rPr>
                <w:rFonts w:ascii="Times New Roman" w:hAnsi="Times New Roman"/>
                <w:b/>
              </w:rPr>
              <w:t>48 h</w:t>
            </w:r>
          </w:p>
        </w:tc>
        <w:tc>
          <w:tcPr>
            <w:tcW w:type="dxa" w:w="129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160"/>
            <w:vAlign w:val="center"/>
          </w:tcPr>
          <w:p>
            <w:pPr>
              <w:pStyle w:val="TableText"/>
            </w:pPr>
            <w:r>
              <w:rPr>
                <w:rFonts w:ascii="Times New Roman" w:hAnsi="Times New Roman"/>
              </w:rPr>
              <w:t>Climatology</w:t>
            </w:r>
          </w:p>
        </w:tc>
        <w:tc>
          <w:tcPr>
            <w:tcW w:type="dxa" w:w="1296"/>
            <w:vAlign w:val="center"/>
          </w:tcPr>
          <w:p>
            <w:pPr>
              <w:pStyle w:val="TableText"/>
              <w:jc w:val="center"/>
            </w:pPr>
            <w:r>
              <w:rPr>
                <w:rFonts w:ascii="Times New Roman" w:hAnsi="Times New Roman"/>
              </w:rPr>
              <w:t>−2.65</w:t>
            </w:r>
          </w:p>
        </w:tc>
        <w:tc>
          <w:tcPr>
            <w:tcW w:type="dxa" w:w="1296"/>
            <w:vAlign w:val="center"/>
          </w:tcPr>
          <w:p>
            <w:pPr>
              <w:pStyle w:val="TableText"/>
              <w:jc w:val="center"/>
            </w:pPr>
            <w:r>
              <w:rPr>
                <w:rFonts w:ascii="Times New Roman" w:hAnsi="Times New Roman"/>
              </w:rPr>
              <w:t>−1.29</w:t>
            </w:r>
          </w:p>
        </w:tc>
        <w:tc>
          <w:tcPr>
            <w:tcW w:type="dxa" w:w="1296"/>
            <w:vAlign w:val="center"/>
          </w:tcPr>
          <w:p>
            <w:pPr>
              <w:pStyle w:val="TableText"/>
              <w:jc w:val="center"/>
            </w:pPr>
            <w:r>
              <w:rPr>
                <w:rFonts w:ascii="Times New Roman" w:hAnsi="Times New Roman"/>
              </w:rPr>
              <w:t>−0.54</w:t>
            </w:r>
          </w:p>
        </w:tc>
        <w:tc>
          <w:tcPr>
            <w:tcW w:type="dxa" w:w="1296"/>
            <w:vAlign w:val="center"/>
          </w:tcPr>
          <w:p>
            <w:pPr>
              <w:pStyle w:val="TableText"/>
              <w:jc w:val="center"/>
            </w:pPr>
            <w:r>
              <w:rPr>
                <w:rFonts w:ascii="Times New Roman" w:hAnsi="Times New Roman"/>
              </w:rPr>
              <w:t>−0.02</w:t>
            </w:r>
          </w:p>
        </w:tc>
        <w:tc>
          <w:tcPr>
            <w:tcW w:type="dxa" w:w="1296"/>
            <w:vAlign w:val="center"/>
          </w:tcPr>
          <w:p>
            <w:pPr>
              <w:pStyle w:val="TableText"/>
              <w:jc w:val="center"/>
            </w:pPr>
            <w:r>
              <w:rPr>
                <w:rFonts w:ascii="Times New Roman" w:hAnsi="Times New Roman"/>
              </w:rPr>
              <w:t>+0.15</w:t>
            </w:r>
          </w:p>
        </w:tc>
      </w:tr>
      <w:tr>
        <w:trPr>
          <w:cantSplit w:val="true"/>
        </w:trPr>
        <w:tc>
          <w:tcPr>
            <w:tcW w:type="dxa" w:w="2160"/>
            <w:vAlign w:val="center"/>
          </w:tcPr>
          <w:p>
            <w:pPr>
              <w:pStyle w:val="TableText"/>
            </w:pPr>
            <w:r>
              <w:rPr>
                <w:rFonts w:ascii="Times New Roman" w:hAnsi="Times New Roman"/>
              </w:rPr>
              <w:t>ARIMA</w:t>
            </w:r>
          </w:p>
        </w:tc>
        <w:tc>
          <w:tcPr>
            <w:tcW w:type="dxa" w:w="1296"/>
            <w:vAlign w:val="center"/>
          </w:tcPr>
          <w:p>
            <w:pPr>
              <w:pStyle w:val="TableText"/>
              <w:jc w:val="center"/>
            </w:pPr>
            <w:r>
              <w:rPr>
                <w:rFonts w:ascii="Times New Roman" w:hAnsi="Times New Roman"/>
              </w:rPr>
              <w:t>+0.08</w:t>
            </w:r>
          </w:p>
        </w:tc>
        <w:tc>
          <w:tcPr>
            <w:tcW w:type="dxa" w:w="1296"/>
            <w:vAlign w:val="center"/>
          </w:tcPr>
          <w:p>
            <w:pPr>
              <w:pStyle w:val="TableText"/>
              <w:jc w:val="center"/>
            </w:pPr>
            <w:r>
              <w:rPr>
                <w:rFonts w:ascii="Times New Roman" w:hAnsi="Times New Roman"/>
              </w:rPr>
              <w:t>+0.03</w:t>
            </w:r>
          </w:p>
        </w:tc>
        <w:tc>
          <w:tcPr>
            <w:tcW w:type="dxa" w:w="1296"/>
            <w:vAlign w:val="center"/>
          </w:tcPr>
          <w:p>
            <w:pPr>
              <w:pStyle w:val="TableText"/>
              <w:jc w:val="center"/>
            </w:pPr>
            <w:r>
              <w:rPr>
                <w:rFonts w:ascii="Times New Roman" w:hAnsi="Times New Roman"/>
              </w:rPr>
              <w:t>+0.03</w:t>
            </w:r>
          </w:p>
        </w:tc>
        <w:tc>
          <w:tcPr>
            <w:tcW w:type="dxa" w:w="1296"/>
            <w:vAlign w:val="center"/>
          </w:tcPr>
          <w:p>
            <w:pPr>
              <w:pStyle w:val="TableText"/>
              <w:jc w:val="center"/>
            </w:pPr>
            <w:r>
              <w:rPr>
                <w:rFonts w:ascii="Times New Roman" w:hAnsi="Times New Roman"/>
              </w:rPr>
              <w:t>+0.01</w:t>
            </w:r>
          </w:p>
        </w:tc>
        <w:tc>
          <w:tcPr>
            <w:tcW w:type="dxa" w:w="1296"/>
            <w:vAlign w:val="center"/>
          </w:tcPr>
          <w:p>
            <w:pPr>
              <w:pStyle w:val="TableText"/>
              <w:jc w:val="center"/>
            </w:pPr>
            <w:r>
              <w:rPr>
                <w:rFonts w:ascii="Times New Roman" w:hAnsi="Times New Roman"/>
              </w:rPr>
              <w:t>−0.00</w:t>
            </w:r>
          </w:p>
        </w:tc>
      </w:tr>
      <w:tr>
        <w:trPr>
          <w:cantSplit w:val="true"/>
        </w:trPr>
        <w:tc>
          <w:tcPr>
            <w:tcW w:type="dxa" w:w="2160"/>
            <w:vAlign w:val="center"/>
          </w:tcPr>
          <w:p>
            <w:pPr>
              <w:pStyle w:val="TableText"/>
            </w:pPr>
            <w:r>
              <w:rPr>
                <w:rFonts w:ascii="Times New Roman" w:hAnsi="Times New Roman"/>
              </w:rPr>
              <w:t>LightGBM</w:t>
            </w:r>
          </w:p>
        </w:tc>
        <w:tc>
          <w:tcPr>
            <w:tcW w:type="dxa" w:w="1296"/>
            <w:vAlign w:val="center"/>
          </w:tcPr>
          <w:p>
            <w:pPr>
              <w:pStyle w:val="TableText"/>
              <w:jc w:val="center"/>
            </w:pPr>
            <w:r>
              <w:rPr>
                <w:rFonts w:ascii="Times New Roman" w:hAnsi="Times New Roman"/>
              </w:rPr>
              <w:t>+0.16</w:t>
            </w:r>
          </w:p>
        </w:tc>
        <w:tc>
          <w:tcPr>
            <w:tcW w:type="dxa" w:w="1296"/>
            <w:vAlign w:val="center"/>
          </w:tcPr>
          <w:p>
            <w:pPr>
              <w:pStyle w:val="TableText"/>
              <w:jc w:val="center"/>
            </w:pPr>
            <w:r>
              <w:rPr>
                <w:rFonts w:ascii="Times New Roman" w:hAnsi="Times New Roman"/>
              </w:rPr>
              <w:t>+0.16</w:t>
            </w:r>
          </w:p>
        </w:tc>
        <w:tc>
          <w:tcPr>
            <w:tcW w:type="dxa" w:w="1296"/>
            <w:vAlign w:val="center"/>
          </w:tcPr>
          <w:p>
            <w:pPr>
              <w:pStyle w:val="TableText"/>
              <w:jc w:val="center"/>
            </w:pPr>
            <w:r>
              <w:rPr>
                <w:rFonts w:ascii="Times New Roman" w:hAnsi="Times New Roman"/>
              </w:rPr>
              <w:t>+0.16</w:t>
            </w:r>
          </w:p>
        </w:tc>
        <w:tc>
          <w:tcPr>
            <w:tcW w:type="dxa" w:w="1296"/>
            <w:vAlign w:val="center"/>
          </w:tcPr>
          <w:p>
            <w:pPr>
              <w:pStyle w:val="TableText"/>
              <w:jc w:val="center"/>
            </w:pPr>
            <w:r>
              <w:rPr>
                <w:rFonts w:ascii="Times New Roman" w:hAnsi="Times New Roman"/>
              </w:rPr>
              <w:t>+0.21</w:t>
            </w:r>
          </w:p>
        </w:tc>
        <w:tc>
          <w:tcPr>
            <w:tcW w:type="dxa" w:w="1296"/>
            <w:vAlign w:val="center"/>
          </w:tcPr>
          <w:p>
            <w:pPr>
              <w:pStyle w:val="TableText"/>
              <w:jc w:val="center"/>
            </w:pPr>
            <w:r>
              <w:rPr>
                <w:rFonts w:ascii="Times New Roman" w:hAnsi="Times New Roman"/>
              </w:rPr>
              <w:t>+0.22</w:t>
            </w:r>
          </w:p>
        </w:tc>
      </w:tr>
      <w:tr>
        <w:trPr>
          <w:cantSplit w:val="true"/>
        </w:trPr>
        <w:tc>
          <w:tcPr>
            <w:tcW w:type="dxa" w:w="2160"/>
            <w:vAlign w:val="center"/>
          </w:tcPr>
          <w:p>
            <w:pPr>
              <w:pStyle w:val="TableText"/>
            </w:pPr>
            <w:r>
              <w:rPr>
                <w:rFonts w:ascii="Times New Roman" w:hAnsi="Times New Roman"/>
              </w:rPr>
              <w:t>CatBoost</w:t>
            </w:r>
          </w:p>
        </w:tc>
        <w:tc>
          <w:tcPr>
            <w:tcW w:type="dxa" w:w="1296"/>
            <w:vAlign w:val="center"/>
          </w:tcPr>
          <w:p>
            <w:pPr>
              <w:pStyle w:val="TableText"/>
              <w:jc w:val="center"/>
            </w:pPr>
            <w:r>
              <w:rPr>
                <w:rFonts w:ascii="Times New Roman" w:hAnsi="Times New Roman"/>
              </w:rPr>
              <w:t>+0.15</w:t>
            </w:r>
          </w:p>
        </w:tc>
        <w:tc>
          <w:tcPr>
            <w:tcW w:type="dxa" w:w="1296"/>
            <w:vAlign w:val="center"/>
          </w:tcPr>
          <w:p>
            <w:pPr>
              <w:pStyle w:val="TableText"/>
              <w:jc w:val="center"/>
            </w:pPr>
            <w:r>
              <w:rPr>
                <w:rFonts w:ascii="Times New Roman" w:hAnsi="Times New Roman"/>
              </w:rPr>
              <w:t>+0.16</w:t>
            </w:r>
          </w:p>
        </w:tc>
        <w:tc>
          <w:tcPr>
            <w:tcW w:type="dxa" w:w="1296"/>
            <w:vAlign w:val="center"/>
          </w:tcPr>
          <w:p>
            <w:pPr>
              <w:pStyle w:val="TableText"/>
              <w:jc w:val="center"/>
            </w:pPr>
            <w:r>
              <w:rPr>
                <w:rFonts w:ascii="Times New Roman" w:hAnsi="Times New Roman"/>
              </w:rPr>
              <w:t>+0.17</w:t>
            </w:r>
          </w:p>
        </w:tc>
        <w:tc>
          <w:tcPr>
            <w:tcW w:type="dxa" w:w="1296"/>
            <w:vAlign w:val="center"/>
          </w:tcPr>
          <w:p>
            <w:pPr>
              <w:pStyle w:val="TableText"/>
              <w:jc w:val="center"/>
            </w:pPr>
            <w:r>
              <w:rPr>
                <w:rFonts w:ascii="Times New Roman" w:hAnsi="Times New Roman"/>
              </w:rPr>
              <w:t>+0.18</w:t>
            </w:r>
          </w:p>
        </w:tc>
        <w:tc>
          <w:tcPr>
            <w:tcW w:type="dxa" w:w="1296"/>
            <w:vAlign w:val="center"/>
          </w:tcPr>
          <w:p>
            <w:pPr>
              <w:pStyle w:val="TableText"/>
              <w:jc w:val="center"/>
            </w:pPr>
            <w:r>
              <w:rPr>
                <w:rFonts w:ascii="Times New Roman" w:hAnsi="Times New Roman"/>
              </w:rPr>
              <w:t>+0.22</w:t>
            </w:r>
          </w:p>
        </w:tc>
      </w:tr>
      <w:tr>
        <w:trPr>
          <w:cantSplit w:val="true"/>
        </w:trPr>
        <w:tc>
          <w:tcPr>
            <w:tcW w:type="dxa" w:w="2160"/>
            <w:vAlign w:val="center"/>
          </w:tcPr>
          <w:p>
            <w:pPr>
              <w:pStyle w:val="TableText"/>
            </w:pPr>
            <w:r>
              <w:rPr>
                <w:rFonts w:ascii="Times New Roman" w:hAnsi="Times New Roman"/>
              </w:rPr>
              <w:t>LSTM (MSE)</w:t>
            </w:r>
          </w:p>
        </w:tc>
        <w:tc>
          <w:tcPr>
            <w:tcW w:type="dxa" w:w="1296"/>
            <w:vAlign w:val="center"/>
          </w:tcPr>
          <w:p>
            <w:pPr>
              <w:pStyle w:val="TableText"/>
              <w:jc w:val="center"/>
            </w:pPr>
            <w:r>
              <w:rPr>
                <w:rFonts w:ascii="Times New Roman" w:hAnsi="Times New Roman"/>
              </w:rPr>
              <w:t>+0.05</w:t>
            </w:r>
          </w:p>
        </w:tc>
        <w:tc>
          <w:tcPr>
            <w:tcW w:type="dxa" w:w="1296"/>
            <w:vAlign w:val="center"/>
          </w:tcPr>
          <w:p>
            <w:pPr>
              <w:pStyle w:val="TableText"/>
              <w:jc w:val="center"/>
            </w:pPr>
            <w:r>
              <w:rPr>
                <w:rFonts w:ascii="Times New Roman" w:hAnsi="Times New Roman"/>
              </w:rPr>
              <w:t>+0.08</w:t>
            </w:r>
          </w:p>
        </w:tc>
        <w:tc>
          <w:tcPr>
            <w:tcW w:type="dxa" w:w="1296"/>
            <w:vAlign w:val="center"/>
          </w:tcPr>
          <w:p>
            <w:pPr>
              <w:pStyle w:val="TableText"/>
              <w:jc w:val="center"/>
            </w:pPr>
            <w:r>
              <w:rPr>
                <w:rFonts w:ascii="Times New Roman" w:hAnsi="Times New Roman"/>
              </w:rPr>
              <w:t>+0.13</w:t>
            </w:r>
          </w:p>
        </w:tc>
        <w:tc>
          <w:tcPr>
            <w:tcW w:type="dxa" w:w="1296"/>
            <w:vAlign w:val="center"/>
          </w:tcPr>
          <w:p>
            <w:pPr>
              <w:pStyle w:val="TableText"/>
              <w:jc w:val="center"/>
            </w:pPr>
            <w:r>
              <w:rPr>
                <w:rFonts w:ascii="Times New Roman" w:hAnsi="Times New Roman"/>
              </w:rPr>
              <w:t>+0.19</w:t>
            </w:r>
          </w:p>
        </w:tc>
        <w:tc>
          <w:tcPr>
            <w:tcW w:type="dxa" w:w="1296"/>
            <w:vAlign w:val="center"/>
          </w:tcPr>
          <w:p>
            <w:pPr>
              <w:pStyle w:val="TableText"/>
              <w:jc w:val="center"/>
            </w:pPr>
            <w:r>
              <w:rPr>
                <w:rFonts w:ascii="Times New Roman" w:hAnsi="Times New Roman"/>
              </w:rPr>
              <w:t>+0.21</w:t>
            </w:r>
          </w:p>
        </w:tc>
      </w:tr>
      <w:tr>
        <w:trPr>
          <w:cantSplit w:val="true"/>
        </w:trPr>
        <w:tc>
          <w:tcPr>
            <w:tcW w:type="dxa" w:w="2160"/>
            <w:vAlign w:val="center"/>
          </w:tcPr>
          <w:p>
            <w:pPr>
              <w:pStyle w:val="TableText"/>
            </w:pPr>
            <w:r>
              <w:rPr>
                <w:rFonts w:ascii="Times New Roman" w:hAnsi="Times New Roman"/>
              </w:rPr>
              <w:t>LSTM (peak loss)</w:t>
            </w:r>
          </w:p>
        </w:tc>
        <w:tc>
          <w:tcPr>
            <w:tcW w:type="dxa" w:w="1296"/>
            <w:vAlign w:val="center"/>
          </w:tcPr>
          <w:p>
            <w:pPr>
              <w:pStyle w:val="TableText"/>
              <w:jc w:val="center"/>
            </w:pPr>
            <w:r>
              <w:rPr>
                <w:rFonts w:ascii="Times New Roman" w:hAnsi="Times New Roman"/>
              </w:rPr>
              <w:t>−0.25</w:t>
            </w:r>
          </w:p>
        </w:tc>
        <w:tc>
          <w:tcPr>
            <w:tcW w:type="dxa" w:w="1296"/>
            <w:vAlign w:val="center"/>
          </w:tcPr>
          <w:p>
            <w:pPr>
              <w:pStyle w:val="TableText"/>
              <w:jc w:val="center"/>
            </w:pPr>
            <w:r>
              <w:rPr>
                <w:rFonts w:ascii="Times New Roman" w:hAnsi="Times New Roman"/>
              </w:rPr>
              <w:t>−0.10</w:t>
            </w:r>
          </w:p>
        </w:tc>
        <w:tc>
          <w:tcPr>
            <w:tcW w:type="dxa" w:w="1296"/>
            <w:vAlign w:val="center"/>
          </w:tcPr>
          <w:p>
            <w:pPr>
              <w:pStyle w:val="TableText"/>
              <w:jc w:val="center"/>
            </w:pPr>
            <w:r>
              <w:rPr>
                <w:rFonts w:ascii="Times New Roman" w:hAnsi="Times New Roman"/>
              </w:rPr>
              <w:t>−0.00</w:t>
            </w:r>
          </w:p>
        </w:tc>
        <w:tc>
          <w:tcPr>
            <w:tcW w:type="dxa" w:w="1296"/>
            <w:vAlign w:val="center"/>
          </w:tcPr>
          <w:p>
            <w:pPr>
              <w:pStyle w:val="TableText"/>
              <w:jc w:val="center"/>
            </w:pPr>
            <w:r>
              <w:rPr>
                <w:rFonts w:ascii="Times New Roman" w:hAnsi="Times New Roman"/>
              </w:rPr>
              <w:t>+0.07</w:t>
            </w:r>
          </w:p>
        </w:tc>
        <w:tc>
          <w:tcPr>
            <w:tcW w:type="dxa" w:w="1296"/>
            <w:vAlign w:val="center"/>
          </w:tcPr>
          <w:p>
            <w:pPr>
              <w:pStyle w:val="TableText"/>
              <w:jc w:val="center"/>
            </w:pPr>
            <w:r>
              <w:rPr>
                <w:rFonts w:ascii="Times New Roman" w:hAnsi="Times New Roman"/>
              </w:rPr>
              <w:t>+0.07</w:t>
            </w:r>
          </w:p>
        </w:tc>
      </w:tr>
    </w:tbl>
    <w:p>
      <w:pPr>
        <w:pStyle w:val="Single"/>
        <w:spacing w:after="200" w:line="40" w:lineRule="exact"/>
      </w:pPr>
    </w:p>
    <w:p>
      <w:r>
        <w:rPr>
          <w:rFonts w:ascii="Times New Roman" w:hAnsi="Times New Roman"/>
        </w:rPr>
        <w:t>The R² of the best model decreases from 0.97 at 6 h to 0.86 at 24 h and 0.60 at 72 h, and its scatter index rises from 0.07 to 0.27 (Table 5.5, Table 5.6). A scatter index below about 0.2 is usually regarded as good agreement in wave-model verification [20], which the learned models reach up to about 24 h.</w:t>
      </w:r>
    </w:p>
    <w:p>
      <w:pPr>
        <w:pStyle w:val="TableCaption"/>
      </w:pPr>
      <w:r>
        <w:rPr>
          <w:b/>
        </w:rPr>
        <w:t xml:space="preserve">Table 5.5: </w:t>
      </w:r>
      <w:r>
        <w:rPr>
          <w:rFonts w:ascii="Times New Roman" w:hAnsi="Times New Roman"/>
        </w:rPr>
        <w:t>Coefficient of determination R², mean over the three sites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160"/>
        <w:gridCol w:w="1296"/>
        <w:gridCol w:w="1296"/>
        <w:gridCol w:w="1296"/>
        <w:gridCol w:w="1296"/>
        <w:gridCol w:w="1296"/>
      </w:tblGrid>
      <w:tr>
        <w:trPr>
          <w:cantSplit w:val="true"/>
          <w:tblHeader w:val="true"/>
        </w:trPr>
        <w:tc>
          <w:tcPr>
            <w:tcW w:type="dxa" w:w="2160"/>
            <w:tcBorders>
              <w:bottom w:val="single" w:sz="6" w:color="000000"/>
            </w:tcBorders>
            <w:vAlign w:val="center"/>
          </w:tcPr>
          <w:p>
            <w:pPr>
              <w:pStyle w:val="TableText"/>
            </w:pPr>
            <w:r>
              <w:rPr>
                <w:rFonts w:ascii="Times New Roman" w:hAnsi="Times New Roman"/>
                <w:b/>
              </w:rPr>
              <w:t>Model</w:t>
            </w:r>
          </w:p>
        </w:tc>
        <w:tc>
          <w:tcPr>
            <w:tcW w:type="dxa" w:w="1296"/>
            <w:tcBorders>
              <w:bottom w:val="single" w:sz="6" w:color="000000"/>
            </w:tcBorders>
            <w:vAlign w:val="center"/>
          </w:tcPr>
          <w:p>
            <w:pPr>
              <w:pStyle w:val="TableText"/>
              <w:jc w:val="center"/>
            </w:pPr>
            <w:r>
              <w:rPr>
                <w:rFonts w:ascii="Times New Roman" w:hAnsi="Times New Roman"/>
                <w:b/>
              </w:rPr>
              <w:t>6 h</w:t>
            </w:r>
          </w:p>
        </w:tc>
        <w:tc>
          <w:tcPr>
            <w:tcW w:type="dxa" w:w="1296"/>
            <w:tcBorders>
              <w:bottom w:val="single" w:sz="6" w:color="000000"/>
            </w:tcBorders>
            <w:vAlign w:val="center"/>
          </w:tcPr>
          <w:p>
            <w:pPr>
              <w:pStyle w:val="TableText"/>
              <w:jc w:val="center"/>
            </w:pPr>
            <w:r>
              <w:rPr>
                <w:rFonts w:ascii="Times New Roman" w:hAnsi="Times New Roman"/>
                <w:b/>
              </w:rPr>
              <w:t>12 h</w:t>
            </w:r>
          </w:p>
        </w:tc>
        <w:tc>
          <w:tcPr>
            <w:tcW w:type="dxa" w:w="1296"/>
            <w:tcBorders>
              <w:bottom w:val="single" w:sz="6" w:color="000000"/>
            </w:tcBorders>
            <w:vAlign w:val="center"/>
          </w:tcPr>
          <w:p>
            <w:pPr>
              <w:pStyle w:val="TableText"/>
              <w:jc w:val="center"/>
            </w:pPr>
            <w:r>
              <w:rPr>
                <w:rFonts w:ascii="Times New Roman" w:hAnsi="Times New Roman"/>
                <w:b/>
              </w:rPr>
              <w:t>24 h</w:t>
            </w:r>
          </w:p>
        </w:tc>
        <w:tc>
          <w:tcPr>
            <w:tcW w:type="dxa" w:w="1296"/>
            <w:tcBorders>
              <w:bottom w:val="single" w:sz="6" w:color="000000"/>
            </w:tcBorders>
            <w:vAlign w:val="center"/>
          </w:tcPr>
          <w:p>
            <w:pPr>
              <w:pStyle w:val="TableText"/>
              <w:jc w:val="center"/>
            </w:pPr>
            <w:r>
              <w:rPr>
                <w:rFonts w:ascii="Times New Roman" w:hAnsi="Times New Roman"/>
                <w:b/>
              </w:rPr>
              <w:t>48 h</w:t>
            </w:r>
          </w:p>
        </w:tc>
        <w:tc>
          <w:tcPr>
            <w:tcW w:type="dxa" w:w="129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160"/>
            <w:vAlign w:val="center"/>
          </w:tcPr>
          <w:p>
            <w:pPr>
              <w:pStyle w:val="TableText"/>
            </w:pPr>
            <w:r>
              <w:rPr>
                <w:rFonts w:ascii="Times New Roman" w:hAnsi="Times New Roman"/>
              </w:rPr>
              <w:t>Persistence</w:t>
            </w:r>
          </w:p>
        </w:tc>
        <w:tc>
          <w:tcPr>
            <w:tcW w:type="dxa" w:w="1296"/>
            <w:vAlign w:val="center"/>
          </w:tcPr>
          <w:p>
            <w:pPr>
              <w:pStyle w:val="TableText"/>
              <w:jc w:val="center"/>
            </w:pPr>
            <w:r>
              <w:rPr>
                <w:rFonts w:ascii="Times New Roman" w:hAnsi="Times New Roman"/>
              </w:rPr>
              <w:t>0.963</w:t>
            </w:r>
          </w:p>
        </w:tc>
        <w:tc>
          <w:tcPr>
            <w:tcW w:type="dxa" w:w="1296"/>
            <w:vAlign w:val="center"/>
          </w:tcPr>
          <w:p>
            <w:pPr>
              <w:pStyle w:val="TableText"/>
              <w:jc w:val="center"/>
            </w:pPr>
            <w:r>
              <w:rPr>
                <w:rFonts w:ascii="Times New Roman" w:hAnsi="Times New Roman"/>
              </w:rPr>
              <w:t>0.906</w:t>
            </w:r>
          </w:p>
        </w:tc>
        <w:tc>
          <w:tcPr>
            <w:tcW w:type="dxa" w:w="1296"/>
            <w:vAlign w:val="center"/>
          </w:tcPr>
          <w:p>
            <w:pPr>
              <w:pStyle w:val="TableText"/>
              <w:jc w:val="center"/>
            </w:pPr>
            <w:r>
              <w:rPr>
                <w:rFonts w:ascii="Times New Roman" w:hAnsi="Times New Roman"/>
              </w:rPr>
              <w:t>0.796</w:t>
            </w:r>
          </w:p>
        </w:tc>
        <w:tc>
          <w:tcPr>
            <w:tcW w:type="dxa" w:w="1296"/>
            <w:vAlign w:val="center"/>
          </w:tcPr>
          <w:p>
            <w:pPr>
              <w:pStyle w:val="TableText"/>
              <w:jc w:val="center"/>
            </w:pPr>
            <w:r>
              <w:rPr>
                <w:rFonts w:ascii="Times New Roman" w:hAnsi="Times New Roman"/>
              </w:rPr>
              <w:t>0.531</w:t>
            </w:r>
          </w:p>
        </w:tc>
        <w:tc>
          <w:tcPr>
            <w:tcW w:type="dxa" w:w="1296"/>
            <w:vAlign w:val="center"/>
          </w:tcPr>
          <w:p>
            <w:pPr>
              <w:pStyle w:val="TableText"/>
              <w:jc w:val="center"/>
            </w:pPr>
            <w:r>
              <w:rPr>
                <w:rFonts w:ascii="Times New Roman" w:hAnsi="Times New Roman"/>
              </w:rPr>
              <w:t>0.334</w:t>
            </w:r>
          </w:p>
        </w:tc>
      </w:tr>
      <w:tr>
        <w:trPr>
          <w:cantSplit w:val="true"/>
        </w:trPr>
        <w:tc>
          <w:tcPr>
            <w:tcW w:type="dxa" w:w="2160"/>
            <w:vAlign w:val="center"/>
          </w:tcPr>
          <w:p>
            <w:pPr>
              <w:pStyle w:val="TableText"/>
            </w:pPr>
            <w:r>
              <w:rPr>
                <w:rFonts w:ascii="Times New Roman" w:hAnsi="Times New Roman"/>
              </w:rPr>
              <w:t>Climatology</w:t>
            </w:r>
          </w:p>
        </w:tc>
        <w:tc>
          <w:tcPr>
            <w:tcW w:type="dxa" w:w="1296"/>
            <w:vAlign w:val="center"/>
          </w:tcPr>
          <w:p>
            <w:pPr>
              <w:pStyle w:val="TableText"/>
              <w:jc w:val="center"/>
            </w:pPr>
            <w:r>
              <w:rPr>
                <w:rFonts w:ascii="Times New Roman" w:hAnsi="Times New Roman"/>
              </w:rPr>
              <w:t>0.516</w:t>
            </w:r>
          </w:p>
        </w:tc>
        <w:tc>
          <w:tcPr>
            <w:tcW w:type="dxa" w:w="1296"/>
            <w:vAlign w:val="center"/>
          </w:tcPr>
          <w:p>
            <w:pPr>
              <w:pStyle w:val="TableText"/>
              <w:jc w:val="center"/>
            </w:pPr>
            <w:r>
              <w:rPr>
                <w:rFonts w:ascii="Times New Roman" w:hAnsi="Times New Roman"/>
              </w:rPr>
              <w:t>0.516</w:t>
            </w:r>
          </w:p>
        </w:tc>
        <w:tc>
          <w:tcPr>
            <w:tcW w:type="dxa" w:w="1296"/>
            <w:vAlign w:val="center"/>
          </w:tcPr>
          <w:p>
            <w:pPr>
              <w:pStyle w:val="TableText"/>
              <w:jc w:val="center"/>
            </w:pPr>
            <w:r>
              <w:rPr>
                <w:rFonts w:ascii="Times New Roman" w:hAnsi="Times New Roman"/>
              </w:rPr>
              <w:t>0.516</w:t>
            </w:r>
          </w:p>
        </w:tc>
        <w:tc>
          <w:tcPr>
            <w:tcW w:type="dxa" w:w="1296"/>
            <w:vAlign w:val="center"/>
          </w:tcPr>
          <w:p>
            <w:pPr>
              <w:pStyle w:val="TableText"/>
              <w:jc w:val="center"/>
            </w:pPr>
            <w:r>
              <w:rPr>
                <w:rFonts w:ascii="Times New Roman" w:hAnsi="Times New Roman"/>
              </w:rPr>
              <w:t>0.517</w:t>
            </w:r>
          </w:p>
        </w:tc>
        <w:tc>
          <w:tcPr>
            <w:tcW w:type="dxa" w:w="1296"/>
            <w:vAlign w:val="center"/>
          </w:tcPr>
          <w:p>
            <w:pPr>
              <w:pStyle w:val="TableText"/>
              <w:jc w:val="center"/>
            </w:pPr>
            <w:r>
              <w:rPr>
                <w:rFonts w:ascii="Times New Roman" w:hAnsi="Times New Roman"/>
              </w:rPr>
              <w:t>0.518</w:t>
            </w:r>
          </w:p>
        </w:tc>
      </w:tr>
      <w:tr>
        <w:trPr>
          <w:cantSplit w:val="true"/>
        </w:trPr>
        <w:tc>
          <w:tcPr>
            <w:tcW w:type="dxa" w:w="2160"/>
            <w:vAlign w:val="center"/>
          </w:tcPr>
          <w:p>
            <w:pPr>
              <w:pStyle w:val="TableText"/>
            </w:pPr>
            <w:r>
              <w:rPr>
                <w:rFonts w:ascii="Times New Roman" w:hAnsi="Times New Roman"/>
              </w:rPr>
              <w:t>ARIMA</w:t>
            </w:r>
          </w:p>
        </w:tc>
        <w:tc>
          <w:tcPr>
            <w:tcW w:type="dxa" w:w="1296"/>
            <w:vAlign w:val="center"/>
          </w:tcPr>
          <w:p>
            <w:pPr>
              <w:pStyle w:val="TableText"/>
              <w:jc w:val="center"/>
            </w:pPr>
            <w:r>
              <w:rPr>
                <w:rFonts w:ascii="Times New Roman" w:hAnsi="Times New Roman"/>
              </w:rPr>
              <w:t>0.969</w:t>
            </w:r>
          </w:p>
        </w:tc>
        <w:tc>
          <w:tcPr>
            <w:tcW w:type="dxa" w:w="1296"/>
            <w:vAlign w:val="center"/>
          </w:tcPr>
          <w:p>
            <w:pPr>
              <w:pStyle w:val="TableText"/>
              <w:jc w:val="center"/>
            </w:pPr>
            <w:r>
              <w:rPr>
                <w:rFonts w:ascii="Times New Roman" w:hAnsi="Times New Roman"/>
              </w:rPr>
              <w:t>0.912</w:t>
            </w:r>
          </w:p>
        </w:tc>
        <w:tc>
          <w:tcPr>
            <w:tcW w:type="dxa" w:w="1296"/>
            <w:vAlign w:val="center"/>
          </w:tcPr>
          <w:p>
            <w:pPr>
              <w:pStyle w:val="TableText"/>
              <w:jc w:val="center"/>
            </w:pPr>
            <w:r>
              <w:rPr>
                <w:rFonts w:ascii="Times New Roman" w:hAnsi="Times New Roman"/>
              </w:rPr>
              <w:t>0.807</w:t>
            </w:r>
          </w:p>
        </w:tc>
        <w:tc>
          <w:tcPr>
            <w:tcW w:type="dxa" w:w="1296"/>
            <w:vAlign w:val="center"/>
          </w:tcPr>
          <w:p>
            <w:pPr>
              <w:pStyle w:val="TableText"/>
              <w:jc w:val="center"/>
            </w:pPr>
            <w:r>
              <w:rPr>
                <w:rFonts w:ascii="Times New Roman" w:hAnsi="Times New Roman"/>
              </w:rPr>
              <w:t>0.540</w:t>
            </w:r>
          </w:p>
        </w:tc>
        <w:tc>
          <w:tcPr>
            <w:tcW w:type="dxa" w:w="1296"/>
            <w:vAlign w:val="center"/>
          </w:tcPr>
          <w:p>
            <w:pPr>
              <w:pStyle w:val="TableText"/>
              <w:jc w:val="center"/>
            </w:pPr>
            <w:r>
              <w:rPr>
                <w:rFonts w:ascii="Times New Roman" w:hAnsi="Times New Roman"/>
              </w:rPr>
              <w:t>0.330</w:t>
            </w:r>
          </w:p>
        </w:tc>
      </w:tr>
      <w:tr>
        <w:trPr>
          <w:cantSplit w:val="true"/>
        </w:trPr>
        <w:tc>
          <w:tcPr>
            <w:tcW w:type="dxa" w:w="2160"/>
            <w:vAlign w:val="center"/>
          </w:tcPr>
          <w:p>
            <w:pPr>
              <w:pStyle w:val="TableText"/>
            </w:pPr>
            <w:r>
              <w:rPr>
                <w:rFonts w:ascii="Times New Roman" w:hAnsi="Times New Roman"/>
              </w:rPr>
              <w:t>LightGBM</w:t>
            </w:r>
          </w:p>
        </w:tc>
        <w:tc>
          <w:tcPr>
            <w:tcW w:type="dxa" w:w="1296"/>
            <w:vAlign w:val="center"/>
          </w:tcPr>
          <w:p>
            <w:pPr>
              <w:pStyle w:val="TableText"/>
              <w:jc w:val="center"/>
            </w:pPr>
            <w:r>
              <w:rPr>
                <w:rFonts w:ascii="Times New Roman" w:hAnsi="Times New Roman"/>
              </w:rPr>
              <w:t>0.974</w:t>
            </w:r>
          </w:p>
        </w:tc>
        <w:tc>
          <w:tcPr>
            <w:tcW w:type="dxa" w:w="1296"/>
            <w:vAlign w:val="center"/>
          </w:tcPr>
          <w:p>
            <w:pPr>
              <w:pStyle w:val="TableText"/>
              <w:jc w:val="center"/>
            </w:pPr>
            <w:r>
              <w:rPr>
                <w:rFonts w:ascii="Times New Roman" w:hAnsi="Times New Roman"/>
              </w:rPr>
              <w:t>0.934</w:t>
            </w:r>
          </w:p>
        </w:tc>
        <w:tc>
          <w:tcPr>
            <w:tcW w:type="dxa" w:w="1296"/>
            <w:vAlign w:val="center"/>
          </w:tcPr>
          <w:p>
            <w:pPr>
              <w:pStyle w:val="TableText"/>
              <w:jc w:val="center"/>
            </w:pPr>
            <w:r>
              <w:rPr>
                <w:rFonts w:ascii="Times New Roman" w:hAnsi="Times New Roman"/>
              </w:rPr>
              <w:t>0.857</w:t>
            </w:r>
          </w:p>
        </w:tc>
        <w:tc>
          <w:tcPr>
            <w:tcW w:type="dxa" w:w="1296"/>
            <w:vAlign w:val="center"/>
          </w:tcPr>
          <w:p>
            <w:pPr>
              <w:pStyle w:val="TableText"/>
              <w:jc w:val="center"/>
            </w:pPr>
            <w:r>
              <w:rPr>
                <w:rFonts w:ascii="Times New Roman" w:hAnsi="Times New Roman"/>
              </w:rPr>
              <w:t>0.706</w:t>
            </w:r>
          </w:p>
        </w:tc>
        <w:tc>
          <w:tcPr>
            <w:tcW w:type="dxa" w:w="1296"/>
            <w:vAlign w:val="center"/>
          </w:tcPr>
          <w:p>
            <w:pPr>
              <w:pStyle w:val="TableText"/>
              <w:jc w:val="center"/>
            </w:pPr>
            <w:r>
              <w:rPr>
                <w:rFonts w:ascii="Times New Roman" w:hAnsi="Times New Roman"/>
              </w:rPr>
              <w:t>0.599</w:t>
            </w:r>
          </w:p>
        </w:tc>
      </w:tr>
      <w:tr>
        <w:trPr>
          <w:cantSplit w:val="true"/>
        </w:trPr>
        <w:tc>
          <w:tcPr>
            <w:tcW w:type="dxa" w:w="2160"/>
            <w:vAlign w:val="center"/>
          </w:tcPr>
          <w:p>
            <w:pPr>
              <w:pStyle w:val="TableText"/>
            </w:pPr>
            <w:r>
              <w:rPr>
                <w:rFonts w:ascii="Times New Roman" w:hAnsi="Times New Roman"/>
              </w:rPr>
              <w:t>CatBoost</w:t>
            </w:r>
          </w:p>
        </w:tc>
        <w:tc>
          <w:tcPr>
            <w:tcW w:type="dxa" w:w="1296"/>
            <w:vAlign w:val="center"/>
          </w:tcPr>
          <w:p>
            <w:pPr>
              <w:pStyle w:val="TableText"/>
              <w:jc w:val="center"/>
            </w:pPr>
            <w:r>
              <w:rPr>
                <w:rFonts w:ascii="Times New Roman" w:hAnsi="Times New Roman"/>
              </w:rPr>
              <w:t>0.973</w:t>
            </w:r>
          </w:p>
        </w:tc>
        <w:tc>
          <w:tcPr>
            <w:tcW w:type="dxa" w:w="1296"/>
            <w:vAlign w:val="center"/>
          </w:tcPr>
          <w:p>
            <w:pPr>
              <w:pStyle w:val="TableText"/>
              <w:jc w:val="center"/>
            </w:pPr>
            <w:r>
              <w:rPr>
                <w:rFonts w:ascii="Times New Roman" w:hAnsi="Times New Roman"/>
              </w:rPr>
              <w:t>0.934</w:t>
            </w:r>
          </w:p>
        </w:tc>
        <w:tc>
          <w:tcPr>
            <w:tcW w:type="dxa" w:w="1296"/>
            <w:vAlign w:val="center"/>
          </w:tcPr>
          <w:p>
            <w:pPr>
              <w:pStyle w:val="TableText"/>
              <w:jc w:val="center"/>
            </w:pPr>
            <w:r>
              <w:rPr>
                <w:rFonts w:ascii="Times New Roman" w:hAnsi="Times New Roman"/>
              </w:rPr>
              <w:t>0.860</w:t>
            </w:r>
          </w:p>
        </w:tc>
        <w:tc>
          <w:tcPr>
            <w:tcW w:type="dxa" w:w="1296"/>
            <w:vAlign w:val="center"/>
          </w:tcPr>
          <w:p>
            <w:pPr>
              <w:pStyle w:val="TableText"/>
              <w:jc w:val="center"/>
            </w:pPr>
            <w:r>
              <w:rPr>
                <w:rFonts w:ascii="Times New Roman" w:hAnsi="Times New Roman"/>
              </w:rPr>
              <w:t>0.687</w:t>
            </w:r>
          </w:p>
        </w:tc>
        <w:tc>
          <w:tcPr>
            <w:tcW w:type="dxa" w:w="1296"/>
            <w:vAlign w:val="center"/>
          </w:tcPr>
          <w:p>
            <w:pPr>
              <w:pStyle w:val="TableText"/>
              <w:jc w:val="center"/>
            </w:pPr>
            <w:r>
              <w:rPr>
                <w:rFonts w:ascii="Times New Roman" w:hAnsi="Times New Roman"/>
              </w:rPr>
              <w:t>0.595</w:t>
            </w:r>
          </w:p>
        </w:tc>
      </w:tr>
      <w:tr>
        <w:trPr>
          <w:cantSplit w:val="true"/>
        </w:trPr>
        <w:tc>
          <w:tcPr>
            <w:tcW w:type="dxa" w:w="2160"/>
            <w:vAlign w:val="center"/>
          </w:tcPr>
          <w:p>
            <w:pPr>
              <w:pStyle w:val="TableText"/>
            </w:pPr>
            <w:r>
              <w:rPr>
                <w:rFonts w:ascii="Times New Roman" w:hAnsi="Times New Roman"/>
              </w:rPr>
              <w:t>LSTM (MSE)</w:t>
            </w:r>
          </w:p>
        </w:tc>
        <w:tc>
          <w:tcPr>
            <w:tcW w:type="dxa" w:w="1296"/>
            <w:vAlign w:val="center"/>
          </w:tcPr>
          <w:p>
            <w:pPr>
              <w:pStyle w:val="TableText"/>
              <w:jc w:val="center"/>
            </w:pPr>
            <w:r>
              <w:rPr>
                <w:rFonts w:ascii="Times New Roman" w:hAnsi="Times New Roman"/>
              </w:rPr>
              <w:t>0.967</w:t>
            </w:r>
          </w:p>
        </w:tc>
        <w:tc>
          <w:tcPr>
            <w:tcW w:type="dxa" w:w="1296"/>
            <w:vAlign w:val="center"/>
          </w:tcPr>
          <w:p>
            <w:pPr>
              <w:pStyle w:val="TableText"/>
              <w:jc w:val="center"/>
            </w:pPr>
            <w:r>
              <w:rPr>
                <w:rFonts w:ascii="Times New Roman" w:hAnsi="Times New Roman"/>
              </w:rPr>
              <w:t>0.921</w:t>
            </w:r>
          </w:p>
        </w:tc>
        <w:tc>
          <w:tcPr>
            <w:tcW w:type="dxa" w:w="1296"/>
            <w:vAlign w:val="center"/>
          </w:tcPr>
          <w:p>
            <w:pPr>
              <w:pStyle w:val="TableText"/>
              <w:jc w:val="center"/>
            </w:pPr>
            <w:r>
              <w:rPr>
                <w:rFonts w:ascii="Times New Roman" w:hAnsi="Times New Roman"/>
              </w:rPr>
              <w:t>0.846</w:t>
            </w:r>
          </w:p>
        </w:tc>
        <w:tc>
          <w:tcPr>
            <w:tcW w:type="dxa" w:w="1296"/>
            <w:vAlign w:val="center"/>
          </w:tcPr>
          <w:p>
            <w:pPr>
              <w:pStyle w:val="TableText"/>
              <w:jc w:val="center"/>
            </w:pPr>
            <w:r>
              <w:rPr>
                <w:rFonts w:ascii="Times New Roman" w:hAnsi="Times New Roman"/>
              </w:rPr>
              <w:t>0.695</w:t>
            </w:r>
          </w:p>
        </w:tc>
        <w:tc>
          <w:tcPr>
            <w:tcW w:type="dxa" w:w="1296"/>
            <w:vAlign w:val="center"/>
          </w:tcPr>
          <w:p>
            <w:pPr>
              <w:pStyle w:val="TableText"/>
              <w:jc w:val="center"/>
            </w:pPr>
            <w:r>
              <w:rPr>
                <w:rFonts w:ascii="Times New Roman" w:hAnsi="Times New Roman"/>
              </w:rPr>
              <w:t>0.588</w:t>
            </w:r>
          </w:p>
        </w:tc>
      </w:tr>
      <w:tr>
        <w:trPr>
          <w:cantSplit w:val="true"/>
        </w:trPr>
        <w:tc>
          <w:tcPr>
            <w:tcW w:type="dxa" w:w="2160"/>
            <w:vAlign w:val="center"/>
          </w:tcPr>
          <w:p>
            <w:pPr>
              <w:pStyle w:val="TableText"/>
            </w:pPr>
            <w:r>
              <w:rPr>
                <w:rFonts w:ascii="Times New Roman" w:hAnsi="Times New Roman"/>
              </w:rPr>
              <w:t>LSTM (peak loss)</w:t>
            </w:r>
          </w:p>
        </w:tc>
        <w:tc>
          <w:tcPr>
            <w:tcW w:type="dxa" w:w="1296"/>
            <w:vAlign w:val="center"/>
          </w:tcPr>
          <w:p>
            <w:pPr>
              <w:pStyle w:val="TableText"/>
              <w:jc w:val="center"/>
            </w:pPr>
            <w:r>
              <w:rPr>
                <w:rFonts w:ascii="Times New Roman" w:hAnsi="Times New Roman"/>
              </w:rPr>
              <w:t>0.940</w:t>
            </w:r>
          </w:p>
        </w:tc>
        <w:tc>
          <w:tcPr>
            <w:tcW w:type="dxa" w:w="1296"/>
            <w:vAlign w:val="center"/>
          </w:tcPr>
          <w:p>
            <w:pPr>
              <w:pStyle w:val="TableText"/>
              <w:jc w:val="center"/>
            </w:pPr>
            <w:r>
              <w:rPr>
                <w:rFonts w:ascii="Times New Roman" w:hAnsi="Times New Roman"/>
              </w:rPr>
              <w:t>0.885</w:t>
            </w:r>
          </w:p>
        </w:tc>
        <w:tc>
          <w:tcPr>
            <w:tcW w:type="dxa" w:w="1296"/>
            <w:vAlign w:val="center"/>
          </w:tcPr>
          <w:p>
            <w:pPr>
              <w:pStyle w:val="TableText"/>
              <w:jc w:val="center"/>
            </w:pPr>
            <w:r>
              <w:rPr>
                <w:rFonts w:ascii="Times New Roman" w:hAnsi="Times New Roman"/>
              </w:rPr>
              <w:t>0.793</w:t>
            </w:r>
          </w:p>
        </w:tc>
        <w:tc>
          <w:tcPr>
            <w:tcW w:type="dxa" w:w="1296"/>
            <w:vAlign w:val="center"/>
          </w:tcPr>
          <w:p>
            <w:pPr>
              <w:pStyle w:val="TableText"/>
              <w:jc w:val="center"/>
            </w:pPr>
            <w:r>
              <w:rPr>
                <w:rFonts w:ascii="Times New Roman" w:hAnsi="Times New Roman"/>
              </w:rPr>
              <w:t>0.598</w:t>
            </w:r>
          </w:p>
        </w:tc>
        <w:tc>
          <w:tcPr>
            <w:tcW w:type="dxa" w:w="1296"/>
            <w:vAlign w:val="center"/>
          </w:tcPr>
          <w:p>
            <w:pPr>
              <w:pStyle w:val="TableText"/>
              <w:jc w:val="center"/>
            </w:pPr>
            <w:r>
              <w:rPr>
                <w:rFonts w:ascii="Times New Roman" w:hAnsi="Times New Roman"/>
              </w:rPr>
              <w:t>0.429</w:t>
            </w:r>
          </w:p>
        </w:tc>
      </w:tr>
    </w:tbl>
    <w:p>
      <w:pPr>
        <w:pStyle w:val="Single"/>
        <w:spacing w:after="200" w:line="40" w:lineRule="exact"/>
      </w:pPr>
    </w:p>
    <w:p>
      <w:pPr>
        <w:pStyle w:val="TableCaption"/>
      </w:pPr>
      <w:r>
        <w:rPr>
          <w:b/>
        </w:rPr>
        <w:t xml:space="preserve">Table 5.6: </w:t>
      </w:r>
      <w:r>
        <w:rPr>
          <w:rFonts w:ascii="Times New Roman" w:hAnsi="Times New Roman"/>
        </w:rPr>
        <w:t>Scatter index SI = RMSE / mean observation, mean over the three sites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160"/>
        <w:gridCol w:w="1296"/>
        <w:gridCol w:w="1296"/>
        <w:gridCol w:w="1296"/>
        <w:gridCol w:w="1296"/>
        <w:gridCol w:w="1296"/>
      </w:tblGrid>
      <w:tr>
        <w:trPr>
          <w:cantSplit w:val="true"/>
          <w:tblHeader w:val="true"/>
        </w:trPr>
        <w:tc>
          <w:tcPr>
            <w:tcW w:type="dxa" w:w="2160"/>
            <w:tcBorders>
              <w:bottom w:val="single" w:sz="6" w:color="000000"/>
            </w:tcBorders>
            <w:vAlign w:val="center"/>
          </w:tcPr>
          <w:p>
            <w:pPr>
              <w:pStyle w:val="TableText"/>
            </w:pPr>
            <w:r>
              <w:rPr>
                <w:rFonts w:ascii="Times New Roman" w:hAnsi="Times New Roman"/>
                <w:b/>
              </w:rPr>
              <w:t>Model</w:t>
            </w:r>
          </w:p>
        </w:tc>
        <w:tc>
          <w:tcPr>
            <w:tcW w:type="dxa" w:w="1296"/>
            <w:tcBorders>
              <w:bottom w:val="single" w:sz="6" w:color="000000"/>
            </w:tcBorders>
            <w:vAlign w:val="center"/>
          </w:tcPr>
          <w:p>
            <w:pPr>
              <w:pStyle w:val="TableText"/>
              <w:jc w:val="center"/>
            </w:pPr>
            <w:r>
              <w:rPr>
                <w:rFonts w:ascii="Times New Roman" w:hAnsi="Times New Roman"/>
                <w:b/>
              </w:rPr>
              <w:t>6 h</w:t>
            </w:r>
          </w:p>
        </w:tc>
        <w:tc>
          <w:tcPr>
            <w:tcW w:type="dxa" w:w="1296"/>
            <w:tcBorders>
              <w:bottom w:val="single" w:sz="6" w:color="000000"/>
            </w:tcBorders>
            <w:vAlign w:val="center"/>
          </w:tcPr>
          <w:p>
            <w:pPr>
              <w:pStyle w:val="TableText"/>
              <w:jc w:val="center"/>
            </w:pPr>
            <w:r>
              <w:rPr>
                <w:rFonts w:ascii="Times New Roman" w:hAnsi="Times New Roman"/>
                <w:b/>
              </w:rPr>
              <w:t>12 h</w:t>
            </w:r>
          </w:p>
        </w:tc>
        <w:tc>
          <w:tcPr>
            <w:tcW w:type="dxa" w:w="1296"/>
            <w:tcBorders>
              <w:bottom w:val="single" w:sz="6" w:color="000000"/>
            </w:tcBorders>
            <w:vAlign w:val="center"/>
          </w:tcPr>
          <w:p>
            <w:pPr>
              <w:pStyle w:val="TableText"/>
              <w:jc w:val="center"/>
            </w:pPr>
            <w:r>
              <w:rPr>
                <w:rFonts w:ascii="Times New Roman" w:hAnsi="Times New Roman"/>
                <w:b/>
              </w:rPr>
              <w:t>24 h</w:t>
            </w:r>
          </w:p>
        </w:tc>
        <w:tc>
          <w:tcPr>
            <w:tcW w:type="dxa" w:w="1296"/>
            <w:tcBorders>
              <w:bottom w:val="single" w:sz="6" w:color="000000"/>
            </w:tcBorders>
            <w:vAlign w:val="center"/>
          </w:tcPr>
          <w:p>
            <w:pPr>
              <w:pStyle w:val="TableText"/>
              <w:jc w:val="center"/>
            </w:pPr>
            <w:r>
              <w:rPr>
                <w:rFonts w:ascii="Times New Roman" w:hAnsi="Times New Roman"/>
                <w:b/>
              </w:rPr>
              <w:t>48 h</w:t>
            </w:r>
          </w:p>
        </w:tc>
        <w:tc>
          <w:tcPr>
            <w:tcW w:type="dxa" w:w="129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160"/>
            <w:vAlign w:val="center"/>
          </w:tcPr>
          <w:p>
            <w:pPr>
              <w:pStyle w:val="TableText"/>
            </w:pPr>
            <w:r>
              <w:rPr>
                <w:rFonts w:ascii="Times New Roman" w:hAnsi="Times New Roman"/>
              </w:rPr>
              <w:t>Persistence</w:t>
            </w:r>
          </w:p>
        </w:tc>
        <w:tc>
          <w:tcPr>
            <w:tcW w:type="dxa" w:w="1296"/>
            <w:vAlign w:val="center"/>
          </w:tcPr>
          <w:p>
            <w:pPr>
              <w:pStyle w:val="TableText"/>
              <w:jc w:val="center"/>
            </w:pPr>
            <w:r>
              <w:rPr>
                <w:rFonts w:ascii="Times New Roman" w:hAnsi="Times New Roman"/>
              </w:rPr>
              <w:t>0.082</w:t>
            </w:r>
          </w:p>
        </w:tc>
        <w:tc>
          <w:tcPr>
            <w:tcW w:type="dxa" w:w="1296"/>
            <w:vAlign w:val="center"/>
          </w:tcPr>
          <w:p>
            <w:pPr>
              <w:pStyle w:val="TableText"/>
              <w:jc w:val="center"/>
            </w:pPr>
            <w:r>
              <w:rPr>
                <w:rFonts w:ascii="Times New Roman" w:hAnsi="Times New Roman"/>
              </w:rPr>
              <w:t>0.131</w:t>
            </w:r>
          </w:p>
        </w:tc>
        <w:tc>
          <w:tcPr>
            <w:tcW w:type="dxa" w:w="1296"/>
            <w:vAlign w:val="center"/>
          </w:tcPr>
          <w:p>
            <w:pPr>
              <w:pStyle w:val="TableText"/>
              <w:jc w:val="center"/>
            </w:pPr>
            <w:r>
              <w:rPr>
                <w:rFonts w:ascii="Times New Roman" w:hAnsi="Times New Roman"/>
              </w:rPr>
              <w:t>0.196</w:t>
            </w:r>
          </w:p>
        </w:tc>
        <w:tc>
          <w:tcPr>
            <w:tcW w:type="dxa" w:w="1296"/>
            <w:vAlign w:val="center"/>
          </w:tcPr>
          <w:p>
            <w:pPr>
              <w:pStyle w:val="TableText"/>
              <w:jc w:val="center"/>
            </w:pPr>
            <w:r>
              <w:rPr>
                <w:rFonts w:ascii="Times New Roman" w:hAnsi="Times New Roman"/>
              </w:rPr>
              <w:t>0.297</w:t>
            </w:r>
          </w:p>
        </w:tc>
        <w:tc>
          <w:tcPr>
            <w:tcW w:type="dxa" w:w="1296"/>
            <w:vAlign w:val="center"/>
          </w:tcPr>
          <w:p>
            <w:pPr>
              <w:pStyle w:val="TableText"/>
              <w:jc w:val="center"/>
            </w:pPr>
            <w:r>
              <w:rPr>
                <w:rFonts w:ascii="Times New Roman" w:hAnsi="Times New Roman"/>
              </w:rPr>
              <w:t>0.354</w:t>
            </w:r>
          </w:p>
        </w:tc>
      </w:tr>
      <w:tr>
        <w:trPr>
          <w:cantSplit w:val="true"/>
        </w:trPr>
        <w:tc>
          <w:tcPr>
            <w:tcW w:type="dxa" w:w="2160"/>
            <w:vAlign w:val="center"/>
          </w:tcPr>
          <w:p>
            <w:pPr>
              <w:pStyle w:val="TableText"/>
            </w:pPr>
            <w:r>
              <w:rPr>
                <w:rFonts w:ascii="Times New Roman" w:hAnsi="Times New Roman"/>
              </w:rPr>
              <w:t>Climatology</w:t>
            </w:r>
          </w:p>
        </w:tc>
        <w:tc>
          <w:tcPr>
            <w:tcW w:type="dxa" w:w="1296"/>
            <w:vAlign w:val="center"/>
          </w:tcPr>
          <w:p>
            <w:pPr>
              <w:pStyle w:val="TableText"/>
              <w:jc w:val="center"/>
            </w:pPr>
            <w:r>
              <w:rPr>
                <w:rFonts w:ascii="Times New Roman" w:hAnsi="Times New Roman"/>
              </w:rPr>
              <w:t>0.301</w:t>
            </w:r>
          </w:p>
        </w:tc>
        <w:tc>
          <w:tcPr>
            <w:tcW w:type="dxa" w:w="1296"/>
            <w:vAlign w:val="center"/>
          </w:tcPr>
          <w:p>
            <w:pPr>
              <w:pStyle w:val="TableText"/>
              <w:jc w:val="center"/>
            </w:pPr>
            <w:r>
              <w:rPr>
                <w:rFonts w:ascii="Times New Roman" w:hAnsi="Times New Roman"/>
              </w:rPr>
              <w:t>0.301</w:t>
            </w:r>
          </w:p>
        </w:tc>
        <w:tc>
          <w:tcPr>
            <w:tcW w:type="dxa" w:w="1296"/>
            <w:vAlign w:val="center"/>
          </w:tcPr>
          <w:p>
            <w:pPr>
              <w:pStyle w:val="TableText"/>
              <w:jc w:val="center"/>
            </w:pPr>
            <w:r>
              <w:rPr>
                <w:rFonts w:ascii="Times New Roman" w:hAnsi="Times New Roman"/>
              </w:rPr>
              <w:t>0.301</w:t>
            </w:r>
          </w:p>
        </w:tc>
        <w:tc>
          <w:tcPr>
            <w:tcW w:type="dxa" w:w="1296"/>
            <w:vAlign w:val="center"/>
          </w:tcPr>
          <w:p>
            <w:pPr>
              <w:pStyle w:val="TableText"/>
              <w:jc w:val="center"/>
            </w:pPr>
            <w:r>
              <w:rPr>
                <w:rFonts w:ascii="Times New Roman" w:hAnsi="Times New Roman"/>
              </w:rPr>
              <w:t>0.300</w:t>
            </w:r>
          </w:p>
        </w:tc>
        <w:tc>
          <w:tcPr>
            <w:tcW w:type="dxa" w:w="1296"/>
            <w:vAlign w:val="center"/>
          </w:tcPr>
          <w:p>
            <w:pPr>
              <w:pStyle w:val="TableText"/>
              <w:jc w:val="center"/>
            </w:pPr>
            <w:r>
              <w:rPr>
                <w:rFonts w:ascii="Times New Roman" w:hAnsi="Times New Roman"/>
              </w:rPr>
              <w:t>0.300</w:t>
            </w:r>
          </w:p>
        </w:tc>
      </w:tr>
      <w:tr>
        <w:trPr>
          <w:cantSplit w:val="true"/>
        </w:trPr>
        <w:tc>
          <w:tcPr>
            <w:tcW w:type="dxa" w:w="2160"/>
            <w:vAlign w:val="center"/>
          </w:tcPr>
          <w:p>
            <w:pPr>
              <w:pStyle w:val="TableText"/>
            </w:pPr>
            <w:r>
              <w:rPr>
                <w:rFonts w:ascii="Times New Roman" w:hAnsi="Times New Roman"/>
              </w:rPr>
              <w:t>ARIMA</w:t>
            </w:r>
          </w:p>
        </w:tc>
        <w:tc>
          <w:tcPr>
            <w:tcW w:type="dxa" w:w="1296"/>
            <w:vAlign w:val="center"/>
          </w:tcPr>
          <w:p>
            <w:pPr>
              <w:pStyle w:val="TableText"/>
              <w:jc w:val="center"/>
            </w:pPr>
            <w:r>
              <w:rPr>
                <w:rFonts w:ascii="Times New Roman" w:hAnsi="Times New Roman"/>
              </w:rPr>
              <w:t>0.075</w:t>
            </w:r>
          </w:p>
        </w:tc>
        <w:tc>
          <w:tcPr>
            <w:tcW w:type="dxa" w:w="1296"/>
            <w:vAlign w:val="center"/>
          </w:tcPr>
          <w:p>
            <w:pPr>
              <w:pStyle w:val="TableText"/>
              <w:jc w:val="center"/>
            </w:pPr>
            <w:r>
              <w:rPr>
                <w:rFonts w:ascii="Times New Roman" w:hAnsi="Times New Roman"/>
              </w:rPr>
              <w:t>0.127</w:t>
            </w:r>
          </w:p>
        </w:tc>
        <w:tc>
          <w:tcPr>
            <w:tcW w:type="dxa" w:w="1296"/>
            <w:vAlign w:val="center"/>
          </w:tcPr>
          <w:p>
            <w:pPr>
              <w:pStyle w:val="TableText"/>
              <w:jc w:val="center"/>
            </w:pPr>
            <w:r>
              <w:rPr>
                <w:rFonts w:ascii="Times New Roman" w:hAnsi="Times New Roman"/>
              </w:rPr>
              <w:t>0.190</w:t>
            </w:r>
          </w:p>
        </w:tc>
        <w:tc>
          <w:tcPr>
            <w:tcW w:type="dxa" w:w="1296"/>
            <w:vAlign w:val="center"/>
          </w:tcPr>
          <w:p>
            <w:pPr>
              <w:pStyle w:val="TableText"/>
              <w:jc w:val="center"/>
            </w:pPr>
            <w:r>
              <w:rPr>
                <w:rFonts w:ascii="Times New Roman" w:hAnsi="Times New Roman"/>
              </w:rPr>
              <w:t>0.294</w:t>
            </w:r>
          </w:p>
        </w:tc>
        <w:tc>
          <w:tcPr>
            <w:tcW w:type="dxa" w:w="1296"/>
            <w:vAlign w:val="center"/>
          </w:tcPr>
          <w:p>
            <w:pPr>
              <w:pStyle w:val="TableText"/>
              <w:jc w:val="center"/>
            </w:pPr>
            <w:r>
              <w:rPr>
                <w:rFonts w:ascii="Times New Roman" w:hAnsi="Times New Roman"/>
              </w:rPr>
              <w:t>0.355</w:t>
            </w:r>
          </w:p>
        </w:tc>
      </w:tr>
      <w:tr>
        <w:trPr>
          <w:cantSplit w:val="true"/>
        </w:trPr>
        <w:tc>
          <w:tcPr>
            <w:tcW w:type="dxa" w:w="2160"/>
            <w:vAlign w:val="center"/>
          </w:tcPr>
          <w:p>
            <w:pPr>
              <w:pStyle w:val="TableText"/>
            </w:pPr>
            <w:r>
              <w:rPr>
                <w:rFonts w:ascii="Times New Roman" w:hAnsi="Times New Roman"/>
              </w:rPr>
              <w:t>LightGBM</w:t>
            </w:r>
          </w:p>
        </w:tc>
        <w:tc>
          <w:tcPr>
            <w:tcW w:type="dxa" w:w="1296"/>
            <w:vAlign w:val="center"/>
          </w:tcPr>
          <w:p>
            <w:pPr>
              <w:pStyle w:val="TableText"/>
              <w:jc w:val="center"/>
            </w:pPr>
            <w:r>
              <w:rPr>
                <w:rFonts w:ascii="Times New Roman" w:hAnsi="Times New Roman"/>
              </w:rPr>
              <w:t>0.069</w:t>
            </w:r>
          </w:p>
        </w:tc>
        <w:tc>
          <w:tcPr>
            <w:tcW w:type="dxa" w:w="1296"/>
            <w:vAlign w:val="center"/>
          </w:tcPr>
          <w:p>
            <w:pPr>
              <w:pStyle w:val="TableText"/>
              <w:jc w:val="center"/>
            </w:pPr>
            <w:r>
              <w:rPr>
                <w:rFonts w:ascii="Times New Roman" w:hAnsi="Times New Roman"/>
              </w:rPr>
              <w:t>0.110</w:t>
            </w:r>
          </w:p>
        </w:tc>
        <w:tc>
          <w:tcPr>
            <w:tcW w:type="dxa" w:w="1296"/>
            <w:vAlign w:val="center"/>
          </w:tcPr>
          <w:p>
            <w:pPr>
              <w:pStyle w:val="TableText"/>
              <w:jc w:val="center"/>
            </w:pPr>
            <w:r>
              <w:rPr>
                <w:rFonts w:ascii="Times New Roman" w:hAnsi="Times New Roman"/>
              </w:rPr>
              <w:t>0.163</w:t>
            </w:r>
          </w:p>
        </w:tc>
        <w:tc>
          <w:tcPr>
            <w:tcW w:type="dxa" w:w="1296"/>
            <w:vAlign w:val="center"/>
          </w:tcPr>
          <w:p>
            <w:pPr>
              <w:pStyle w:val="TableText"/>
              <w:jc w:val="center"/>
            </w:pPr>
            <w:r>
              <w:rPr>
                <w:rFonts w:ascii="Times New Roman" w:hAnsi="Times New Roman"/>
              </w:rPr>
              <w:t>0.233</w:t>
            </w:r>
          </w:p>
        </w:tc>
        <w:tc>
          <w:tcPr>
            <w:tcW w:type="dxa" w:w="1296"/>
            <w:vAlign w:val="center"/>
          </w:tcPr>
          <w:p>
            <w:pPr>
              <w:pStyle w:val="TableText"/>
              <w:jc w:val="center"/>
            </w:pPr>
            <w:r>
              <w:rPr>
                <w:rFonts w:ascii="Times New Roman" w:hAnsi="Times New Roman"/>
              </w:rPr>
              <w:t>0.273</w:t>
            </w:r>
          </w:p>
        </w:tc>
      </w:tr>
      <w:tr>
        <w:trPr>
          <w:cantSplit w:val="true"/>
        </w:trPr>
        <w:tc>
          <w:tcPr>
            <w:tcW w:type="dxa" w:w="2160"/>
            <w:vAlign w:val="center"/>
          </w:tcPr>
          <w:p>
            <w:pPr>
              <w:pStyle w:val="TableText"/>
            </w:pPr>
            <w:r>
              <w:rPr>
                <w:rFonts w:ascii="Times New Roman" w:hAnsi="Times New Roman"/>
              </w:rPr>
              <w:t>CatBoost</w:t>
            </w:r>
          </w:p>
        </w:tc>
        <w:tc>
          <w:tcPr>
            <w:tcW w:type="dxa" w:w="1296"/>
            <w:vAlign w:val="center"/>
          </w:tcPr>
          <w:p>
            <w:pPr>
              <w:pStyle w:val="TableText"/>
              <w:jc w:val="center"/>
            </w:pPr>
            <w:r>
              <w:rPr>
                <w:rFonts w:ascii="Times New Roman" w:hAnsi="Times New Roman"/>
              </w:rPr>
              <w:t>0.070</w:t>
            </w:r>
          </w:p>
        </w:tc>
        <w:tc>
          <w:tcPr>
            <w:tcW w:type="dxa" w:w="1296"/>
            <w:vAlign w:val="center"/>
          </w:tcPr>
          <w:p>
            <w:pPr>
              <w:pStyle w:val="TableText"/>
              <w:jc w:val="center"/>
            </w:pPr>
            <w:r>
              <w:rPr>
                <w:rFonts w:ascii="Times New Roman" w:hAnsi="Times New Roman"/>
              </w:rPr>
              <w:t>0.110</w:t>
            </w:r>
          </w:p>
        </w:tc>
        <w:tc>
          <w:tcPr>
            <w:tcW w:type="dxa" w:w="1296"/>
            <w:vAlign w:val="center"/>
          </w:tcPr>
          <w:p>
            <w:pPr>
              <w:pStyle w:val="TableText"/>
              <w:jc w:val="center"/>
            </w:pPr>
            <w:r>
              <w:rPr>
                <w:rFonts w:ascii="Times New Roman" w:hAnsi="Times New Roman"/>
              </w:rPr>
              <w:t>0.161</w:t>
            </w:r>
          </w:p>
        </w:tc>
        <w:tc>
          <w:tcPr>
            <w:tcW w:type="dxa" w:w="1296"/>
            <w:vAlign w:val="center"/>
          </w:tcPr>
          <w:p>
            <w:pPr>
              <w:pStyle w:val="TableText"/>
              <w:jc w:val="center"/>
            </w:pPr>
            <w:r>
              <w:rPr>
                <w:rFonts w:ascii="Times New Roman" w:hAnsi="Times New Roman"/>
              </w:rPr>
              <w:t>0.239</w:t>
            </w:r>
          </w:p>
        </w:tc>
        <w:tc>
          <w:tcPr>
            <w:tcW w:type="dxa" w:w="1296"/>
            <w:vAlign w:val="center"/>
          </w:tcPr>
          <w:p>
            <w:pPr>
              <w:pStyle w:val="TableText"/>
              <w:jc w:val="center"/>
            </w:pPr>
            <w:r>
              <w:rPr>
                <w:rFonts w:ascii="Times New Roman" w:hAnsi="Times New Roman"/>
              </w:rPr>
              <w:t>0.273</w:t>
            </w:r>
          </w:p>
        </w:tc>
      </w:tr>
      <w:tr>
        <w:trPr>
          <w:cantSplit w:val="true"/>
        </w:trPr>
        <w:tc>
          <w:tcPr>
            <w:tcW w:type="dxa" w:w="2160"/>
            <w:vAlign w:val="center"/>
          </w:tcPr>
          <w:p>
            <w:pPr>
              <w:pStyle w:val="TableText"/>
            </w:pPr>
            <w:r>
              <w:rPr>
                <w:rFonts w:ascii="Times New Roman" w:hAnsi="Times New Roman"/>
              </w:rPr>
              <w:t>LSTM (MSE)</w:t>
            </w:r>
          </w:p>
        </w:tc>
        <w:tc>
          <w:tcPr>
            <w:tcW w:type="dxa" w:w="1296"/>
            <w:vAlign w:val="center"/>
          </w:tcPr>
          <w:p>
            <w:pPr>
              <w:pStyle w:val="TableText"/>
              <w:jc w:val="center"/>
            </w:pPr>
            <w:r>
              <w:rPr>
                <w:rFonts w:ascii="Times New Roman" w:hAnsi="Times New Roman"/>
              </w:rPr>
              <w:t>0.078</w:t>
            </w:r>
          </w:p>
        </w:tc>
        <w:tc>
          <w:tcPr>
            <w:tcW w:type="dxa" w:w="1296"/>
            <w:vAlign w:val="center"/>
          </w:tcPr>
          <w:p>
            <w:pPr>
              <w:pStyle w:val="TableText"/>
              <w:jc w:val="center"/>
            </w:pPr>
            <w:r>
              <w:rPr>
                <w:rFonts w:ascii="Times New Roman" w:hAnsi="Times New Roman"/>
              </w:rPr>
              <w:t>0.121</w:t>
            </w:r>
          </w:p>
        </w:tc>
        <w:tc>
          <w:tcPr>
            <w:tcW w:type="dxa" w:w="1296"/>
            <w:vAlign w:val="center"/>
          </w:tcPr>
          <w:p>
            <w:pPr>
              <w:pStyle w:val="TableText"/>
              <w:jc w:val="center"/>
            </w:pPr>
            <w:r>
              <w:rPr>
                <w:rFonts w:ascii="Times New Roman" w:hAnsi="Times New Roman"/>
              </w:rPr>
              <w:t>0.169</w:t>
            </w:r>
          </w:p>
        </w:tc>
        <w:tc>
          <w:tcPr>
            <w:tcW w:type="dxa" w:w="1296"/>
            <w:vAlign w:val="center"/>
          </w:tcPr>
          <w:p>
            <w:pPr>
              <w:pStyle w:val="TableText"/>
              <w:jc w:val="center"/>
            </w:pPr>
            <w:r>
              <w:rPr>
                <w:rFonts w:ascii="Times New Roman" w:hAnsi="Times New Roman"/>
              </w:rPr>
              <w:t>0.239</w:t>
            </w:r>
          </w:p>
        </w:tc>
        <w:tc>
          <w:tcPr>
            <w:tcW w:type="dxa" w:w="1296"/>
            <w:vAlign w:val="center"/>
          </w:tcPr>
          <w:p>
            <w:pPr>
              <w:pStyle w:val="TableText"/>
              <w:jc w:val="center"/>
            </w:pPr>
            <w:r>
              <w:rPr>
                <w:rFonts w:ascii="Times New Roman" w:hAnsi="Times New Roman"/>
              </w:rPr>
              <w:t>0.277</w:t>
            </w:r>
          </w:p>
        </w:tc>
      </w:tr>
      <w:tr>
        <w:trPr>
          <w:cantSplit w:val="true"/>
        </w:trPr>
        <w:tc>
          <w:tcPr>
            <w:tcW w:type="dxa" w:w="2160"/>
            <w:vAlign w:val="center"/>
          </w:tcPr>
          <w:p>
            <w:pPr>
              <w:pStyle w:val="TableText"/>
            </w:pPr>
            <w:r>
              <w:rPr>
                <w:rFonts w:ascii="Times New Roman" w:hAnsi="Times New Roman"/>
              </w:rPr>
              <w:t>LSTM (peak loss)</w:t>
            </w:r>
          </w:p>
        </w:tc>
        <w:tc>
          <w:tcPr>
            <w:tcW w:type="dxa" w:w="1296"/>
            <w:vAlign w:val="center"/>
          </w:tcPr>
          <w:p>
            <w:pPr>
              <w:pStyle w:val="TableText"/>
              <w:jc w:val="center"/>
            </w:pPr>
            <w:r>
              <w:rPr>
                <w:rFonts w:ascii="Times New Roman" w:hAnsi="Times New Roman"/>
              </w:rPr>
              <w:t>0.102</w:t>
            </w:r>
          </w:p>
        </w:tc>
        <w:tc>
          <w:tcPr>
            <w:tcW w:type="dxa" w:w="1296"/>
            <w:vAlign w:val="center"/>
          </w:tcPr>
          <w:p>
            <w:pPr>
              <w:pStyle w:val="TableText"/>
              <w:jc w:val="center"/>
            </w:pPr>
            <w:r>
              <w:rPr>
                <w:rFonts w:ascii="Times New Roman" w:hAnsi="Times New Roman"/>
              </w:rPr>
              <w:t>0.143</w:t>
            </w:r>
          </w:p>
        </w:tc>
        <w:tc>
          <w:tcPr>
            <w:tcW w:type="dxa" w:w="1296"/>
            <w:vAlign w:val="center"/>
          </w:tcPr>
          <w:p>
            <w:pPr>
              <w:pStyle w:val="TableText"/>
              <w:jc w:val="center"/>
            </w:pPr>
            <w:r>
              <w:rPr>
                <w:rFonts w:ascii="Times New Roman" w:hAnsi="Times New Roman"/>
              </w:rPr>
              <w:t>0.194</w:t>
            </w:r>
          </w:p>
        </w:tc>
        <w:tc>
          <w:tcPr>
            <w:tcW w:type="dxa" w:w="1296"/>
            <w:vAlign w:val="center"/>
          </w:tcPr>
          <w:p>
            <w:pPr>
              <w:pStyle w:val="TableText"/>
              <w:jc w:val="center"/>
            </w:pPr>
            <w:r>
              <w:rPr>
                <w:rFonts w:ascii="Times New Roman" w:hAnsi="Times New Roman"/>
              </w:rPr>
              <w:t>0.273</w:t>
            </w:r>
          </w:p>
        </w:tc>
        <w:tc>
          <w:tcPr>
            <w:tcW w:type="dxa" w:w="1296"/>
            <w:vAlign w:val="center"/>
          </w:tcPr>
          <w:p>
            <w:pPr>
              <w:pStyle w:val="TableText"/>
              <w:jc w:val="center"/>
            </w:pPr>
            <w:r>
              <w:rPr>
                <w:rFonts w:ascii="Times New Roman" w:hAnsi="Times New Roman"/>
              </w:rPr>
              <w:t>0.326</w:t>
            </w:r>
          </w:p>
        </w:tc>
      </w:tr>
    </w:tbl>
    <w:p>
      <w:pPr>
        <w:pStyle w:val="Single"/>
        <w:spacing w:after="200" w:line="40" w:lineRule="exact"/>
      </w:pPr>
    </w:p>
    <w:p>
      <w:pPr>
        <w:pStyle w:val="Single"/>
        <w:keepNext/>
        <w:spacing w:before="120" w:after="40"/>
        <w:jc w:val="center"/>
      </w:pPr>
      <w:r>
        <w:drawing>
          <wp:inline xmlns:a="http://schemas.openxmlformats.org/drawingml/2006/main" xmlns:pic="http://schemas.openxmlformats.org/drawingml/2006/picture">
            <wp:extent cx="5486400" cy="2256503"/>
            <wp:docPr id="22" name="Picture 22"/>
            <wp:cNvGraphicFramePr>
              <a:graphicFrameLocks noChangeAspect="1"/>
            </wp:cNvGraphicFramePr>
            <a:graphic>
              <a:graphicData uri="http://schemas.openxmlformats.org/drawingml/2006/picture">
                <pic:pic>
                  <pic:nvPicPr>
                    <pic:cNvPr id="0" name="fig_rmse_bars.png"/>
                    <pic:cNvPicPr/>
                  </pic:nvPicPr>
                  <pic:blipFill>
                    <a:blip r:embed="rId29"/>
                    <a:stretch>
                      <a:fillRect/>
                    </a:stretch>
                  </pic:blipFill>
                  <pic:spPr>
                    <a:xfrm>
                      <a:off x="0" y="0"/>
                      <a:ext cx="5486400" cy="2256503"/>
                    </a:xfrm>
                    <a:prstGeom prst="rect"/>
                  </pic:spPr>
                </pic:pic>
              </a:graphicData>
            </a:graphic>
          </wp:inline>
        </w:drawing>
      </w:r>
    </w:p>
    <w:p>
      <w:pPr>
        <w:pStyle w:val="FigureCaption"/>
      </w:pPr>
      <w:r>
        <w:rPr>
          <w:b/>
        </w:rPr>
        <w:t xml:space="preserve">Figure 5.3: </w:t>
      </w:r>
      <w:r>
        <w:rPr>
          <w:rFonts w:ascii="Times New Roman" w:hAnsi="Times New Roman"/>
        </w:rPr>
        <w:t>Test RMSE of ARIMA, LightGBM, CatBoost and the two LSTM variants at 24 h and 72 h</w:t>
      </w:r>
    </w:p>
    <w:p>
      <w:pPr>
        <w:pStyle w:val="Single"/>
        <w:keepNext/>
        <w:spacing w:before="120" w:after="40"/>
        <w:jc w:val="center"/>
      </w:pPr>
      <w:r>
        <w:drawing>
          <wp:inline xmlns:a="http://schemas.openxmlformats.org/drawingml/2006/main" xmlns:pic="http://schemas.openxmlformats.org/drawingml/2006/picture">
            <wp:extent cx="5486400" cy="2349414"/>
            <wp:docPr id="23" name="Picture 23"/>
            <wp:cNvGraphicFramePr>
              <a:graphicFrameLocks noChangeAspect="1"/>
            </wp:cNvGraphicFramePr>
            <a:graphic>
              <a:graphicData uri="http://schemas.openxmlformats.org/drawingml/2006/picture">
                <pic:pic>
                  <pic:nvPicPr>
                    <pic:cNvPr id="0" name="fig_scatter_BD08.png"/>
                    <pic:cNvPicPr/>
                  </pic:nvPicPr>
                  <pic:blipFill>
                    <a:blip r:embed="rId30"/>
                    <a:stretch>
                      <a:fillRect/>
                    </a:stretch>
                  </pic:blipFill>
                  <pic:spPr>
                    <a:xfrm>
                      <a:off x="0" y="0"/>
                      <a:ext cx="5486400" cy="2349414"/>
                    </a:xfrm>
                    <a:prstGeom prst="rect"/>
                  </pic:spPr>
                </pic:pic>
              </a:graphicData>
            </a:graphic>
          </wp:inline>
        </w:drawing>
      </w:r>
    </w:p>
    <w:p>
      <w:pPr>
        <w:pStyle w:val="FigureCaption"/>
      </w:pPr>
      <w:r>
        <w:rPr>
          <w:b/>
        </w:rPr>
        <w:t xml:space="preserve">Figure 5.4: </w:t>
      </w:r>
      <w:r>
        <w:rPr>
          <w:rFonts w:ascii="Times New Roman" w:hAnsi="Times New Roman"/>
        </w:rPr>
        <w:t>Forecast against observed H</w:t>
      </w:r>
      <w:r>
        <w:rPr>
          <w:rFonts w:ascii="Times New Roman" w:hAnsi="Times New Roman"/>
          <w:vertAlign w:val="subscript"/>
        </w:rPr>
        <w:t>s</w:t>
      </w:r>
      <w:r>
        <w:rPr>
          <w:rFonts w:ascii="Times New Roman" w:hAnsi="Times New Roman"/>
        </w:rPr>
        <w:t xml:space="preserve"> at 24 h at BD08 (hexagonal bins, log density)</w:t>
      </w:r>
    </w:p>
    <w:p>
      <w:pPr>
        <w:pStyle w:val="Heading2"/>
      </w:pPr>
      <w:bookmarkStart w:id="131" w:name="_Toc131"/>
      <w:r>
        <w:rPr>
          <w:rFonts w:ascii="Times New Roman" w:hAnsi="Times New Roman"/>
        </w:rPr>
        <w:t>5.2</w:t>
        <w:tab/>
        <w:t>Statistical significance</w:t>
      </w:r>
      <w:bookmarkEnd w:id="131"/>
    </w:p>
    <w:p>
      <w:r>
        <w:rPr>
          <w:rFonts w:ascii="Times New Roman" w:hAnsi="Times New Roman"/>
        </w:rPr>
        <w:t>Table 5.7 gives, for each site at 24 h and 72 h, the model with the lowest RMSE and the Diebold–Mariano p-values of the other learned models against it. Two results are robust. First, testing directly against ARIMA (the strongest classical baseline up to 48 h), both tree models and the MSE-trained LSTM are significantly better at 24 h and 72 h at BD08 and BD10 (p &lt; 0.01). At BD11, where the sea is calmer and ARIMA relatively stronger, CatBoost is significantly better at both lead times (p &lt; 0.03), and LightGBM and the LSTM at 72 h only (p &lt; 0.01); at 24 h their gains there are not significant (p = 0.06 and 0.11). The improvement over the baselines is therefore not a sampling artefact, but at the calmest site it is clear only at long lead times. Second, the differences between LightGBM and CatBoost are mostly not significant (85% of their pairwise tests have p ≥ 0.05), and at 72 h the MSE-trained LSTM is statistically indistinguishable from the best tree model at all three sites: the ranking among the strong models is within the sampling uncertainty. Over all comparisons among learned models, 62% are significant at the 5% level. The Newey–West correction matters here: forecasts issued every hour overlap, which reduces the effective sample size far below the 17,400 origins per site.</w:t>
      </w:r>
    </w:p>
    <w:p>
      <w:pPr>
        <w:pStyle w:val="TableCaption"/>
      </w:pPr>
      <w:r>
        <w:rPr>
          <w:b/>
        </w:rPr>
        <w:t xml:space="preserve">Table 5.7: </w:t>
      </w:r>
      <w:r>
        <w:rPr>
          <w:rFonts w:ascii="Times New Roman" w:hAnsi="Times New Roman"/>
        </w:rPr>
        <w:t>Diebold–Mariano p-values against the best model at each site and lead time (small p: the model is significantly worse than the best)</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720"/>
        <w:gridCol w:w="648"/>
        <w:gridCol w:w="1440"/>
        <w:gridCol w:w="1166"/>
        <w:gridCol w:w="1166"/>
        <w:gridCol w:w="1166"/>
        <w:gridCol w:w="1166"/>
        <w:gridCol w:w="1166"/>
      </w:tblGrid>
      <w:tr>
        <w:trPr>
          <w:cantSplit w:val="true"/>
          <w:tblHeader w:val="true"/>
        </w:trPr>
        <w:tc>
          <w:tcPr>
            <w:tcW w:type="dxa" w:w="720"/>
            <w:tcBorders>
              <w:bottom w:val="single" w:sz="6" w:color="000000"/>
            </w:tcBorders>
            <w:vAlign w:val="center"/>
          </w:tcPr>
          <w:p>
            <w:pPr>
              <w:pStyle w:val="TableText"/>
            </w:pPr>
            <w:r>
              <w:rPr>
                <w:rFonts w:ascii="Times New Roman" w:hAnsi="Times New Roman"/>
                <w:b/>
              </w:rPr>
              <w:t>Site</w:t>
            </w:r>
          </w:p>
        </w:tc>
        <w:tc>
          <w:tcPr>
            <w:tcW w:type="dxa" w:w="648"/>
            <w:tcBorders>
              <w:bottom w:val="single" w:sz="6" w:color="000000"/>
            </w:tcBorders>
            <w:vAlign w:val="center"/>
          </w:tcPr>
          <w:p>
            <w:pPr>
              <w:pStyle w:val="TableText"/>
            </w:pPr>
            <w:r>
              <w:rPr>
                <w:rFonts w:ascii="Times New Roman" w:hAnsi="Times New Roman"/>
                <w:b/>
              </w:rPr>
              <w:t>Lead</w:t>
            </w:r>
          </w:p>
        </w:tc>
        <w:tc>
          <w:tcPr>
            <w:tcW w:type="dxa" w:w="1440"/>
            <w:tcBorders>
              <w:bottom w:val="single" w:sz="6" w:color="000000"/>
            </w:tcBorders>
            <w:vAlign w:val="center"/>
          </w:tcPr>
          <w:p>
            <w:pPr>
              <w:pStyle w:val="TableText"/>
            </w:pPr>
            <w:r>
              <w:rPr>
                <w:rFonts w:ascii="Times New Roman" w:hAnsi="Times New Roman"/>
                <w:b/>
              </w:rPr>
              <w:t>Best model</w:t>
            </w:r>
          </w:p>
        </w:tc>
        <w:tc>
          <w:tcPr>
            <w:tcW w:type="dxa" w:w="1166"/>
            <w:tcBorders>
              <w:bottom w:val="single" w:sz="6" w:color="000000"/>
            </w:tcBorders>
            <w:vAlign w:val="center"/>
          </w:tcPr>
          <w:p>
            <w:pPr>
              <w:pStyle w:val="TableText"/>
              <w:jc w:val="center"/>
            </w:pPr>
            <w:r>
              <w:rPr>
                <w:rFonts w:ascii="Times New Roman" w:hAnsi="Times New Roman"/>
                <w:b/>
              </w:rPr>
              <w:t>ARIMA</w:t>
            </w:r>
          </w:p>
        </w:tc>
        <w:tc>
          <w:tcPr>
            <w:tcW w:type="dxa" w:w="1166"/>
            <w:tcBorders>
              <w:bottom w:val="single" w:sz="6" w:color="000000"/>
            </w:tcBorders>
            <w:vAlign w:val="center"/>
          </w:tcPr>
          <w:p>
            <w:pPr>
              <w:pStyle w:val="TableText"/>
              <w:jc w:val="center"/>
            </w:pPr>
            <w:r>
              <w:rPr>
                <w:rFonts w:ascii="Times New Roman" w:hAnsi="Times New Roman"/>
                <w:b/>
              </w:rPr>
              <w:t>LightGBM</w:t>
            </w:r>
          </w:p>
        </w:tc>
        <w:tc>
          <w:tcPr>
            <w:tcW w:type="dxa" w:w="1166"/>
            <w:tcBorders>
              <w:bottom w:val="single" w:sz="6" w:color="000000"/>
            </w:tcBorders>
            <w:vAlign w:val="center"/>
          </w:tcPr>
          <w:p>
            <w:pPr>
              <w:pStyle w:val="TableText"/>
              <w:jc w:val="center"/>
            </w:pPr>
            <w:r>
              <w:rPr>
                <w:rFonts w:ascii="Times New Roman" w:hAnsi="Times New Roman"/>
                <w:b/>
              </w:rPr>
              <w:t>CatBoost</w:t>
            </w:r>
          </w:p>
        </w:tc>
        <w:tc>
          <w:tcPr>
            <w:tcW w:type="dxa" w:w="1166"/>
            <w:tcBorders>
              <w:bottom w:val="single" w:sz="6" w:color="000000"/>
            </w:tcBorders>
            <w:vAlign w:val="center"/>
          </w:tcPr>
          <w:p>
            <w:pPr>
              <w:pStyle w:val="TableText"/>
              <w:jc w:val="center"/>
            </w:pPr>
            <w:r>
              <w:rPr>
                <w:rFonts w:ascii="Times New Roman" w:hAnsi="Times New Roman"/>
                <w:b/>
              </w:rPr>
              <w:t>LSTM (MSE)</w:t>
            </w:r>
          </w:p>
        </w:tc>
        <w:tc>
          <w:tcPr>
            <w:tcW w:type="dxa" w:w="1166"/>
            <w:tcBorders>
              <w:bottom w:val="single" w:sz="6" w:color="000000"/>
            </w:tcBorders>
            <w:vAlign w:val="center"/>
          </w:tcPr>
          <w:p>
            <w:pPr>
              <w:pStyle w:val="TableText"/>
              <w:jc w:val="center"/>
            </w:pPr>
            <w:r>
              <w:rPr>
                <w:rFonts w:ascii="Times New Roman" w:hAnsi="Times New Roman"/>
                <w:b/>
              </w:rPr>
              <w:t>LSTM (peak loss)</w:t>
            </w:r>
          </w:p>
        </w:tc>
      </w:tr>
      <w:tr>
        <w:trPr>
          <w:cantSplit w:val="true"/>
        </w:trPr>
        <w:tc>
          <w:tcPr>
            <w:tcW w:type="dxa" w:w="720"/>
            <w:vAlign w:val="center"/>
          </w:tcPr>
          <w:p>
            <w:pPr>
              <w:pStyle w:val="TableText"/>
            </w:pPr>
            <w:r>
              <w:rPr>
                <w:rFonts w:ascii="Times New Roman" w:hAnsi="Times New Roman"/>
              </w:rPr>
              <w:t>BD08</w:t>
            </w:r>
          </w:p>
        </w:tc>
        <w:tc>
          <w:tcPr>
            <w:tcW w:type="dxa" w:w="648"/>
            <w:vAlign w:val="center"/>
          </w:tcPr>
          <w:p>
            <w:pPr>
              <w:pStyle w:val="TableText"/>
            </w:pPr>
            <w:r>
              <w:rPr>
                <w:rFonts w:ascii="Times New Roman" w:hAnsi="Times New Roman"/>
              </w:rPr>
              <w:t>24 h</w:t>
            </w:r>
          </w:p>
        </w:tc>
        <w:tc>
          <w:tcPr>
            <w:tcW w:type="dxa" w:w="1440"/>
            <w:vAlign w:val="center"/>
          </w:tcPr>
          <w:p>
            <w:pPr>
              <w:pStyle w:val="TableText"/>
            </w:pPr>
            <w:r>
              <w:rPr>
                <w:rFonts w:ascii="Times New Roman" w:hAnsi="Times New Roman"/>
              </w:rPr>
              <w:t>CatBoost</w:t>
            </w:r>
          </w:p>
        </w:tc>
        <w:tc>
          <w:tcPr>
            <w:tcW w:type="dxa" w:w="1166"/>
            <w:vAlign w:val="center"/>
          </w:tcPr>
          <w:p>
            <w:pPr>
              <w:pStyle w:val="TableText"/>
              <w:jc w:val="center"/>
            </w:pPr>
            <w:r>
              <w:rPr>
                <w:rFonts w:ascii="Times New Roman" w:hAnsi="Times New Roman"/>
              </w:rPr>
              <w:t>&lt; 0.001</w:t>
            </w:r>
          </w:p>
        </w:tc>
        <w:tc>
          <w:tcPr>
            <w:tcW w:type="dxa" w:w="1166"/>
            <w:vAlign w:val="center"/>
          </w:tcPr>
          <w:p>
            <w:pPr>
              <w:pStyle w:val="TableText"/>
              <w:jc w:val="center"/>
            </w:pPr>
            <w:r>
              <w:rPr>
                <w:rFonts w:ascii="Times New Roman" w:hAnsi="Times New Roman"/>
              </w:rPr>
              <w:t>0.273</w:t>
            </w:r>
          </w:p>
        </w:tc>
        <w:tc>
          <w:tcPr>
            <w:tcW w:type="dxa" w:w="1166"/>
            <w:vAlign w:val="center"/>
          </w:tcPr>
          <w:p>
            <w:pPr>
              <w:pStyle w:val="TableText"/>
              <w:jc w:val="center"/>
            </w:pPr>
            <w:r>
              <w:rPr>
                <w:rFonts w:ascii="Times New Roman" w:hAnsi="Times New Roman"/>
              </w:rPr>
              <w:t>best</w:t>
            </w:r>
          </w:p>
        </w:tc>
        <w:tc>
          <w:tcPr>
            <w:tcW w:type="dxa" w:w="1166"/>
            <w:vAlign w:val="center"/>
          </w:tcPr>
          <w:p>
            <w:pPr>
              <w:pStyle w:val="TableText"/>
              <w:jc w:val="center"/>
            </w:pPr>
            <w:r>
              <w:rPr>
                <w:rFonts w:ascii="Times New Roman" w:hAnsi="Times New Roman"/>
              </w:rPr>
              <w:t>0.053</w:t>
            </w:r>
          </w:p>
        </w:tc>
        <w:tc>
          <w:tcPr>
            <w:tcW w:type="dxa" w:w="1166"/>
            <w:vAlign w:val="center"/>
          </w:tcPr>
          <w:p>
            <w:pPr>
              <w:pStyle w:val="TableText"/>
              <w:jc w:val="center"/>
            </w:pPr>
            <w:r>
              <w:rPr>
                <w:rFonts w:ascii="Times New Roman" w:hAnsi="Times New Roman"/>
              </w:rPr>
              <w:t>&lt; 0.001</w:t>
            </w:r>
          </w:p>
        </w:tc>
      </w:tr>
      <w:tr>
        <w:trPr>
          <w:cantSplit w:val="true"/>
        </w:trPr>
        <w:tc>
          <w:tcPr>
            <w:tcW w:type="dxa" w:w="720"/>
            <w:vAlign w:val="center"/>
          </w:tcPr>
          <w:p>
            <w:pPr>
              <w:pStyle w:val="TableText"/>
            </w:pPr>
            <w:r>
              <w:rPr>
                <w:rFonts w:ascii="Times New Roman" w:hAnsi="Times New Roman"/>
              </w:rPr>
              <w:t>BD08</w:t>
            </w:r>
          </w:p>
        </w:tc>
        <w:tc>
          <w:tcPr>
            <w:tcW w:type="dxa" w:w="648"/>
            <w:vAlign w:val="center"/>
          </w:tcPr>
          <w:p>
            <w:pPr>
              <w:pStyle w:val="TableText"/>
            </w:pPr>
            <w:r>
              <w:rPr>
                <w:rFonts w:ascii="Times New Roman" w:hAnsi="Times New Roman"/>
              </w:rPr>
              <w:t>72 h</w:t>
            </w:r>
          </w:p>
        </w:tc>
        <w:tc>
          <w:tcPr>
            <w:tcW w:type="dxa" w:w="1440"/>
            <w:vAlign w:val="center"/>
          </w:tcPr>
          <w:p>
            <w:pPr>
              <w:pStyle w:val="TableText"/>
            </w:pPr>
            <w:r>
              <w:rPr>
                <w:rFonts w:ascii="Times New Roman" w:hAnsi="Times New Roman"/>
              </w:rPr>
              <w:t>LightGBM</w:t>
            </w:r>
          </w:p>
        </w:tc>
        <w:tc>
          <w:tcPr>
            <w:tcW w:type="dxa" w:w="1166"/>
            <w:vAlign w:val="center"/>
          </w:tcPr>
          <w:p>
            <w:pPr>
              <w:pStyle w:val="TableText"/>
              <w:jc w:val="center"/>
            </w:pPr>
            <w:r>
              <w:rPr>
                <w:rFonts w:ascii="Times New Roman" w:hAnsi="Times New Roman"/>
              </w:rPr>
              <w:t>&lt; 0.001</w:t>
            </w:r>
          </w:p>
        </w:tc>
        <w:tc>
          <w:tcPr>
            <w:tcW w:type="dxa" w:w="1166"/>
            <w:vAlign w:val="center"/>
          </w:tcPr>
          <w:p>
            <w:pPr>
              <w:pStyle w:val="TableText"/>
              <w:jc w:val="center"/>
            </w:pPr>
            <w:r>
              <w:rPr>
                <w:rFonts w:ascii="Times New Roman" w:hAnsi="Times New Roman"/>
              </w:rPr>
              <w:t>best</w:t>
            </w:r>
          </w:p>
        </w:tc>
        <w:tc>
          <w:tcPr>
            <w:tcW w:type="dxa" w:w="1166"/>
            <w:vAlign w:val="center"/>
          </w:tcPr>
          <w:p>
            <w:pPr>
              <w:pStyle w:val="TableText"/>
              <w:jc w:val="center"/>
            </w:pPr>
            <w:r>
              <w:rPr>
                <w:rFonts w:ascii="Times New Roman" w:hAnsi="Times New Roman"/>
              </w:rPr>
              <w:t>0.680</w:t>
            </w:r>
          </w:p>
        </w:tc>
        <w:tc>
          <w:tcPr>
            <w:tcW w:type="dxa" w:w="1166"/>
            <w:vAlign w:val="center"/>
          </w:tcPr>
          <w:p>
            <w:pPr>
              <w:pStyle w:val="TableText"/>
              <w:jc w:val="center"/>
            </w:pPr>
            <w:r>
              <w:rPr>
                <w:rFonts w:ascii="Times New Roman" w:hAnsi="Times New Roman"/>
              </w:rPr>
              <w:t>0.127</w:t>
            </w:r>
          </w:p>
        </w:tc>
        <w:tc>
          <w:tcPr>
            <w:tcW w:type="dxa" w:w="1166"/>
            <w:vAlign w:val="center"/>
          </w:tcPr>
          <w:p>
            <w:pPr>
              <w:pStyle w:val="TableText"/>
              <w:jc w:val="center"/>
            </w:pPr>
            <w:r>
              <w:rPr>
                <w:rFonts w:ascii="Times New Roman" w:hAnsi="Times New Roman"/>
              </w:rPr>
              <w:t>&lt; 0.001</w:t>
            </w:r>
          </w:p>
        </w:tc>
      </w:tr>
      <w:tr>
        <w:trPr>
          <w:cantSplit w:val="true"/>
        </w:trPr>
        <w:tc>
          <w:tcPr>
            <w:tcW w:type="dxa" w:w="720"/>
            <w:vAlign w:val="center"/>
          </w:tcPr>
          <w:p>
            <w:pPr>
              <w:pStyle w:val="TableText"/>
            </w:pPr>
            <w:r>
              <w:rPr>
                <w:rFonts w:ascii="Times New Roman" w:hAnsi="Times New Roman"/>
              </w:rPr>
              <w:t>BD10</w:t>
            </w:r>
          </w:p>
        </w:tc>
        <w:tc>
          <w:tcPr>
            <w:tcW w:type="dxa" w:w="648"/>
            <w:vAlign w:val="center"/>
          </w:tcPr>
          <w:p>
            <w:pPr>
              <w:pStyle w:val="TableText"/>
            </w:pPr>
            <w:r>
              <w:rPr>
                <w:rFonts w:ascii="Times New Roman" w:hAnsi="Times New Roman"/>
              </w:rPr>
              <w:t>24 h</w:t>
            </w:r>
          </w:p>
        </w:tc>
        <w:tc>
          <w:tcPr>
            <w:tcW w:type="dxa" w:w="1440"/>
            <w:vAlign w:val="center"/>
          </w:tcPr>
          <w:p>
            <w:pPr>
              <w:pStyle w:val="TableText"/>
            </w:pPr>
            <w:r>
              <w:rPr>
                <w:rFonts w:ascii="Times New Roman" w:hAnsi="Times New Roman"/>
              </w:rPr>
              <w:t>LightGBM</w:t>
            </w:r>
          </w:p>
        </w:tc>
        <w:tc>
          <w:tcPr>
            <w:tcW w:type="dxa" w:w="1166"/>
            <w:vAlign w:val="center"/>
          </w:tcPr>
          <w:p>
            <w:pPr>
              <w:pStyle w:val="TableText"/>
              <w:jc w:val="center"/>
            </w:pPr>
            <w:r>
              <w:rPr>
                <w:rFonts w:ascii="Times New Roman" w:hAnsi="Times New Roman"/>
              </w:rPr>
              <w:t>&lt; 0.001</w:t>
            </w:r>
          </w:p>
        </w:tc>
        <w:tc>
          <w:tcPr>
            <w:tcW w:type="dxa" w:w="1166"/>
            <w:vAlign w:val="center"/>
          </w:tcPr>
          <w:p>
            <w:pPr>
              <w:pStyle w:val="TableText"/>
              <w:jc w:val="center"/>
            </w:pPr>
            <w:r>
              <w:rPr>
                <w:rFonts w:ascii="Times New Roman" w:hAnsi="Times New Roman"/>
              </w:rPr>
              <w:t>best</w:t>
            </w:r>
          </w:p>
        </w:tc>
        <w:tc>
          <w:tcPr>
            <w:tcW w:type="dxa" w:w="1166"/>
            <w:vAlign w:val="center"/>
          </w:tcPr>
          <w:p>
            <w:pPr>
              <w:pStyle w:val="TableText"/>
              <w:jc w:val="center"/>
            </w:pPr>
            <w:r>
              <w:rPr>
                <w:rFonts w:ascii="Times New Roman" w:hAnsi="Times New Roman"/>
              </w:rPr>
              <w:t>0.474</w:t>
            </w:r>
          </w:p>
        </w:tc>
        <w:tc>
          <w:tcPr>
            <w:tcW w:type="dxa" w:w="1166"/>
            <w:vAlign w:val="center"/>
          </w:tcPr>
          <w:p>
            <w:pPr>
              <w:pStyle w:val="TableText"/>
              <w:jc w:val="center"/>
            </w:pPr>
            <w:r>
              <w:rPr>
                <w:rFonts w:ascii="Times New Roman" w:hAnsi="Times New Roman"/>
              </w:rPr>
              <w:t>0.010</w:t>
            </w:r>
          </w:p>
        </w:tc>
        <w:tc>
          <w:tcPr>
            <w:tcW w:type="dxa" w:w="1166"/>
            <w:vAlign w:val="center"/>
          </w:tcPr>
          <w:p>
            <w:pPr>
              <w:pStyle w:val="TableText"/>
              <w:jc w:val="center"/>
            </w:pPr>
            <w:r>
              <w:rPr>
                <w:rFonts w:ascii="Times New Roman" w:hAnsi="Times New Roman"/>
              </w:rPr>
              <w:t>&lt; 0.001</w:t>
            </w:r>
          </w:p>
        </w:tc>
      </w:tr>
      <w:tr>
        <w:trPr>
          <w:cantSplit w:val="true"/>
        </w:trPr>
        <w:tc>
          <w:tcPr>
            <w:tcW w:type="dxa" w:w="720"/>
            <w:vAlign w:val="center"/>
          </w:tcPr>
          <w:p>
            <w:pPr>
              <w:pStyle w:val="TableText"/>
            </w:pPr>
            <w:r>
              <w:rPr>
                <w:rFonts w:ascii="Times New Roman" w:hAnsi="Times New Roman"/>
              </w:rPr>
              <w:t>BD10</w:t>
            </w:r>
          </w:p>
        </w:tc>
        <w:tc>
          <w:tcPr>
            <w:tcW w:type="dxa" w:w="648"/>
            <w:vAlign w:val="center"/>
          </w:tcPr>
          <w:p>
            <w:pPr>
              <w:pStyle w:val="TableText"/>
            </w:pPr>
            <w:r>
              <w:rPr>
                <w:rFonts w:ascii="Times New Roman" w:hAnsi="Times New Roman"/>
              </w:rPr>
              <w:t>72 h</w:t>
            </w:r>
          </w:p>
        </w:tc>
        <w:tc>
          <w:tcPr>
            <w:tcW w:type="dxa" w:w="1440"/>
            <w:vAlign w:val="center"/>
          </w:tcPr>
          <w:p>
            <w:pPr>
              <w:pStyle w:val="TableText"/>
            </w:pPr>
            <w:r>
              <w:rPr>
                <w:rFonts w:ascii="Times New Roman" w:hAnsi="Times New Roman"/>
              </w:rPr>
              <w:t>CatBoost</w:t>
            </w:r>
          </w:p>
        </w:tc>
        <w:tc>
          <w:tcPr>
            <w:tcW w:type="dxa" w:w="1166"/>
            <w:vAlign w:val="center"/>
          </w:tcPr>
          <w:p>
            <w:pPr>
              <w:pStyle w:val="TableText"/>
              <w:jc w:val="center"/>
            </w:pPr>
            <w:r>
              <w:rPr>
                <w:rFonts w:ascii="Times New Roman" w:hAnsi="Times New Roman"/>
              </w:rPr>
              <w:t>&lt; 0.001</w:t>
            </w:r>
          </w:p>
        </w:tc>
        <w:tc>
          <w:tcPr>
            <w:tcW w:type="dxa" w:w="1166"/>
            <w:vAlign w:val="center"/>
          </w:tcPr>
          <w:p>
            <w:pPr>
              <w:pStyle w:val="TableText"/>
              <w:jc w:val="center"/>
            </w:pPr>
            <w:r>
              <w:rPr>
                <w:rFonts w:ascii="Times New Roman" w:hAnsi="Times New Roman"/>
              </w:rPr>
              <w:t>0.079</w:t>
            </w:r>
          </w:p>
        </w:tc>
        <w:tc>
          <w:tcPr>
            <w:tcW w:type="dxa" w:w="1166"/>
            <w:vAlign w:val="center"/>
          </w:tcPr>
          <w:p>
            <w:pPr>
              <w:pStyle w:val="TableText"/>
              <w:jc w:val="center"/>
            </w:pPr>
            <w:r>
              <w:rPr>
                <w:rFonts w:ascii="Times New Roman" w:hAnsi="Times New Roman"/>
              </w:rPr>
              <w:t>best</w:t>
            </w:r>
          </w:p>
        </w:tc>
        <w:tc>
          <w:tcPr>
            <w:tcW w:type="dxa" w:w="1166"/>
            <w:vAlign w:val="center"/>
          </w:tcPr>
          <w:p>
            <w:pPr>
              <w:pStyle w:val="TableText"/>
              <w:jc w:val="center"/>
            </w:pPr>
            <w:r>
              <w:rPr>
                <w:rFonts w:ascii="Times New Roman" w:hAnsi="Times New Roman"/>
              </w:rPr>
              <w:t>0.828</w:t>
            </w:r>
          </w:p>
        </w:tc>
        <w:tc>
          <w:tcPr>
            <w:tcW w:type="dxa" w:w="1166"/>
            <w:vAlign w:val="center"/>
          </w:tcPr>
          <w:p>
            <w:pPr>
              <w:pStyle w:val="TableText"/>
              <w:jc w:val="center"/>
            </w:pPr>
            <w:r>
              <w:rPr>
                <w:rFonts w:ascii="Times New Roman" w:hAnsi="Times New Roman"/>
              </w:rPr>
              <w:t>&lt; 0.001</w:t>
            </w:r>
          </w:p>
        </w:tc>
      </w:tr>
      <w:tr>
        <w:trPr>
          <w:cantSplit w:val="true"/>
        </w:trPr>
        <w:tc>
          <w:tcPr>
            <w:tcW w:type="dxa" w:w="720"/>
            <w:vAlign w:val="center"/>
          </w:tcPr>
          <w:p>
            <w:pPr>
              <w:pStyle w:val="TableText"/>
            </w:pPr>
            <w:r>
              <w:rPr>
                <w:rFonts w:ascii="Times New Roman" w:hAnsi="Times New Roman"/>
              </w:rPr>
              <w:t>BD11</w:t>
            </w:r>
          </w:p>
        </w:tc>
        <w:tc>
          <w:tcPr>
            <w:tcW w:type="dxa" w:w="648"/>
            <w:vAlign w:val="center"/>
          </w:tcPr>
          <w:p>
            <w:pPr>
              <w:pStyle w:val="TableText"/>
            </w:pPr>
            <w:r>
              <w:rPr>
                <w:rFonts w:ascii="Times New Roman" w:hAnsi="Times New Roman"/>
              </w:rPr>
              <w:t>24 h</w:t>
            </w:r>
          </w:p>
        </w:tc>
        <w:tc>
          <w:tcPr>
            <w:tcW w:type="dxa" w:w="1440"/>
            <w:vAlign w:val="center"/>
          </w:tcPr>
          <w:p>
            <w:pPr>
              <w:pStyle w:val="TableText"/>
            </w:pPr>
            <w:r>
              <w:rPr>
                <w:rFonts w:ascii="Times New Roman" w:hAnsi="Times New Roman"/>
              </w:rPr>
              <w:t>CatBoost</w:t>
            </w:r>
          </w:p>
        </w:tc>
        <w:tc>
          <w:tcPr>
            <w:tcW w:type="dxa" w:w="1166"/>
            <w:vAlign w:val="center"/>
          </w:tcPr>
          <w:p>
            <w:pPr>
              <w:pStyle w:val="TableText"/>
              <w:jc w:val="center"/>
            </w:pPr>
            <w:r>
              <w:rPr>
                <w:rFonts w:ascii="Times New Roman" w:hAnsi="Times New Roman"/>
              </w:rPr>
              <w:t>0.015</w:t>
            </w:r>
          </w:p>
        </w:tc>
        <w:tc>
          <w:tcPr>
            <w:tcW w:type="dxa" w:w="1166"/>
            <w:vAlign w:val="center"/>
          </w:tcPr>
          <w:p>
            <w:pPr>
              <w:pStyle w:val="TableText"/>
              <w:jc w:val="center"/>
            </w:pPr>
            <w:r>
              <w:rPr>
                <w:rFonts w:ascii="Times New Roman" w:hAnsi="Times New Roman"/>
              </w:rPr>
              <w:t>0.005</w:t>
            </w:r>
          </w:p>
        </w:tc>
        <w:tc>
          <w:tcPr>
            <w:tcW w:type="dxa" w:w="1166"/>
            <w:vAlign w:val="center"/>
          </w:tcPr>
          <w:p>
            <w:pPr>
              <w:pStyle w:val="TableText"/>
              <w:jc w:val="center"/>
            </w:pPr>
            <w:r>
              <w:rPr>
                <w:rFonts w:ascii="Times New Roman" w:hAnsi="Times New Roman"/>
              </w:rPr>
              <w:t>best</w:t>
            </w:r>
          </w:p>
        </w:tc>
        <w:tc>
          <w:tcPr>
            <w:tcW w:type="dxa" w:w="1166"/>
            <w:vAlign w:val="center"/>
          </w:tcPr>
          <w:p>
            <w:pPr>
              <w:pStyle w:val="TableText"/>
              <w:jc w:val="center"/>
            </w:pPr>
            <w:r>
              <w:rPr>
                <w:rFonts w:ascii="Times New Roman" w:hAnsi="Times New Roman"/>
              </w:rPr>
              <w:t>0.315</w:t>
            </w:r>
          </w:p>
        </w:tc>
        <w:tc>
          <w:tcPr>
            <w:tcW w:type="dxa" w:w="1166"/>
            <w:vAlign w:val="center"/>
          </w:tcPr>
          <w:p>
            <w:pPr>
              <w:pStyle w:val="TableText"/>
              <w:jc w:val="center"/>
            </w:pPr>
            <w:r>
              <w:rPr>
                <w:rFonts w:ascii="Times New Roman" w:hAnsi="Times New Roman"/>
              </w:rPr>
              <w:t>&lt; 0.001</w:t>
            </w:r>
          </w:p>
        </w:tc>
      </w:tr>
      <w:tr>
        <w:trPr>
          <w:cantSplit w:val="true"/>
        </w:trPr>
        <w:tc>
          <w:tcPr>
            <w:tcW w:type="dxa" w:w="720"/>
            <w:vAlign w:val="center"/>
          </w:tcPr>
          <w:p>
            <w:pPr>
              <w:pStyle w:val="TableText"/>
            </w:pPr>
            <w:r>
              <w:rPr>
                <w:rFonts w:ascii="Times New Roman" w:hAnsi="Times New Roman"/>
              </w:rPr>
              <w:t>BD11</w:t>
            </w:r>
          </w:p>
        </w:tc>
        <w:tc>
          <w:tcPr>
            <w:tcW w:type="dxa" w:w="648"/>
            <w:vAlign w:val="center"/>
          </w:tcPr>
          <w:p>
            <w:pPr>
              <w:pStyle w:val="TableText"/>
            </w:pPr>
            <w:r>
              <w:rPr>
                <w:rFonts w:ascii="Times New Roman" w:hAnsi="Times New Roman"/>
              </w:rPr>
              <w:t>72 h</w:t>
            </w:r>
          </w:p>
        </w:tc>
        <w:tc>
          <w:tcPr>
            <w:tcW w:type="dxa" w:w="1440"/>
            <w:vAlign w:val="center"/>
          </w:tcPr>
          <w:p>
            <w:pPr>
              <w:pStyle w:val="TableText"/>
            </w:pPr>
            <w:r>
              <w:rPr>
                <w:rFonts w:ascii="Times New Roman" w:hAnsi="Times New Roman"/>
              </w:rPr>
              <w:t>LSTM (MSE)</w:t>
            </w:r>
          </w:p>
        </w:tc>
        <w:tc>
          <w:tcPr>
            <w:tcW w:type="dxa" w:w="1166"/>
            <w:vAlign w:val="center"/>
          </w:tcPr>
          <w:p>
            <w:pPr>
              <w:pStyle w:val="TableText"/>
              <w:jc w:val="center"/>
            </w:pPr>
            <w:r>
              <w:rPr>
                <w:rFonts w:ascii="Times New Roman" w:hAnsi="Times New Roman"/>
              </w:rPr>
              <w:t>0.006</w:t>
            </w:r>
          </w:p>
        </w:tc>
        <w:tc>
          <w:tcPr>
            <w:tcW w:type="dxa" w:w="1166"/>
            <w:vAlign w:val="center"/>
          </w:tcPr>
          <w:p>
            <w:pPr>
              <w:pStyle w:val="TableText"/>
              <w:jc w:val="center"/>
            </w:pPr>
            <w:r>
              <w:rPr>
                <w:rFonts w:ascii="Times New Roman" w:hAnsi="Times New Roman"/>
              </w:rPr>
              <w:t>0.815</w:t>
            </w:r>
          </w:p>
        </w:tc>
        <w:tc>
          <w:tcPr>
            <w:tcW w:type="dxa" w:w="1166"/>
            <w:vAlign w:val="center"/>
          </w:tcPr>
          <w:p>
            <w:pPr>
              <w:pStyle w:val="TableText"/>
              <w:jc w:val="center"/>
            </w:pPr>
            <w:r>
              <w:rPr>
                <w:rFonts w:ascii="Times New Roman" w:hAnsi="Times New Roman"/>
              </w:rPr>
              <w:t>0.353</w:t>
            </w:r>
          </w:p>
        </w:tc>
        <w:tc>
          <w:tcPr>
            <w:tcW w:type="dxa" w:w="1166"/>
            <w:vAlign w:val="center"/>
          </w:tcPr>
          <w:p>
            <w:pPr>
              <w:pStyle w:val="TableText"/>
              <w:jc w:val="center"/>
            </w:pPr>
            <w:r>
              <w:rPr>
                <w:rFonts w:ascii="Times New Roman" w:hAnsi="Times New Roman"/>
              </w:rPr>
              <w:t>best</w:t>
            </w:r>
          </w:p>
        </w:tc>
        <w:tc>
          <w:tcPr>
            <w:tcW w:type="dxa" w:w="1166"/>
            <w:vAlign w:val="center"/>
          </w:tcPr>
          <w:p>
            <w:pPr>
              <w:pStyle w:val="TableText"/>
              <w:jc w:val="center"/>
            </w:pPr>
            <w:r>
              <w:rPr>
                <w:rFonts w:ascii="Times New Roman" w:hAnsi="Times New Roman"/>
              </w:rPr>
              <w:t>&lt; 0.001</w:t>
            </w:r>
          </w:p>
        </w:tc>
      </w:tr>
    </w:tbl>
    <w:p>
      <w:pPr>
        <w:pStyle w:val="Single"/>
        <w:spacing w:after="200" w:line="40" w:lineRule="exact"/>
      </w:pPr>
    </w:p>
    <w:p>
      <w:pPr>
        <w:pStyle w:val="Heading2"/>
      </w:pPr>
      <w:bookmarkStart w:id="132" w:name="_Toc132"/>
      <w:r>
        <w:rPr>
          <w:rFonts w:ascii="Times New Roman" w:hAnsi="Times New Roman"/>
        </w:rPr>
        <w:t>5.3</w:t>
        <w:tab/>
        <w:t>Forecasts over a continuous month</w:t>
      </w:r>
      <w:bookmarkEnd w:id="132"/>
    </w:p>
    <w:p>
      <w:r>
        <w:rPr>
          <w:rFonts w:ascii="Times New Roman" w:hAnsi="Times New Roman"/>
        </w:rPr>
        <w:t>Figure 5.5 compares the forecasts with ERA5 over the 30-day window of the test period with the most variable sea state at BD08. At 24 h all three learned models follow the growth and decay of individual events closely, with small phase errors at the onset of rapid growth. At 72 h the forecasts are smoother than the observations: they keep the level of the monsoon sea but damp, and often delay, short events, which is the usual behaviour of point forecasters trained with squared-error losses when the forcing that will drive an event is not yet visible at the origin.</w:t>
      </w:r>
    </w:p>
    <w:p>
      <w:pPr>
        <w:pStyle w:val="Single"/>
        <w:keepNext/>
        <w:spacing w:before="120" w:after="40"/>
        <w:jc w:val="center"/>
      </w:pPr>
      <w:r>
        <w:drawing>
          <wp:inline xmlns:a="http://schemas.openxmlformats.org/drawingml/2006/main" xmlns:pic="http://schemas.openxmlformats.org/drawingml/2006/picture">
            <wp:extent cx="5486400" cy="3717576"/>
            <wp:docPr id="24" name="Picture 24"/>
            <wp:cNvGraphicFramePr>
              <a:graphicFrameLocks noChangeAspect="1"/>
            </wp:cNvGraphicFramePr>
            <a:graphic>
              <a:graphicData uri="http://schemas.openxmlformats.org/drawingml/2006/picture">
                <pic:pic>
                  <pic:nvPicPr>
                    <pic:cNvPr id="0" name="fig_timeline_BD08.png"/>
                    <pic:cNvPicPr/>
                  </pic:nvPicPr>
                  <pic:blipFill>
                    <a:blip r:embed="rId31"/>
                    <a:stretch>
                      <a:fillRect/>
                    </a:stretch>
                  </pic:blipFill>
                  <pic:spPr>
                    <a:xfrm>
                      <a:off x="0" y="0"/>
                      <a:ext cx="5486400" cy="3717576"/>
                    </a:xfrm>
                    <a:prstGeom prst="rect"/>
                  </pic:spPr>
                </pic:pic>
              </a:graphicData>
            </a:graphic>
          </wp:inline>
        </w:drawing>
      </w:r>
    </w:p>
    <w:p>
      <w:pPr>
        <w:pStyle w:val="FigureCaption"/>
      </w:pPr>
      <w:r>
        <w:rPr>
          <w:b/>
        </w:rPr>
        <w:t xml:space="preserve">Figure 5.5: </w:t>
      </w:r>
      <w:r>
        <w:rPr>
          <w:rFonts w:ascii="Times New Roman" w:hAnsi="Times New Roman"/>
        </w:rPr>
        <w:t>Forecast and observed H</w:t>
      </w:r>
      <w:r>
        <w:rPr>
          <w:rFonts w:ascii="Times New Roman" w:hAnsi="Times New Roman"/>
          <w:vertAlign w:val="subscript"/>
        </w:rPr>
        <w:t>s</w:t>
      </w:r>
      <w:r>
        <w:rPr>
          <w:rFonts w:ascii="Times New Roman" w:hAnsi="Times New Roman"/>
        </w:rPr>
        <w:t xml:space="preserve"> at BD08 over a 30-day test window, at 24 h and 72 h</w:t>
      </w:r>
    </w:p>
    <w:p>
      <w:pPr>
        <w:pStyle w:val="Heading2"/>
      </w:pPr>
      <w:bookmarkStart w:id="133" w:name="_Toc133"/>
      <w:r>
        <w:rPr>
          <w:rFonts w:ascii="Times New Roman" w:hAnsi="Times New Roman"/>
        </w:rPr>
        <w:t>5.4</w:t>
        <w:tab/>
        <w:t>Performance during tropical cyclones</w:t>
      </w:r>
      <w:bookmarkEnd w:id="133"/>
    </w:p>
    <w:p>
      <w:r>
        <w:rPr>
          <w:rFonts w:ascii="Times New Roman" w:hAnsi="Times New Roman"/>
        </w:rPr>
        <w:t>Figure 5.6 zooms on cyclone Mocha at BD08 (peak H</w:t>
      </w:r>
      <w:r>
        <w:rPr>
          <w:rFonts w:ascii="Times New Roman" w:hAnsi="Times New Roman"/>
          <w:vertAlign w:val="subscript"/>
        </w:rPr>
        <w:t>s</w:t>
      </w:r>
      <w:r>
        <w:rPr>
          <w:rFonts w:ascii="Times New Roman" w:hAnsi="Times New Roman"/>
        </w:rPr>
        <w:t xml:space="preserve"> 6.2 m on 13 May 2023). At 24 h the learned models start the rise on time, because the growing wind stress and falling pressure are already visible at the origin, but the trees and the MSE-trained LSTM level off near 4 m, about two metres below the peak. The peak-loss LSTM comes closest to the peak. ARIMA, in contrast, reproduces the shape of the event about a day late, as a persistence-like forecaster must. At 72 h no model reproduces the peak: three days before it the cyclone is still far from the buoy and leaves little trace in the local wind, pressure and wave history. Table 5.8 quantifies this over all named cyclones of the test period.</w:t>
      </w:r>
    </w:p>
    <w:p>
      <w:r>
        <w:rPr>
          <w:rFonts w:ascii="Times New Roman" w:hAnsi="Times New Roman"/>
        </w:rPr>
        <w:t>Inside the cyclone windows the RMSE of the best model at 24 h is 0.51 m against 0.25 m over all test samples, and at 72 h 0.85 m against 0.42 m, i.e. about twice the all-sample error at both lead times. The trees reduce the storm-window RMSE of persistence and ARIMA by a quarter to a third at 24–72 h, but their mean errors inside the windows are negative: storms are under-predicted on average, increasingly so with lead time. The peak-loss LSTM is the exception, with a mean error within ±0.07 m at every lead time inside the cyclone windows.</w:t>
      </w:r>
    </w:p>
    <w:p>
      <w:pPr>
        <w:pStyle w:val="Single"/>
        <w:keepNext/>
        <w:spacing w:before="120" w:after="40"/>
        <w:jc w:val="center"/>
      </w:pPr>
      <w:r>
        <w:drawing>
          <wp:inline xmlns:a="http://schemas.openxmlformats.org/drawingml/2006/main" xmlns:pic="http://schemas.openxmlformats.org/drawingml/2006/picture">
            <wp:extent cx="5486400" cy="3700771"/>
            <wp:docPr id="25" name="Picture 25"/>
            <wp:cNvGraphicFramePr>
              <a:graphicFrameLocks noChangeAspect="1"/>
            </wp:cNvGraphicFramePr>
            <a:graphic>
              <a:graphicData uri="http://schemas.openxmlformats.org/drawingml/2006/picture">
                <pic:pic>
                  <pic:nvPicPr>
                    <pic:cNvPr id="0" name="fig_cyclone_BD08.png"/>
                    <pic:cNvPicPr/>
                  </pic:nvPicPr>
                  <pic:blipFill>
                    <a:blip r:embed="rId32"/>
                    <a:stretch>
                      <a:fillRect/>
                    </a:stretch>
                  </pic:blipFill>
                  <pic:spPr>
                    <a:xfrm>
                      <a:off x="0" y="0"/>
                      <a:ext cx="5486400" cy="3700771"/>
                    </a:xfrm>
                    <a:prstGeom prst="rect"/>
                  </pic:spPr>
                </pic:pic>
              </a:graphicData>
            </a:graphic>
          </wp:inline>
        </w:drawing>
      </w:r>
    </w:p>
    <w:p>
      <w:pPr>
        <w:pStyle w:val="FigureCaption"/>
      </w:pPr>
      <w:r>
        <w:rPr>
          <w:b/>
        </w:rPr>
        <w:t xml:space="preserve">Figure 5.6: </w:t>
      </w:r>
      <w:r>
        <w:rPr>
          <w:rFonts w:ascii="Times New Roman" w:hAnsi="Times New Roman"/>
        </w:rPr>
        <w:t>Forecasts during cyclone Mocha at BD08, at 24 h and 72 h</w:t>
      </w:r>
    </w:p>
    <w:p>
      <w:pPr>
        <w:pStyle w:val="TableCaption"/>
      </w:pPr>
      <w:r>
        <w:rPr>
          <w:b/>
        </w:rPr>
        <w:t xml:space="preserve">Table 5.8: </w:t>
      </w:r>
      <w:r>
        <w:rPr>
          <w:rFonts w:ascii="Times New Roman" w:hAnsi="Times New Roman"/>
        </w:rPr>
        <w:t>RMSE (m) and mean error (m, in brackets) inside the windows of the named cyclones of 2023–2024, mean over the three sites</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592"/>
        <w:gridCol w:w="2015"/>
        <w:gridCol w:w="2015"/>
        <w:gridCol w:w="2015"/>
      </w:tblGrid>
      <w:tr>
        <w:trPr>
          <w:cantSplit w:val="true"/>
          <w:tblHeader w:val="true"/>
        </w:trPr>
        <w:tc>
          <w:tcPr>
            <w:tcW w:type="dxa" w:w="2592"/>
            <w:tcBorders>
              <w:bottom w:val="single" w:sz="6" w:color="000000"/>
            </w:tcBorders>
            <w:vAlign w:val="center"/>
          </w:tcPr>
          <w:p>
            <w:pPr>
              <w:pStyle w:val="TableText"/>
            </w:pPr>
            <w:r>
              <w:rPr>
                <w:rFonts w:ascii="Times New Roman" w:hAnsi="Times New Roman"/>
                <w:b/>
              </w:rPr>
              <w:t>Model</w:t>
            </w:r>
          </w:p>
        </w:tc>
        <w:tc>
          <w:tcPr>
            <w:tcW w:type="dxa" w:w="2016"/>
            <w:tcBorders>
              <w:bottom w:val="single" w:sz="6" w:color="000000"/>
            </w:tcBorders>
            <w:vAlign w:val="center"/>
          </w:tcPr>
          <w:p>
            <w:pPr>
              <w:pStyle w:val="TableText"/>
              <w:jc w:val="center"/>
            </w:pPr>
            <w:r>
              <w:rPr>
                <w:rFonts w:ascii="Times New Roman" w:hAnsi="Times New Roman"/>
                <w:b/>
              </w:rPr>
              <w:t>24 h</w:t>
            </w:r>
          </w:p>
        </w:tc>
        <w:tc>
          <w:tcPr>
            <w:tcW w:type="dxa" w:w="2016"/>
            <w:tcBorders>
              <w:bottom w:val="single" w:sz="6" w:color="000000"/>
            </w:tcBorders>
            <w:vAlign w:val="center"/>
          </w:tcPr>
          <w:p>
            <w:pPr>
              <w:pStyle w:val="TableText"/>
              <w:jc w:val="center"/>
            </w:pPr>
            <w:r>
              <w:rPr>
                <w:rFonts w:ascii="Times New Roman" w:hAnsi="Times New Roman"/>
                <w:b/>
              </w:rPr>
              <w:t>48 h</w:t>
            </w:r>
          </w:p>
        </w:tc>
        <w:tc>
          <w:tcPr>
            <w:tcW w:type="dxa" w:w="2016"/>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592"/>
            <w:vAlign w:val="center"/>
          </w:tcPr>
          <w:p>
            <w:pPr>
              <w:pStyle w:val="TableText"/>
            </w:pPr>
            <w:r>
              <w:rPr>
                <w:rFonts w:ascii="Times New Roman" w:hAnsi="Times New Roman"/>
              </w:rPr>
              <w:t>Persistence</w:t>
            </w:r>
          </w:p>
        </w:tc>
        <w:tc>
          <w:tcPr>
            <w:tcW w:type="dxa" w:w="2016"/>
            <w:vAlign w:val="center"/>
          </w:tcPr>
          <w:p>
            <w:pPr>
              <w:pStyle w:val="TableText"/>
              <w:jc w:val="center"/>
            </w:pPr>
            <w:r>
              <w:rPr>
                <w:rFonts w:ascii="Times New Roman" w:hAnsi="Times New Roman"/>
              </w:rPr>
              <w:t>0.730 (−0.07)</w:t>
            </w:r>
          </w:p>
        </w:tc>
        <w:tc>
          <w:tcPr>
            <w:tcW w:type="dxa" w:w="2016"/>
            <w:vAlign w:val="center"/>
          </w:tcPr>
          <w:p>
            <w:pPr>
              <w:pStyle w:val="TableText"/>
              <w:jc w:val="center"/>
            </w:pPr>
            <w:r>
              <w:rPr>
                <w:rFonts w:ascii="Times New Roman" w:hAnsi="Times New Roman"/>
              </w:rPr>
              <w:t>1.084 (−0.21)</w:t>
            </w:r>
          </w:p>
        </w:tc>
        <w:tc>
          <w:tcPr>
            <w:tcW w:type="dxa" w:w="2016"/>
            <w:vAlign w:val="center"/>
          </w:tcPr>
          <w:p>
            <w:pPr>
              <w:pStyle w:val="TableText"/>
              <w:jc w:val="center"/>
            </w:pPr>
            <w:r>
              <w:rPr>
                <w:rFonts w:ascii="Times New Roman" w:hAnsi="Times New Roman"/>
              </w:rPr>
              <w:t>1.175 (−0.42)</w:t>
            </w:r>
          </w:p>
        </w:tc>
      </w:tr>
      <w:tr>
        <w:trPr>
          <w:cantSplit w:val="true"/>
        </w:trPr>
        <w:tc>
          <w:tcPr>
            <w:tcW w:type="dxa" w:w="2592"/>
            <w:vAlign w:val="center"/>
          </w:tcPr>
          <w:p>
            <w:pPr>
              <w:pStyle w:val="TableText"/>
            </w:pPr>
            <w:r>
              <w:rPr>
                <w:rFonts w:ascii="Times New Roman" w:hAnsi="Times New Roman"/>
              </w:rPr>
              <w:t>ARIMA</w:t>
            </w:r>
          </w:p>
        </w:tc>
        <w:tc>
          <w:tcPr>
            <w:tcW w:type="dxa" w:w="2016"/>
            <w:vAlign w:val="center"/>
          </w:tcPr>
          <w:p>
            <w:pPr>
              <w:pStyle w:val="TableText"/>
              <w:jc w:val="center"/>
            </w:pPr>
            <w:r>
              <w:rPr>
                <w:rFonts w:ascii="Times New Roman" w:hAnsi="Times New Roman"/>
              </w:rPr>
              <w:t>0.687 (−0.06)</w:t>
            </w:r>
          </w:p>
        </w:tc>
        <w:tc>
          <w:tcPr>
            <w:tcW w:type="dxa" w:w="2016"/>
            <w:vAlign w:val="center"/>
          </w:tcPr>
          <w:p>
            <w:pPr>
              <w:pStyle w:val="TableText"/>
              <w:jc w:val="center"/>
            </w:pPr>
            <w:r>
              <w:rPr>
                <w:rFonts w:ascii="Times New Roman" w:hAnsi="Times New Roman"/>
              </w:rPr>
              <w:t>1.070 (−0.18)</w:t>
            </w:r>
          </w:p>
        </w:tc>
        <w:tc>
          <w:tcPr>
            <w:tcW w:type="dxa" w:w="2016"/>
            <w:vAlign w:val="center"/>
          </w:tcPr>
          <w:p>
            <w:pPr>
              <w:pStyle w:val="TableText"/>
              <w:jc w:val="center"/>
            </w:pPr>
            <w:r>
              <w:rPr>
                <w:rFonts w:ascii="Times New Roman" w:hAnsi="Times New Roman"/>
              </w:rPr>
              <w:t>1.189 (−0.39)</w:t>
            </w:r>
          </w:p>
        </w:tc>
      </w:tr>
      <w:tr>
        <w:trPr>
          <w:cantSplit w:val="true"/>
        </w:trPr>
        <w:tc>
          <w:tcPr>
            <w:tcW w:type="dxa" w:w="2592"/>
            <w:vAlign w:val="center"/>
          </w:tcPr>
          <w:p>
            <w:pPr>
              <w:pStyle w:val="TableText"/>
            </w:pPr>
            <w:r>
              <w:rPr>
                <w:rFonts w:ascii="Times New Roman" w:hAnsi="Times New Roman"/>
              </w:rPr>
              <w:t>LightGBM</w:t>
            </w:r>
          </w:p>
        </w:tc>
        <w:tc>
          <w:tcPr>
            <w:tcW w:type="dxa" w:w="2016"/>
            <w:vAlign w:val="center"/>
          </w:tcPr>
          <w:p>
            <w:pPr>
              <w:pStyle w:val="TableText"/>
              <w:jc w:val="center"/>
            </w:pPr>
            <w:r>
              <w:rPr>
                <w:rFonts w:ascii="Times New Roman" w:hAnsi="Times New Roman"/>
              </w:rPr>
              <w:t>0.532 (−0.08)</w:t>
            </w:r>
          </w:p>
        </w:tc>
        <w:tc>
          <w:tcPr>
            <w:tcW w:type="dxa" w:w="2016"/>
            <w:vAlign w:val="center"/>
          </w:tcPr>
          <w:p>
            <w:pPr>
              <w:pStyle w:val="TableText"/>
              <w:jc w:val="center"/>
            </w:pPr>
            <w:r>
              <w:rPr>
                <w:rFonts w:ascii="Times New Roman" w:hAnsi="Times New Roman"/>
              </w:rPr>
              <w:t>0.752 (−0.23)</w:t>
            </w:r>
          </w:p>
        </w:tc>
        <w:tc>
          <w:tcPr>
            <w:tcW w:type="dxa" w:w="2016"/>
            <w:vAlign w:val="center"/>
          </w:tcPr>
          <w:p>
            <w:pPr>
              <w:pStyle w:val="TableText"/>
              <w:jc w:val="center"/>
            </w:pPr>
            <w:r>
              <w:rPr>
                <w:rFonts w:ascii="Times New Roman" w:hAnsi="Times New Roman"/>
              </w:rPr>
              <w:t>0.852 (−0.31)</w:t>
            </w:r>
          </w:p>
        </w:tc>
      </w:tr>
      <w:tr>
        <w:trPr>
          <w:cantSplit w:val="true"/>
        </w:trPr>
        <w:tc>
          <w:tcPr>
            <w:tcW w:type="dxa" w:w="2592"/>
            <w:vAlign w:val="center"/>
          </w:tcPr>
          <w:p>
            <w:pPr>
              <w:pStyle w:val="TableText"/>
            </w:pPr>
            <w:r>
              <w:rPr>
                <w:rFonts w:ascii="Times New Roman" w:hAnsi="Times New Roman"/>
              </w:rPr>
              <w:t>CatBoost</w:t>
            </w:r>
          </w:p>
        </w:tc>
        <w:tc>
          <w:tcPr>
            <w:tcW w:type="dxa" w:w="2016"/>
            <w:vAlign w:val="center"/>
          </w:tcPr>
          <w:p>
            <w:pPr>
              <w:pStyle w:val="TableText"/>
              <w:jc w:val="center"/>
            </w:pPr>
            <w:r>
              <w:rPr>
                <w:rFonts w:ascii="Times New Roman" w:hAnsi="Times New Roman"/>
              </w:rPr>
              <w:t>0.506 (−0.07)</w:t>
            </w:r>
          </w:p>
        </w:tc>
        <w:tc>
          <w:tcPr>
            <w:tcW w:type="dxa" w:w="2016"/>
            <w:vAlign w:val="center"/>
          </w:tcPr>
          <w:p>
            <w:pPr>
              <w:pStyle w:val="TableText"/>
              <w:jc w:val="center"/>
            </w:pPr>
            <w:r>
              <w:rPr>
                <w:rFonts w:ascii="Times New Roman" w:hAnsi="Times New Roman"/>
              </w:rPr>
              <w:t>0.745 (−0.21)</w:t>
            </w:r>
          </w:p>
        </w:tc>
        <w:tc>
          <w:tcPr>
            <w:tcW w:type="dxa" w:w="2016"/>
            <w:vAlign w:val="center"/>
          </w:tcPr>
          <w:p>
            <w:pPr>
              <w:pStyle w:val="TableText"/>
              <w:jc w:val="center"/>
            </w:pPr>
            <w:r>
              <w:rPr>
                <w:rFonts w:ascii="Times New Roman" w:hAnsi="Times New Roman"/>
              </w:rPr>
              <w:t>0.855 (−0.29)</w:t>
            </w:r>
          </w:p>
        </w:tc>
      </w:tr>
      <w:tr>
        <w:trPr>
          <w:cantSplit w:val="true"/>
        </w:trPr>
        <w:tc>
          <w:tcPr>
            <w:tcW w:type="dxa" w:w="2592"/>
            <w:vAlign w:val="center"/>
          </w:tcPr>
          <w:p>
            <w:pPr>
              <w:pStyle w:val="TableText"/>
            </w:pPr>
            <w:r>
              <w:rPr>
                <w:rFonts w:ascii="Times New Roman" w:hAnsi="Times New Roman"/>
              </w:rPr>
              <w:t>LSTM (MSE)</w:t>
            </w:r>
          </w:p>
        </w:tc>
        <w:tc>
          <w:tcPr>
            <w:tcW w:type="dxa" w:w="2016"/>
            <w:vAlign w:val="center"/>
          </w:tcPr>
          <w:p>
            <w:pPr>
              <w:pStyle w:val="TableText"/>
              <w:jc w:val="center"/>
            </w:pPr>
            <w:r>
              <w:rPr>
                <w:rFonts w:ascii="Times New Roman" w:hAnsi="Times New Roman"/>
              </w:rPr>
              <w:t>0.580 (−0.14)</w:t>
            </w:r>
          </w:p>
        </w:tc>
        <w:tc>
          <w:tcPr>
            <w:tcW w:type="dxa" w:w="2016"/>
            <w:vAlign w:val="center"/>
          </w:tcPr>
          <w:p>
            <w:pPr>
              <w:pStyle w:val="TableText"/>
              <w:jc w:val="center"/>
            </w:pPr>
            <w:r>
              <w:rPr>
                <w:rFonts w:ascii="Times New Roman" w:hAnsi="Times New Roman"/>
              </w:rPr>
              <w:t>0.825 (−0.26)</w:t>
            </w:r>
          </w:p>
        </w:tc>
        <w:tc>
          <w:tcPr>
            <w:tcW w:type="dxa" w:w="2016"/>
            <w:vAlign w:val="center"/>
          </w:tcPr>
          <w:p>
            <w:pPr>
              <w:pStyle w:val="TableText"/>
              <w:jc w:val="center"/>
            </w:pPr>
            <w:r>
              <w:rPr>
                <w:rFonts w:ascii="Times New Roman" w:hAnsi="Times New Roman"/>
              </w:rPr>
              <w:t>0.943 (−0.35)</w:t>
            </w:r>
          </w:p>
        </w:tc>
      </w:tr>
      <w:tr>
        <w:trPr>
          <w:cantSplit w:val="true"/>
        </w:trPr>
        <w:tc>
          <w:tcPr>
            <w:tcW w:type="dxa" w:w="2592"/>
            <w:vAlign w:val="center"/>
          </w:tcPr>
          <w:p>
            <w:pPr>
              <w:pStyle w:val="TableText"/>
            </w:pPr>
            <w:r>
              <w:rPr>
                <w:rFonts w:ascii="Times New Roman" w:hAnsi="Times New Roman"/>
              </w:rPr>
              <w:t>LSTM (peak loss)</w:t>
            </w:r>
          </w:p>
        </w:tc>
        <w:tc>
          <w:tcPr>
            <w:tcW w:type="dxa" w:w="2016"/>
            <w:vAlign w:val="center"/>
          </w:tcPr>
          <w:p>
            <w:pPr>
              <w:pStyle w:val="TableText"/>
              <w:jc w:val="center"/>
            </w:pPr>
            <w:r>
              <w:rPr>
                <w:rFonts w:ascii="Times New Roman" w:hAnsi="Times New Roman"/>
              </w:rPr>
              <w:t>0.574 (+0.02)</w:t>
            </w:r>
          </w:p>
        </w:tc>
        <w:tc>
          <w:tcPr>
            <w:tcW w:type="dxa" w:w="2016"/>
            <w:vAlign w:val="center"/>
          </w:tcPr>
          <w:p>
            <w:pPr>
              <w:pStyle w:val="TableText"/>
              <w:jc w:val="center"/>
            </w:pPr>
            <w:r>
              <w:rPr>
                <w:rFonts w:ascii="Times New Roman" w:hAnsi="Times New Roman"/>
              </w:rPr>
              <w:t>0.837 (−0.03)</w:t>
            </w:r>
          </w:p>
        </w:tc>
        <w:tc>
          <w:tcPr>
            <w:tcW w:type="dxa" w:w="2016"/>
            <w:vAlign w:val="center"/>
          </w:tcPr>
          <w:p>
            <w:pPr>
              <w:pStyle w:val="TableText"/>
              <w:jc w:val="center"/>
            </w:pPr>
            <w:r>
              <w:rPr>
                <w:rFonts w:ascii="Times New Roman" w:hAnsi="Times New Roman"/>
              </w:rPr>
              <w:t>0.988 (−0.07)</w:t>
            </w:r>
          </w:p>
        </w:tc>
      </w:tr>
    </w:tbl>
    <w:p>
      <w:pPr>
        <w:pStyle w:val="Single"/>
        <w:spacing w:after="200" w:line="40" w:lineRule="exact"/>
      </w:pPr>
    </w:p>
    <w:p>
      <w:pPr>
        <w:pStyle w:val="Single"/>
        <w:keepNext/>
        <w:spacing w:before="120" w:after="40"/>
        <w:jc w:val="center"/>
      </w:pPr>
      <w:r>
        <w:drawing>
          <wp:inline xmlns:a="http://schemas.openxmlformats.org/drawingml/2006/main" xmlns:pic="http://schemas.openxmlformats.org/drawingml/2006/picture">
            <wp:extent cx="5486400" cy="3669440"/>
            <wp:docPr id="26" name="Picture 26"/>
            <wp:cNvGraphicFramePr>
              <a:graphicFrameLocks noChangeAspect="1"/>
            </wp:cNvGraphicFramePr>
            <a:graphic>
              <a:graphicData uri="http://schemas.openxmlformats.org/drawingml/2006/picture">
                <pic:pic>
                  <pic:nvPicPr>
                    <pic:cNvPr id="0" name="fig_cyclone_BD11.png"/>
                    <pic:cNvPicPr/>
                  </pic:nvPicPr>
                  <pic:blipFill>
                    <a:blip r:embed="rId33"/>
                    <a:stretch>
                      <a:fillRect/>
                    </a:stretch>
                  </pic:blipFill>
                  <pic:spPr>
                    <a:xfrm>
                      <a:off x="0" y="0"/>
                      <a:ext cx="5486400" cy="3669440"/>
                    </a:xfrm>
                    <a:prstGeom prst="rect"/>
                  </pic:spPr>
                </pic:pic>
              </a:graphicData>
            </a:graphic>
          </wp:inline>
        </w:drawing>
      </w:r>
    </w:p>
    <w:p>
      <w:pPr>
        <w:pStyle w:val="FigureCaption"/>
      </w:pPr>
      <w:r>
        <w:rPr>
          <w:b/>
        </w:rPr>
        <w:t xml:space="preserve">Figure 5.7: </w:t>
      </w:r>
      <w:r>
        <w:rPr>
          <w:rFonts w:ascii="Times New Roman" w:hAnsi="Times New Roman"/>
        </w:rPr>
        <w:t>Forecasts during cyclone Michaung at BD11, at 24 h and 72 h</w:t>
      </w:r>
    </w:p>
    <w:p>
      <w:pPr>
        <w:pStyle w:val="Heading2"/>
      </w:pPr>
      <w:bookmarkStart w:id="134" w:name="_Toc134"/>
      <w:r>
        <w:rPr>
          <w:rFonts w:ascii="Times New Roman" w:hAnsi="Times New Roman"/>
        </w:rPr>
        <w:t>5.5</w:t>
        <w:tab/>
        <w:t>Effect of the peak-weighted loss</w:t>
      </w:r>
      <w:bookmarkEnd w:id="134"/>
    </w:p>
    <w:p>
      <w:r>
        <w:rPr>
          <w:rFonts w:ascii="Times New Roman" w:hAnsi="Times New Roman"/>
        </w:rPr>
        <w:t>Figure 5.8 and Table 5.9 isolate the effect of the peak-weighted loss on the extreme subset (observed H</w:t>
      </w:r>
      <w:r>
        <w:rPr>
          <w:rFonts w:ascii="Times New Roman" w:hAnsi="Times New Roman"/>
          <w:vertAlign w:val="subscript"/>
        </w:rPr>
        <w:t>s</w:t>
      </w:r>
      <w:r>
        <w:rPr>
          <w:rFonts w:ascii="Times New Roman" w:hAnsi="Times New Roman"/>
        </w:rPr>
        <w:t xml:space="preserve"> at or above the training 95th percentile, 2.57–3.09 m depending on the site). Trained with the MSE, the LSTM under-predicted 72% of these cases at 24 h and 89% at 72 h, with a mean error of −0.36 m and −0.92 m. The peak-weighted loss reduced the under-prediction rate to 55% and 76% and moved the mean error at the peaks to −0.13 m and −0.56 m. The RMSE on the extreme subset changed from 0.77 to 0.66 m at 24 h and from 1.29 to 1.15 m at 72 h. The price is paid in ordinary conditions: over all samples the RMSE of the peak-loss network is +14% at 24 h and +18% at 72 h relative to the MSE network, because the loss tolerates over-prediction near the threshold. This is the intended trade-off for a warning system, in which a missed peak is far costlier than a false alarm, but it means the two losses answer different questions and should be chosen by the application rather than by RMSE alone.</w:t>
      </w:r>
    </w:p>
    <w:p>
      <w:pPr>
        <w:pStyle w:val="Single"/>
        <w:keepNext/>
        <w:spacing w:before="120" w:after="40"/>
        <w:jc w:val="center"/>
      </w:pPr>
      <w:r>
        <w:drawing>
          <wp:inline xmlns:a="http://schemas.openxmlformats.org/drawingml/2006/main" xmlns:pic="http://schemas.openxmlformats.org/drawingml/2006/picture">
            <wp:extent cx="5486400" cy="2535592"/>
            <wp:docPr id="27" name="Picture 27"/>
            <wp:cNvGraphicFramePr>
              <a:graphicFrameLocks noChangeAspect="1"/>
            </wp:cNvGraphicFramePr>
            <a:graphic>
              <a:graphicData uri="http://schemas.openxmlformats.org/drawingml/2006/picture">
                <pic:pic>
                  <pic:nvPicPr>
                    <pic:cNvPr id="0" name="fig_peak_bias.png"/>
                    <pic:cNvPicPr/>
                  </pic:nvPicPr>
                  <pic:blipFill>
                    <a:blip r:embed="rId34"/>
                    <a:stretch>
                      <a:fillRect/>
                    </a:stretch>
                  </pic:blipFill>
                  <pic:spPr>
                    <a:xfrm>
                      <a:off x="0" y="0"/>
                      <a:ext cx="5486400" cy="2535592"/>
                    </a:xfrm>
                    <a:prstGeom prst="rect"/>
                  </pic:spPr>
                </pic:pic>
              </a:graphicData>
            </a:graphic>
          </wp:inline>
        </w:drawing>
      </w:r>
    </w:p>
    <w:p>
      <w:pPr>
        <w:pStyle w:val="FigureCaption"/>
      </w:pPr>
      <w:r>
        <w:rPr>
          <w:b/>
        </w:rPr>
        <w:t xml:space="preserve">Figure 5.8: </w:t>
      </w:r>
      <w:r>
        <w:rPr>
          <w:rFonts w:ascii="Times New Roman" w:hAnsi="Times New Roman"/>
        </w:rPr>
        <w:t>Mean error and under-prediction rate on extreme sea states (observed H</w:t>
      </w:r>
      <w:r>
        <w:rPr>
          <w:rFonts w:ascii="Times New Roman" w:hAnsi="Times New Roman"/>
          <w:vertAlign w:val="subscript"/>
        </w:rPr>
        <w:t>s</w:t>
      </w:r>
      <w:r>
        <w:rPr>
          <w:rFonts w:ascii="Times New Roman" w:hAnsi="Times New Roman"/>
        </w:rPr>
        <w:t xml:space="preserve"> ≥ training q95), all sites</w:t>
      </w:r>
    </w:p>
    <w:p>
      <w:pPr>
        <w:pStyle w:val="TableCaption"/>
      </w:pPr>
      <w:r>
        <w:rPr>
          <w:b/>
        </w:rPr>
        <w:t xml:space="preserve">Table 5.9: </w:t>
      </w:r>
      <w:r>
        <w:rPr>
          <w:rFonts w:ascii="Times New Roman" w:hAnsi="Times New Roman"/>
        </w:rPr>
        <w:t>Extreme subset (obs ≥ q95), all sites: RMSE (m) / mean error (m) / share under-predicted</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592"/>
        <w:gridCol w:w="3024"/>
        <w:gridCol w:w="3024"/>
      </w:tblGrid>
      <w:tr>
        <w:trPr>
          <w:cantSplit w:val="true"/>
          <w:tblHeader w:val="true"/>
        </w:trPr>
        <w:tc>
          <w:tcPr>
            <w:tcW w:type="dxa" w:w="2592"/>
            <w:tcBorders>
              <w:bottom w:val="single" w:sz="6" w:color="000000"/>
            </w:tcBorders>
            <w:vAlign w:val="center"/>
          </w:tcPr>
          <w:p>
            <w:pPr>
              <w:pStyle w:val="TableText"/>
            </w:pPr>
            <w:r>
              <w:rPr>
                <w:rFonts w:ascii="Times New Roman" w:hAnsi="Times New Roman"/>
                <w:b/>
              </w:rPr>
              <w:t>Model</w:t>
            </w:r>
          </w:p>
        </w:tc>
        <w:tc>
          <w:tcPr>
            <w:tcW w:type="dxa" w:w="3024"/>
            <w:tcBorders>
              <w:bottom w:val="single" w:sz="6" w:color="000000"/>
            </w:tcBorders>
            <w:vAlign w:val="center"/>
          </w:tcPr>
          <w:p>
            <w:pPr>
              <w:pStyle w:val="TableText"/>
              <w:jc w:val="center"/>
            </w:pPr>
            <w:r>
              <w:rPr>
                <w:rFonts w:ascii="Times New Roman" w:hAnsi="Times New Roman"/>
                <w:b/>
              </w:rPr>
              <w:t>24 h</w:t>
            </w:r>
          </w:p>
        </w:tc>
        <w:tc>
          <w:tcPr>
            <w:tcW w:type="dxa" w:w="3024"/>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2592"/>
            <w:vAlign w:val="center"/>
          </w:tcPr>
          <w:p>
            <w:pPr>
              <w:pStyle w:val="TableText"/>
            </w:pPr>
            <w:r>
              <w:rPr>
                <w:rFonts w:ascii="Times New Roman" w:hAnsi="Times New Roman"/>
              </w:rPr>
              <w:t>Persistence</w:t>
            </w:r>
          </w:p>
        </w:tc>
        <w:tc>
          <w:tcPr>
            <w:tcW w:type="dxa" w:w="3024"/>
            <w:vAlign w:val="center"/>
          </w:tcPr>
          <w:p>
            <w:pPr>
              <w:pStyle w:val="TableText"/>
              <w:jc w:val="center"/>
            </w:pPr>
            <w:r>
              <w:rPr>
                <w:rFonts w:ascii="Times New Roman" w:hAnsi="Times New Roman"/>
              </w:rPr>
              <w:t>0.86 / −0.33 / 67%</w:t>
            </w:r>
          </w:p>
        </w:tc>
        <w:tc>
          <w:tcPr>
            <w:tcW w:type="dxa" w:w="3024"/>
            <w:vAlign w:val="center"/>
          </w:tcPr>
          <w:p>
            <w:pPr>
              <w:pStyle w:val="TableText"/>
              <w:jc w:val="center"/>
            </w:pPr>
            <w:r>
              <w:rPr>
                <w:rFonts w:ascii="Times New Roman" w:hAnsi="Times New Roman"/>
              </w:rPr>
              <w:t>1.45 / −1.00 / 86%</w:t>
            </w:r>
          </w:p>
        </w:tc>
      </w:tr>
      <w:tr>
        <w:trPr>
          <w:cantSplit w:val="true"/>
        </w:trPr>
        <w:tc>
          <w:tcPr>
            <w:tcW w:type="dxa" w:w="2592"/>
            <w:vAlign w:val="center"/>
          </w:tcPr>
          <w:p>
            <w:pPr>
              <w:pStyle w:val="TableText"/>
            </w:pPr>
            <w:r>
              <w:rPr>
                <w:rFonts w:ascii="Times New Roman" w:hAnsi="Times New Roman"/>
              </w:rPr>
              <w:t>ARIMA</w:t>
            </w:r>
          </w:p>
        </w:tc>
        <w:tc>
          <w:tcPr>
            <w:tcW w:type="dxa" w:w="3024"/>
            <w:vAlign w:val="center"/>
          </w:tcPr>
          <w:p>
            <w:pPr>
              <w:pStyle w:val="TableText"/>
              <w:jc w:val="center"/>
            </w:pPr>
            <w:r>
              <w:rPr>
                <w:rFonts w:ascii="Times New Roman" w:hAnsi="Times New Roman"/>
              </w:rPr>
              <w:t>0.84 / −0.27 / 64%</w:t>
            </w:r>
          </w:p>
        </w:tc>
        <w:tc>
          <w:tcPr>
            <w:tcW w:type="dxa" w:w="3024"/>
            <w:vAlign w:val="center"/>
          </w:tcPr>
          <w:p>
            <w:pPr>
              <w:pStyle w:val="TableText"/>
              <w:jc w:val="center"/>
            </w:pPr>
            <w:r>
              <w:rPr>
                <w:rFonts w:ascii="Times New Roman" w:hAnsi="Times New Roman"/>
              </w:rPr>
              <w:t>1.45 / −0.98 / 86%</w:t>
            </w:r>
          </w:p>
        </w:tc>
      </w:tr>
      <w:tr>
        <w:trPr>
          <w:cantSplit w:val="true"/>
        </w:trPr>
        <w:tc>
          <w:tcPr>
            <w:tcW w:type="dxa" w:w="2592"/>
            <w:vAlign w:val="center"/>
          </w:tcPr>
          <w:p>
            <w:pPr>
              <w:pStyle w:val="TableText"/>
            </w:pPr>
            <w:r>
              <w:rPr>
                <w:rFonts w:ascii="Times New Roman" w:hAnsi="Times New Roman"/>
              </w:rPr>
              <w:t>LightGBM</w:t>
            </w:r>
          </w:p>
        </w:tc>
        <w:tc>
          <w:tcPr>
            <w:tcW w:type="dxa" w:w="3024"/>
            <w:vAlign w:val="center"/>
          </w:tcPr>
          <w:p>
            <w:pPr>
              <w:pStyle w:val="TableText"/>
              <w:jc w:val="center"/>
            </w:pPr>
            <w:r>
              <w:rPr>
                <w:rFonts w:ascii="Times New Roman" w:hAnsi="Times New Roman"/>
              </w:rPr>
              <w:t>0.70 / −0.37 / 75%</w:t>
            </w:r>
          </w:p>
        </w:tc>
        <w:tc>
          <w:tcPr>
            <w:tcW w:type="dxa" w:w="3024"/>
            <w:vAlign w:val="center"/>
          </w:tcPr>
          <w:p>
            <w:pPr>
              <w:pStyle w:val="TableText"/>
              <w:jc w:val="center"/>
            </w:pPr>
            <w:r>
              <w:rPr>
                <w:rFonts w:ascii="Times New Roman" w:hAnsi="Times New Roman"/>
              </w:rPr>
              <w:t>1.20 / −0.94 / 95%</w:t>
            </w:r>
          </w:p>
        </w:tc>
      </w:tr>
      <w:tr>
        <w:trPr>
          <w:cantSplit w:val="true"/>
        </w:trPr>
        <w:tc>
          <w:tcPr>
            <w:tcW w:type="dxa" w:w="2592"/>
            <w:vAlign w:val="center"/>
          </w:tcPr>
          <w:p>
            <w:pPr>
              <w:pStyle w:val="TableText"/>
            </w:pPr>
            <w:r>
              <w:rPr>
                <w:rFonts w:ascii="Times New Roman" w:hAnsi="Times New Roman"/>
              </w:rPr>
              <w:t>CatBoost</w:t>
            </w:r>
          </w:p>
        </w:tc>
        <w:tc>
          <w:tcPr>
            <w:tcW w:type="dxa" w:w="3024"/>
            <w:vAlign w:val="center"/>
          </w:tcPr>
          <w:p>
            <w:pPr>
              <w:pStyle w:val="TableText"/>
              <w:jc w:val="center"/>
            </w:pPr>
            <w:r>
              <w:rPr>
                <w:rFonts w:ascii="Times New Roman" w:hAnsi="Times New Roman"/>
              </w:rPr>
              <w:t>0.68 / −0.35 / 73%</w:t>
            </w:r>
          </w:p>
        </w:tc>
        <w:tc>
          <w:tcPr>
            <w:tcW w:type="dxa" w:w="3024"/>
            <w:vAlign w:val="center"/>
          </w:tcPr>
          <w:p>
            <w:pPr>
              <w:pStyle w:val="TableText"/>
              <w:jc w:val="center"/>
            </w:pPr>
            <w:r>
              <w:rPr>
                <w:rFonts w:ascii="Times New Roman" w:hAnsi="Times New Roman"/>
              </w:rPr>
              <w:t>1.21 / −0.96 / 95%</w:t>
            </w:r>
          </w:p>
        </w:tc>
      </w:tr>
      <w:tr>
        <w:trPr>
          <w:cantSplit w:val="true"/>
        </w:trPr>
        <w:tc>
          <w:tcPr>
            <w:tcW w:type="dxa" w:w="2592"/>
            <w:vAlign w:val="center"/>
          </w:tcPr>
          <w:p>
            <w:pPr>
              <w:pStyle w:val="TableText"/>
            </w:pPr>
            <w:r>
              <w:rPr>
                <w:rFonts w:ascii="Times New Roman" w:hAnsi="Times New Roman"/>
              </w:rPr>
              <w:t>LSTM (MSE)</w:t>
            </w:r>
          </w:p>
        </w:tc>
        <w:tc>
          <w:tcPr>
            <w:tcW w:type="dxa" w:w="3024"/>
            <w:vAlign w:val="center"/>
          </w:tcPr>
          <w:p>
            <w:pPr>
              <w:pStyle w:val="TableText"/>
              <w:jc w:val="center"/>
            </w:pPr>
            <w:r>
              <w:rPr>
                <w:rFonts w:ascii="Times New Roman" w:hAnsi="Times New Roman"/>
              </w:rPr>
              <w:t>0.77 / −0.36 / 72%</w:t>
            </w:r>
          </w:p>
        </w:tc>
        <w:tc>
          <w:tcPr>
            <w:tcW w:type="dxa" w:w="3024"/>
            <w:vAlign w:val="center"/>
          </w:tcPr>
          <w:p>
            <w:pPr>
              <w:pStyle w:val="TableText"/>
              <w:jc w:val="center"/>
            </w:pPr>
            <w:r>
              <w:rPr>
                <w:rFonts w:ascii="Times New Roman" w:hAnsi="Times New Roman"/>
              </w:rPr>
              <w:t>1.29 / −0.92 / 89%</w:t>
            </w:r>
          </w:p>
        </w:tc>
      </w:tr>
      <w:tr>
        <w:trPr>
          <w:cantSplit w:val="true"/>
        </w:trPr>
        <w:tc>
          <w:tcPr>
            <w:tcW w:type="dxa" w:w="2592"/>
            <w:vAlign w:val="center"/>
          </w:tcPr>
          <w:p>
            <w:pPr>
              <w:pStyle w:val="TableText"/>
            </w:pPr>
            <w:r>
              <w:rPr>
                <w:rFonts w:ascii="Times New Roman" w:hAnsi="Times New Roman"/>
              </w:rPr>
              <w:t>LSTM (peak loss)</w:t>
            </w:r>
          </w:p>
        </w:tc>
        <w:tc>
          <w:tcPr>
            <w:tcW w:type="dxa" w:w="3024"/>
            <w:vAlign w:val="center"/>
          </w:tcPr>
          <w:p>
            <w:pPr>
              <w:pStyle w:val="TableText"/>
              <w:jc w:val="center"/>
            </w:pPr>
            <w:r>
              <w:rPr>
                <w:rFonts w:ascii="Times New Roman" w:hAnsi="Times New Roman"/>
              </w:rPr>
              <w:t>0.66 / −0.13 / 55%</w:t>
            </w:r>
          </w:p>
        </w:tc>
        <w:tc>
          <w:tcPr>
            <w:tcW w:type="dxa" w:w="3024"/>
            <w:vAlign w:val="center"/>
          </w:tcPr>
          <w:p>
            <w:pPr>
              <w:pStyle w:val="TableText"/>
              <w:jc w:val="center"/>
            </w:pPr>
            <w:r>
              <w:rPr>
                <w:rFonts w:ascii="Times New Roman" w:hAnsi="Times New Roman"/>
              </w:rPr>
              <w:t>1.15 / −0.56 / 76%</w:t>
            </w:r>
          </w:p>
        </w:tc>
      </w:tr>
    </w:tbl>
    <w:p>
      <w:pPr>
        <w:pStyle w:val="Single"/>
        <w:spacing w:after="200" w:line="40" w:lineRule="exact"/>
      </w:pPr>
    </w:p>
    <w:p>
      <w:pPr>
        <w:pStyle w:val="Heading2"/>
      </w:pPr>
      <w:bookmarkStart w:id="135" w:name="_Toc135"/>
      <w:r>
        <w:rPr>
          <w:rFonts w:ascii="Times New Roman" w:hAnsi="Times New Roman"/>
        </w:rPr>
        <w:t>5.6</w:t>
        <w:tab/>
        <w:t>What the tree models learned</w:t>
      </w:r>
      <w:bookmarkEnd w:id="135"/>
    </w:p>
    <w:p>
      <w:r>
        <w:rPr>
          <w:rFonts w:ascii="Times New Roman" w:hAnsi="Times New Roman"/>
        </w:rPr>
        <w:t>Figure 5.9 shows the CatBoost feature importance at 6 h and 72 h. At 6 h the forecast is dominated by the most recent values of H</w:t>
      </w:r>
      <w:r>
        <w:rPr>
          <w:rFonts w:ascii="Times New Roman" w:hAnsi="Times New Roman"/>
          <w:vertAlign w:val="subscript"/>
        </w:rPr>
        <w:t>s</w:t>
      </w:r>
      <w:r>
        <w:rPr>
          <w:rFonts w:ascii="Times New Roman" w:hAnsi="Times New Roman"/>
        </w:rPr>
        <w:t xml:space="preserve"> (the current value and the three preceding hours carry 76% of the importance) and its short-term tendency, i.e. by persistence corrected for the current growth or decay. At 72 h the weight moves to the slow, large-scale state: the seasonal phase, SST, the mean sea-level pressure and its 24 h tendency, with the current H</w:t>
      </w:r>
      <w:r>
        <w:rPr>
          <w:rFonts w:ascii="Times New Roman" w:hAnsi="Times New Roman"/>
          <w:vertAlign w:val="subscript"/>
        </w:rPr>
        <w:t>s</w:t>
      </w:r>
      <w:r>
        <w:rPr>
          <w:rFonts w:ascii="Times New Roman" w:hAnsi="Times New Roman"/>
        </w:rPr>
        <w:t xml:space="preserve"> still contributing. SST in the bay follows the monsoon cycle closely, and the pressure level separates the monsoon trough from fair-weather conditions, so the 72 h model behaves like a climatology conditioned on the present large-scale state rather than like an extrapolation of the local sea. This is consistent with Section 5.1, where climatology overtakes persistence at 48–72 h, and with the cyclone results: a storm that is not yet visible in these slow variables at the origin cannot be forecast three days ahead from local inputs. The 24 h pressure tendency is the main short-lived signal that survives at 72 h, which supports the inclusion of pressure features.</w:t>
      </w:r>
    </w:p>
    <w:p>
      <w:pPr>
        <w:pStyle w:val="Single"/>
        <w:keepNext/>
        <w:spacing w:before="120" w:after="40"/>
        <w:jc w:val="center"/>
      </w:pPr>
      <w:r>
        <w:drawing>
          <wp:inline xmlns:a="http://schemas.openxmlformats.org/drawingml/2006/main" xmlns:pic="http://schemas.openxmlformats.org/drawingml/2006/picture">
            <wp:extent cx="5120640" cy="3198398"/>
            <wp:docPr id="28" name="Picture 28"/>
            <wp:cNvGraphicFramePr>
              <a:graphicFrameLocks noChangeAspect="1"/>
            </wp:cNvGraphicFramePr>
            <a:graphic>
              <a:graphicData uri="http://schemas.openxmlformats.org/drawingml/2006/picture">
                <pic:pic>
                  <pic:nvPicPr>
                    <pic:cNvPr id="0" name="fig_importance.png"/>
                    <pic:cNvPicPr/>
                  </pic:nvPicPr>
                  <pic:blipFill>
                    <a:blip r:embed="rId35"/>
                    <a:stretch>
                      <a:fillRect/>
                    </a:stretch>
                  </pic:blipFill>
                  <pic:spPr>
                    <a:xfrm>
                      <a:off x="0" y="0"/>
                      <a:ext cx="5120640" cy="3198398"/>
                    </a:xfrm>
                    <a:prstGeom prst="rect"/>
                  </pic:spPr>
                </pic:pic>
              </a:graphicData>
            </a:graphic>
          </wp:inline>
        </w:drawing>
      </w:r>
    </w:p>
    <w:p>
      <w:pPr>
        <w:pStyle w:val="FigureCaption"/>
      </w:pPr>
      <w:r>
        <w:rPr>
          <w:b/>
        </w:rPr>
        <w:t xml:space="preserve">Figure 5.9: </w:t>
      </w:r>
      <w:r>
        <w:rPr>
          <w:rFonts w:ascii="Times New Roman" w:hAnsi="Times New Roman"/>
        </w:rPr>
        <w:t>CatBoost feature importance at 6 h and 72 h (top 15 features, mean over the sites)</w:t>
      </w:r>
    </w:p>
    <w:p>
      <w:pPr>
        <w:pStyle w:val="Heading2"/>
      </w:pPr>
      <w:bookmarkStart w:id="136" w:name="_Toc136"/>
      <w:r>
        <w:rPr>
          <w:rFonts w:ascii="Times New Roman" w:hAnsi="Times New Roman"/>
        </w:rPr>
        <w:t>5.7</w:t>
        <w:tab/>
        <w:t>Trees versus the Seq2Seq LSTM</w:t>
      </w:r>
      <w:bookmarkEnd w:id="136"/>
    </w:p>
    <w:p>
      <w:r>
        <w:rPr>
          <w:rFonts w:ascii="Times New Roman" w:hAnsi="Times New Roman"/>
        </w:rPr>
        <w:t>The gradient-boosted trees and the LSTM reach broadly similar accuracy, with the ranking depending on the lead time and the site. Three factors favour the trees in this setting. First, the trees see 78 engineered predictors, including wind stress, pressure tendency and direction encodings, whereas the LSTM was given the five core variables of the thesis objective; the feature engineering therefore does part of the work that the network has to learn. Second, the training set (about 43,000 hourly origins, strongly autocorrelated) is modest for a recurrent network: the early-stopping loss was lowest after only 2 epochs at every site, after which the network began to over-fit (Figure 5.10), so the recurrent layers were only lightly trained. Third, the LSTM was trained with fixed hyperparameters, whereas the trees were tuned (Section 5.8 reports a first sensitivity check). Even so, the MSE-trained LSTM is the most accurate model at 48 h and 72 h at BD11, and statistically equivalent to the best tree model at 72 h at every site. The LSTM, on the other hand, produces all five horizons from one jointly trained network, which keeps the forecast trajectory consistent across lead times, and it is the only architecture in which the peak-weighted loss could be applied directly.</w:t>
      </w:r>
    </w:p>
    <w:p>
      <w:pPr>
        <w:pStyle w:val="Single"/>
        <w:keepNext/>
        <w:spacing w:before="120" w:after="40"/>
        <w:jc w:val="center"/>
      </w:pPr>
      <w:r>
        <w:drawing>
          <wp:inline xmlns:a="http://schemas.openxmlformats.org/drawingml/2006/main" xmlns:pic="http://schemas.openxmlformats.org/drawingml/2006/picture">
            <wp:extent cx="5486400" cy="2206428"/>
            <wp:docPr id="29" name="Picture 29"/>
            <wp:cNvGraphicFramePr>
              <a:graphicFrameLocks noChangeAspect="1"/>
            </wp:cNvGraphicFramePr>
            <a:graphic>
              <a:graphicData uri="http://schemas.openxmlformats.org/drawingml/2006/picture">
                <pic:pic>
                  <pic:nvPicPr>
                    <pic:cNvPr id="0" name="fig_lstm_history_BD08.png"/>
                    <pic:cNvPicPr/>
                  </pic:nvPicPr>
                  <pic:blipFill>
                    <a:blip r:embed="rId36"/>
                    <a:stretch>
                      <a:fillRect/>
                    </a:stretch>
                  </pic:blipFill>
                  <pic:spPr>
                    <a:xfrm>
                      <a:off x="0" y="0"/>
                      <a:ext cx="5486400" cy="2206428"/>
                    </a:xfrm>
                    <a:prstGeom prst="rect"/>
                  </pic:spPr>
                </pic:pic>
              </a:graphicData>
            </a:graphic>
          </wp:inline>
        </w:drawing>
      </w:r>
    </w:p>
    <w:p>
      <w:pPr>
        <w:pStyle w:val="FigureCaption"/>
      </w:pPr>
      <w:r>
        <w:rPr>
          <w:b/>
        </w:rPr>
        <w:t xml:space="preserve">Figure 5.10: </w:t>
      </w:r>
      <w:r>
        <w:rPr>
          <w:rFonts w:ascii="Times New Roman" w:hAnsi="Times New Roman"/>
        </w:rPr>
        <w:t>Training and early-stopping loss of the two LSTM variants at BD08</w:t>
      </w:r>
    </w:p>
    <w:p>
      <w:pPr>
        <w:pStyle w:val="Heading2"/>
      </w:pPr>
      <w:bookmarkStart w:id="137" w:name="_Toc137"/>
      <w:r>
        <w:rPr>
          <w:rFonts w:ascii="Times New Roman" w:hAnsi="Times New Roman"/>
        </w:rPr>
        <w:t>5.8</w:t>
        <w:tab/>
        <w:t>LSTM sensitivity</w:t>
      </w:r>
      <w:bookmarkEnd w:id="137"/>
    </w:p>
    <w:p>
      <w:pPr>
        <w:pStyle w:val="TableCaption"/>
      </w:pPr>
      <w:r>
        <w:rPr>
          <w:b/>
        </w:rPr>
        <w:t xml:space="preserve">Table 5.10: </w:t>
      </w:r>
      <w:r>
        <w:rPr>
          <w:rFonts w:ascii="Times New Roman" w:hAnsi="Times New Roman"/>
        </w:rPr>
        <w:t>LSTM (MSE) sensitivity at BD08: best early-stopping epoch and test RMSE (m)</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3311"/>
        <w:gridCol w:w="864"/>
        <w:gridCol w:w="892"/>
        <w:gridCol w:w="892"/>
        <w:gridCol w:w="892"/>
        <w:gridCol w:w="892"/>
        <w:gridCol w:w="892"/>
      </w:tblGrid>
      <w:tr>
        <w:trPr>
          <w:cantSplit w:val="true"/>
          <w:tblHeader w:val="true"/>
        </w:trPr>
        <w:tc>
          <w:tcPr>
            <w:tcW w:type="dxa" w:w="3312"/>
            <w:tcBorders>
              <w:bottom w:val="single" w:sz="6" w:color="000000"/>
            </w:tcBorders>
            <w:vAlign w:val="center"/>
          </w:tcPr>
          <w:p>
            <w:pPr>
              <w:pStyle w:val="TableText"/>
            </w:pPr>
            <w:r>
              <w:rPr>
                <w:rFonts w:ascii="Times New Roman" w:hAnsi="Times New Roman"/>
                <w:b/>
              </w:rPr>
              <w:t>Configuration</w:t>
            </w:r>
          </w:p>
        </w:tc>
        <w:tc>
          <w:tcPr>
            <w:tcW w:type="dxa" w:w="864"/>
            <w:tcBorders>
              <w:bottom w:val="single" w:sz="6" w:color="000000"/>
            </w:tcBorders>
            <w:vAlign w:val="center"/>
          </w:tcPr>
          <w:p>
            <w:pPr>
              <w:pStyle w:val="TableText"/>
              <w:jc w:val="center"/>
            </w:pPr>
            <w:r>
              <w:rPr>
                <w:rFonts w:ascii="Times New Roman" w:hAnsi="Times New Roman"/>
                <w:b/>
              </w:rPr>
              <w:t>Best epoch</w:t>
            </w:r>
          </w:p>
        </w:tc>
        <w:tc>
          <w:tcPr>
            <w:tcW w:type="dxa" w:w="893"/>
            <w:tcBorders>
              <w:bottom w:val="single" w:sz="6" w:color="000000"/>
            </w:tcBorders>
            <w:vAlign w:val="center"/>
          </w:tcPr>
          <w:p>
            <w:pPr>
              <w:pStyle w:val="TableText"/>
              <w:jc w:val="center"/>
            </w:pPr>
            <w:r>
              <w:rPr>
                <w:rFonts w:ascii="Times New Roman" w:hAnsi="Times New Roman"/>
                <w:b/>
              </w:rPr>
              <w:t>6 h</w:t>
            </w:r>
          </w:p>
        </w:tc>
        <w:tc>
          <w:tcPr>
            <w:tcW w:type="dxa" w:w="893"/>
            <w:tcBorders>
              <w:bottom w:val="single" w:sz="6" w:color="000000"/>
            </w:tcBorders>
            <w:vAlign w:val="center"/>
          </w:tcPr>
          <w:p>
            <w:pPr>
              <w:pStyle w:val="TableText"/>
              <w:jc w:val="center"/>
            </w:pPr>
            <w:r>
              <w:rPr>
                <w:rFonts w:ascii="Times New Roman" w:hAnsi="Times New Roman"/>
                <w:b/>
              </w:rPr>
              <w:t>12 h</w:t>
            </w:r>
          </w:p>
        </w:tc>
        <w:tc>
          <w:tcPr>
            <w:tcW w:type="dxa" w:w="893"/>
            <w:tcBorders>
              <w:bottom w:val="single" w:sz="6" w:color="000000"/>
            </w:tcBorders>
            <w:vAlign w:val="center"/>
          </w:tcPr>
          <w:p>
            <w:pPr>
              <w:pStyle w:val="TableText"/>
              <w:jc w:val="center"/>
            </w:pPr>
            <w:r>
              <w:rPr>
                <w:rFonts w:ascii="Times New Roman" w:hAnsi="Times New Roman"/>
                <w:b/>
              </w:rPr>
              <w:t>24 h</w:t>
            </w:r>
          </w:p>
        </w:tc>
        <w:tc>
          <w:tcPr>
            <w:tcW w:type="dxa" w:w="893"/>
            <w:tcBorders>
              <w:bottom w:val="single" w:sz="6" w:color="000000"/>
            </w:tcBorders>
            <w:vAlign w:val="center"/>
          </w:tcPr>
          <w:p>
            <w:pPr>
              <w:pStyle w:val="TableText"/>
              <w:jc w:val="center"/>
            </w:pPr>
            <w:r>
              <w:rPr>
                <w:rFonts w:ascii="Times New Roman" w:hAnsi="Times New Roman"/>
                <w:b/>
              </w:rPr>
              <w:t>48 h</w:t>
            </w:r>
          </w:p>
        </w:tc>
        <w:tc>
          <w:tcPr>
            <w:tcW w:type="dxa" w:w="893"/>
            <w:tcBorders>
              <w:bottom w:val="single" w:sz="6" w:color="000000"/>
            </w:tcBorders>
            <w:vAlign w:val="center"/>
          </w:tcPr>
          <w:p>
            <w:pPr>
              <w:pStyle w:val="TableText"/>
              <w:jc w:val="center"/>
            </w:pPr>
            <w:r>
              <w:rPr>
                <w:rFonts w:ascii="Times New Roman" w:hAnsi="Times New Roman"/>
                <w:b/>
              </w:rPr>
              <w:t>72 h</w:t>
            </w:r>
          </w:p>
        </w:tc>
      </w:tr>
      <w:tr>
        <w:trPr>
          <w:cantSplit w:val="true"/>
        </w:trPr>
        <w:tc>
          <w:tcPr>
            <w:tcW w:type="dxa" w:w="3312"/>
            <w:vAlign w:val="center"/>
          </w:tcPr>
          <w:p>
            <w:pPr>
              <w:pStyle w:val="TableText"/>
            </w:pPr>
            <w:r>
              <w:rPr>
                <w:rFonts w:ascii="Times New Roman" w:hAnsi="Times New Roman"/>
              </w:rPr>
              <w:t>Baseline (core inputs, lr 10</w:t>
            </w:r>
            <w:r>
              <w:rPr>
                <w:rFonts w:ascii="Times New Roman" w:hAnsi="Times New Roman"/>
                <w:vertAlign w:val="superscript"/>
              </w:rPr>
              <w:t>−3</w:t>
            </w:r>
            <w:r>
              <w:rPr>
                <w:rFonts w:ascii="Times New Roman" w:hAnsi="Times New Roman"/>
              </w:rPr>
              <w:t>, dropout 0.1)</w:t>
            </w:r>
          </w:p>
        </w:tc>
        <w:tc>
          <w:tcPr>
            <w:tcW w:type="dxa" w:w="864"/>
            <w:vAlign w:val="center"/>
          </w:tcPr>
          <w:p>
            <w:pPr>
              <w:pStyle w:val="TableText"/>
              <w:jc w:val="center"/>
            </w:pPr>
            <w:r>
              <w:rPr>
                <w:rFonts w:ascii="Times New Roman" w:hAnsi="Times New Roman"/>
              </w:rPr>
              <w:t>2</w:t>
            </w:r>
          </w:p>
        </w:tc>
        <w:tc>
          <w:tcPr>
            <w:tcW w:type="dxa" w:w="893"/>
            <w:vAlign w:val="center"/>
          </w:tcPr>
          <w:p>
            <w:pPr>
              <w:pStyle w:val="TableText"/>
              <w:jc w:val="center"/>
            </w:pPr>
            <w:r>
              <w:rPr>
                <w:rFonts w:ascii="Times New Roman" w:hAnsi="Times New Roman"/>
              </w:rPr>
              <w:t>0.125</w:t>
            </w:r>
          </w:p>
        </w:tc>
        <w:tc>
          <w:tcPr>
            <w:tcW w:type="dxa" w:w="893"/>
            <w:vAlign w:val="center"/>
          </w:tcPr>
          <w:p>
            <w:pPr>
              <w:pStyle w:val="TableText"/>
              <w:jc w:val="center"/>
            </w:pPr>
            <w:r>
              <w:rPr>
                <w:rFonts w:ascii="Times New Roman" w:hAnsi="Times New Roman"/>
              </w:rPr>
              <w:t>0.194</w:t>
            </w:r>
          </w:p>
        </w:tc>
        <w:tc>
          <w:tcPr>
            <w:tcW w:type="dxa" w:w="893"/>
            <w:vAlign w:val="center"/>
          </w:tcPr>
          <w:p>
            <w:pPr>
              <w:pStyle w:val="TableText"/>
              <w:jc w:val="center"/>
            </w:pPr>
            <w:r>
              <w:rPr>
                <w:rFonts w:ascii="Times New Roman" w:hAnsi="Times New Roman"/>
              </w:rPr>
              <w:t>0.285</w:t>
            </w:r>
          </w:p>
        </w:tc>
        <w:tc>
          <w:tcPr>
            <w:tcW w:type="dxa" w:w="893"/>
            <w:vAlign w:val="center"/>
          </w:tcPr>
          <w:p>
            <w:pPr>
              <w:pStyle w:val="TableText"/>
              <w:jc w:val="center"/>
            </w:pPr>
            <w:r>
              <w:rPr>
                <w:rFonts w:ascii="Times New Roman" w:hAnsi="Times New Roman"/>
              </w:rPr>
              <w:t>0.403</w:t>
            </w:r>
          </w:p>
        </w:tc>
        <w:tc>
          <w:tcPr>
            <w:tcW w:type="dxa" w:w="893"/>
            <w:vAlign w:val="center"/>
          </w:tcPr>
          <w:p>
            <w:pPr>
              <w:pStyle w:val="TableText"/>
              <w:jc w:val="center"/>
            </w:pPr>
            <w:r>
              <w:rPr>
                <w:rFonts w:ascii="Times New Roman" w:hAnsi="Times New Roman"/>
              </w:rPr>
              <w:t>0.473</w:t>
            </w:r>
          </w:p>
        </w:tc>
      </w:tr>
      <w:tr>
        <w:trPr>
          <w:cantSplit w:val="true"/>
        </w:trPr>
        <w:tc>
          <w:tcPr>
            <w:tcW w:type="dxa" w:w="3312"/>
            <w:vAlign w:val="center"/>
          </w:tcPr>
          <w:p>
            <w:pPr>
              <w:pStyle w:val="TableText"/>
            </w:pPr>
            <w:r>
              <w:rPr>
                <w:rFonts w:ascii="Times New Roman" w:hAnsi="Times New Roman"/>
              </w:rPr>
              <w:t>Core inputs, lr 3×10</w:t>
            </w:r>
            <w:r>
              <w:rPr>
                <w:rFonts w:ascii="Times New Roman" w:hAnsi="Times New Roman"/>
                <w:vertAlign w:val="superscript"/>
              </w:rPr>
              <w:t>−4</w:t>
            </w:r>
            <w:r>
              <w:rPr>
                <w:rFonts w:ascii="Times New Roman" w:hAnsi="Times New Roman"/>
              </w:rPr>
              <w:t>, dropout 0.2</w:t>
            </w:r>
          </w:p>
        </w:tc>
        <w:tc>
          <w:tcPr>
            <w:tcW w:type="dxa" w:w="864"/>
            <w:vAlign w:val="center"/>
          </w:tcPr>
          <w:p>
            <w:pPr>
              <w:pStyle w:val="TableText"/>
              <w:jc w:val="center"/>
            </w:pPr>
            <w:r>
              <w:rPr>
                <w:rFonts w:ascii="Times New Roman" w:hAnsi="Times New Roman"/>
              </w:rPr>
              <w:t>4</w:t>
            </w:r>
          </w:p>
        </w:tc>
        <w:tc>
          <w:tcPr>
            <w:tcW w:type="dxa" w:w="893"/>
            <w:vAlign w:val="center"/>
          </w:tcPr>
          <w:p>
            <w:pPr>
              <w:pStyle w:val="TableText"/>
              <w:jc w:val="center"/>
            </w:pPr>
            <w:r>
              <w:rPr>
                <w:rFonts w:ascii="Times New Roman" w:hAnsi="Times New Roman"/>
              </w:rPr>
              <w:t>0.123</w:t>
            </w:r>
          </w:p>
        </w:tc>
        <w:tc>
          <w:tcPr>
            <w:tcW w:type="dxa" w:w="893"/>
            <w:vAlign w:val="center"/>
          </w:tcPr>
          <w:p>
            <w:pPr>
              <w:pStyle w:val="TableText"/>
              <w:jc w:val="center"/>
            </w:pPr>
            <w:r>
              <w:rPr>
                <w:rFonts w:ascii="Times New Roman" w:hAnsi="Times New Roman"/>
              </w:rPr>
              <w:t>0.189</w:t>
            </w:r>
          </w:p>
        </w:tc>
        <w:tc>
          <w:tcPr>
            <w:tcW w:type="dxa" w:w="893"/>
            <w:vAlign w:val="center"/>
          </w:tcPr>
          <w:p>
            <w:pPr>
              <w:pStyle w:val="TableText"/>
              <w:jc w:val="center"/>
            </w:pPr>
            <w:r>
              <w:rPr>
                <w:rFonts w:ascii="Times New Roman" w:hAnsi="Times New Roman"/>
              </w:rPr>
              <w:t>0.279</w:t>
            </w:r>
          </w:p>
        </w:tc>
        <w:tc>
          <w:tcPr>
            <w:tcW w:type="dxa" w:w="893"/>
            <w:vAlign w:val="center"/>
          </w:tcPr>
          <w:p>
            <w:pPr>
              <w:pStyle w:val="TableText"/>
              <w:jc w:val="center"/>
            </w:pPr>
            <w:r>
              <w:rPr>
                <w:rFonts w:ascii="Times New Roman" w:hAnsi="Times New Roman"/>
              </w:rPr>
              <w:t>0.409</w:t>
            </w:r>
          </w:p>
        </w:tc>
        <w:tc>
          <w:tcPr>
            <w:tcW w:type="dxa" w:w="893"/>
            <w:vAlign w:val="center"/>
          </w:tcPr>
          <w:p>
            <w:pPr>
              <w:pStyle w:val="TableText"/>
              <w:jc w:val="center"/>
            </w:pPr>
            <w:r>
              <w:rPr>
                <w:rFonts w:ascii="Times New Roman" w:hAnsi="Times New Roman"/>
              </w:rPr>
              <w:t>0.475</w:t>
            </w:r>
          </w:p>
        </w:tc>
      </w:tr>
      <w:tr>
        <w:trPr>
          <w:cantSplit w:val="true"/>
        </w:trPr>
        <w:tc>
          <w:tcPr>
            <w:tcW w:type="dxa" w:w="3312"/>
            <w:vAlign w:val="center"/>
          </w:tcPr>
          <w:p>
            <w:pPr>
              <w:pStyle w:val="TableText"/>
            </w:pPr>
            <w:r>
              <w:rPr>
                <w:rFonts w:ascii="Times New Roman" w:hAnsi="Times New Roman"/>
              </w:rPr>
              <w:t>Extended inputs (17), lr 3×10</w:t>
            </w:r>
            <w:r>
              <w:rPr>
                <w:rFonts w:ascii="Times New Roman" w:hAnsi="Times New Roman"/>
                <w:vertAlign w:val="superscript"/>
              </w:rPr>
              <w:t>−4</w:t>
            </w:r>
            <w:r>
              <w:rPr>
                <w:rFonts w:ascii="Times New Roman" w:hAnsi="Times New Roman"/>
              </w:rPr>
              <w:t>, dropout 0.2</w:t>
            </w:r>
          </w:p>
        </w:tc>
        <w:tc>
          <w:tcPr>
            <w:tcW w:type="dxa" w:w="864"/>
            <w:vAlign w:val="center"/>
          </w:tcPr>
          <w:p>
            <w:pPr>
              <w:pStyle w:val="TableText"/>
              <w:jc w:val="center"/>
            </w:pPr>
            <w:r>
              <w:rPr>
                <w:rFonts w:ascii="Times New Roman" w:hAnsi="Times New Roman"/>
              </w:rPr>
              <w:t>3</w:t>
            </w:r>
          </w:p>
        </w:tc>
        <w:tc>
          <w:tcPr>
            <w:tcW w:type="dxa" w:w="893"/>
            <w:vAlign w:val="center"/>
          </w:tcPr>
          <w:p>
            <w:pPr>
              <w:pStyle w:val="TableText"/>
              <w:jc w:val="center"/>
            </w:pPr>
            <w:r>
              <w:rPr>
                <w:rFonts w:ascii="Times New Roman" w:hAnsi="Times New Roman"/>
              </w:rPr>
              <w:t>0.120</w:t>
            </w:r>
          </w:p>
        </w:tc>
        <w:tc>
          <w:tcPr>
            <w:tcW w:type="dxa" w:w="893"/>
            <w:vAlign w:val="center"/>
          </w:tcPr>
          <w:p>
            <w:pPr>
              <w:pStyle w:val="TableText"/>
              <w:jc w:val="center"/>
            </w:pPr>
            <w:r>
              <w:rPr>
                <w:rFonts w:ascii="Times New Roman" w:hAnsi="Times New Roman"/>
              </w:rPr>
              <w:t>0.182</w:t>
            </w:r>
          </w:p>
        </w:tc>
        <w:tc>
          <w:tcPr>
            <w:tcW w:type="dxa" w:w="893"/>
            <w:vAlign w:val="center"/>
          </w:tcPr>
          <w:p>
            <w:pPr>
              <w:pStyle w:val="TableText"/>
              <w:jc w:val="center"/>
            </w:pPr>
            <w:r>
              <w:rPr>
                <w:rFonts w:ascii="Times New Roman" w:hAnsi="Times New Roman"/>
              </w:rPr>
              <w:t>0.273</w:t>
            </w:r>
          </w:p>
        </w:tc>
        <w:tc>
          <w:tcPr>
            <w:tcW w:type="dxa" w:w="893"/>
            <w:vAlign w:val="center"/>
          </w:tcPr>
          <w:p>
            <w:pPr>
              <w:pStyle w:val="TableText"/>
              <w:jc w:val="center"/>
            </w:pPr>
            <w:r>
              <w:rPr>
                <w:rFonts w:ascii="Times New Roman" w:hAnsi="Times New Roman"/>
              </w:rPr>
              <w:t>0.394</w:t>
            </w:r>
          </w:p>
        </w:tc>
        <w:tc>
          <w:tcPr>
            <w:tcW w:type="dxa" w:w="893"/>
            <w:vAlign w:val="center"/>
          </w:tcPr>
          <w:p>
            <w:pPr>
              <w:pStyle w:val="TableText"/>
              <w:jc w:val="center"/>
            </w:pPr>
            <w:r>
              <w:rPr>
                <w:rFonts w:ascii="Times New Roman" w:hAnsi="Times New Roman"/>
              </w:rPr>
              <w:t>0.458</w:t>
            </w:r>
          </w:p>
        </w:tc>
      </w:tr>
    </w:tbl>
    <w:p>
      <w:pPr>
        <w:pStyle w:val="Single"/>
        <w:spacing w:after="200" w:line="40" w:lineRule="exact"/>
      </w:pPr>
    </w:p>
    <w:p>
      <w:r>
        <w:rPr>
          <w:rFonts w:ascii="Times New Roman" w:hAnsi="Times New Roman"/>
        </w:rPr>
        <w:t>Because the LSTM stopped improving after very few epochs, the MSE variant was retrained at BD08 with a lower learning rate and stronger dropout, with the core inputs and with an extended input set of 17 variables (core plus wind stress, pressure tendencies and anomaly, SST, air–sea ΔT, wave direction and seasonal phase). Table 5.10 shows the result. With the core inputs, the slower training moves the best epoch later but leaves the test RMSE practically unchanged (−2% to +1%), so the LSTM results of this chapter are not an artefact of the training settings. The extended inputs improve the RMSE at every lead time (−6% to −2%), to 0.273 m at 24 h and 0.458 m at 72 h against 0.270 and 0.446 m for LightGBM: the engineered physical features help the network too, and narrow but do not close the gap to the tree models. A full hyperparameter search of the network, with the extended inputs, remains future work.</w:t>
      </w:r>
    </w:p>
    <w:p>
      <w:pPr>
        <w:pStyle w:val="Heading2"/>
      </w:pPr>
      <w:bookmarkStart w:id="138" w:name="_Toc138"/>
      <w:r>
        <w:rPr>
          <w:rFonts w:ascii="Times New Roman" w:hAnsi="Times New Roman"/>
        </w:rPr>
        <w:t>5.9</w:t>
        <w:tab/>
        <w:t>Limitations</w:t>
      </w:r>
      <w:bookmarkEnd w:id="138"/>
    </w:p>
    <w:p>
      <w:pPr>
        <w:pStyle w:val="ListBullet"/>
      </w:pPr>
      <w:r>
        <w:rPr>
          <w:rFonts w:ascii="Times New Roman" w:hAnsi="Times New Roman"/>
          <w:b/>
        </w:rPr>
        <w:t>Target.</w:t>
      </w:r>
      <w:r>
        <w:rPr>
          <w:rFonts w:ascii="Times New Roman" w:hAnsi="Times New Roman"/>
        </w:rPr>
        <w:t xml:space="preserve"> The models are verified against ERA5 H</w:t>
      </w:r>
      <w:r>
        <w:rPr>
          <w:rFonts w:ascii="Times New Roman" w:hAnsi="Times New Roman"/>
          <w:vertAlign w:val="subscript"/>
        </w:rPr>
        <w:t>s</w:t>
      </w:r>
      <w:r>
        <w:rPr>
          <w:rFonts w:ascii="Times New Roman" w:hAnsi="Times New Roman"/>
        </w:rPr>
        <w:t>, not against buoy measurements. ERA5 smooths cyclone peaks and is itself a model product, so the absolute errors against observations will be larger; the relative ranking of the forecasters and the effect of the loss are expected to carry over, but this must be confirmed with the OMNI data.</w:t>
      </w:r>
    </w:p>
    <w:p>
      <w:pPr>
        <w:pStyle w:val="ListBullet"/>
      </w:pPr>
      <w:r>
        <w:rPr>
          <w:rFonts w:ascii="Times New Roman" w:hAnsi="Times New Roman"/>
          <w:b/>
        </w:rPr>
        <w:t>Forcing.</w:t>
      </w:r>
      <w:r>
        <w:rPr>
          <w:rFonts w:ascii="Times New Roman" w:hAnsi="Times New Roman"/>
        </w:rPr>
        <w:t xml:space="preserve"> Only information up to the forecast origin is used. In operational practice NWP wind forecasts for t + h would be available and would raise the skill at 48–72 h, particularly in cyclones.</w:t>
      </w:r>
    </w:p>
    <w:p>
      <w:pPr>
        <w:pStyle w:val="ListBullet"/>
      </w:pPr>
      <w:r>
        <w:rPr>
          <w:rFonts w:ascii="Times New Roman" w:hAnsi="Times New Roman"/>
          <w:b/>
        </w:rPr>
        <w:t>Point models.</w:t>
      </w:r>
      <w:r>
        <w:rPr>
          <w:rFonts w:ascii="Times New Roman" w:hAnsi="Times New Roman"/>
        </w:rPr>
        <w:t xml:space="preserve"> Each site uses a 1.5° box around the buoy. Swell generated elsewhere in the bay is seen only through its local signature (period, direction), not at its source.</w:t>
      </w:r>
    </w:p>
    <w:p>
      <w:pPr>
        <w:pStyle w:val="ListBullet"/>
        <w:spacing w:after="200"/>
      </w:pPr>
      <w:r>
        <w:rPr>
          <w:rFonts w:ascii="Times New Roman" w:hAnsi="Times New Roman"/>
          <w:b/>
        </w:rPr>
        <w:t>Computing budget.</w:t>
      </w:r>
      <w:r>
        <w:rPr>
          <w:rFonts w:ascii="Times New Roman" w:hAnsi="Times New Roman"/>
        </w:rPr>
        <w:t xml:space="preserve"> Hyperparameter searches were limited to 15 minutes per study on a laptop CPU, and the LSTM was not tuned. Larger searches would probably narrow some of the differences between models.</w:t>
      </w:r>
    </w:p>
    <w:p>
      <w:pPr>
        <w:pStyle w:val="Heading1"/>
      </w:pPr>
      <w:bookmarkStart w:id="139" w:name="_Toc139"/>
      <w:r>
        <w:rPr>
          <w:b/>
          <w:color w:val="444444"/>
          <w:sz w:val="26"/>
        </w:rPr>
        <w:t>CHAPTER 6</w:t>
        <w:br/>
      </w:r>
      <w:r>
        <w:rPr>
          <w:rFonts w:ascii="Times New Roman" w:hAnsi="Times New Roman"/>
        </w:rPr>
        <w:t>Conclusions and Future Work</w:t>
      </w:r>
      <w:bookmarkEnd w:id="139"/>
    </w:p>
    <w:p>
      <w:pPr>
        <w:pStyle w:val="Heading2"/>
      </w:pPr>
      <w:bookmarkStart w:id="140" w:name="_Toc140"/>
      <w:r>
        <w:rPr>
          <w:rFonts w:ascii="Times New Roman" w:hAnsi="Times New Roman"/>
        </w:rPr>
        <w:t>6.1</w:t>
        <w:tab/>
        <w:t>Conclusions</w:t>
      </w:r>
      <w:bookmarkEnd w:id="140"/>
    </w:p>
    <w:p>
      <w:pPr>
        <w:tabs>
          <w:tab w:pos="576" w:val="left"/>
        </w:tabs>
        <w:spacing w:after="80"/>
        <w:ind w:left="576" w:hanging="432"/>
      </w:pPr>
      <w:r>
        <w:t>1.</w:t>
        <w:tab/>
      </w:r>
      <w:r>
        <w:rPr>
          <w:rFonts w:ascii="Times New Roman" w:hAnsi="Times New Roman"/>
        </w:rPr>
        <w:t>A leakage-free pipeline was built from ERA5 time series at three OMNI buoy positions: quality control, KD-tree alignment on the sphere, physically based features (wind stress with a saturating drag coefficient, pressure tendency and anomaly, air–sea temperature difference, sine/cosine directions) and a containment rule that keeps every sample's inputs and targets inside one chronological block. Automated tests verify each guardrail.</w:t>
      </w:r>
    </w:p>
    <w:p>
      <w:pPr>
        <w:tabs>
          <w:tab w:pos="576" w:val="left"/>
        </w:tabs>
        <w:spacing w:after="80"/>
        <w:ind w:left="576" w:hanging="432"/>
      </w:pPr>
      <w:r>
        <w:t>2.</w:t>
        <w:tab/>
      </w:r>
      <w:r>
        <w:rPr>
          <w:rFonts w:ascii="Times New Roman" w:hAnsi="Times New Roman"/>
        </w:rPr>
        <w:t>The tree models and the MSE-trained LSTM beat every baseline at every lead time on the unseen 2023–2024 test period. Averaged over the sites, the best of them reduced the persistence RMSE by 18% at 24 h and 23% at 72 h, and the ARIMA RMSE by 15% and 23%.</w:t>
      </w:r>
    </w:p>
    <w:p>
      <w:pPr>
        <w:tabs>
          <w:tab w:pos="576" w:val="left"/>
        </w:tabs>
        <w:spacing w:after="80"/>
        <w:ind w:left="576" w:hanging="432"/>
      </w:pPr>
      <w:r>
        <w:t>3.</w:t>
        <w:tab/>
      </w:r>
      <w:r>
        <w:rPr>
          <w:rFonts w:ascii="Times New Roman" w:hAnsi="Times New Roman"/>
        </w:rPr>
        <w:t>Direct multi-step gradient boosting and the Seq2Seq Bi-LSTM reached broadly similar accuracy; the most accurate model was LightGBM at 6 h, CatBoost at 24 h and LightGBM at 72 h. Feature importance shows a physically consistent shift: persistence and short-term tendency at 6 h; seasonal phase, SST, pressure and the 24 h pressure tendency at 72 h, where the model acts as a state-conditioned climatology.</w:t>
      </w:r>
    </w:p>
    <w:p>
      <w:pPr>
        <w:tabs>
          <w:tab w:pos="576" w:val="left"/>
        </w:tabs>
        <w:spacing w:after="80"/>
        <w:ind w:left="576" w:hanging="432"/>
      </w:pPr>
      <w:r>
        <w:t>4.</w:t>
        <w:tab/>
      </w:r>
      <w:r>
        <w:rPr>
          <w:rFonts w:ascii="Times New Roman" w:hAnsi="Times New Roman"/>
        </w:rPr>
        <w:t>The peak-weighted loss reduced the share of under-predicted extreme sea states at 24 h from 72% to 55% at the cost of 14% higher overall RMSE, a trade-off suited to warning applications.</w:t>
      </w:r>
    </w:p>
    <w:p>
      <w:pPr>
        <w:tabs>
          <w:tab w:pos="576" w:val="left"/>
        </w:tabs>
        <w:spacing w:after="200"/>
        <w:ind w:left="576" w:hanging="432"/>
      </w:pPr>
      <w:r>
        <w:t>5.</w:t>
        <w:tab/>
      </w:r>
      <w:r>
        <w:rPr>
          <w:rFonts w:ascii="Times New Roman" w:hAnsi="Times New Roman"/>
        </w:rPr>
        <w:t>Inside cyclone windows the errors roughly double and storms are under-predicted on average; three days ahead, the information available at the origin is not sufficient to forecast a cyclone peak at a point.</w:t>
      </w:r>
    </w:p>
    <w:p>
      <w:pPr>
        <w:pStyle w:val="Heading2"/>
      </w:pPr>
      <w:bookmarkStart w:id="141" w:name="_Toc141"/>
      <w:r>
        <w:rPr>
          <w:rFonts w:ascii="Times New Roman" w:hAnsi="Times New Roman"/>
        </w:rPr>
        <w:t>6.2</w:t>
        <w:tab/>
        <w:t>Future work</w:t>
      </w:r>
      <w:bookmarkEnd w:id="141"/>
    </w:p>
    <w:p>
      <w:pPr>
        <w:pStyle w:val="ListBullet"/>
      </w:pPr>
      <w:r>
        <w:rPr>
          <w:rFonts w:ascii="Times New Roman" w:hAnsi="Times New Roman"/>
          <w:b/>
        </w:rPr>
        <w:t>Buoy targets.</w:t>
      </w:r>
      <w:r>
        <w:rPr>
          <w:rFonts w:ascii="Times New Roman" w:hAnsi="Times New Roman"/>
        </w:rPr>
        <w:t xml:space="preserve"> Train on ERA5 and fine-tune on the OMNI observations, or use the buoy record directly as the target, to verify the models against measurements and to correct the smoothing of ERA5 cyclone peaks.</w:t>
      </w:r>
    </w:p>
    <w:p>
      <w:pPr>
        <w:pStyle w:val="ListBullet"/>
      </w:pPr>
      <w:r>
        <w:rPr>
          <w:rFonts w:ascii="Times New Roman" w:hAnsi="Times New Roman"/>
          <w:b/>
        </w:rPr>
        <w:t>Forecast forcing.</w:t>
      </w:r>
      <w:r>
        <w:rPr>
          <w:rFonts w:ascii="Times New Roman" w:hAnsi="Times New Roman"/>
        </w:rPr>
        <w:t xml:space="preserve"> Add NWP wind and pressure forecasts for t + h as decoder inputs of the Seq2Seq network; the architecture already separates known-future inputs from the history.</w:t>
      </w:r>
    </w:p>
    <w:p>
      <w:pPr>
        <w:pStyle w:val="ListBullet"/>
      </w:pPr>
      <w:r>
        <w:rPr>
          <w:rFonts w:ascii="Times New Roman" w:hAnsi="Times New Roman"/>
          <w:b/>
        </w:rPr>
        <w:t>Spatial context.</w:t>
      </w:r>
      <w:r>
        <w:rPr>
          <w:rFonts w:ascii="Times New Roman" w:hAnsi="Times New Roman"/>
        </w:rPr>
        <w:t xml:space="preserve"> Replace the point inputs by fields around the site (ConvLSTM or graph networks), so that approaching cyclones and remote swell are seen at their source.</w:t>
      </w:r>
    </w:p>
    <w:p>
      <w:pPr>
        <w:pStyle w:val="ListBullet"/>
      </w:pPr>
      <w:r>
        <w:rPr>
          <w:rFonts w:ascii="Times New Roman" w:hAnsi="Times New Roman"/>
          <w:b/>
        </w:rPr>
        <w:t>Probabilistic output.</w:t>
      </w:r>
      <w:r>
        <w:rPr>
          <w:rFonts w:ascii="Times New Roman" w:hAnsi="Times New Roman"/>
        </w:rPr>
        <w:t xml:space="preserve"> Quantile or distributional losses would give calibrated uncertainty bands, which are more useful for go/no-go decisions in marine operations than a single value.</w:t>
      </w:r>
    </w:p>
    <w:p>
      <w:pPr>
        <w:pStyle w:val="ListBullet"/>
        <w:spacing w:after="200"/>
      </w:pPr>
      <w:r>
        <w:rPr>
          <w:rFonts w:ascii="Times New Roman" w:hAnsi="Times New Roman"/>
          <w:b/>
        </w:rPr>
        <w:t>Larger searches and ensembles.</w:t>
      </w:r>
      <w:r>
        <w:rPr>
          <w:rFonts w:ascii="Times New Roman" w:hAnsi="Times New Roman"/>
        </w:rPr>
        <w:t xml:space="preserve"> Longer hyperparameter searches, LSTM tuning and an ensemble of the tree and LSTM forecasts are inexpensive next steps on a GPU.</w:t>
      </w:r>
    </w:p>
    <w:p>
      <w:pPr>
        <w:pStyle w:val="Heading1"/>
      </w:pPr>
      <w:r>
        <w:t>REFERENCES</w:t>
      </w:r>
    </w:p>
    <w:p>
      <w:pPr>
        <w:pStyle w:val="Reference"/>
        <w:tabs>
          <w:tab w:pos="648" w:val="left"/>
        </w:tabs>
      </w:pPr>
      <w:r>
        <w:t>[1]</w:t>
        <w:tab/>
      </w:r>
      <w:r>
        <w:rPr>
          <w:rFonts w:ascii="Times New Roman" w:hAnsi="Times New Roman"/>
        </w:rPr>
        <w:t xml:space="preserve">India Meteorological Department, </w:t>
      </w:r>
      <w:r>
        <w:rPr>
          <w:rFonts w:ascii="Times New Roman" w:hAnsi="Times New Roman"/>
          <w:i/>
        </w:rPr>
        <w:t>Reports on Cyclonic Disturbances over the North Indian Ocean</w:t>
      </w:r>
      <w:r>
        <w:rPr>
          <w:rFonts w:ascii="Times New Roman" w:hAnsi="Times New Roman"/>
        </w:rPr>
        <w:t>, RSMC – Tropical Cyclones, New Delhi, India, annual reports 2015–2024.</w:t>
      </w:r>
    </w:p>
    <w:p>
      <w:pPr>
        <w:pStyle w:val="Reference"/>
        <w:tabs>
          <w:tab w:pos="648" w:val="left"/>
        </w:tabs>
      </w:pPr>
      <w:r>
        <w:t>[2]</w:t>
        <w:tab/>
      </w:r>
      <w:r>
        <w:rPr>
          <w:rFonts w:ascii="Times New Roman" w:hAnsi="Times New Roman"/>
        </w:rPr>
        <w:t xml:space="preserve">L. H. Holthuijsen, </w:t>
      </w:r>
      <w:r>
        <w:rPr>
          <w:rFonts w:ascii="Times New Roman" w:hAnsi="Times New Roman"/>
          <w:i/>
        </w:rPr>
        <w:t>Waves in Oceanic and Coastal Waters</w:t>
      </w:r>
      <w:r>
        <w:rPr>
          <w:rFonts w:ascii="Times New Roman" w:hAnsi="Times New Roman"/>
        </w:rPr>
        <w:t>. Cambridge, U.K.: Cambridge University Press, 2007.</w:t>
      </w:r>
    </w:p>
    <w:p>
      <w:pPr>
        <w:pStyle w:val="Reference"/>
        <w:tabs>
          <w:tab w:pos="648" w:val="left"/>
        </w:tabs>
      </w:pPr>
      <w:r>
        <w:t>[3]</w:t>
        <w:tab/>
      </w:r>
      <w:r>
        <w:rPr>
          <w:rFonts w:ascii="Times New Roman" w:hAnsi="Times New Roman"/>
        </w:rPr>
        <w:t xml:space="preserve">The WAMDI Group, “The WAM model—A third generation ocean wave prediction model,” </w:t>
      </w:r>
      <w:r>
        <w:rPr>
          <w:rFonts w:ascii="Times New Roman" w:hAnsi="Times New Roman"/>
          <w:i/>
        </w:rPr>
        <w:t>Journal of Physical Oceanography</w:t>
      </w:r>
      <w:r>
        <w:rPr>
          <w:rFonts w:ascii="Times New Roman" w:hAnsi="Times New Roman"/>
        </w:rPr>
        <w:t>, vol. 18, no. 12, pp. 1775–1810, 1988.</w:t>
      </w:r>
    </w:p>
    <w:p>
      <w:pPr>
        <w:pStyle w:val="Reference"/>
        <w:tabs>
          <w:tab w:pos="648" w:val="left"/>
        </w:tabs>
      </w:pPr>
      <w:r>
        <w:t>[4]</w:t>
        <w:tab/>
      </w:r>
      <w:r>
        <w:rPr>
          <w:rFonts w:ascii="Times New Roman" w:hAnsi="Times New Roman"/>
        </w:rPr>
        <w:t>The WAVEWATCH III Development Group, “User manual and system documentation of WAVEWATCH III version 6.07,” NOAA/NWS/NCEP/MMAB, College Park, MD, USA, Tech. Note 333, 2019.</w:t>
      </w:r>
    </w:p>
    <w:p>
      <w:pPr>
        <w:pStyle w:val="Reference"/>
        <w:tabs>
          <w:tab w:pos="648" w:val="left"/>
        </w:tabs>
      </w:pPr>
      <w:r>
        <w:t>[5]</w:t>
        <w:tab/>
      </w:r>
      <w:r>
        <w:rPr>
          <w:rFonts w:ascii="Times New Roman" w:hAnsi="Times New Roman"/>
        </w:rPr>
        <w:t xml:space="preserve">S. Ben Taieb, G. Bontempi, A. F. Atiya, and A. Sorjamaa, “A review and comparison of strategies for multi-step ahead time series forecasting based on the NN5 forecasting competition,” </w:t>
      </w:r>
      <w:r>
        <w:rPr>
          <w:rFonts w:ascii="Times New Roman" w:hAnsi="Times New Roman"/>
          <w:i/>
        </w:rPr>
        <w:t>Expert Systems with Applications</w:t>
      </w:r>
      <w:r>
        <w:rPr>
          <w:rFonts w:ascii="Times New Roman" w:hAnsi="Times New Roman"/>
        </w:rPr>
        <w:t>, vol. 39, no. 8, pp. 7067–7083, 2012.</w:t>
      </w:r>
    </w:p>
    <w:p>
      <w:pPr>
        <w:pStyle w:val="Reference"/>
        <w:tabs>
          <w:tab w:pos="648" w:val="left"/>
        </w:tabs>
      </w:pPr>
      <w:r>
        <w:t>[6]</w:t>
        <w:tab/>
      </w:r>
      <w:r>
        <w:rPr>
          <w:rFonts w:ascii="Times New Roman" w:hAnsi="Times New Roman"/>
        </w:rPr>
        <w:t xml:space="preserve">H. Hersbach et al., “The ERA5 global reanalysis,” </w:t>
      </w:r>
      <w:r>
        <w:rPr>
          <w:rFonts w:ascii="Times New Roman" w:hAnsi="Times New Roman"/>
          <w:i/>
        </w:rPr>
        <w:t>Quarterly Journal of the Royal Meteorological Society</w:t>
      </w:r>
      <w:r>
        <w:rPr>
          <w:rFonts w:ascii="Times New Roman" w:hAnsi="Times New Roman"/>
        </w:rPr>
        <w:t>, vol. 146, no. 730, pp. 1999–2049, 2020, doi: 10.1002/qj.3803.</w:t>
      </w:r>
    </w:p>
    <w:p>
      <w:pPr>
        <w:pStyle w:val="Reference"/>
        <w:tabs>
          <w:tab w:pos="648" w:val="left"/>
        </w:tabs>
      </w:pPr>
      <w:r>
        <w:t>[7]</w:t>
        <w:tab/>
      </w:r>
      <w:r>
        <w:rPr>
          <w:rFonts w:ascii="Times New Roman" w:hAnsi="Times New Roman"/>
        </w:rPr>
        <w:t xml:space="preserve">M. C. Deo and C. S. Naidu, “Real time wave forecasting using neural networks,” </w:t>
      </w:r>
      <w:r>
        <w:rPr>
          <w:rFonts w:ascii="Times New Roman" w:hAnsi="Times New Roman"/>
          <w:i/>
        </w:rPr>
        <w:t>Ocean Engineering</w:t>
      </w:r>
      <w:r>
        <w:rPr>
          <w:rFonts w:ascii="Times New Roman" w:hAnsi="Times New Roman"/>
        </w:rPr>
        <w:t>, vol. 26, no. 3, pp. 191–203, 1998.</w:t>
      </w:r>
    </w:p>
    <w:p>
      <w:pPr>
        <w:pStyle w:val="Reference"/>
        <w:tabs>
          <w:tab w:pos="648" w:val="left"/>
        </w:tabs>
      </w:pPr>
      <w:r>
        <w:t>[8]</w:t>
        <w:tab/>
      </w:r>
      <w:r>
        <w:rPr>
          <w:rFonts w:ascii="Times New Roman" w:hAnsi="Times New Roman"/>
        </w:rPr>
        <w:t xml:space="preserve">M. C. Deo, A. Jha, A. S. Chaphekar, and K. Ravikant, “Neural networks for wave forecasting,” </w:t>
      </w:r>
      <w:r>
        <w:rPr>
          <w:rFonts w:ascii="Times New Roman" w:hAnsi="Times New Roman"/>
          <w:i/>
        </w:rPr>
        <w:t>Ocean Engineering</w:t>
      </w:r>
      <w:r>
        <w:rPr>
          <w:rFonts w:ascii="Times New Roman" w:hAnsi="Times New Roman"/>
        </w:rPr>
        <w:t>, vol. 28, no. 7, pp. 889–898, 2001.</w:t>
      </w:r>
    </w:p>
    <w:p>
      <w:pPr>
        <w:pStyle w:val="Reference"/>
        <w:tabs>
          <w:tab w:pos="648" w:val="left"/>
        </w:tabs>
      </w:pPr>
      <w:r>
        <w:t>[9]</w:t>
        <w:tab/>
      </w:r>
      <w:r>
        <w:rPr>
          <w:rFonts w:ascii="Times New Roman" w:hAnsi="Times New Roman"/>
        </w:rPr>
        <w:t xml:space="preserve">S. N. Londhe and V. Panchang, “One-day wave forecasts based on artificial neural networks,” </w:t>
      </w:r>
      <w:r>
        <w:rPr>
          <w:rFonts w:ascii="Times New Roman" w:hAnsi="Times New Roman"/>
          <w:i/>
        </w:rPr>
        <w:t>Journal of Atmospheric and Oceanic Technology</w:t>
      </w:r>
      <w:r>
        <w:rPr>
          <w:rFonts w:ascii="Times New Roman" w:hAnsi="Times New Roman"/>
        </w:rPr>
        <w:t>, vol. 23, no. 11, pp. 1593–1603, 2006.</w:t>
      </w:r>
    </w:p>
    <w:p>
      <w:pPr>
        <w:pStyle w:val="Reference"/>
        <w:tabs>
          <w:tab w:pos="648" w:val="left"/>
        </w:tabs>
      </w:pPr>
      <w:r>
        <w:t>[10]</w:t>
        <w:tab/>
      </w:r>
      <w:r>
        <w:rPr>
          <w:rFonts w:ascii="Times New Roman" w:hAnsi="Times New Roman"/>
        </w:rPr>
        <w:t xml:space="preserve">S. Mandal and N. Prabaharan, “Ocean wave forecasting using recurrent neural networks,” </w:t>
      </w:r>
      <w:r>
        <w:rPr>
          <w:rFonts w:ascii="Times New Roman" w:hAnsi="Times New Roman"/>
          <w:i/>
        </w:rPr>
        <w:t>Ocean Engineering</w:t>
      </w:r>
      <w:r>
        <w:rPr>
          <w:rFonts w:ascii="Times New Roman" w:hAnsi="Times New Roman"/>
        </w:rPr>
        <w:t>, vol. 33, no. 10, pp. 1401–1410, 2006.</w:t>
      </w:r>
    </w:p>
    <w:p>
      <w:pPr>
        <w:pStyle w:val="Reference"/>
        <w:tabs>
          <w:tab w:pos="648" w:val="left"/>
        </w:tabs>
      </w:pPr>
      <w:r>
        <w:t>[11]</w:t>
        <w:tab/>
      </w:r>
      <w:r>
        <w:rPr>
          <w:rFonts w:ascii="Times New Roman" w:hAnsi="Times New Roman"/>
        </w:rPr>
        <w:t xml:space="preserve">S. Hochreiter and J. Schmidhuber, “Long short-term memory,” </w:t>
      </w:r>
      <w:r>
        <w:rPr>
          <w:rFonts w:ascii="Times New Roman" w:hAnsi="Times New Roman"/>
          <w:i/>
        </w:rPr>
        <w:t>Neural Computation</w:t>
      </w:r>
      <w:r>
        <w:rPr>
          <w:rFonts w:ascii="Times New Roman" w:hAnsi="Times New Roman"/>
        </w:rPr>
        <w:t>, vol. 9, no. 8, pp. 1735–1780, 1997.</w:t>
      </w:r>
    </w:p>
    <w:p>
      <w:pPr>
        <w:pStyle w:val="Reference"/>
        <w:tabs>
          <w:tab w:pos="648" w:val="left"/>
        </w:tabs>
      </w:pPr>
      <w:r>
        <w:t>[12]</w:t>
        <w:tab/>
      </w:r>
      <w:r>
        <w:rPr>
          <w:rFonts w:ascii="Times New Roman" w:hAnsi="Times New Roman"/>
        </w:rPr>
        <w:t xml:space="preserve">S. Fan, N. Xiao, and S. Dong, “A novel model to predict significant wave height based on long short-term memory network,” </w:t>
      </w:r>
      <w:r>
        <w:rPr>
          <w:rFonts w:ascii="Times New Roman" w:hAnsi="Times New Roman"/>
          <w:i/>
        </w:rPr>
        <w:t>Ocean Engineering</w:t>
      </w:r>
      <w:r>
        <w:rPr>
          <w:rFonts w:ascii="Times New Roman" w:hAnsi="Times New Roman"/>
        </w:rPr>
        <w:t>, vol. 205, Art. no. 107298, 2020.</w:t>
      </w:r>
    </w:p>
    <w:p>
      <w:pPr>
        <w:pStyle w:val="Reference"/>
        <w:tabs>
          <w:tab w:pos="648" w:val="left"/>
        </w:tabs>
      </w:pPr>
      <w:r>
        <w:t>[13]</w:t>
        <w:tab/>
      </w:r>
      <w:r>
        <w:rPr>
          <w:rFonts w:ascii="Times New Roman" w:hAnsi="Times New Roman"/>
        </w:rPr>
        <w:t xml:space="preserve">I. Sutskever, O. Vinyals, and Q. V. Le, “Sequence to sequence learning with neural networks,” in </w:t>
      </w:r>
      <w:r>
        <w:rPr>
          <w:rFonts w:ascii="Times New Roman" w:hAnsi="Times New Roman"/>
          <w:i/>
        </w:rPr>
        <w:t>Advances in Neural Information Processing Systems 27</w:t>
      </w:r>
      <w:r>
        <w:rPr>
          <w:rFonts w:ascii="Times New Roman" w:hAnsi="Times New Roman"/>
        </w:rPr>
        <w:t>, 2014, pp. 3104–3112.</w:t>
      </w:r>
    </w:p>
    <w:p>
      <w:pPr>
        <w:pStyle w:val="Reference"/>
        <w:tabs>
          <w:tab w:pos="648" w:val="left"/>
        </w:tabs>
      </w:pPr>
      <w:r>
        <w:t>[14]</w:t>
        <w:tab/>
      </w:r>
      <w:r>
        <w:rPr>
          <w:rFonts w:ascii="Times New Roman" w:hAnsi="Times New Roman"/>
        </w:rPr>
        <w:t xml:space="preserve">M. Schuster and K. K. Paliwal, “Bidirectional recurrent neural networks,” </w:t>
      </w:r>
      <w:r>
        <w:rPr>
          <w:rFonts w:ascii="Times New Roman" w:hAnsi="Times New Roman"/>
          <w:i/>
        </w:rPr>
        <w:t>IEEE Transactions on Signal Processing</w:t>
      </w:r>
      <w:r>
        <w:rPr>
          <w:rFonts w:ascii="Times New Roman" w:hAnsi="Times New Roman"/>
        </w:rPr>
        <w:t>, vol. 45, no. 11, pp. 2673–2681, 1997.</w:t>
      </w:r>
    </w:p>
    <w:p>
      <w:pPr>
        <w:pStyle w:val="Reference"/>
        <w:tabs>
          <w:tab w:pos="648" w:val="left"/>
        </w:tabs>
      </w:pPr>
      <w:r>
        <w:t>[15]</w:t>
        <w:tab/>
      </w:r>
      <w:r>
        <w:rPr>
          <w:rFonts w:ascii="Times New Roman" w:hAnsi="Times New Roman"/>
        </w:rPr>
        <w:t xml:space="preserve">D. Bahdanau, K. Cho, and Y. Bengio, “Neural machine translation by jointly learning to align and translate,” in </w:t>
      </w:r>
      <w:r>
        <w:rPr>
          <w:rFonts w:ascii="Times New Roman" w:hAnsi="Times New Roman"/>
          <w:i/>
        </w:rPr>
        <w:t>Proc. 3rd International Conference on Learning Representations (ICLR)</w:t>
      </w:r>
      <w:r>
        <w:rPr>
          <w:rFonts w:ascii="Times New Roman" w:hAnsi="Times New Roman"/>
        </w:rPr>
        <w:t>, San Diego, CA, USA, 2015.</w:t>
      </w:r>
    </w:p>
    <w:p>
      <w:pPr>
        <w:pStyle w:val="Reference"/>
        <w:tabs>
          <w:tab w:pos="648" w:val="left"/>
        </w:tabs>
      </w:pPr>
      <w:r>
        <w:t>[16]</w:t>
        <w:tab/>
      </w:r>
      <w:r>
        <w:rPr>
          <w:rFonts w:ascii="Times New Roman" w:hAnsi="Times New Roman"/>
        </w:rPr>
        <w:t xml:space="preserve">J. H. Friedman, “Greedy function approximation: A gradient boosting machine,” </w:t>
      </w:r>
      <w:r>
        <w:rPr>
          <w:rFonts w:ascii="Times New Roman" w:hAnsi="Times New Roman"/>
          <w:i/>
        </w:rPr>
        <w:t>Annals of Statistics</w:t>
      </w:r>
      <w:r>
        <w:rPr>
          <w:rFonts w:ascii="Times New Roman" w:hAnsi="Times New Roman"/>
        </w:rPr>
        <w:t>, vol. 29, no. 5, pp. 1189–1232, 2001.</w:t>
      </w:r>
    </w:p>
    <w:p>
      <w:pPr>
        <w:pStyle w:val="Reference"/>
        <w:tabs>
          <w:tab w:pos="648" w:val="left"/>
        </w:tabs>
      </w:pPr>
      <w:r>
        <w:t>[17]</w:t>
        <w:tab/>
      </w:r>
      <w:r>
        <w:rPr>
          <w:rFonts w:ascii="Times New Roman" w:hAnsi="Times New Roman"/>
        </w:rPr>
        <w:t xml:space="preserve">T. Chen and C. Guestrin, “XGBoost: A scalable tree boosting system,” in </w:t>
      </w:r>
      <w:r>
        <w:rPr>
          <w:rFonts w:ascii="Times New Roman" w:hAnsi="Times New Roman"/>
          <w:i/>
        </w:rPr>
        <w:t>Proc. 22nd ACM SIGKDD International Conference on Knowledge Discovery and Data Mining</w:t>
      </w:r>
      <w:r>
        <w:rPr>
          <w:rFonts w:ascii="Times New Roman" w:hAnsi="Times New Roman"/>
        </w:rPr>
        <w:t>, 2016, pp. 785–794.</w:t>
      </w:r>
    </w:p>
    <w:p>
      <w:pPr>
        <w:pStyle w:val="Reference"/>
        <w:tabs>
          <w:tab w:pos="648" w:val="left"/>
        </w:tabs>
      </w:pPr>
      <w:r>
        <w:t>[18]</w:t>
        <w:tab/>
      </w:r>
      <w:r>
        <w:rPr>
          <w:rFonts w:ascii="Times New Roman" w:hAnsi="Times New Roman"/>
        </w:rPr>
        <w:t xml:space="preserve">G. Ke et al., “LightGBM: A highly efficient gradient boosting decision tree,” in </w:t>
      </w:r>
      <w:r>
        <w:rPr>
          <w:rFonts w:ascii="Times New Roman" w:hAnsi="Times New Roman"/>
          <w:i/>
        </w:rPr>
        <w:t>Advances in Neural Information Processing Systems 30</w:t>
      </w:r>
      <w:r>
        <w:rPr>
          <w:rFonts w:ascii="Times New Roman" w:hAnsi="Times New Roman"/>
        </w:rPr>
        <w:t>, 2017, pp. 3146–3154.</w:t>
      </w:r>
    </w:p>
    <w:p>
      <w:pPr>
        <w:pStyle w:val="Reference"/>
        <w:tabs>
          <w:tab w:pos="648" w:val="left"/>
        </w:tabs>
      </w:pPr>
      <w:r>
        <w:t>[19]</w:t>
        <w:tab/>
      </w:r>
      <w:r>
        <w:rPr>
          <w:rFonts w:ascii="Times New Roman" w:hAnsi="Times New Roman"/>
        </w:rPr>
        <w:t xml:space="preserve">L. Prokhorenkova, G. Gusev, A. Vorobev, A. V. Dorogush, and A. Gulin, “CatBoost: Unbiased boosting with categorical features,” in </w:t>
      </w:r>
      <w:r>
        <w:rPr>
          <w:rFonts w:ascii="Times New Roman" w:hAnsi="Times New Roman"/>
          <w:i/>
        </w:rPr>
        <w:t>Advances in Neural Information Processing Systems 31</w:t>
      </w:r>
      <w:r>
        <w:rPr>
          <w:rFonts w:ascii="Times New Roman" w:hAnsi="Times New Roman"/>
        </w:rPr>
        <w:t>, 2018, pp. 6638–6648.</w:t>
      </w:r>
    </w:p>
    <w:p>
      <w:pPr>
        <w:pStyle w:val="Reference"/>
        <w:tabs>
          <w:tab w:pos="648" w:val="left"/>
        </w:tabs>
      </w:pPr>
      <w:r>
        <w:t>[20]</w:t>
        <w:tab/>
      </w:r>
      <w:r>
        <w:rPr>
          <w:rFonts w:ascii="Times New Roman" w:hAnsi="Times New Roman"/>
        </w:rPr>
        <w:t xml:space="preserve">L. Mentaschi, G. Besio, F. Cassola, and A. Mazzino, “Problems in RMSE-based wave model validations,” </w:t>
      </w:r>
      <w:r>
        <w:rPr>
          <w:rFonts w:ascii="Times New Roman" w:hAnsi="Times New Roman"/>
          <w:i/>
        </w:rPr>
        <w:t>Ocean Modelling</w:t>
      </w:r>
      <w:r>
        <w:rPr>
          <w:rFonts w:ascii="Times New Roman" w:hAnsi="Times New Roman"/>
        </w:rPr>
        <w:t>, vol. 72, pp. 53–58, 2013.</w:t>
      </w:r>
    </w:p>
    <w:p>
      <w:pPr>
        <w:pStyle w:val="Reference"/>
        <w:tabs>
          <w:tab w:pos="648" w:val="left"/>
        </w:tabs>
      </w:pPr>
      <w:r>
        <w:t>[21]</w:t>
        <w:tab/>
      </w:r>
      <w:r>
        <w:rPr>
          <w:rFonts w:ascii="Times New Roman" w:hAnsi="Times New Roman"/>
        </w:rPr>
        <w:t xml:space="preserve">F. X. Diebold and R. S. Mariano, “Comparing predictive accuracy,” </w:t>
      </w:r>
      <w:r>
        <w:rPr>
          <w:rFonts w:ascii="Times New Roman" w:hAnsi="Times New Roman"/>
          <w:i/>
        </w:rPr>
        <w:t>Journal of Business &amp; Economic Statistics</w:t>
      </w:r>
      <w:r>
        <w:rPr>
          <w:rFonts w:ascii="Times New Roman" w:hAnsi="Times New Roman"/>
        </w:rPr>
        <w:t>, vol. 13, no. 3, pp. 253–263, 1995.</w:t>
      </w:r>
    </w:p>
    <w:p>
      <w:pPr>
        <w:pStyle w:val="Reference"/>
        <w:tabs>
          <w:tab w:pos="648" w:val="left"/>
        </w:tabs>
      </w:pPr>
      <w:r>
        <w:t>[22]</w:t>
        <w:tab/>
      </w:r>
      <w:r>
        <w:rPr>
          <w:rFonts w:ascii="Times New Roman" w:hAnsi="Times New Roman"/>
        </w:rPr>
        <w:t xml:space="preserve">D. Harvey, S. Leybourne, and P. Newbold, “Testing the equality of prediction mean squared errors,” </w:t>
      </w:r>
      <w:r>
        <w:rPr>
          <w:rFonts w:ascii="Times New Roman" w:hAnsi="Times New Roman"/>
          <w:i/>
        </w:rPr>
        <w:t>International Journal of Forecasting</w:t>
      </w:r>
      <w:r>
        <w:rPr>
          <w:rFonts w:ascii="Times New Roman" w:hAnsi="Times New Roman"/>
        </w:rPr>
        <w:t>, vol. 13, no. 2, pp. 281–291, 1997.</w:t>
      </w:r>
    </w:p>
    <w:p>
      <w:pPr>
        <w:pStyle w:val="Reference"/>
        <w:tabs>
          <w:tab w:pos="648" w:val="left"/>
        </w:tabs>
      </w:pPr>
      <w:r>
        <w:t>[23]</w:t>
        <w:tab/>
      </w:r>
      <w:r>
        <w:rPr>
          <w:rFonts w:ascii="Times New Roman" w:hAnsi="Times New Roman"/>
        </w:rPr>
        <w:t>Indian National Centre for Ocean Information Services, “Moored buoy observations, Ocean Moored buoy Network for the northern Indian Ocean (OMNI),” Hyderabad, India. [Online]. Available: https://incois.gov.in</w:t>
      </w:r>
    </w:p>
    <w:p>
      <w:pPr>
        <w:pStyle w:val="Reference"/>
        <w:tabs>
          <w:tab w:pos="648" w:val="left"/>
        </w:tabs>
      </w:pPr>
      <w:r>
        <w:t>[24]</w:t>
        <w:tab/>
      </w:r>
      <w:r>
        <w:rPr>
          <w:rFonts w:ascii="Times New Roman" w:hAnsi="Times New Roman"/>
        </w:rPr>
        <w:t>Copernicus Climate Change Service, “ERA5 hourly time-series data on single levels from 1940 to present,” Climate Data Store, dataset, 2024. [Online]. Available: https://cds.climate.copernicus.eu/datasets/reanalysis-era5-single-levels-timeseries</w:t>
      </w:r>
    </w:p>
    <w:p>
      <w:pPr>
        <w:pStyle w:val="Reference"/>
        <w:tabs>
          <w:tab w:pos="648" w:val="left"/>
        </w:tabs>
      </w:pPr>
      <w:r>
        <w:t>[25]</w:t>
        <w:tab/>
      </w:r>
      <w:r>
        <w:rPr>
          <w:rFonts w:ascii="Times New Roman" w:hAnsi="Times New Roman"/>
        </w:rPr>
        <w:t xml:space="preserve">W. G. Large and S. Pond, “Open ocean momentum flux measurements in moderate to strong winds,” </w:t>
      </w:r>
      <w:r>
        <w:rPr>
          <w:rFonts w:ascii="Times New Roman" w:hAnsi="Times New Roman"/>
          <w:i/>
        </w:rPr>
        <w:t>Journal of Physical Oceanography</w:t>
      </w:r>
      <w:r>
        <w:rPr>
          <w:rFonts w:ascii="Times New Roman" w:hAnsi="Times New Roman"/>
        </w:rPr>
        <w:t>, vol. 11, no. 3, pp. 324–336, 1981.</w:t>
      </w:r>
    </w:p>
    <w:p>
      <w:pPr>
        <w:pStyle w:val="Reference"/>
        <w:tabs>
          <w:tab w:pos="648" w:val="left"/>
        </w:tabs>
      </w:pPr>
      <w:r>
        <w:t>[26]</w:t>
        <w:tab/>
      </w:r>
      <w:r>
        <w:rPr>
          <w:rFonts w:ascii="Times New Roman" w:hAnsi="Times New Roman"/>
        </w:rPr>
        <w:t xml:space="preserve">M. D. Powell, P. J. Vickery, and T. A. Reinhold, “Reduced drag coefficient for high wind speeds in tropical cyclones,” </w:t>
      </w:r>
      <w:r>
        <w:rPr>
          <w:rFonts w:ascii="Times New Roman" w:hAnsi="Times New Roman"/>
          <w:i/>
        </w:rPr>
        <w:t>Nature</w:t>
      </w:r>
      <w:r>
        <w:rPr>
          <w:rFonts w:ascii="Times New Roman" w:hAnsi="Times New Roman"/>
        </w:rPr>
        <w:t>, vol. 422, pp. 279–283, 2003.</w:t>
      </w:r>
    </w:p>
    <w:p>
      <w:pPr>
        <w:pStyle w:val="Reference"/>
        <w:tabs>
          <w:tab w:pos="648" w:val="left"/>
        </w:tabs>
      </w:pPr>
      <w:r>
        <w:t>[27]</w:t>
        <w:tab/>
      </w:r>
      <w:r>
        <w:rPr>
          <w:rFonts w:ascii="Times New Roman" w:hAnsi="Times New Roman"/>
        </w:rPr>
        <w:t xml:space="preserve">J. Wu, “Wind-stress coefficients over sea surface from breeze to hurricane,” </w:t>
      </w:r>
      <w:r>
        <w:rPr>
          <w:rFonts w:ascii="Times New Roman" w:hAnsi="Times New Roman"/>
          <w:i/>
        </w:rPr>
        <w:t>Journal of Geophysical Research</w:t>
      </w:r>
      <w:r>
        <w:rPr>
          <w:rFonts w:ascii="Times New Roman" w:hAnsi="Times New Roman"/>
        </w:rPr>
        <w:t>, vol. 87, no. C12, pp. 9704–9706, 1982.</w:t>
      </w:r>
    </w:p>
    <w:p>
      <w:pPr>
        <w:pStyle w:val="Reference"/>
        <w:tabs>
          <w:tab w:pos="648" w:val="left"/>
        </w:tabs>
      </w:pPr>
      <w:r>
        <w:t>[28]</w:t>
        <w:tab/>
      </w:r>
      <w:r>
        <w:rPr>
          <w:rFonts w:ascii="Times New Roman" w:hAnsi="Times New Roman"/>
        </w:rPr>
        <w:t xml:space="preserve">G. E. P. Box, G. M. Jenkins, G. C. Reinsel, and G. M. Ljung, </w:t>
      </w:r>
      <w:r>
        <w:rPr>
          <w:rFonts w:ascii="Times New Roman" w:hAnsi="Times New Roman"/>
          <w:i/>
        </w:rPr>
        <w:t>Time Series Analysis: Forecasting and Control</w:t>
      </w:r>
      <w:r>
        <w:rPr>
          <w:rFonts w:ascii="Times New Roman" w:hAnsi="Times New Roman"/>
        </w:rPr>
        <w:t>, 5th ed. Hoboken, NJ, USA: Wiley, 2015.</w:t>
      </w:r>
    </w:p>
    <w:p>
      <w:pPr>
        <w:pStyle w:val="Reference"/>
        <w:tabs>
          <w:tab w:pos="648" w:val="left"/>
        </w:tabs>
      </w:pPr>
      <w:r>
        <w:t>[29]</w:t>
        <w:tab/>
      </w:r>
      <w:r>
        <w:rPr>
          <w:rFonts w:ascii="Times New Roman" w:hAnsi="Times New Roman"/>
        </w:rPr>
        <w:t xml:space="preserve">S. Seabold and J. Perktold, “Statsmodels: Econometric and statistical modeling with Python,” in </w:t>
      </w:r>
      <w:r>
        <w:rPr>
          <w:rFonts w:ascii="Times New Roman" w:hAnsi="Times New Roman"/>
          <w:i/>
        </w:rPr>
        <w:t>Proc. 9th Python in Science Conference</w:t>
      </w:r>
      <w:r>
        <w:rPr>
          <w:rFonts w:ascii="Times New Roman" w:hAnsi="Times New Roman"/>
        </w:rPr>
        <w:t>, 2010, pp. 92–96.</w:t>
      </w:r>
    </w:p>
    <w:p>
      <w:pPr>
        <w:pStyle w:val="Reference"/>
        <w:tabs>
          <w:tab w:pos="648" w:val="left"/>
        </w:tabs>
      </w:pPr>
      <w:r>
        <w:t>[30]</w:t>
        <w:tab/>
      </w:r>
      <w:r>
        <w:rPr>
          <w:rFonts w:ascii="Times New Roman" w:hAnsi="Times New Roman"/>
        </w:rPr>
        <w:t xml:space="preserve">J. Durbin and S. J. Koopman, </w:t>
      </w:r>
      <w:r>
        <w:rPr>
          <w:rFonts w:ascii="Times New Roman" w:hAnsi="Times New Roman"/>
          <w:i/>
        </w:rPr>
        <w:t>Time Series Analysis by State Space Methods</w:t>
      </w:r>
      <w:r>
        <w:rPr>
          <w:rFonts w:ascii="Times New Roman" w:hAnsi="Times New Roman"/>
        </w:rPr>
        <w:t>, 2nd ed. Oxford, U.K.: Oxford University Press, 2012.</w:t>
      </w:r>
    </w:p>
    <w:p>
      <w:pPr>
        <w:pStyle w:val="Reference"/>
        <w:tabs>
          <w:tab w:pos="648" w:val="left"/>
        </w:tabs>
      </w:pPr>
      <w:r>
        <w:t>[31]</w:t>
        <w:tab/>
      </w:r>
      <w:r>
        <w:rPr>
          <w:rFonts w:ascii="Times New Roman" w:hAnsi="Times New Roman"/>
        </w:rPr>
        <w:t xml:space="preserve">J. Bergstra, R. Bardenet, Y. Bengio, and B. Kégl, “Algorithms for hyper-parameter optimization,” in </w:t>
      </w:r>
      <w:r>
        <w:rPr>
          <w:rFonts w:ascii="Times New Roman" w:hAnsi="Times New Roman"/>
          <w:i/>
        </w:rPr>
        <w:t>Advances in Neural Information Processing Systems 24</w:t>
      </w:r>
      <w:r>
        <w:rPr>
          <w:rFonts w:ascii="Times New Roman" w:hAnsi="Times New Roman"/>
        </w:rPr>
        <w:t>, 2011, pp. 2546–2554.</w:t>
      </w:r>
    </w:p>
    <w:p>
      <w:pPr>
        <w:pStyle w:val="Reference"/>
        <w:tabs>
          <w:tab w:pos="648" w:val="left"/>
        </w:tabs>
      </w:pPr>
      <w:r>
        <w:t>[32]</w:t>
        <w:tab/>
      </w:r>
      <w:r>
        <w:rPr>
          <w:rFonts w:ascii="Times New Roman" w:hAnsi="Times New Roman"/>
        </w:rPr>
        <w:t xml:space="preserve">T. Akiba, S. Sano, T. Yanase, T. Ohta, and M. Koyama, “Optuna: A next-generation hyperparameter optimization framework,” in </w:t>
      </w:r>
      <w:r>
        <w:rPr>
          <w:rFonts w:ascii="Times New Roman" w:hAnsi="Times New Roman"/>
          <w:i/>
        </w:rPr>
        <w:t>Proc. 25th ACM SIGKDD International Conference on Knowledge Discovery and Data Mining</w:t>
      </w:r>
      <w:r>
        <w:rPr>
          <w:rFonts w:ascii="Times New Roman" w:hAnsi="Times New Roman"/>
        </w:rPr>
        <w:t>, 2019, pp. 2623–2631.</w:t>
      </w:r>
    </w:p>
    <w:p>
      <w:pPr>
        <w:pStyle w:val="Reference"/>
        <w:tabs>
          <w:tab w:pos="648" w:val="left"/>
        </w:tabs>
      </w:pPr>
      <w:r>
        <w:t>[33]</w:t>
        <w:tab/>
      </w:r>
      <w:r>
        <w:rPr>
          <w:rFonts w:ascii="Times New Roman" w:hAnsi="Times New Roman"/>
        </w:rPr>
        <w:t xml:space="preserve">D. P. Kingma and J. Ba, “Adam: A method for stochastic optimization,” in </w:t>
      </w:r>
      <w:r>
        <w:rPr>
          <w:rFonts w:ascii="Times New Roman" w:hAnsi="Times New Roman"/>
          <w:i/>
        </w:rPr>
        <w:t>Proc. 3rd International Conference on Learning Representations (ICLR)</w:t>
      </w:r>
      <w:r>
        <w:rPr>
          <w:rFonts w:ascii="Times New Roman" w:hAnsi="Times New Roman"/>
        </w:rPr>
        <w:t>, San Diego, CA, USA, 2015.</w:t>
      </w:r>
    </w:p>
    <w:p>
      <w:pPr>
        <w:pStyle w:val="Reference"/>
        <w:tabs>
          <w:tab w:pos="648" w:val="left"/>
        </w:tabs>
      </w:pPr>
      <w:r>
        <w:t>[34]</w:t>
        <w:tab/>
      </w:r>
      <w:r>
        <w:rPr>
          <w:rFonts w:ascii="Times New Roman" w:hAnsi="Times New Roman"/>
        </w:rPr>
        <w:t xml:space="preserve">M. Abadi et al., “TensorFlow: A system for large-scale machine learning,” in </w:t>
      </w:r>
      <w:r>
        <w:rPr>
          <w:rFonts w:ascii="Times New Roman" w:hAnsi="Times New Roman"/>
          <w:i/>
        </w:rPr>
        <w:t>Proc. 12th USENIX Symposium on Operating Systems Design and Implementation</w:t>
      </w:r>
      <w:r>
        <w:rPr>
          <w:rFonts w:ascii="Times New Roman" w:hAnsi="Times New Roman"/>
        </w:rPr>
        <w:t>, 2016, pp. 265–283.</w:t>
      </w:r>
    </w:p>
    <w:p>
      <w:pPr>
        <w:pStyle w:val="Heading1"/>
      </w:pPr>
      <w:bookmarkStart w:id="142" w:name="_Toc142"/>
      <w:r>
        <w:rPr>
          <w:b/>
          <w:color w:val="444444"/>
          <w:sz w:val="26"/>
        </w:rPr>
        <w:t>APPENDIX A</w:t>
        <w:br/>
      </w:r>
      <w:r>
        <w:rPr>
          <w:rFonts w:ascii="Times New Roman" w:hAnsi="Times New Roman"/>
        </w:rPr>
        <w:t>Hyperparameter Search Spaces and Selected Values</w:t>
      </w:r>
      <w:bookmarkEnd w:id="142"/>
    </w:p>
    <w:p>
      <w:pPr>
        <w:pStyle w:val="TableCaption"/>
      </w:pPr>
      <w:r>
        <w:rPr>
          <w:b/>
        </w:rPr>
        <w:t xml:space="preserve">Table A.1: </w:t>
      </w:r>
      <w:r>
        <w:rPr>
          <w:rFonts w:ascii="Times New Roman" w:hAnsi="Times New Roman"/>
        </w:rPr>
        <w:t>Optuna search spaces (ranges sampled on a log scale are marked “log”)</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2592"/>
        <w:gridCol w:w="3024"/>
        <w:gridCol w:w="3024"/>
      </w:tblGrid>
      <w:tr>
        <w:trPr>
          <w:cantSplit w:val="true"/>
          <w:tblHeader w:val="true"/>
        </w:trPr>
        <w:tc>
          <w:tcPr>
            <w:tcW w:type="dxa" w:w="2592"/>
            <w:tcBorders>
              <w:bottom w:val="single" w:sz="6" w:color="000000"/>
            </w:tcBorders>
            <w:vAlign w:val="center"/>
          </w:tcPr>
          <w:p>
            <w:pPr>
              <w:pStyle w:val="TableText"/>
            </w:pPr>
            <w:r>
              <w:rPr>
                <w:rFonts w:ascii="Times New Roman" w:hAnsi="Times New Roman"/>
                <w:b/>
              </w:rPr>
              <w:t>Hyperparameter</w:t>
            </w:r>
          </w:p>
        </w:tc>
        <w:tc>
          <w:tcPr>
            <w:tcW w:type="dxa" w:w="3024"/>
            <w:tcBorders>
              <w:bottom w:val="single" w:sz="6" w:color="000000"/>
            </w:tcBorders>
            <w:vAlign w:val="center"/>
          </w:tcPr>
          <w:p>
            <w:pPr>
              <w:pStyle w:val="TableText"/>
            </w:pPr>
            <w:r>
              <w:rPr>
                <w:rFonts w:ascii="Times New Roman" w:hAnsi="Times New Roman"/>
                <w:b/>
              </w:rPr>
              <w:t>LightGBM</w:t>
            </w:r>
          </w:p>
        </w:tc>
        <w:tc>
          <w:tcPr>
            <w:tcW w:type="dxa" w:w="3024"/>
            <w:tcBorders>
              <w:bottom w:val="single" w:sz="6" w:color="000000"/>
            </w:tcBorders>
            <w:vAlign w:val="center"/>
          </w:tcPr>
          <w:p>
            <w:pPr>
              <w:pStyle w:val="TableText"/>
            </w:pPr>
            <w:r>
              <w:rPr>
                <w:rFonts w:ascii="Times New Roman" w:hAnsi="Times New Roman"/>
                <w:b/>
              </w:rPr>
              <w:t>CatBoost</w:t>
            </w:r>
          </w:p>
        </w:tc>
      </w:tr>
      <w:tr>
        <w:trPr>
          <w:cantSplit w:val="true"/>
        </w:trPr>
        <w:tc>
          <w:tcPr>
            <w:tcW w:type="dxa" w:w="2592"/>
            <w:vAlign w:val="center"/>
          </w:tcPr>
          <w:p>
            <w:pPr>
              <w:pStyle w:val="TableText"/>
            </w:pPr>
            <w:r>
              <w:rPr>
                <w:rFonts w:ascii="Times New Roman" w:hAnsi="Times New Roman"/>
              </w:rPr>
              <w:t>Learning rate</w:t>
            </w:r>
          </w:p>
        </w:tc>
        <w:tc>
          <w:tcPr>
            <w:tcW w:type="dxa" w:w="3024"/>
            <w:vAlign w:val="center"/>
          </w:tcPr>
          <w:p>
            <w:pPr>
              <w:pStyle w:val="TableText"/>
            </w:pPr>
            <w:r>
              <w:rPr>
                <w:rFonts w:ascii="Times New Roman" w:hAnsi="Times New Roman"/>
              </w:rPr>
              <w:t>0.01–0.2 (log)</w:t>
            </w:r>
          </w:p>
        </w:tc>
        <w:tc>
          <w:tcPr>
            <w:tcW w:type="dxa" w:w="3024"/>
            <w:vAlign w:val="center"/>
          </w:tcPr>
          <w:p>
            <w:pPr>
              <w:pStyle w:val="TableText"/>
            </w:pPr>
            <w:r>
              <w:rPr>
                <w:rFonts w:ascii="Times New Roman" w:hAnsi="Times New Roman"/>
              </w:rPr>
              <w:t>0.01–0.2 (log)</w:t>
            </w:r>
          </w:p>
        </w:tc>
      </w:tr>
      <w:tr>
        <w:trPr>
          <w:cantSplit w:val="true"/>
        </w:trPr>
        <w:tc>
          <w:tcPr>
            <w:tcW w:type="dxa" w:w="2592"/>
            <w:vAlign w:val="center"/>
          </w:tcPr>
          <w:p>
            <w:pPr>
              <w:pStyle w:val="TableText"/>
            </w:pPr>
            <w:r>
              <w:rPr>
                <w:rFonts w:ascii="Times New Roman" w:hAnsi="Times New Roman"/>
              </w:rPr>
              <w:t>Tree size</w:t>
            </w:r>
          </w:p>
        </w:tc>
        <w:tc>
          <w:tcPr>
            <w:tcW w:type="dxa" w:w="3024"/>
            <w:vAlign w:val="center"/>
          </w:tcPr>
          <w:p>
            <w:pPr>
              <w:pStyle w:val="TableText"/>
            </w:pPr>
            <w:r>
              <w:rPr>
                <w:rFonts w:ascii="Times New Roman" w:hAnsi="Times New Roman"/>
              </w:rPr>
              <w:t>leaves 15–255 (log)</w:t>
            </w:r>
          </w:p>
        </w:tc>
        <w:tc>
          <w:tcPr>
            <w:tcW w:type="dxa" w:w="3024"/>
            <w:vAlign w:val="center"/>
          </w:tcPr>
          <w:p>
            <w:pPr>
              <w:pStyle w:val="TableText"/>
            </w:pPr>
            <w:r>
              <w:rPr>
                <w:rFonts w:ascii="Times New Roman" w:hAnsi="Times New Roman"/>
              </w:rPr>
              <w:t>depth 4–10</w:t>
            </w:r>
          </w:p>
        </w:tc>
      </w:tr>
      <w:tr>
        <w:trPr>
          <w:cantSplit w:val="true"/>
        </w:trPr>
        <w:tc>
          <w:tcPr>
            <w:tcW w:type="dxa" w:w="2592"/>
            <w:vAlign w:val="center"/>
          </w:tcPr>
          <w:p>
            <w:pPr>
              <w:pStyle w:val="TableText"/>
            </w:pPr>
            <w:r>
              <w:rPr>
                <w:rFonts w:ascii="Times New Roman" w:hAnsi="Times New Roman"/>
              </w:rPr>
              <w:t>Minimum samples per leaf</w:t>
            </w:r>
          </w:p>
        </w:tc>
        <w:tc>
          <w:tcPr>
            <w:tcW w:type="dxa" w:w="3024"/>
            <w:vAlign w:val="center"/>
          </w:tcPr>
          <w:p>
            <w:pPr>
              <w:pStyle w:val="TableText"/>
            </w:pPr>
            <w:r>
              <w:rPr>
                <w:rFonts w:ascii="Times New Roman" w:hAnsi="Times New Roman"/>
              </w:rPr>
              <w:t>10–300 (log)</w:t>
            </w:r>
          </w:p>
        </w:tc>
        <w:tc>
          <w:tcPr>
            <w:tcW w:type="dxa" w:w="3024"/>
            <w:vAlign w:val="center"/>
          </w:tcPr>
          <w:p>
            <w:pPr>
              <w:pStyle w:val="TableText"/>
            </w:pPr>
            <w:r>
              <w:rPr>
                <w:rFonts w:ascii="Times New Roman" w:hAnsi="Times New Roman"/>
              </w:rPr>
              <w:t>1–200 (log)</w:t>
            </w:r>
          </w:p>
        </w:tc>
      </w:tr>
      <w:tr>
        <w:trPr>
          <w:cantSplit w:val="true"/>
        </w:trPr>
        <w:tc>
          <w:tcPr>
            <w:tcW w:type="dxa" w:w="2592"/>
            <w:vAlign w:val="center"/>
          </w:tcPr>
          <w:p>
            <w:pPr>
              <w:pStyle w:val="TableText"/>
            </w:pPr>
            <w:r>
              <w:rPr>
                <w:rFonts w:ascii="Times New Roman" w:hAnsi="Times New Roman"/>
              </w:rPr>
              <w:t>Row / column subsampling</w:t>
            </w:r>
          </w:p>
        </w:tc>
        <w:tc>
          <w:tcPr>
            <w:tcW w:type="dxa" w:w="3024"/>
            <w:vAlign w:val="center"/>
          </w:tcPr>
          <w:p>
            <w:pPr>
              <w:pStyle w:val="TableText"/>
            </w:pPr>
            <w:r>
              <w:rPr>
                <w:rFonts w:ascii="Times New Roman" w:hAnsi="Times New Roman"/>
              </w:rPr>
              <w:t>rows 0.5–1, columns 0.4–1</w:t>
            </w:r>
          </w:p>
        </w:tc>
        <w:tc>
          <w:tcPr>
            <w:tcW w:type="dxa" w:w="3024"/>
            <w:vAlign w:val="center"/>
          </w:tcPr>
          <w:p>
            <w:pPr>
              <w:pStyle w:val="TableText"/>
            </w:pPr>
            <w:r>
              <w:rPr>
                <w:rFonts w:ascii="Times New Roman" w:hAnsi="Times New Roman"/>
              </w:rPr>
              <w:t>rows 0.5–1 (Bernoulli)</w:t>
            </w:r>
          </w:p>
        </w:tc>
      </w:tr>
      <w:tr>
        <w:trPr>
          <w:cantSplit w:val="true"/>
        </w:trPr>
        <w:tc>
          <w:tcPr>
            <w:tcW w:type="dxa" w:w="2592"/>
            <w:vAlign w:val="center"/>
          </w:tcPr>
          <w:p>
            <w:pPr>
              <w:pStyle w:val="TableText"/>
            </w:pPr>
            <w:r>
              <w:rPr>
                <w:rFonts w:ascii="Times New Roman" w:hAnsi="Times New Roman"/>
              </w:rPr>
              <w:t>Regularisation</w:t>
            </w:r>
          </w:p>
        </w:tc>
        <w:tc>
          <w:tcPr>
            <w:tcW w:type="dxa" w:w="3024"/>
            <w:vAlign w:val="center"/>
          </w:tcPr>
          <w:p>
            <w:pPr>
              <w:pStyle w:val="TableText"/>
            </w:pPr>
            <w:r>
              <w:rPr>
                <w:rFonts w:ascii="Times New Roman" w:hAnsi="Times New Roman"/>
              </w:rPr>
              <w:t>L1 and L2: 10</w:t>
            </w:r>
            <w:r>
              <w:rPr>
                <w:rFonts w:ascii="Times New Roman" w:hAnsi="Times New Roman"/>
                <w:vertAlign w:val="superscript"/>
              </w:rPr>
              <w:t>−8</w:t>
            </w:r>
            <w:r>
              <w:rPr>
                <w:rFonts w:ascii="Times New Roman" w:hAnsi="Times New Roman"/>
              </w:rPr>
              <w:t>–10 (log)</w:t>
            </w:r>
          </w:p>
        </w:tc>
        <w:tc>
          <w:tcPr>
            <w:tcW w:type="dxa" w:w="3024"/>
            <w:vAlign w:val="center"/>
          </w:tcPr>
          <w:p>
            <w:pPr>
              <w:pStyle w:val="TableText"/>
            </w:pPr>
            <w:r>
              <w:rPr>
                <w:rFonts w:ascii="Times New Roman" w:hAnsi="Times New Roman"/>
              </w:rPr>
              <w:t>L2: 1–30 (log); random strength 0.1–10 (log)</w:t>
            </w:r>
          </w:p>
        </w:tc>
      </w:tr>
    </w:tbl>
    <w:p>
      <w:pPr>
        <w:pStyle w:val="Single"/>
        <w:spacing w:after="200" w:line="40" w:lineRule="exact"/>
      </w:pPr>
    </w:p>
    <w:p>
      <w:pPr>
        <w:pStyle w:val="TableCaption"/>
      </w:pPr>
      <w:r>
        <w:rPr>
          <w:b/>
        </w:rPr>
        <w:t xml:space="preserve">Table A.2: </w:t>
      </w:r>
      <w:r>
        <w:rPr>
          <w:rFonts w:ascii="Times New Roman" w:hAnsi="Times New Roman"/>
        </w:rPr>
        <w:t>Selected hyperparameters and boosting rounds per horizon (6, 12, 24, 48, 72 h)</w:t>
      </w:r>
    </w:p>
    <w:tbl>
      <w:tblPr>
        <w:tblW w:type="dxa" w:w="8640"/>
        <w:jc w:val="center"/>
        <w:tblLayout w:type="fixed"/>
        <w:tblCellMar>
          <w:top w:w="50" w:type="dxa"/>
          <w:left w:w="90" w:type="dxa"/>
          <w:bottom w:w="50" w:type="dxa"/>
          <w:right w:w="90" w:type="dxa"/>
        </w:tblCellMar>
        <w:tblLook w:firstColumn="1" w:firstRow="1" w:lastColumn="0" w:lastRow="0" w:noHBand="0" w:noVBand="1" w:val="04A0"/>
        <w:tblBorders>
          <w:top w:val="single" w:sz="12" w:color="000000"/>
          <w:left w:val="nil"/>
          <w:bottom w:val="single" w:sz="12" w:color="000000"/>
          <w:right w:val="nil"/>
          <w:insideH w:val="nil"/>
          <w:insideV w:val="nil"/>
        </w:tblBorders>
        <w:tblLayout w:type="fixed"/>
      </w:tblPr>
      <w:tblGrid>
        <w:gridCol w:w="864"/>
        <w:gridCol w:w="1224"/>
        <w:gridCol w:w="4608"/>
        <w:gridCol w:w="1944"/>
      </w:tblGrid>
      <w:tr>
        <w:trPr>
          <w:cantSplit w:val="true"/>
          <w:tblHeader w:val="true"/>
        </w:trPr>
        <w:tc>
          <w:tcPr>
            <w:tcW w:type="dxa" w:w="864"/>
            <w:tcBorders>
              <w:bottom w:val="single" w:sz="6" w:color="000000"/>
            </w:tcBorders>
            <w:vAlign w:val="center"/>
          </w:tcPr>
          <w:p>
            <w:pPr>
              <w:pStyle w:val="TableText"/>
            </w:pPr>
            <w:r>
              <w:rPr>
                <w:rFonts w:ascii="Times New Roman" w:hAnsi="Times New Roman"/>
                <w:b/>
              </w:rPr>
              <w:t>Buoy</w:t>
            </w:r>
          </w:p>
        </w:tc>
        <w:tc>
          <w:tcPr>
            <w:tcW w:type="dxa" w:w="1224"/>
            <w:tcBorders>
              <w:bottom w:val="single" w:sz="6" w:color="000000"/>
            </w:tcBorders>
            <w:vAlign w:val="center"/>
          </w:tcPr>
          <w:p>
            <w:pPr>
              <w:pStyle w:val="TableText"/>
            </w:pPr>
            <w:r>
              <w:rPr>
                <w:rFonts w:ascii="Times New Roman" w:hAnsi="Times New Roman"/>
                <w:b/>
              </w:rPr>
              <w:t>Model</w:t>
            </w:r>
          </w:p>
        </w:tc>
        <w:tc>
          <w:tcPr>
            <w:tcW w:type="dxa" w:w="4608"/>
            <w:tcBorders>
              <w:bottom w:val="single" w:sz="6" w:color="000000"/>
            </w:tcBorders>
            <w:vAlign w:val="center"/>
          </w:tcPr>
          <w:p>
            <w:pPr>
              <w:pStyle w:val="TableText"/>
            </w:pPr>
            <w:r>
              <w:rPr>
                <w:rFonts w:ascii="Times New Roman" w:hAnsi="Times New Roman"/>
                <w:b/>
              </w:rPr>
              <w:t>Selected parameters</w:t>
            </w:r>
          </w:p>
        </w:tc>
        <w:tc>
          <w:tcPr>
            <w:tcW w:type="dxa" w:w="1944"/>
            <w:tcBorders>
              <w:bottom w:val="single" w:sz="6" w:color="000000"/>
            </w:tcBorders>
            <w:vAlign w:val="center"/>
          </w:tcPr>
          <w:p>
            <w:pPr>
              <w:pStyle w:val="TableText"/>
            </w:pPr>
            <w:r>
              <w:rPr>
                <w:rFonts w:ascii="Times New Roman" w:hAnsi="Times New Roman"/>
                <w:b/>
              </w:rPr>
              <w:t>Boosting rounds</w:t>
            </w:r>
          </w:p>
        </w:tc>
      </w:tr>
      <w:tr>
        <w:trPr>
          <w:cantSplit w:val="true"/>
        </w:trPr>
        <w:tc>
          <w:tcPr>
            <w:tcW w:type="dxa" w:w="864"/>
            <w:vAlign w:val="center"/>
          </w:tcPr>
          <w:p>
            <w:pPr>
              <w:pStyle w:val="TableText"/>
            </w:pPr>
            <w:r>
              <w:rPr>
                <w:rFonts w:ascii="Times New Roman" w:hAnsi="Times New Roman"/>
              </w:rPr>
              <w:t>BD08</w:t>
            </w:r>
          </w:p>
        </w:tc>
        <w:tc>
          <w:tcPr>
            <w:tcW w:type="dxa" w:w="1224"/>
            <w:vAlign w:val="center"/>
          </w:tcPr>
          <w:p>
            <w:pPr>
              <w:pStyle w:val="TableText"/>
            </w:pPr>
            <w:r>
              <w:rPr>
                <w:rFonts w:ascii="Times New Roman" w:hAnsi="Times New Roman"/>
              </w:rPr>
              <w:t>LightGBM</w:t>
            </w:r>
          </w:p>
        </w:tc>
        <w:tc>
          <w:tcPr>
            <w:tcW w:type="dxa" w:w="4608"/>
            <w:vAlign w:val="center"/>
          </w:tcPr>
          <w:p>
            <w:pPr>
              <w:pStyle w:val="TableText"/>
            </w:pPr>
            <w:r>
              <w:rPr>
                <w:rFonts w:ascii="Times New Roman" w:hAnsi="Times New Roman"/>
              </w:rPr>
              <w:t>learning rate 0.059; leaves 17; min. leaf samples 77; row subsample 0.585</w:t>
            </w:r>
          </w:p>
        </w:tc>
        <w:tc>
          <w:tcPr>
            <w:tcW w:type="dxa" w:w="1944"/>
            <w:vAlign w:val="center"/>
          </w:tcPr>
          <w:p>
            <w:pPr>
              <w:pStyle w:val="TableText"/>
            </w:pPr>
            <w:r>
              <w:rPr>
                <w:rFonts w:ascii="Times New Roman" w:hAnsi="Times New Roman"/>
              </w:rPr>
              <w:t>234, 151, 158, 163, 448</w:t>
            </w:r>
          </w:p>
        </w:tc>
      </w:tr>
      <w:tr>
        <w:trPr>
          <w:cantSplit w:val="true"/>
        </w:trPr>
        <w:tc>
          <w:tcPr>
            <w:tcW w:type="dxa" w:w="864"/>
            <w:vAlign w:val="center"/>
          </w:tcPr>
          <w:p>
            <w:pPr>
              <w:pStyle w:val="TableText"/>
            </w:pPr>
            <w:r>
              <w:rPr>
                <w:rFonts w:ascii="Times New Roman" w:hAnsi="Times New Roman"/>
              </w:rPr>
              <w:t>BD08</w:t>
            </w:r>
          </w:p>
        </w:tc>
        <w:tc>
          <w:tcPr>
            <w:tcW w:type="dxa" w:w="1224"/>
            <w:vAlign w:val="center"/>
          </w:tcPr>
          <w:p>
            <w:pPr>
              <w:pStyle w:val="TableText"/>
            </w:pPr>
            <w:r>
              <w:rPr>
                <w:rFonts w:ascii="Times New Roman" w:hAnsi="Times New Roman"/>
              </w:rPr>
              <w:t>CatBoost</w:t>
            </w:r>
          </w:p>
        </w:tc>
        <w:tc>
          <w:tcPr>
            <w:tcW w:type="dxa" w:w="4608"/>
            <w:vAlign w:val="center"/>
          </w:tcPr>
          <w:p>
            <w:pPr>
              <w:pStyle w:val="TableText"/>
            </w:pPr>
            <w:r>
              <w:rPr>
                <w:rFonts w:ascii="Times New Roman" w:hAnsi="Times New Roman"/>
              </w:rPr>
              <w:t>learning rate 0.0249; depth 4; min. leaf samples 10; row subsample 0.561</w:t>
            </w:r>
          </w:p>
        </w:tc>
        <w:tc>
          <w:tcPr>
            <w:tcW w:type="dxa" w:w="1944"/>
            <w:vAlign w:val="center"/>
          </w:tcPr>
          <w:p>
            <w:pPr>
              <w:pStyle w:val="TableText"/>
            </w:pPr>
            <w:r>
              <w:rPr>
                <w:rFonts w:ascii="Times New Roman" w:hAnsi="Times New Roman"/>
              </w:rPr>
              <w:t>689, 751, 985, 768, 482</w:t>
            </w:r>
          </w:p>
        </w:tc>
      </w:tr>
      <w:tr>
        <w:trPr>
          <w:cantSplit w:val="true"/>
        </w:trPr>
        <w:tc>
          <w:tcPr>
            <w:tcW w:type="dxa" w:w="864"/>
            <w:vAlign w:val="center"/>
          </w:tcPr>
          <w:p>
            <w:pPr>
              <w:pStyle w:val="TableText"/>
            </w:pPr>
            <w:r>
              <w:rPr>
                <w:rFonts w:ascii="Times New Roman" w:hAnsi="Times New Roman"/>
              </w:rPr>
              <w:t>BD10</w:t>
            </w:r>
          </w:p>
        </w:tc>
        <w:tc>
          <w:tcPr>
            <w:tcW w:type="dxa" w:w="1224"/>
            <w:vAlign w:val="center"/>
          </w:tcPr>
          <w:p>
            <w:pPr>
              <w:pStyle w:val="TableText"/>
            </w:pPr>
            <w:r>
              <w:rPr>
                <w:rFonts w:ascii="Times New Roman" w:hAnsi="Times New Roman"/>
              </w:rPr>
              <w:t>LightGBM</w:t>
            </w:r>
          </w:p>
        </w:tc>
        <w:tc>
          <w:tcPr>
            <w:tcW w:type="dxa" w:w="4608"/>
            <w:vAlign w:val="center"/>
          </w:tcPr>
          <w:p>
            <w:pPr>
              <w:pStyle w:val="TableText"/>
            </w:pPr>
            <w:r>
              <w:rPr>
                <w:rFonts w:ascii="Times New Roman" w:hAnsi="Times New Roman"/>
              </w:rPr>
              <w:t>learning rate 0.0164; leaves 22; min. leaf samples 34; row subsample 0.591</w:t>
            </w:r>
          </w:p>
        </w:tc>
        <w:tc>
          <w:tcPr>
            <w:tcW w:type="dxa" w:w="1944"/>
            <w:vAlign w:val="center"/>
          </w:tcPr>
          <w:p>
            <w:pPr>
              <w:pStyle w:val="TableText"/>
            </w:pPr>
            <w:r>
              <w:rPr>
                <w:rFonts w:ascii="Times New Roman" w:hAnsi="Times New Roman"/>
              </w:rPr>
              <w:t>557, 568, 454, 301, 216</w:t>
            </w:r>
          </w:p>
        </w:tc>
      </w:tr>
      <w:tr>
        <w:trPr>
          <w:cantSplit w:val="true"/>
        </w:trPr>
        <w:tc>
          <w:tcPr>
            <w:tcW w:type="dxa" w:w="864"/>
            <w:vAlign w:val="center"/>
          </w:tcPr>
          <w:p>
            <w:pPr>
              <w:pStyle w:val="TableText"/>
            </w:pPr>
            <w:r>
              <w:rPr>
                <w:rFonts w:ascii="Times New Roman" w:hAnsi="Times New Roman"/>
              </w:rPr>
              <w:t>BD10</w:t>
            </w:r>
          </w:p>
        </w:tc>
        <w:tc>
          <w:tcPr>
            <w:tcW w:type="dxa" w:w="1224"/>
            <w:vAlign w:val="center"/>
          </w:tcPr>
          <w:p>
            <w:pPr>
              <w:pStyle w:val="TableText"/>
            </w:pPr>
            <w:r>
              <w:rPr>
                <w:rFonts w:ascii="Times New Roman" w:hAnsi="Times New Roman"/>
              </w:rPr>
              <w:t>CatBoost</w:t>
            </w:r>
          </w:p>
        </w:tc>
        <w:tc>
          <w:tcPr>
            <w:tcW w:type="dxa" w:w="4608"/>
            <w:vAlign w:val="center"/>
          </w:tcPr>
          <w:p>
            <w:pPr>
              <w:pStyle w:val="TableText"/>
            </w:pPr>
            <w:r>
              <w:rPr>
                <w:rFonts w:ascii="Times New Roman" w:hAnsi="Times New Roman"/>
              </w:rPr>
              <w:t>learning rate 0.0268; depth 4; min. leaf samples 11; row subsample 0.681</w:t>
            </w:r>
          </w:p>
        </w:tc>
        <w:tc>
          <w:tcPr>
            <w:tcW w:type="dxa" w:w="1944"/>
            <w:vAlign w:val="center"/>
          </w:tcPr>
          <w:p>
            <w:pPr>
              <w:pStyle w:val="TableText"/>
            </w:pPr>
            <w:r>
              <w:rPr>
                <w:rFonts w:ascii="Times New Roman" w:hAnsi="Times New Roman"/>
              </w:rPr>
              <w:t>800, 1097, 913, 545, 592</w:t>
            </w:r>
          </w:p>
        </w:tc>
      </w:tr>
      <w:tr>
        <w:trPr>
          <w:cantSplit w:val="true"/>
        </w:trPr>
        <w:tc>
          <w:tcPr>
            <w:tcW w:type="dxa" w:w="864"/>
            <w:vAlign w:val="center"/>
          </w:tcPr>
          <w:p>
            <w:pPr>
              <w:pStyle w:val="TableText"/>
            </w:pPr>
            <w:r>
              <w:rPr>
                <w:rFonts w:ascii="Times New Roman" w:hAnsi="Times New Roman"/>
              </w:rPr>
              <w:t>BD11</w:t>
            </w:r>
          </w:p>
        </w:tc>
        <w:tc>
          <w:tcPr>
            <w:tcW w:type="dxa" w:w="1224"/>
            <w:vAlign w:val="center"/>
          </w:tcPr>
          <w:p>
            <w:pPr>
              <w:pStyle w:val="TableText"/>
            </w:pPr>
            <w:r>
              <w:rPr>
                <w:rFonts w:ascii="Times New Roman" w:hAnsi="Times New Roman"/>
              </w:rPr>
              <w:t>LightGBM</w:t>
            </w:r>
          </w:p>
        </w:tc>
        <w:tc>
          <w:tcPr>
            <w:tcW w:type="dxa" w:w="4608"/>
            <w:vAlign w:val="center"/>
          </w:tcPr>
          <w:p>
            <w:pPr>
              <w:pStyle w:val="TableText"/>
            </w:pPr>
            <w:r>
              <w:rPr>
                <w:rFonts w:ascii="Times New Roman" w:hAnsi="Times New Roman"/>
              </w:rPr>
              <w:t>learning rate 0.0107; leaves 15; min. leaf samples 14; row subsample 0.618</w:t>
            </w:r>
          </w:p>
        </w:tc>
        <w:tc>
          <w:tcPr>
            <w:tcW w:type="dxa" w:w="1944"/>
            <w:vAlign w:val="center"/>
          </w:tcPr>
          <w:p>
            <w:pPr>
              <w:pStyle w:val="TableText"/>
            </w:pPr>
            <w:r>
              <w:rPr>
                <w:rFonts w:ascii="Times New Roman" w:hAnsi="Times New Roman"/>
              </w:rPr>
              <w:t>2107, 1750, 303, 633, 614</w:t>
            </w:r>
          </w:p>
        </w:tc>
      </w:tr>
      <w:tr>
        <w:trPr>
          <w:cantSplit w:val="true"/>
        </w:trPr>
        <w:tc>
          <w:tcPr>
            <w:tcW w:type="dxa" w:w="864"/>
            <w:vAlign w:val="center"/>
          </w:tcPr>
          <w:p>
            <w:pPr>
              <w:pStyle w:val="TableText"/>
            </w:pPr>
            <w:r>
              <w:rPr>
                <w:rFonts w:ascii="Times New Roman" w:hAnsi="Times New Roman"/>
              </w:rPr>
              <w:t>BD11</w:t>
            </w:r>
          </w:p>
        </w:tc>
        <w:tc>
          <w:tcPr>
            <w:tcW w:type="dxa" w:w="1224"/>
            <w:vAlign w:val="center"/>
          </w:tcPr>
          <w:p>
            <w:pPr>
              <w:pStyle w:val="TableText"/>
            </w:pPr>
            <w:r>
              <w:rPr>
                <w:rFonts w:ascii="Times New Roman" w:hAnsi="Times New Roman"/>
              </w:rPr>
              <w:t>CatBoost</w:t>
            </w:r>
          </w:p>
        </w:tc>
        <w:tc>
          <w:tcPr>
            <w:tcW w:type="dxa" w:w="4608"/>
            <w:vAlign w:val="center"/>
          </w:tcPr>
          <w:p>
            <w:pPr>
              <w:pStyle w:val="TableText"/>
            </w:pPr>
            <w:r>
              <w:rPr>
                <w:rFonts w:ascii="Times New Roman" w:hAnsi="Times New Roman"/>
              </w:rPr>
              <w:t>learning rate 0.0365; depth 6; min. leaf samples 4; row subsample 0.646</w:t>
            </w:r>
          </w:p>
        </w:tc>
        <w:tc>
          <w:tcPr>
            <w:tcW w:type="dxa" w:w="1944"/>
            <w:vAlign w:val="center"/>
          </w:tcPr>
          <w:p>
            <w:pPr>
              <w:pStyle w:val="TableText"/>
            </w:pPr>
            <w:r>
              <w:rPr>
                <w:rFonts w:ascii="Times New Roman" w:hAnsi="Times New Roman"/>
              </w:rPr>
              <w:t>1077, 501, 124, 199, 68</w:t>
            </w:r>
          </w:p>
        </w:tc>
      </w:tr>
    </w:tbl>
    <w:p>
      <w:pPr>
        <w:pStyle w:val="Single"/>
        <w:spacing w:after="200" w:line="40" w:lineRule="exact"/>
      </w:pPr>
    </w:p>
    <w:p>
      <w:pPr>
        <w:pStyle w:val="Heading1"/>
      </w:pPr>
      <w:bookmarkStart w:id="143" w:name="_Toc143"/>
      <w:r>
        <w:rPr>
          <w:b/>
          <w:color w:val="444444"/>
          <w:sz w:val="26"/>
        </w:rPr>
        <w:t>APPENDIX B</w:t>
        <w:br/>
      </w:r>
      <w:r>
        <w:rPr>
          <w:rFonts w:ascii="Times New Roman" w:hAnsi="Times New Roman"/>
        </w:rPr>
        <w:t>Software and Reproducibility</w:t>
      </w:r>
      <w:bookmarkEnd w:id="143"/>
    </w:p>
    <w:p>
      <w:r>
        <w:rPr>
          <w:rFonts w:ascii="Times New Roman" w:hAnsi="Times New Roman"/>
        </w:rPr>
        <w:t xml:space="preserve">All code is in the Python package </w:t>
      </w:r>
      <w:r>
        <w:rPr>
          <w:rFonts w:ascii="Times New Roman" w:hAnsi="Times New Roman"/>
          <w:i/>
        </w:rPr>
        <w:t>bobswh</w:t>
      </w:r>
      <w:r>
        <w:rPr>
          <w:rFonts w:ascii="Times New Roman" w:hAnsi="Times New Roman"/>
        </w:rPr>
        <w:t xml:space="preserve"> (modules config, era5, buoy, alignment, preprocess, features, windowing, baselines, sarimax, trees, tuning, seq2seq, evaluation, plots) with command-line scripts for each phase. The experiments of this report are reproduced with:</w:t>
      </w:r>
    </w:p>
    <w:p>
      <w:pPr>
        <w:pStyle w:val="ListBullet"/>
      </w:pPr>
      <w:r>
        <w:rPr>
          <w:rFonts w:ascii="Times New Roman" w:hAnsi="Times New Roman"/>
        </w:rPr>
        <w:t xml:space="preserve">Data: </w:t>
      </w:r>
      <w:r>
        <w:rPr>
          <w:rFonts w:ascii="Courier New" w:hAnsi="Courier New"/>
          <w:sz w:val="22"/>
        </w:rPr>
        <w:t>scripts/download_era5_timeseries.py</w:t>
      </w:r>
      <w:r>
        <w:rPr>
          <w:rFonts w:ascii="Times New Roman" w:hAnsi="Times New Roman"/>
        </w:rPr>
        <w:t xml:space="preserve"> retrieves the ERA5 time series for the three sites (three CDS requests).</w:t>
      </w:r>
    </w:p>
    <w:p>
      <w:pPr>
        <w:pStyle w:val="ListBullet"/>
      </w:pPr>
      <w:r>
        <w:rPr>
          <w:rFonts w:ascii="Times New Roman" w:hAnsi="Times New Roman"/>
        </w:rPr>
        <w:t xml:space="preserve">Phases 1 and 2: </w:t>
      </w:r>
      <w:r>
        <w:rPr>
          <w:rFonts w:ascii="Courier New" w:hAnsi="Courier New"/>
          <w:sz w:val="22"/>
        </w:rPr>
        <w:t>scripts/build_features.py --era5-only</w:t>
      </w:r>
      <w:r>
        <w:rPr>
          <w:rFonts w:ascii="Times New Roman" w:hAnsi="Times New Roman"/>
        </w:rPr>
        <w:t xml:space="preserve"> builds the quality-controlled feature tables.</w:t>
      </w:r>
    </w:p>
    <w:p>
      <w:pPr>
        <w:pStyle w:val="ListBullet"/>
      </w:pPr>
      <w:r>
        <w:rPr>
          <w:rFonts w:ascii="Times New Roman" w:hAnsi="Times New Roman"/>
        </w:rPr>
        <w:t xml:space="preserve">Phases 3 and 4: </w:t>
      </w:r>
      <w:r>
        <w:rPr>
          <w:rFonts w:ascii="Courier New" w:hAnsi="Courier New"/>
          <w:sz w:val="22"/>
        </w:rPr>
        <w:t>scripts/run_era5_only.sh</w:t>
      </w:r>
      <w:r>
        <w:rPr>
          <w:rFonts w:ascii="Times New Roman" w:hAnsi="Times New Roman"/>
        </w:rPr>
        <w:t>, run with PHASE=3 and PHASE=4, trains the tuned trees and the two LSTM variants.</w:t>
      </w:r>
    </w:p>
    <w:p>
      <w:pPr>
        <w:pStyle w:val="ListBullet"/>
        <w:spacing w:after="200"/>
      </w:pPr>
      <w:r>
        <w:rPr>
          <w:rFonts w:ascii="Times New Roman" w:hAnsi="Times New Roman"/>
        </w:rPr>
        <w:t xml:space="preserve">Phase 5: </w:t>
      </w:r>
      <w:r>
        <w:rPr>
          <w:rFonts w:ascii="Courier New" w:hAnsi="Courier New"/>
          <w:sz w:val="22"/>
        </w:rPr>
        <w:t>scripts/run_phase5.py</w:t>
      </w:r>
      <w:r>
        <w:rPr>
          <w:rFonts w:ascii="Times New Roman" w:hAnsi="Times New Roman"/>
        </w:rPr>
        <w:t xml:space="preserve"> produces all tables and figures of Chapter 5.</w:t>
      </w:r>
    </w:p>
    <w:p>
      <w:r>
        <w:rPr>
          <w:rFonts w:ascii="Times New Roman" w:hAnsi="Times New Roman"/>
        </w:rPr>
        <w:t>The automated test suite (pytest) checks, among others, that features are causal, that windows and splits contain no look-ahead, that the fast ARIMA forecasts equal the statsmodels reference, and that the peak-weighted loss has the stated weights. Software: Python 3.12, pandas 2.2, xarray 2023.6, SciPy 1.13, statsmodels 0.14, LightGBM 4.7, CatBoost 1.2, Optuna 5.0, TensorFlow 2.17 with Keras 3.</w:t>
      </w:r>
    </w:p>
    <w:sectPr w:rsidR="00FC693F" w:rsidRPr="0006063C" w:rsidSect="00034616">
      <w:footerReference w:type="default" r:id="rId40"/>
      <w:headerReference w:type="default" r:id="rId43"/>
      <w:pgSz w:w="12240" w:h="15840"/>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1965960</wp:posOffset>
          </wp:positionH>
          <wp:positionV relativeFrom="page">
            <wp:posOffset>2870850</wp:posOffset>
          </wp:positionV>
          <wp:extent cx="3840480" cy="4316700"/>
          <wp:effectExtent l="0" t="0" r="0" b="0"/>
          <wp:wrapNone/>
          <wp:docPr id="1" name="Watermark"/>
          <wp:cNvGraphicFramePr/>
          <a:graphic xmlns:a="http://schemas.openxmlformats.org/drawingml/2006/main" xmlns:pic="http://schemas.openxmlformats.org/drawingml/2006/picture">
            <a:graphicData uri="http://schemas.openxmlformats.org/drawingml/2006/picture">
              <pic:pic>
                <pic:nvPicPr>
                  <pic:cNvPr id="0" name="iitkgp_logo_watermark.png"/>
                  <pic:cNvPicPr/>
                </pic:nvPicPr>
                <pic:blipFill>
                  <a:blip r:embed="rId1"/>
                  <a:stretch>
                    <a:fillRect/>
                  </a:stretch>
                </pic:blipFill>
                <pic:spPr>
                  <a:xfrm>
                    <a:off x="0" y="0"/>
                    <a:ext cx="3840480" cy="43167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1965960</wp:posOffset>
          </wp:positionH>
          <wp:positionV relativeFrom="page">
            <wp:posOffset>2870850</wp:posOffset>
          </wp:positionV>
          <wp:extent cx="3840480" cy="4316700"/>
          <wp:effectExtent l="0" t="0" r="0" b="0"/>
          <wp:wrapNone/>
          <wp:docPr id="1" name="Watermark"/>
          <wp:cNvGraphicFramePr/>
          <a:graphic xmlns:a="http://schemas.openxmlformats.org/drawingml/2006/main" xmlns:pic="http://schemas.openxmlformats.org/drawingml/2006/picture">
            <a:graphicData uri="http://schemas.openxmlformats.org/drawingml/2006/picture">
              <pic:pic>
                <pic:nvPicPr>
                  <pic:cNvPr id="0" name="iitkgp_logo_watermark.png"/>
                  <pic:cNvPicPr/>
                </pic:nvPicPr>
                <pic:blipFill>
                  <a:blip r:embed="rId1"/>
                  <a:stretch>
                    <a:fillRect/>
                  </a:stretch>
                </pic:blipFill>
                <pic:spPr>
                  <a:xfrm>
                    <a:off x="0" y="0"/>
                    <a:ext cx="3840480" cy="43167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20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600" w:line="312" w:lineRule="auto"/>
      <w:jc w:val="center"/>
      <w:outlineLvl w:val="0"/>
    </w:pPr>
    <w:rPr>
      <w:rFonts w:asciiTheme="majorHAnsi" w:eastAsiaTheme="majorEastAsia" w:hAnsiTheme="majorHAnsi" w:cstheme="majorBidi" w:ascii="Times New Roman" w:hAnsi="Times New Roman" w:eastAsia="Times New Roman" w:cs="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tabs>
        <w:tab w:pos="864" w:val="left"/>
      </w:tabs>
      <w:spacing w:before="320" w:after="120" w:line="276" w:lineRule="auto"/>
      <w:ind w:left="864" w:hanging="864"/>
      <w:jc w:val="left"/>
      <w:outlineLvl w:val="1"/>
    </w:pPr>
    <w:rPr>
      <w:rFonts w:asciiTheme="majorHAnsi" w:eastAsiaTheme="majorEastAsia" w:hAnsiTheme="majorHAnsi" w:cstheme="majorBidi"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tabs>
        <w:tab w:pos="864" w:val="left"/>
      </w:tabs>
      <w:spacing w:before="240" w:after="80" w:line="276" w:lineRule="auto"/>
      <w:ind w:left="864" w:hanging="864"/>
      <w:jc w:val="left"/>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80"/>
      <w:contextualSpacing/>
      <w:jc w:val="both"/>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80"/>
      <w:contextualSpacing/>
      <w:jc w:val="both"/>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568" w:val="right" w:leader="dot"/>
      </w:tabs>
      <w:spacing w:line="240" w:lineRule="auto" w:after="80" w:before="160"/>
      <w:ind w:left="0" w:right="0"/>
      <w:jc w:val="left"/>
    </w:pPr>
    <w:rPr>
      <w:b w:val="0"/>
      <w:sz w:val="24"/>
    </w:rPr>
  </w:style>
  <w:style w:type="paragraph" w:customStyle="1" w:styleId="TOC2">
    <w:name w:val="TOC 2"/>
    <w:basedOn w:val="Normal"/>
    <w:pPr>
      <w:tabs>
        <w:tab w:pos="8568" w:val="right" w:leader="dot"/>
      </w:tabs>
      <w:spacing w:line="240" w:lineRule="auto" w:after="80" w:before="0"/>
      <w:ind w:left="504" w:right="0"/>
      <w:jc w:val="left"/>
    </w:pPr>
    <w:rPr>
      <w:b w:val="0"/>
      <w:sz w:val="24"/>
    </w:rPr>
  </w:style>
  <w:style w:type="paragraph" w:customStyle="1" w:styleId="TOC3">
    <w:name w:val="TOC 3"/>
    <w:basedOn w:val="Normal"/>
    <w:pPr>
      <w:tabs>
        <w:tab w:pos="8568" w:val="right" w:leader="dot"/>
      </w:tabs>
      <w:spacing w:line="240" w:lineRule="auto" w:after="80" w:before="0"/>
      <w:ind w:left="1080" w:right="0"/>
      <w:jc w:val="left"/>
    </w:pPr>
    <w:rPr>
      <w:b w:val="0"/>
      <w:sz w:val="24"/>
    </w:rPr>
  </w:style>
  <w:style w:type="paragraph" w:customStyle="1" w:styleId="FigureCaption">
    <w:name w:val="Figure Caption"/>
    <w:basedOn w:val="Normal"/>
    <w:pPr>
      <w:spacing w:line="240" w:lineRule="auto" w:after="280" w:before="80"/>
      <w:jc w:val="center"/>
    </w:pPr>
    <w:rPr>
      <w:sz w:val="22"/>
    </w:rPr>
  </w:style>
  <w:style w:type="paragraph" w:customStyle="1" w:styleId="TableCaption">
    <w:name w:val="Table Caption"/>
    <w:basedOn w:val="Normal"/>
    <w:pPr>
      <w:keepNext/>
      <w:spacing w:line="240" w:lineRule="auto" w:after="120" w:before="200"/>
      <w:jc w:val="center"/>
    </w:pPr>
    <w:rPr>
      <w:sz w:val="22"/>
    </w:rPr>
  </w:style>
  <w:style w:type="paragraph" w:customStyle="1" w:styleId="TableText">
    <w:name w:val="Table Text"/>
    <w:basedOn w:val="Normal"/>
    <w:pPr>
      <w:spacing w:line="240" w:lineRule="auto" w:after="0"/>
      <w:jc w:val="left"/>
    </w:pPr>
    <w:rPr>
      <w:sz w:val="20"/>
    </w:rPr>
  </w:style>
  <w:style w:type="paragraph" w:customStyle="1" w:styleId="Reference">
    <w:name w:val="Reference"/>
    <w:basedOn w:val="Normal"/>
    <w:pPr>
      <w:spacing w:line="240" w:lineRule="auto" w:after="120"/>
      <w:ind w:left="648" w:hanging="648"/>
      <w:jc w:val="left"/>
    </w:pPr>
    <w:rPr>
      <w:sz w:val="22"/>
    </w:rPr>
  </w:style>
  <w:style w:type="paragraph" w:customStyle="1" w:styleId="Single">
    <w:name w:val="Single"/>
    <w:basedOn w:val="Normal"/>
    <w:pPr>
      <w:spacing w:line="240" w:lineRule="auto"/>
    </w:pPr>
  </w:style>
  <w:style w:type="paragraph" w:customStyle="1" w:styleId="TOCEntry">
    <w:name w:val="TOC Entry"/>
    <w:basedOn w:val="Normal"/>
    <w:pPr>
      <w:spacing w:line="240" w:lineRule="auto" w:after="100"/>
      <w:ind w:right="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footer" Target="footer4.xm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