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9.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0.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F4F7D" w14:textId="32DECE8C" w:rsidR="00B852BD" w:rsidRPr="00463667" w:rsidRDefault="00B852BD" w:rsidP="00B852BD">
      <w:pPr>
        <w:pStyle w:val="Breakpage"/>
      </w:pPr>
      <w:bookmarkStart w:id="0" w:name="_GoBack"/>
      <w:bookmarkEnd w:id="0"/>
    </w:p>
    <w:p w14:paraId="1F692A5B" w14:textId="77777777" w:rsidR="00B852BD" w:rsidRPr="00463667" w:rsidRDefault="00B852BD" w:rsidP="00B852BD">
      <w:pPr>
        <w:pStyle w:val="Breakpage"/>
      </w:pPr>
    </w:p>
    <w:p w14:paraId="208AA486" w14:textId="77777777" w:rsidR="00B852BD" w:rsidRPr="00463667" w:rsidRDefault="00B852BD" w:rsidP="00B852BD">
      <w:pPr>
        <w:pStyle w:val="Breakpage"/>
      </w:pPr>
    </w:p>
    <w:p w14:paraId="01D67CC1" w14:textId="77777777" w:rsidR="00B852BD" w:rsidRPr="00463667" w:rsidRDefault="00B852BD" w:rsidP="00B852BD">
      <w:pPr>
        <w:pStyle w:val="Breakpage"/>
      </w:pPr>
    </w:p>
    <w:p w14:paraId="1C7CA3F3" w14:textId="77777777" w:rsidR="00B852BD" w:rsidRPr="00463667" w:rsidRDefault="00B852BD" w:rsidP="00B852BD">
      <w:pPr>
        <w:pStyle w:val="Breakpage"/>
      </w:pPr>
    </w:p>
    <w:p w14:paraId="74AA5EB8" w14:textId="77777777" w:rsidR="00B852BD" w:rsidRPr="00463667" w:rsidRDefault="00B852BD" w:rsidP="00B852BD">
      <w:pPr>
        <w:pStyle w:val="Breakpage"/>
      </w:pPr>
      <w:r w:rsidRPr="00463667">
        <w:t>Diabetes</w:t>
      </w:r>
    </w:p>
    <w:p w14:paraId="4700A796" w14:textId="77777777" w:rsidR="00B852BD" w:rsidRPr="00463667" w:rsidRDefault="00B852BD" w:rsidP="00B852BD">
      <w:pPr>
        <w:pStyle w:val="Breakpage"/>
      </w:pPr>
    </w:p>
    <w:p w14:paraId="7F2A114F" w14:textId="77777777" w:rsidR="00B852BD" w:rsidRPr="00463667" w:rsidRDefault="00B852BD" w:rsidP="00B852BD"/>
    <w:p w14:paraId="0BE71284" w14:textId="77777777" w:rsidR="00B852BD" w:rsidRPr="00463667" w:rsidRDefault="00B852BD" w:rsidP="00B852BD">
      <w:pPr>
        <w:sectPr w:rsidR="00B852BD" w:rsidRPr="00463667" w:rsidSect="00463B6F">
          <w:type w:val="oddPage"/>
          <w:pgSz w:w="12240" w:h="15840" w:code="1"/>
          <w:pgMar w:top="1080" w:right="1080" w:bottom="1080" w:left="1440" w:header="720" w:footer="720" w:gutter="0"/>
          <w:pgNumType w:start="112"/>
          <w:cols w:space="720"/>
        </w:sectPr>
      </w:pPr>
    </w:p>
    <w:p w14:paraId="3ABE0D86" w14:textId="77777777" w:rsidR="00B852BD" w:rsidRPr="0041600C" w:rsidRDefault="00B852BD" w:rsidP="00B852BD">
      <w:pPr>
        <w:pStyle w:val="Heading2"/>
        <w:spacing w:after="320"/>
      </w:pPr>
      <w:bookmarkStart w:id="1" w:name="_Toc400546129"/>
      <w:r w:rsidRPr="0041600C">
        <w:lastRenderedPageBreak/>
        <w:t>Comprehensive Diabetes Care (CDC)</w:t>
      </w:r>
      <w:bookmarkEnd w:id="1"/>
    </w:p>
    <w:p w14:paraId="281990AB" w14:textId="612AB91F" w:rsidR="00B852BD" w:rsidRPr="00463667" w:rsidRDefault="00B852BD" w:rsidP="00B852BD">
      <w:pPr>
        <w:pStyle w:val="SOC"/>
        <w:rPr>
          <w:i/>
        </w:rPr>
      </w:pPr>
      <w:r w:rsidRPr="00463667">
        <w:t xml:space="preserve">Summary of Changes to HEDIS </w:t>
      </w:r>
      <w:r w:rsidR="00D0464F">
        <w:t>2016</w:t>
      </w:r>
    </w:p>
    <w:p w14:paraId="2237C32B" w14:textId="5372843B" w:rsidR="00866766" w:rsidRPr="00866766" w:rsidRDefault="00866766" w:rsidP="00866766">
      <w:pPr>
        <w:pStyle w:val="ProcessBullet"/>
        <w:rPr>
          <w:i/>
          <w:iCs/>
        </w:rPr>
      </w:pPr>
      <w:r>
        <w:rPr>
          <w:iCs/>
        </w:rPr>
        <w:t xml:space="preserve">Added a method and value sets to identify discharges for the applicable required exclusions for the </w:t>
      </w:r>
      <w:r>
        <w:rPr>
          <w:i/>
        </w:rPr>
        <w:t>HbA1c Control (&lt;7.0%) for a Selected P</w:t>
      </w:r>
      <w:r w:rsidRPr="00866766">
        <w:rPr>
          <w:i/>
        </w:rPr>
        <w:t xml:space="preserve">opulation </w:t>
      </w:r>
      <w:r>
        <w:t>indicator</w:t>
      </w:r>
      <w:r>
        <w:rPr>
          <w:iCs/>
        </w:rPr>
        <w:t>.</w:t>
      </w:r>
    </w:p>
    <w:p w14:paraId="77CFB26E" w14:textId="02907D0B" w:rsidR="002C18E2" w:rsidRPr="002C18E2" w:rsidRDefault="002C18E2" w:rsidP="00462BA8">
      <w:pPr>
        <w:pStyle w:val="ProcessBullet"/>
        <w:spacing w:before="60"/>
        <w:rPr>
          <w:i/>
          <w:iCs/>
        </w:rPr>
      </w:pPr>
      <w:r w:rsidRPr="340E3474">
        <w:t xml:space="preserve">Revised the requirements for urine protein testing for the </w:t>
      </w:r>
      <w:r w:rsidR="00216B26" w:rsidRPr="340E3474">
        <w:rPr>
          <w:i/>
          <w:iCs/>
        </w:rPr>
        <w:t xml:space="preserve">Medical Attention for Nephropathy </w:t>
      </w:r>
      <w:r w:rsidRPr="340E3474">
        <w:t>indicator; a screening or monitoring test meets criteria</w:t>
      </w:r>
      <w:r w:rsidR="00216B26" w:rsidRPr="340E3474">
        <w:t>,</w:t>
      </w:r>
      <w:r w:rsidRPr="340E3474">
        <w:t xml:space="preserve"> whether the result is positive or negative.</w:t>
      </w:r>
    </w:p>
    <w:p w14:paraId="75FD1CA5" w14:textId="51682D22" w:rsidR="0078262E" w:rsidRPr="0078262E" w:rsidRDefault="0078262E" w:rsidP="00A03634">
      <w:pPr>
        <w:pStyle w:val="ProcessBullet"/>
        <w:spacing w:before="60"/>
        <w:rPr>
          <w:i/>
          <w:iCs/>
        </w:rPr>
      </w:pPr>
      <w:r w:rsidRPr="530BC1D6">
        <w:t>Removed the optional exclusion for polycystic ovaries.</w:t>
      </w:r>
    </w:p>
    <w:p w14:paraId="0A40DB5C" w14:textId="77777777" w:rsidR="00B852BD" w:rsidRPr="00EB00B0" w:rsidRDefault="00775B11" w:rsidP="00A03634">
      <w:pPr>
        <w:pStyle w:val="ProcessBullet"/>
        <w:spacing w:before="60"/>
        <w:rPr>
          <w:i/>
          <w:iCs/>
        </w:rPr>
      </w:pPr>
      <w:r>
        <w:t xml:space="preserve">Added a </w:t>
      </w:r>
      <w:r w:rsidRPr="00775B11">
        <w:rPr>
          <w:i/>
        </w:rPr>
        <w:t>Note</w:t>
      </w:r>
      <w:r>
        <w:t xml:space="preserve"> clarifying optional exclusions.</w:t>
      </w:r>
    </w:p>
    <w:p w14:paraId="752BFDCF" w14:textId="7C19D23E" w:rsidR="00EB00B0" w:rsidRPr="00EB00B0" w:rsidRDefault="00EB00B0" w:rsidP="00A03634">
      <w:pPr>
        <w:pStyle w:val="ProcessBullet"/>
        <w:spacing w:before="60"/>
        <w:rPr>
          <w:i/>
          <w:iCs/>
        </w:rPr>
      </w:pPr>
      <w:r>
        <w:t xml:space="preserve">Added </w:t>
      </w:r>
      <w:r w:rsidR="009F0DF0">
        <w:t>“</w:t>
      </w:r>
      <w:r>
        <w:t>Numerator events by supplemental data</w:t>
      </w:r>
      <w:r w:rsidR="009F0DF0">
        <w:t>”</w:t>
      </w:r>
      <w:r>
        <w:t xml:space="preserve"> to the Data Elements for Reporting table to capture the number of members who met numerator criteria using supplemental data. </w:t>
      </w:r>
    </w:p>
    <w:p w14:paraId="33B4E08A" w14:textId="77777777" w:rsidR="00B852BD" w:rsidRPr="00463667" w:rsidRDefault="00B852BD" w:rsidP="00B852BD">
      <w:pPr>
        <w:pStyle w:val="ReverseHead"/>
      </w:pPr>
      <w:r w:rsidRPr="00463667">
        <w:t>Description</w:t>
      </w:r>
    </w:p>
    <w:p w14:paraId="3D16EF2A" w14:textId="77777777" w:rsidR="00B852BD" w:rsidRPr="00463667" w:rsidRDefault="00B852BD" w:rsidP="00B852BD">
      <w:pPr>
        <w:pStyle w:val="Body"/>
      </w:pPr>
      <w:r w:rsidRPr="00463667">
        <w:t>The percentage of members 18–75 years of age with diabetes (type 1 and type 2) who had each of the following:</w:t>
      </w:r>
    </w:p>
    <w:tbl>
      <w:tblPr>
        <w:tblW w:w="0" w:type="auto"/>
        <w:tblInd w:w="-90" w:type="dxa"/>
        <w:tblLook w:val="01E0" w:firstRow="1" w:lastRow="1" w:firstColumn="1" w:lastColumn="1" w:noHBand="0" w:noVBand="0"/>
      </w:tblPr>
      <w:tblGrid>
        <w:gridCol w:w="5310"/>
        <w:gridCol w:w="4500"/>
      </w:tblGrid>
      <w:tr w:rsidR="00B852BD" w:rsidRPr="00463667" w14:paraId="4566E581" w14:textId="77777777" w:rsidTr="00F578E0">
        <w:tc>
          <w:tcPr>
            <w:tcW w:w="5310" w:type="dxa"/>
          </w:tcPr>
          <w:p w14:paraId="33E200B7" w14:textId="77777777" w:rsidR="00B852BD" w:rsidRPr="00463667" w:rsidRDefault="00B852BD" w:rsidP="00B852BD">
            <w:pPr>
              <w:pStyle w:val="Bullet"/>
              <w:spacing w:before="80"/>
            </w:pPr>
            <w:r w:rsidRPr="00463667">
              <w:t>Hemoglobin A1c (HbA1c) testing.</w:t>
            </w:r>
          </w:p>
          <w:p w14:paraId="004239E3" w14:textId="77777777" w:rsidR="00B852BD" w:rsidRPr="00463667" w:rsidRDefault="00B852BD" w:rsidP="00B852BD">
            <w:pPr>
              <w:pStyle w:val="Bullet"/>
              <w:spacing w:before="80"/>
            </w:pPr>
            <w:r w:rsidRPr="00463667">
              <w:t>HbA1c poor control (&gt;9.0%).</w:t>
            </w:r>
          </w:p>
          <w:p w14:paraId="07B35EEF" w14:textId="77777777" w:rsidR="00B852BD" w:rsidRPr="00463667" w:rsidRDefault="00B852BD" w:rsidP="00B852BD">
            <w:pPr>
              <w:pStyle w:val="Bullet"/>
              <w:tabs>
                <w:tab w:val="left" w:pos="3060"/>
              </w:tabs>
              <w:spacing w:before="80"/>
            </w:pPr>
            <w:r w:rsidRPr="00463667">
              <w:t>HbA1c control (&lt;8.0%).</w:t>
            </w:r>
          </w:p>
          <w:p w14:paraId="074DA369" w14:textId="77777777" w:rsidR="00B852BD" w:rsidRPr="00463667" w:rsidRDefault="00B852BD" w:rsidP="00B852BD">
            <w:pPr>
              <w:pStyle w:val="Bullet"/>
              <w:tabs>
                <w:tab w:val="left" w:pos="3150"/>
              </w:tabs>
              <w:spacing w:before="80"/>
            </w:pPr>
            <w:r w:rsidRPr="00463667">
              <w:t>HbA1c control (&lt;7.0%) for a selected population</w:t>
            </w:r>
            <w:r w:rsidRPr="00463667">
              <w:rPr>
                <w:b/>
              </w:rPr>
              <w:t>*</w:t>
            </w:r>
            <w:r w:rsidRPr="00463667">
              <w:t>.</w:t>
            </w:r>
          </w:p>
        </w:tc>
        <w:tc>
          <w:tcPr>
            <w:tcW w:w="4500" w:type="dxa"/>
          </w:tcPr>
          <w:p w14:paraId="4882B7EB" w14:textId="77777777" w:rsidR="00B852BD" w:rsidRPr="00463667" w:rsidRDefault="00B852BD" w:rsidP="00F578E0">
            <w:pPr>
              <w:pStyle w:val="ProcessBullet"/>
              <w:spacing w:before="80"/>
            </w:pPr>
            <w:r w:rsidRPr="00463667">
              <w:t>Eye exam (retinal) performed.</w:t>
            </w:r>
          </w:p>
          <w:p w14:paraId="59D69993" w14:textId="77777777" w:rsidR="00B852BD" w:rsidRPr="00463667" w:rsidRDefault="00B852BD" w:rsidP="00F578E0">
            <w:pPr>
              <w:pStyle w:val="ProcessBullet"/>
              <w:spacing w:before="80"/>
            </w:pPr>
            <w:r w:rsidRPr="00463667">
              <w:t>Medical attention for nephropathy.</w:t>
            </w:r>
          </w:p>
          <w:p w14:paraId="18CE823C" w14:textId="77777777" w:rsidR="00B852BD" w:rsidRPr="00463667" w:rsidRDefault="00B852BD" w:rsidP="00F578E0">
            <w:pPr>
              <w:pStyle w:val="ProcessBullet"/>
              <w:spacing w:before="80"/>
            </w:pPr>
            <w:r w:rsidRPr="00463667">
              <w:t>BP control (&lt;140/90 mm Hg).</w:t>
            </w:r>
          </w:p>
        </w:tc>
      </w:tr>
    </w:tbl>
    <w:p w14:paraId="177F5810" w14:textId="77777777" w:rsidR="00B852BD" w:rsidRPr="00463667" w:rsidRDefault="00B852BD" w:rsidP="00B852BD">
      <w:pPr>
        <w:pStyle w:val="ProcessBullet"/>
        <w:numPr>
          <w:ilvl w:val="0"/>
          <w:numId w:val="0"/>
        </w:numPr>
        <w:ind w:left="90" w:hanging="90"/>
        <w:rPr>
          <w:i/>
          <w:sz w:val="18"/>
          <w:szCs w:val="18"/>
        </w:rPr>
      </w:pPr>
      <w:r w:rsidRPr="00463667">
        <w:rPr>
          <w:i/>
          <w:sz w:val="18"/>
          <w:szCs w:val="18"/>
        </w:rPr>
        <w:t>*</w:t>
      </w:r>
      <w:r w:rsidRPr="00463667">
        <w:rPr>
          <w:i/>
          <w:sz w:val="18"/>
          <w:szCs w:val="18"/>
        </w:rPr>
        <w:tab/>
        <w:t>Additional exclusion criteria are required for this indicator that will result in a different eligible population from all other indicators. This indicator is only reported for the commercial and Medicaid product lines.</w:t>
      </w:r>
    </w:p>
    <w:p w14:paraId="0B621B42" w14:textId="77777777" w:rsidR="00B852BD" w:rsidRPr="00463667" w:rsidRDefault="00B852BD" w:rsidP="00B852BD">
      <w:pPr>
        <w:pStyle w:val="ReverseHead"/>
      </w:pPr>
      <w:r w:rsidRPr="00463667">
        <w:t xml:space="preserve">Eligible Population </w:t>
      </w:r>
    </w:p>
    <w:tbl>
      <w:tblPr>
        <w:tblW w:w="9810" w:type="dxa"/>
        <w:tblInd w:w="-90" w:type="dxa"/>
        <w:tblLayout w:type="fixed"/>
        <w:tblLook w:val="0000" w:firstRow="0" w:lastRow="0" w:firstColumn="0" w:lastColumn="0" w:noHBand="0" w:noVBand="0"/>
      </w:tblPr>
      <w:tblGrid>
        <w:gridCol w:w="1908"/>
        <w:gridCol w:w="7902"/>
      </w:tblGrid>
      <w:tr w:rsidR="00B852BD" w:rsidRPr="00463667" w14:paraId="1B3D0D04" w14:textId="77777777" w:rsidTr="00F578E0">
        <w:tc>
          <w:tcPr>
            <w:tcW w:w="1908" w:type="dxa"/>
          </w:tcPr>
          <w:p w14:paraId="4DBC645B" w14:textId="77777777" w:rsidR="00B852BD" w:rsidRPr="00463667" w:rsidRDefault="00B852BD" w:rsidP="00F578E0">
            <w:pPr>
              <w:pStyle w:val="MarginSubhead"/>
            </w:pPr>
            <w:r w:rsidRPr="00463667">
              <w:t>Product lines</w:t>
            </w:r>
          </w:p>
        </w:tc>
        <w:tc>
          <w:tcPr>
            <w:tcW w:w="7902" w:type="dxa"/>
          </w:tcPr>
          <w:p w14:paraId="4F62C56F" w14:textId="77777777" w:rsidR="00B852BD" w:rsidRPr="00463667" w:rsidRDefault="00B852BD" w:rsidP="00F578E0">
            <w:pPr>
              <w:pStyle w:val="Body"/>
            </w:pPr>
            <w:r w:rsidRPr="00463667">
              <w:t>Commercial, Medicaid, Medicare (report each product line separately).</w:t>
            </w:r>
          </w:p>
        </w:tc>
      </w:tr>
      <w:tr w:rsidR="00B852BD" w:rsidRPr="00463667" w14:paraId="5BACAD03" w14:textId="77777777" w:rsidTr="00F578E0">
        <w:tc>
          <w:tcPr>
            <w:tcW w:w="1908" w:type="dxa"/>
          </w:tcPr>
          <w:p w14:paraId="10291631" w14:textId="77777777" w:rsidR="00B852BD" w:rsidRPr="00463667" w:rsidRDefault="00B852BD" w:rsidP="00F578E0">
            <w:pPr>
              <w:pStyle w:val="MarginSubhead"/>
            </w:pPr>
            <w:r w:rsidRPr="00463667">
              <w:t>Ages</w:t>
            </w:r>
          </w:p>
        </w:tc>
        <w:tc>
          <w:tcPr>
            <w:tcW w:w="7902" w:type="dxa"/>
          </w:tcPr>
          <w:p w14:paraId="13451112" w14:textId="77777777" w:rsidR="00B852BD" w:rsidRPr="00463667" w:rsidRDefault="00B852BD" w:rsidP="00F578E0">
            <w:pPr>
              <w:pStyle w:val="Body"/>
            </w:pPr>
            <w:r w:rsidRPr="00463667">
              <w:t>18–75 years as of December 31 of the measurement year.</w:t>
            </w:r>
          </w:p>
        </w:tc>
      </w:tr>
      <w:tr w:rsidR="00B852BD" w:rsidRPr="00463667" w14:paraId="4823F10A" w14:textId="77777777" w:rsidTr="00F578E0">
        <w:tc>
          <w:tcPr>
            <w:tcW w:w="1908" w:type="dxa"/>
          </w:tcPr>
          <w:p w14:paraId="0A764541" w14:textId="77777777" w:rsidR="00B852BD" w:rsidRPr="00463667" w:rsidRDefault="00B852BD" w:rsidP="00F578E0">
            <w:pPr>
              <w:pStyle w:val="MarginSubhead"/>
            </w:pPr>
            <w:r w:rsidRPr="00463667">
              <w:t>Continuous enrollment</w:t>
            </w:r>
          </w:p>
        </w:tc>
        <w:tc>
          <w:tcPr>
            <w:tcW w:w="7902" w:type="dxa"/>
          </w:tcPr>
          <w:p w14:paraId="764B7712" w14:textId="77777777" w:rsidR="00B852BD" w:rsidRPr="00463667" w:rsidRDefault="00B852BD" w:rsidP="00F578E0">
            <w:pPr>
              <w:pStyle w:val="Body"/>
            </w:pPr>
            <w:r w:rsidRPr="00463667">
              <w:t xml:space="preserve">The measurement year. </w:t>
            </w:r>
          </w:p>
        </w:tc>
      </w:tr>
      <w:tr w:rsidR="00B852BD" w:rsidRPr="00463667" w14:paraId="2B9B8320" w14:textId="77777777" w:rsidTr="00F578E0">
        <w:tc>
          <w:tcPr>
            <w:tcW w:w="1908" w:type="dxa"/>
          </w:tcPr>
          <w:p w14:paraId="25E2DE15" w14:textId="77777777" w:rsidR="00B852BD" w:rsidRPr="00463667" w:rsidRDefault="00B852BD" w:rsidP="00F578E0">
            <w:pPr>
              <w:pStyle w:val="MarginSubhead"/>
            </w:pPr>
            <w:r w:rsidRPr="00463667">
              <w:t>Allowable gap</w:t>
            </w:r>
          </w:p>
        </w:tc>
        <w:tc>
          <w:tcPr>
            <w:tcW w:w="7902" w:type="dxa"/>
          </w:tcPr>
          <w:p w14:paraId="0B6E901E" w14:textId="77777777" w:rsidR="00B852BD" w:rsidRPr="00463667" w:rsidRDefault="00B852BD" w:rsidP="00F578E0">
            <w:pPr>
              <w:pStyle w:val="Body"/>
            </w:pPr>
            <w:r w:rsidRPr="00463667">
              <w:t xml:space="preserve">No more than one gap in enrollment of up to 45 days during the measurement year. To determine continuous enrollment for a Medicaid beneficiary for whom enrollment is verified monthly, the member may not have more than a 1-month gap in coverage </w:t>
            </w:r>
            <w:r w:rsidRPr="00463667">
              <w:br/>
              <w:t xml:space="preserve">(i.e., a member whose coverage lapses for 2 months [60 days] is not considered continuously enrolled). </w:t>
            </w:r>
          </w:p>
        </w:tc>
      </w:tr>
      <w:tr w:rsidR="00B852BD" w:rsidRPr="00463667" w14:paraId="442CE981" w14:textId="77777777" w:rsidTr="00F578E0">
        <w:tc>
          <w:tcPr>
            <w:tcW w:w="1908" w:type="dxa"/>
          </w:tcPr>
          <w:p w14:paraId="08022D42" w14:textId="77777777" w:rsidR="00B852BD" w:rsidRPr="00463667" w:rsidRDefault="00B852BD" w:rsidP="00F578E0">
            <w:pPr>
              <w:pStyle w:val="MarginSubhead"/>
            </w:pPr>
            <w:r w:rsidRPr="00463667">
              <w:t>Anchor date</w:t>
            </w:r>
          </w:p>
        </w:tc>
        <w:tc>
          <w:tcPr>
            <w:tcW w:w="7902" w:type="dxa"/>
          </w:tcPr>
          <w:p w14:paraId="568EED28" w14:textId="77777777" w:rsidR="00B852BD" w:rsidRPr="00463667" w:rsidRDefault="00B852BD" w:rsidP="00F578E0">
            <w:pPr>
              <w:pStyle w:val="Body"/>
            </w:pPr>
            <w:r w:rsidRPr="00463667">
              <w:t xml:space="preserve">December 31 of the measurement year. </w:t>
            </w:r>
          </w:p>
        </w:tc>
      </w:tr>
      <w:tr w:rsidR="00B852BD" w:rsidRPr="00463667" w14:paraId="52A0452A" w14:textId="77777777" w:rsidTr="00F578E0">
        <w:tc>
          <w:tcPr>
            <w:tcW w:w="1908" w:type="dxa"/>
          </w:tcPr>
          <w:p w14:paraId="0A06C8C4" w14:textId="77777777" w:rsidR="00B852BD" w:rsidRPr="00463667" w:rsidRDefault="00B852BD" w:rsidP="00F578E0">
            <w:pPr>
              <w:pStyle w:val="MarginSubhead"/>
            </w:pPr>
            <w:r w:rsidRPr="00463667">
              <w:t>Benefit</w:t>
            </w:r>
          </w:p>
        </w:tc>
        <w:tc>
          <w:tcPr>
            <w:tcW w:w="7902" w:type="dxa"/>
          </w:tcPr>
          <w:p w14:paraId="4150C4F2" w14:textId="77777777" w:rsidR="00B852BD" w:rsidRPr="00463667" w:rsidRDefault="00B852BD" w:rsidP="00F578E0">
            <w:pPr>
              <w:pStyle w:val="Body"/>
            </w:pPr>
            <w:r w:rsidRPr="00463667">
              <w:t>Medical.</w:t>
            </w:r>
          </w:p>
        </w:tc>
      </w:tr>
      <w:tr w:rsidR="00462BA8" w:rsidRPr="00463667" w14:paraId="2ADE4685" w14:textId="77777777" w:rsidTr="00F578E0">
        <w:tc>
          <w:tcPr>
            <w:tcW w:w="1908" w:type="dxa"/>
          </w:tcPr>
          <w:p w14:paraId="0E96A2ED" w14:textId="3A4721DF" w:rsidR="00462BA8" w:rsidRPr="00463667" w:rsidRDefault="00462BA8" w:rsidP="00F578E0">
            <w:pPr>
              <w:pStyle w:val="MarginSubhead"/>
            </w:pPr>
            <w:r w:rsidRPr="00463667">
              <w:t>Event/ diagnosis</w:t>
            </w:r>
          </w:p>
        </w:tc>
        <w:tc>
          <w:tcPr>
            <w:tcW w:w="7902" w:type="dxa"/>
          </w:tcPr>
          <w:p w14:paraId="5F68CDB5" w14:textId="77777777" w:rsidR="00462BA8" w:rsidRPr="00462BA8" w:rsidRDefault="00462BA8" w:rsidP="00462BA8">
            <w:pPr>
              <w:pStyle w:val="Body"/>
            </w:pPr>
            <w:r w:rsidRPr="00462BA8">
              <w:t>There are two ways to identify members with diabetes: by claim/encounter data and by pharmacy data. The organization must use both methods to identify the eligible population, but a member only needs to be identified by one method to be included in the measure. Members may be identified as having diabetes during the measurement year or the year prior to the measurement year.</w:t>
            </w:r>
          </w:p>
          <w:p w14:paraId="43F50C1B" w14:textId="77777777" w:rsidR="00462BA8" w:rsidRPr="00463667" w:rsidRDefault="00462BA8" w:rsidP="00F578E0">
            <w:pPr>
              <w:pStyle w:val="Body"/>
            </w:pPr>
          </w:p>
        </w:tc>
      </w:tr>
    </w:tbl>
    <w:p w14:paraId="698A4082" w14:textId="77777777" w:rsidR="00B852BD" w:rsidRPr="00463667" w:rsidRDefault="00B852BD" w:rsidP="00B852BD">
      <w:pPr>
        <w:sectPr w:rsidR="00B852BD" w:rsidRPr="00463667" w:rsidSect="004E5025">
          <w:headerReference w:type="even" r:id="rId14"/>
          <w:headerReference w:type="default" r:id="rId15"/>
          <w:footerReference w:type="even" r:id="rId16"/>
          <w:type w:val="evenPage"/>
          <w:pgSz w:w="12240" w:h="15840" w:code="1"/>
          <w:pgMar w:top="1080" w:right="1080" w:bottom="1080" w:left="1440" w:header="720" w:footer="720" w:gutter="0"/>
          <w:pgNumType w:start="132"/>
          <w:cols w:space="720"/>
        </w:sectPr>
      </w:pPr>
    </w:p>
    <w:tbl>
      <w:tblPr>
        <w:tblW w:w="9792" w:type="dxa"/>
        <w:tblInd w:w="-72" w:type="dxa"/>
        <w:tblLayout w:type="fixed"/>
        <w:tblLook w:val="0000" w:firstRow="0" w:lastRow="0" w:firstColumn="0" w:lastColumn="0" w:noHBand="0" w:noVBand="0"/>
      </w:tblPr>
      <w:tblGrid>
        <w:gridCol w:w="1890"/>
        <w:gridCol w:w="7902"/>
      </w:tblGrid>
      <w:tr w:rsidR="00B852BD" w:rsidRPr="00463667" w14:paraId="698DF302" w14:textId="77777777" w:rsidTr="00462BA8">
        <w:tc>
          <w:tcPr>
            <w:tcW w:w="1890" w:type="dxa"/>
          </w:tcPr>
          <w:p w14:paraId="77D9BCC6" w14:textId="13DBAA7D" w:rsidR="00B852BD" w:rsidRPr="00463667" w:rsidRDefault="00B852BD" w:rsidP="00F578E0">
            <w:pPr>
              <w:pStyle w:val="MarginSubhead"/>
              <w:spacing w:before="0"/>
            </w:pPr>
          </w:p>
        </w:tc>
        <w:tc>
          <w:tcPr>
            <w:tcW w:w="7902" w:type="dxa"/>
          </w:tcPr>
          <w:p w14:paraId="6D2E5E45" w14:textId="77777777" w:rsidR="00B852BD" w:rsidRPr="00463667" w:rsidRDefault="00B852BD" w:rsidP="00462BA8">
            <w:pPr>
              <w:pStyle w:val="Body"/>
              <w:spacing w:before="0"/>
            </w:pPr>
            <w:r w:rsidRPr="00463667">
              <w:rPr>
                <w:i/>
                <w:szCs w:val="20"/>
              </w:rPr>
              <w:t>Claim/encounter data.</w:t>
            </w:r>
            <w:r w:rsidRPr="00463667">
              <w:rPr>
                <w:szCs w:val="20"/>
              </w:rPr>
              <w:t xml:space="preserve"> </w:t>
            </w:r>
            <w:r w:rsidRPr="00463667">
              <w:t>Members who met any of the following criteria during the measurement year or the year prior to the measurement year (count services that occur over both years):</w:t>
            </w:r>
          </w:p>
          <w:p w14:paraId="26E3787A" w14:textId="77777777" w:rsidR="00B852BD" w:rsidRPr="00463667" w:rsidRDefault="00B852BD" w:rsidP="00B852BD">
            <w:pPr>
              <w:pStyle w:val="Bullet"/>
            </w:pPr>
            <w:r w:rsidRPr="00463667">
              <w:t>At least two outpatient visits (</w:t>
            </w:r>
            <w:r w:rsidRPr="00463667">
              <w:rPr>
                <w:u w:val="single"/>
              </w:rPr>
              <w:t>Outpatient Value Set</w:t>
            </w:r>
            <w:r w:rsidRPr="00463667">
              <w:t>), observation visits (</w:t>
            </w:r>
            <w:r w:rsidRPr="00463667">
              <w:rPr>
                <w:u w:val="single"/>
              </w:rPr>
              <w:t>Observation Value Set</w:t>
            </w:r>
            <w:r w:rsidRPr="00463667">
              <w:t>), ED visits (</w:t>
            </w:r>
            <w:r w:rsidRPr="00463667">
              <w:rPr>
                <w:u w:val="single"/>
              </w:rPr>
              <w:t>ED Value Set</w:t>
            </w:r>
            <w:r w:rsidRPr="00463667">
              <w:t>) or nonacute inpatient encounters (</w:t>
            </w:r>
            <w:r w:rsidRPr="00463667">
              <w:rPr>
                <w:u w:val="single"/>
              </w:rPr>
              <w:t>Nonacute Inpatient Value Set</w:t>
            </w:r>
            <w:r w:rsidRPr="00463667">
              <w:t>) on different dates of service, with a diagnosis of diabetes (</w:t>
            </w:r>
            <w:r w:rsidRPr="00463667">
              <w:rPr>
                <w:u w:val="single"/>
              </w:rPr>
              <w:t>Diabetes Value Set</w:t>
            </w:r>
            <w:r w:rsidRPr="00463667">
              <w:t>). Visit type need not be the same for the two visits.</w:t>
            </w:r>
          </w:p>
          <w:p w14:paraId="7F919A16" w14:textId="77777777" w:rsidR="00B852BD" w:rsidRPr="00463667" w:rsidRDefault="00B852BD" w:rsidP="00B852BD">
            <w:pPr>
              <w:pStyle w:val="Bullet"/>
            </w:pPr>
            <w:r w:rsidRPr="00463667">
              <w:t>At least one acute inpatient encounter (</w:t>
            </w:r>
            <w:r w:rsidRPr="00463667">
              <w:rPr>
                <w:u w:val="single"/>
              </w:rPr>
              <w:t>Acute Inpatient Value Set</w:t>
            </w:r>
            <w:r w:rsidRPr="00463667">
              <w:t>) with a diagnosis of diabetes (</w:t>
            </w:r>
            <w:r w:rsidRPr="00463667">
              <w:rPr>
                <w:u w:val="single"/>
              </w:rPr>
              <w:t>Diabetes Value Set</w:t>
            </w:r>
            <w:r w:rsidRPr="00463667">
              <w:t>).</w:t>
            </w:r>
          </w:p>
          <w:p w14:paraId="0FD13FEC" w14:textId="77777777" w:rsidR="00B852BD" w:rsidRPr="00463667" w:rsidRDefault="00B852BD" w:rsidP="00F578E0">
            <w:pPr>
              <w:pStyle w:val="Body"/>
            </w:pPr>
            <w:r w:rsidRPr="00463667">
              <w:rPr>
                <w:i/>
              </w:rPr>
              <w:t>Pharmacy data</w:t>
            </w:r>
            <w:r w:rsidRPr="00463667">
              <w:t>. Members who were dispensed insulin or hypoglycemics/ antihyperglycemics on an ambulatory basis during the measurement year or the year prior to the measurement year (Table CDC-A).</w:t>
            </w:r>
          </w:p>
        </w:tc>
      </w:tr>
    </w:tbl>
    <w:p w14:paraId="05B08F5D" w14:textId="77777777" w:rsidR="00B852BD" w:rsidRPr="00463667" w:rsidRDefault="00B852BD" w:rsidP="00B852BD">
      <w:pPr>
        <w:pStyle w:val="TableHeadNotCondensed"/>
      </w:pPr>
      <w:r w:rsidRPr="00463667">
        <w:t>Table CDC-A: Prescriptions to Identify Members With Diabetes</w:t>
      </w:r>
    </w:p>
    <w:tbl>
      <w:tblPr>
        <w:tblW w:w="8963" w:type="dxa"/>
        <w:tblInd w:w="54" w:type="dxa"/>
        <w:tblCellMar>
          <w:left w:w="0" w:type="dxa"/>
          <w:right w:w="0" w:type="dxa"/>
        </w:tblCellMar>
        <w:tblLook w:val="04A0" w:firstRow="1" w:lastRow="0" w:firstColumn="1" w:lastColumn="0" w:noHBand="0" w:noVBand="1"/>
      </w:tblPr>
      <w:tblGrid>
        <w:gridCol w:w="2340"/>
        <w:gridCol w:w="2250"/>
        <w:gridCol w:w="2160"/>
        <w:gridCol w:w="2213"/>
      </w:tblGrid>
      <w:tr w:rsidR="00B852BD" w:rsidRPr="00463667" w14:paraId="322CF2E2" w14:textId="77777777" w:rsidTr="26BDA416">
        <w:tc>
          <w:tcPr>
            <w:tcW w:w="2340" w:type="dxa"/>
            <w:tcBorders>
              <w:top w:val="single" w:sz="8" w:space="0" w:color="auto"/>
              <w:left w:val="single" w:sz="8" w:space="0" w:color="auto"/>
              <w:bottom w:val="single" w:sz="4" w:space="0" w:color="auto"/>
              <w:right w:val="single" w:sz="8" w:space="0" w:color="FFFFFF" w:themeColor="background1"/>
            </w:tcBorders>
            <w:shd w:val="clear" w:color="auto" w:fill="000000" w:themeFill="text1"/>
            <w:tcMar>
              <w:top w:w="0" w:type="dxa"/>
              <w:left w:w="54" w:type="dxa"/>
              <w:bottom w:w="0" w:type="dxa"/>
              <w:right w:w="54" w:type="dxa"/>
            </w:tcMar>
            <w:hideMark/>
          </w:tcPr>
          <w:p w14:paraId="61788B05" w14:textId="77777777" w:rsidR="00B852BD" w:rsidRPr="00463667" w:rsidRDefault="00B852BD" w:rsidP="00F578E0">
            <w:pPr>
              <w:pStyle w:val="TableHead"/>
              <w:rPr>
                <w:color w:val="auto"/>
              </w:rPr>
            </w:pPr>
            <w:r w:rsidRPr="00463667">
              <w:rPr>
                <w:color w:val="auto"/>
              </w:rPr>
              <w:t>Description</w:t>
            </w:r>
          </w:p>
        </w:tc>
        <w:tc>
          <w:tcPr>
            <w:tcW w:w="6623" w:type="dxa"/>
            <w:gridSpan w:val="3"/>
            <w:tcBorders>
              <w:top w:val="single" w:sz="8" w:space="0" w:color="auto"/>
              <w:left w:val="nil"/>
              <w:bottom w:val="single" w:sz="4" w:space="0" w:color="auto"/>
              <w:right w:val="single" w:sz="8" w:space="0" w:color="auto"/>
            </w:tcBorders>
            <w:shd w:val="clear" w:color="auto" w:fill="000000" w:themeFill="text1"/>
            <w:tcMar>
              <w:top w:w="0" w:type="dxa"/>
              <w:left w:w="54" w:type="dxa"/>
              <w:bottom w:w="0" w:type="dxa"/>
              <w:right w:w="54" w:type="dxa"/>
            </w:tcMar>
            <w:hideMark/>
          </w:tcPr>
          <w:p w14:paraId="687A2D69" w14:textId="77777777" w:rsidR="00B852BD" w:rsidRPr="00463667" w:rsidRDefault="00B852BD" w:rsidP="00F578E0">
            <w:pPr>
              <w:pStyle w:val="TableHead"/>
              <w:rPr>
                <w:color w:val="auto"/>
              </w:rPr>
            </w:pPr>
            <w:r w:rsidRPr="00463667">
              <w:rPr>
                <w:color w:val="auto"/>
              </w:rPr>
              <w:t>Prescription</w:t>
            </w:r>
          </w:p>
        </w:tc>
      </w:tr>
      <w:tr w:rsidR="00B852BD" w:rsidRPr="00463667" w14:paraId="01569920" w14:textId="77777777" w:rsidTr="00462BA8">
        <w:tc>
          <w:tcPr>
            <w:tcW w:w="2340" w:type="dxa"/>
            <w:tcBorders>
              <w:top w:val="single" w:sz="4" w:space="0" w:color="auto"/>
              <w:left w:val="single" w:sz="8" w:space="0" w:color="auto"/>
              <w:bottom w:val="single" w:sz="8" w:space="0" w:color="auto"/>
              <w:right w:val="single" w:sz="8" w:space="0" w:color="auto"/>
            </w:tcBorders>
            <w:tcMar>
              <w:top w:w="0" w:type="dxa"/>
              <w:left w:w="115" w:type="dxa"/>
              <w:bottom w:w="0" w:type="dxa"/>
              <w:right w:w="115" w:type="dxa"/>
            </w:tcMar>
            <w:hideMark/>
          </w:tcPr>
          <w:p w14:paraId="016E847F" w14:textId="77777777" w:rsidR="00B852BD" w:rsidRPr="00463667" w:rsidRDefault="00B852BD" w:rsidP="00F578E0">
            <w:pPr>
              <w:pStyle w:val="TableText"/>
              <w:spacing w:before="30" w:after="30"/>
              <w:rPr>
                <w:szCs w:val="20"/>
              </w:rPr>
            </w:pPr>
            <w:r w:rsidRPr="00463667">
              <w:t>Alpha-glucosidase inhibitors</w:t>
            </w:r>
          </w:p>
        </w:tc>
        <w:tc>
          <w:tcPr>
            <w:tcW w:w="2250" w:type="dxa"/>
            <w:tcBorders>
              <w:top w:val="single" w:sz="4" w:space="0" w:color="auto"/>
              <w:left w:val="nil"/>
              <w:bottom w:val="single" w:sz="8" w:space="0" w:color="auto"/>
              <w:right w:val="nil"/>
            </w:tcBorders>
            <w:tcMar>
              <w:top w:w="0" w:type="dxa"/>
              <w:left w:w="72" w:type="dxa"/>
              <w:bottom w:w="0" w:type="dxa"/>
              <w:right w:w="72" w:type="dxa"/>
            </w:tcMar>
            <w:hideMark/>
          </w:tcPr>
          <w:p w14:paraId="07DDBF0D" w14:textId="77777777" w:rsidR="00B852BD" w:rsidRPr="00462BA8" w:rsidRDefault="00B852BD" w:rsidP="00621275">
            <w:pPr>
              <w:pStyle w:val="TableBullet"/>
            </w:pPr>
            <w:r w:rsidRPr="00462BA8">
              <w:t>Acarbose</w:t>
            </w:r>
          </w:p>
        </w:tc>
        <w:tc>
          <w:tcPr>
            <w:tcW w:w="4373" w:type="dxa"/>
            <w:gridSpan w:val="2"/>
            <w:tcBorders>
              <w:top w:val="single" w:sz="4" w:space="0" w:color="auto"/>
              <w:left w:val="nil"/>
              <w:bottom w:val="single" w:sz="8" w:space="0" w:color="auto"/>
              <w:right w:val="single" w:sz="8" w:space="0" w:color="auto"/>
            </w:tcBorders>
            <w:tcMar>
              <w:top w:w="0" w:type="dxa"/>
              <w:left w:w="72" w:type="dxa"/>
              <w:bottom w:w="0" w:type="dxa"/>
              <w:right w:w="72" w:type="dxa"/>
            </w:tcMar>
            <w:hideMark/>
          </w:tcPr>
          <w:p w14:paraId="60F71111" w14:textId="77777777" w:rsidR="00B852BD" w:rsidRPr="00462BA8" w:rsidRDefault="00B852BD" w:rsidP="00621275">
            <w:pPr>
              <w:pStyle w:val="TableBullet"/>
            </w:pPr>
            <w:r w:rsidRPr="00462BA8">
              <w:t>Miglitol</w:t>
            </w:r>
          </w:p>
        </w:tc>
      </w:tr>
      <w:tr w:rsidR="00B852BD" w:rsidRPr="00463667" w14:paraId="66F21B6C" w14:textId="77777777" w:rsidTr="00462BA8">
        <w:tc>
          <w:tcPr>
            <w:tcW w:w="234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73B1D551" w14:textId="77777777" w:rsidR="00B852BD" w:rsidRPr="00463667" w:rsidRDefault="00B852BD" w:rsidP="00F578E0">
            <w:pPr>
              <w:pStyle w:val="TableText"/>
              <w:spacing w:before="30" w:after="30"/>
            </w:pPr>
            <w:r w:rsidRPr="00463667">
              <w:t>Amylin analogs</w:t>
            </w:r>
          </w:p>
        </w:tc>
        <w:tc>
          <w:tcPr>
            <w:tcW w:w="2250" w:type="dxa"/>
            <w:tcBorders>
              <w:top w:val="nil"/>
              <w:left w:val="nil"/>
              <w:bottom w:val="single" w:sz="8" w:space="0" w:color="auto"/>
              <w:right w:val="nil"/>
            </w:tcBorders>
            <w:shd w:val="clear" w:color="auto" w:fill="D9D9D9" w:themeFill="background1" w:themeFillShade="D9"/>
            <w:tcMar>
              <w:top w:w="0" w:type="dxa"/>
              <w:left w:w="72" w:type="dxa"/>
              <w:bottom w:w="0" w:type="dxa"/>
              <w:right w:w="72" w:type="dxa"/>
            </w:tcMar>
            <w:hideMark/>
          </w:tcPr>
          <w:p w14:paraId="0851811C" w14:textId="77777777" w:rsidR="00B852BD" w:rsidRPr="00462BA8" w:rsidRDefault="00B852BD" w:rsidP="00621275">
            <w:pPr>
              <w:pStyle w:val="TableBullet"/>
            </w:pPr>
            <w:r w:rsidRPr="00462BA8">
              <w:t xml:space="preserve">Pramlinitide </w:t>
            </w:r>
          </w:p>
        </w:tc>
        <w:tc>
          <w:tcPr>
            <w:tcW w:w="4373" w:type="dxa"/>
            <w:gridSpan w:val="2"/>
            <w:tcBorders>
              <w:top w:val="nil"/>
              <w:left w:val="nil"/>
              <w:bottom w:val="single" w:sz="8" w:space="0" w:color="auto"/>
              <w:right w:val="single" w:sz="8" w:space="0" w:color="auto"/>
            </w:tcBorders>
            <w:shd w:val="clear" w:color="auto" w:fill="D9D9D9" w:themeFill="background1" w:themeFillShade="D9"/>
            <w:tcMar>
              <w:top w:w="0" w:type="dxa"/>
              <w:left w:w="72" w:type="dxa"/>
              <w:bottom w:w="0" w:type="dxa"/>
              <w:right w:w="72" w:type="dxa"/>
            </w:tcMar>
          </w:tcPr>
          <w:p w14:paraId="39D2CC3D" w14:textId="77777777" w:rsidR="00B852BD" w:rsidRPr="00462BA8" w:rsidRDefault="00B852BD" w:rsidP="004E5025">
            <w:pPr>
              <w:pStyle w:val="TableText"/>
            </w:pPr>
          </w:p>
        </w:tc>
      </w:tr>
      <w:tr w:rsidR="00B852BD" w:rsidRPr="00463667" w14:paraId="4C04B803" w14:textId="77777777" w:rsidTr="00462BA8">
        <w:tc>
          <w:tcPr>
            <w:tcW w:w="2340" w:type="dxa"/>
            <w:tcBorders>
              <w:top w:val="nil"/>
              <w:left w:val="single" w:sz="8" w:space="0" w:color="auto"/>
              <w:bottom w:val="single" w:sz="8" w:space="0" w:color="auto"/>
              <w:right w:val="single" w:sz="8" w:space="0" w:color="auto"/>
            </w:tcBorders>
            <w:shd w:val="clear" w:color="auto" w:fill="FFFFFF" w:themeFill="background1"/>
            <w:tcMar>
              <w:top w:w="0" w:type="dxa"/>
              <w:left w:w="115" w:type="dxa"/>
              <w:bottom w:w="0" w:type="dxa"/>
              <w:right w:w="115" w:type="dxa"/>
            </w:tcMar>
            <w:hideMark/>
          </w:tcPr>
          <w:p w14:paraId="7112E136" w14:textId="77777777" w:rsidR="00B852BD" w:rsidRPr="00463667" w:rsidRDefault="00B852BD" w:rsidP="00F578E0">
            <w:pPr>
              <w:pStyle w:val="TableText"/>
              <w:spacing w:before="30" w:after="30"/>
            </w:pPr>
            <w:r w:rsidRPr="00463667">
              <w:t>Antidiabetic combinations</w:t>
            </w:r>
          </w:p>
        </w:tc>
        <w:tc>
          <w:tcPr>
            <w:tcW w:w="2250" w:type="dxa"/>
            <w:tcBorders>
              <w:top w:val="nil"/>
              <w:left w:val="nil"/>
              <w:bottom w:val="single" w:sz="8" w:space="0" w:color="auto"/>
              <w:right w:val="nil"/>
            </w:tcBorders>
            <w:shd w:val="clear" w:color="auto" w:fill="FFFFFF" w:themeFill="background1"/>
            <w:tcMar>
              <w:top w:w="0" w:type="dxa"/>
              <w:left w:w="72" w:type="dxa"/>
              <w:bottom w:w="0" w:type="dxa"/>
              <w:right w:w="72" w:type="dxa"/>
            </w:tcMar>
            <w:hideMark/>
          </w:tcPr>
          <w:p w14:paraId="7C56D2CB" w14:textId="77777777" w:rsidR="00B852BD" w:rsidRPr="00462BA8" w:rsidRDefault="00B852BD" w:rsidP="00621275">
            <w:pPr>
              <w:pStyle w:val="TableBullet"/>
            </w:pPr>
            <w:r w:rsidRPr="00462BA8">
              <w:t xml:space="preserve">Alogliptin-metformin </w:t>
            </w:r>
          </w:p>
          <w:p w14:paraId="29E1B174" w14:textId="77777777" w:rsidR="00B852BD" w:rsidRPr="00462BA8" w:rsidRDefault="00B852BD" w:rsidP="00621275">
            <w:pPr>
              <w:pStyle w:val="TableBullet"/>
            </w:pPr>
            <w:r w:rsidRPr="00462BA8">
              <w:t>Alogliptin-pioglitazone</w:t>
            </w:r>
          </w:p>
          <w:p w14:paraId="526184C8" w14:textId="77777777" w:rsidR="00613EA7" w:rsidRPr="00462BA8" w:rsidRDefault="00613EA7" w:rsidP="00621275">
            <w:pPr>
              <w:pStyle w:val="TableBullet"/>
            </w:pPr>
            <w:r w:rsidRPr="00462BA8">
              <w:t>Canagliflozin-metformin</w:t>
            </w:r>
          </w:p>
          <w:p w14:paraId="022FDE1A" w14:textId="77777777" w:rsidR="00B852BD" w:rsidRPr="00462BA8" w:rsidRDefault="00B852BD" w:rsidP="00621275">
            <w:pPr>
              <w:pStyle w:val="TableBullet"/>
            </w:pPr>
            <w:r w:rsidRPr="00462BA8">
              <w:t>Glimepiride-pioglitazone</w:t>
            </w:r>
          </w:p>
          <w:p w14:paraId="01683F13" w14:textId="77777777" w:rsidR="00B852BD" w:rsidRPr="00462BA8" w:rsidRDefault="00B852BD" w:rsidP="00621275">
            <w:pPr>
              <w:pStyle w:val="TableBullet"/>
            </w:pPr>
            <w:r w:rsidRPr="00462BA8">
              <w:t>Glimepiride-rosiglitazone</w:t>
            </w:r>
          </w:p>
          <w:p w14:paraId="17487527" w14:textId="77777777" w:rsidR="00423A47" w:rsidRPr="00462BA8" w:rsidRDefault="00423A47" w:rsidP="00621275">
            <w:pPr>
              <w:pStyle w:val="TableBullet"/>
            </w:pPr>
            <w:r w:rsidRPr="00462BA8">
              <w:t>Glipizide-metformin</w:t>
            </w:r>
          </w:p>
        </w:tc>
        <w:tc>
          <w:tcPr>
            <w:tcW w:w="2160" w:type="dxa"/>
            <w:tcBorders>
              <w:top w:val="nil"/>
              <w:left w:val="nil"/>
              <w:bottom w:val="single" w:sz="8" w:space="0" w:color="auto"/>
              <w:right w:val="nil"/>
            </w:tcBorders>
            <w:shd w:val="clear" w:color="auto" w:fill="FFFFFF" w:themeFill="background1"/>
            <w:tcMar>
              <w:top w:w="0" w:type="dxa"/>
              <w:left w:w="72" w:type="dxa"/>
              <w:bottom w:w="0" w:type="dxa"/>
              <w:right w:w="72" w:type="dxa"/>
            </w:tcMar>
            <w:hideMark/>
          </w:tcPr>
          <w:p w14:paraId="51C31AF3" w14:textId="77777777" w:rsidR="00B852BD" w:rsidRPr="00462BA8" w:rsidRDefault="00B852BD" w:rsidP="00621275">
            <w:pPr>
              <w:pStyle w:val="TableBullet"/>
            </w:pPr>
            <w:r w:rsidRPr="00462BA8">
              <w:t>Glyburide-metformin</w:t>
            </w:r>
          </w:p>
          <w:p w14:paraId="44EDB56C" w14:textId="77777777" w:rsidR="00B852BD" w:rsidRPr="00462BA8" w:rsidRDefault="00B852BD" w:rsidP="00621275">
            <w:pPr>
              <w:pStyle w:val="TableBullet"/>
            </w:pPr>
            <w:r w:rsidRPr="00462BA8">
              <w:t>Linagliptin-metformin</w:t>
            </w:r>
          </w:p>
          <w:p w14:paraId="6E55D7C8" w14:textId="77777777" w:rsidR="00B852BD" w:rsidRPr="00462BA8" w:rsidRDefault="00B852BD" w:rsidP="00621275">
            <w:pPr>
              <w:pStyle w:val="TableBullet"/>
            </w:pPr>
            <w:r w:rsidRPr="00462BA8">
              <w:t>Metformin-pioglitazone</w:t>
            </w:r>
          </w:p>
          <w:p w14:paraId="6E4414E8" w14:textId="77777777" w:rsidR="00B852BD" w:rsidRPr="00462BA8" w:rsidRDefault="00B852BD" w:rsidP="00621275">
            <w:pPr>
              <w:pStyle w:val="TableBullet"/>
            </w:pPr>
            <w:r w:rsidRPr="00462BA8">
              <w:t>Metformin-repaglinide</w:t>
            </w:r>
          </w:p>
          <w:p w14:paraId="44E2EEDC" w14:textId="77777777" w:rsidR="00B852BD" w:rsidRPr="00462BA8" w:rsidRDefault="00B852BD" w:rsidP="00621275">
            <w:pPr>
              <w:pStyle w:val="TableBullet"/>
            </w:pPr>
            <w:r w:rsidRPr="00462BA8">
              <w:t>Metformin-rosiglitazone</w:t>
            </w:r>
          </w:p>
          <w:p w14:paraId="50F23B06" w14:textId="77777777" w:rsidR="00423A47" w:rsidRPr="00462BA8" w:rsidRDefault="00423A47" w:rsidP="00621275">
            <w:pPr>
              <w:pStyle w:val="TableBullet"/>
            </w:pPr>
            <w:r w:rsidRPr="00462BA8">
              <w:t>Metformin-saxagliptin</w:t>
            </w:r>
          </w:p>
        </w:tc>
        <w:tc>
          <w:tcPr>
            <w:tcW w:w="2213" w:type="dxa"/>
            <w:tcBorders>
              <w:top w:val="nil"/>
              <w:left w:val="nil"/>
              <w:bottom w:val="single" w:sz="8" w:space="0" w:color="auto"/>
              <w:right w:val="single" w:sz="8" w:space="0" w:color="auto"/>
            </w:tcBorders>
            <w:shd w:val="clear" w:color="auto" w:fill="FFFFFF" w:themeFill="background1"/>
            <w:tcMar>
              <w:top w:w="0" w:type="dxa"/>
              <w:left w:w="72" w:type="dxa"/>
              <w:bottom w:w="0" w:type="dxa"/>
              <w:right w:w="72" w:type="dxa"/>
            </w:tcMar>
            <w:hideMark/>
          </w:tcPr>
          <w:p w14:paraId="77CF2B7E" w14:textId="77777777" w:rsidR="00B852BD" w:rsidRPr="00462BA8" w:rsidRDefault="00B852BD" w:rsidP="00621275">
            <w:pPr>
              <w:pStyle w:val="TableBullet"/>
            </w:pPr>
            <w:r w:rsidRPr="00462BA8">
              <w:t>Metformin-sitagliptin</w:t>
            </w:r>
          </w:p>
          <w:p w14:paraId="61C48A91" w14:textId="77777777" w:rsidR="00B852BD" w:rsidRPr="00462BA8" w:rsidRDefault="00B852BD" w:rsidP="00621275">
            <w:pPr>
              <w:pStyle w:val="TableBullet"/>
            </w:pPr>
            <w:r w:rsidRPr="00462BA8">
              <w:t xml:space="preserve">Sitagliptin-simvastatin </w:t>
            </w:r>
          </w:p>
        </w:tc>
      </w:tr>
      <w:tr w:rsidR="00B852BD" w:rsidRPr="00463667" w14:paraId="7E458B2D" w14:textId="77777777" w:rsidTr="00462BA8">
        <w:tc>
          <w:tcPr>
            <w:tcW w:w="234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6C143509" w14:textId="5BBEC8AC" w:rsidR="00B852BD" w:rsidRPr="00463667" w:rsidRDefault="00B852BD" w:rsidP="00F578E0">
            <w:pPr>
              <w:pStyle w:val="TableText"/>
              <w:spacing w:before="30" w:after="30"/>
            </w:pPr>
            <w:r w:rsidRPr="00463667">
              <w:t>Insulin</w:t>
            </w:r>
          </w:p>
        </w:tc>
        <w:tc>
          <w:tcPr>
            <w:tcW w:w="2250" w:type="dxa"/>
            <w:tcBorders>
              <w:top w:val="nil"/>
              <w:left w:val="nil"/>
              <w:bottom w:val="single" w:sz="8" w:space="0" w:color="auto"/>
              <w:right w:val="nil"/>
            </w:tcBorders>
            <w:shd w:val="clear" w:color="auto" w:fill="D9D9D9" w:themeFill="background1" w:themeFillShade="D9"/>
            <w:tcMar>
              <w:top w:w="0" w:type="dxa"/>
              <w:left w:w="72" w:type="dxa"/>
              <w:bottom w:w="0" w:type="dxa"/>
              <w:right w:w="72" w:type="dxa"/>
            </w:tcMar>
            <w:hideMark/>
          </w:tcPr>
          <w:p w14:paraId="5E439454" w14:textId="77777777" w:rsidR="00B852BD" w:rsidRPr="00462BA8" w:rsidRDefault="00B852BD" w:rsidP="00621275">
            <w:pPr>
              <w:pStyle w:val="TableBullet"/>
            </w:pPr>
            <w:r w:rsidRPr="00462BA8">
              <w:t xml:space="preserve">Insulin aspart </w:t>
            </w:r>
          </w:p>
          <w:p w14:paraId="619E304F" w14:textId="77777777" w:rsidR="00B852BD" w:rsidRPr="00462BA8" w:rsidRDefault="00B852BD" w:rsidP="00621275">
            <w:pPr>
              <w:pStyle w:val="TableBullet"/>
            </w:pPr>
            <w:r w:rsidRPr="00462BA8">
              <w:t xml:space="preserve">Insulin aspart-insulin aspart protamine </w:t>
            </w:r>
          </w:p>
          <w:p w14:paraId="0CB01FB8" w14:textId="77777777" w:rsidR="00B852BD" w:rsidRPr="00462BA8" w:rsidRDefault="00B852BD" w:rsidP="00621275">
            <w:pPr>
              <w:pStyle w:val="TableBullet"/>
            </w:pPr>
            <w:r w:rsidRPr="00462BA8">
              <w:t>Insulin detemir</w:t>
            </w:r>
          </w:p>
          <w:p w14:paraId="5BBD813A" w14:textId="77777777" w:rsidR="00B852BD" w:rsidRPr="00462BA8" w:rsidRDefault="00B852BD" w:rsidP="00621275">
            <w:pPr>
              <w:pStyle w:val="TableBullet"/>
            </w:pPr>
            <w:r w:rsidRPr="00462BA8">
              <w:t>Insulin glargine</w:t>
            </w:r>
          </w:p>
          <w:p w14:paraId="10136E6E" w14:textId="77777777" w:rsidR="00B852BD" w:rsidRPr="00462BA8" w:rsidRDefault="00B852BD" w:rsidP="00621275">
            <w:pPr>
              <w:pStyle w:val="TableBullet"/>
            </w:pPr>
            <w:r w:rsidRPr="00462BA8">
              <w:t>Insulin glulisine</w:t>
            </w:r>
          </w:p>
        </w:tc>
        <w:tc>
          <w:tcPr>
            <w:tcW w:w="4373" w:type="dxa"/>
            <w:gridSpan w:val="2"/>
            <w:tcBorders>
              <w:top w:val="nil"/>
              <w:left w:val="nil"/>
              <w:bottom w:val="single" w:sz="8" w:space="0" w:color="auto"/>
              <w:right w:val="single" w:sz="8" w:space="0" w:color="auto"/>
            </w:tcBorders>
            <w:shd w:val="clear" w:color="auto" w:fill="D9D9D9" w:themeFill="background1" w:themeFillShade="D9"/>
            <w:tcMar>
              <w:top w:w="0" w:type="dxa"/>
              <w:left w:w="72" w:type="dxa"/>
              <w:bottom w:w="0" w:type="dxa"/>
              <w:right w:w="72" w:type="dxa"/>
            </w:tcMar>
            <w:hideMark/>
          </w:tcPr>
          <w:p w14:paraId="54803C10" w14:textId="77777777" w:rsidR="00B852BD" w:rsidRPr="00462BA8" w:rsidRDefault="00B852BD" w:rsidP="00621275">
            <w:pPr>
              <w:pStyle w:val="TableBullet"/>
            </w:pPr>
            <w:r w:rsidRPr="00462BA8">
              <w:t>Insulin isophane human</w:t>
            </w:r>
          </w:p>
          <w:p w14:paraId="568D244D" w14:textId="77777777" w:rsidR="00B852BD" w:rsidRPr="00462BA8" w:rsidRDefault="00B852BD" w:rsidP="00621275">
            <w:pPr>
              <w:pStyle w:val="TableBullet"/>
            </w:pPr>
            <w:r w:rsidRPr="00462BA8">
              <w:t>Insulin isophane-insulin regular</w:t>
            </w:r>
          </w:p>
          <w:p w14:paraId="7FB68CCA" w14:textId="77777777" w:rsidR="00B852BD" w:rsidRPr="00462BA8" w:rsidRDefault="00B852BD" w:rsidP="00621275">
            <w:pPr>
              <w:pStyle w:val="TableBullet"/>
            </w:pPr>
            <w:r w:rsidRPr="00462BA8">
              <w:t>Insulin lispro</w:t>
            </w:r>
          </w:p>
          <w:p w14:paraId="19441407" w14:textId="77777777" w:rsidR="00B852BD" w:rsidRPr="00462BA8" w:rsidRDefault="00B852BD" w:rsidP="00621275">
            <w:pPr>
              <w:pStyle w:val="TableBullet"/>
            </w:pPr>
            <w:r w:rsidRPr="00462BA8">
              <w:t xml:space="preserve">Insulin lispro-insulin lispro protamine </w:t>
            </w:r>
          </w:p>
          <w:p w14:paraId="63C100B8" w14:textId="77777777" w:rsidR="00B852BD" w:rsidRPr="00462BA8" w:rsidRDefault="00B852BD" w:rsidP="00621275">
            <w:pPr>
              <w:pStyle w:val="TableBullet"/>
            </w:pPr>
            <w:r w:rsidRPr="00462BA8">
              <w:t>Insulin regular human</w:t>
            </w:r>
          </w:p>
        </w:tc>
      </w:tr>
      <w:tr w:rsidR="00B852BD" w:rsidRPr="00463667" w14:paraId="731943A3" w14:textId="77777777" w:rsidTr="00462BA8">
        <w:tc>
          <w:tcPr>
            <w:tcW w:w="2340" w:type="dxa"/>
            <w:tcBorders>
              <w:top w:val="nil"/>
              <w:left w:val="single" w:sz="8" w:space="0" w:color="auto"/>
              <w:bottom w:val="single" w:sz="8" w:space="0" w:color="auto"/>
              <w:right w:val="single" w:sz="8" w:space="0" w:color="auto"/>
            </w:tcBorders>
            <w:shd w:val="clear" w:color="auto" w:fill="FFFFFF" w:themeFill="background1"/>
            <w:tcMar>
              <w:top w:w="0" w:type="dxa"/>
              <w:left w:w="115" w:type="dxa"/>
              <w:bottom w:w="0" w:type="dxa"/>
              <w:right w:w="115" w:type="dxa"/>
            </w:tcMar>
            <w:hideMark/>
          </w:tcPr>
          <w:p w14:paraId="4CF9329C" w14:textId="77777777" w:rsidR="00B852BD" w:rsidRPr="00463667" w:rsidRDefault="00B852BD" w:rsidP="00F578E0">
            <w:pPr>
              <w:pStyle w:val="TableText"/>
              <w:spacing w:before="30" w:after="30"/>
            </w:pPr>
            <w:r w:rsidRPr="00463667">
              <w:t>Meglitinides</w:t>
            </w:r>
          </w:p>
        </w:tc>
        <w:tc>
          <w:tcPr>
            <w:tcW w:w="2250" w:type="dxa"/>
            <w:tcBorders>
              <w:top w:val="nil"/>
              <w:left w:val="nil"/>
              <w:bottom w:val="single" w:sz="8" w:space="0" w:color="auto"/>
              <w:right w:val="nil"/>
            </w:tcBorders>
            <w:shd w:val="clear" w:color="auto" w:fill="FFFFFF" w:themeFill="background1"/>
            <w:tcMar>
              <w:top w:w="0" w:type="dxa"/>
              <w:left w:w="72" w:type="dxa"/>
              <w:bottom w:w="0" w:type="dxa"/>
              <w:right w:w="72" w:type="dxa"/>
            </w:tcMar>
            <w:hideMark/>
          </w:tcPr>
          <w:p w14:paraId="0F176EDB" w14:textId="77777777" w:rsidR="00B852BD" w:rsidRPr="00462BA8" w:rsidRDefault="00B852BD" w:rsidP="00621275">
            <w:pPr>
              <w:pStyle w:val="TableBullet"/>
            </w:pPr>
            <w:r w:rsidRPr="00462BA8">
              <w:t>Nateglinide</w:t>
            </w:r>
          </w:p>
        </w:tc>
        <w:tc>
          <w:tcPr>
            <w:tcW w:w="4373" w:type="dxa"/>
            <w:gridSpan w:val="2"/>
            <w:tcBorders>
              <w:top w:val="nil"/>
              <w:left w:val="nil"/>
              <w:bottom w:val="single" w:sz="8" w:space="0" w:color="auto"/>
              <w:right w:val="single" w:sz="8" w:space="0" w:color="auto"/>
            </w:tcBorders>
            <w:shd w:val="clear" w:color="auto" w:fill="FFFFFF" w:themeFill="background1"/>
            <w:tcMar>
              <w:top w:w="0" w:type="dxa"/>
              <w:left w:w="72" w:type="dxa"/>
              <w:bottom w:w="0" w:type="dxa"/>
              <w:right w:w="72" w:type="dxa"/>
            </w:tcMar>
            <w:hideMark/>
          </w:tcPr>
          <w:p w14:paraId="1104756B" w14:textId="77777777" w:rsidR="00B852BD" w:rsidRPr="00462BA8" w:rsidRDefault="00B852BD" w:rsidP="00621275">
            <w:pPr>
              <w:pStyle w:val="TableBullet"/>
            </w:pPr>
            <w:r w:rsidRPr="00462BA8">
              <w:t>Repaglinide</w:t>
            </w:r>
          </w:p>
        </w:tc>
      </w:tr>
      <w:tr w:rsidR="00B852BD" w:rsidRPr="00463667" w14:paraId="086BB0F3" w14:textId="77777777" w:rsidTr="00462BA8">
        <w:tc>
          <w:tcPr>
            <w:tcW w:w="234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2B44C624" w14:textId="77777777" w:rsidR="00B852BD" w:rsidRPr="00463667" w:rsidRDefault="00B852BD" w:rsidP="00F578E0">
            <w:pPr>
              <w:pStyle w:val="TableText"/>
              <w:spacing w:before="30" w:after="30"/>
            </w:pPr>
            <w:r w:rsidRPr="00463667">
              <w:t xml:space="preserve">Glucagon-like peptide-1 (GLP1) agonists </w:t>
            </w:r>
          </w:p>
        </w:tc>
        <w:tc>
          <w:tcPr>
            <w:tcW w:w="2250" w:type="dxa"/>
            <w:tcBorders>
              <w:top w:val="nil"/>
              <w:left w:val="nil"/>
              <w:bottom w:val="single" w:sz="8" w:space="0" w:color="auto"/>
              <w:right w:val="nil"/>
            </w:tcBorders>
            <w:shd w:val="clear" w:color="auto" w:fill="D9D9D9" w:themeFill="background1" w:themeFillShade="D9"/>
            <w:tcMar>
              <w:top w:w="0" w:type="dxa"/>
              <w:left w:w="72" w:type="dxa"/>
              <w:bottom w:w="0" w:type="dxa"/>
              <w:right w:w="72" w:type="dxa"/>
            </w:tcMar>
            <w:hideMark/>
          </w:tcPr>
          <w:p w14:paraId="08722BB9" w14:textId="77777777" w:rsidR="00B852BD" w:rsidRPr="00462BA8" w:rsidRDefault="00B852BD" w:rsidP="00621275">
            <w:pPr>
              <w:pStyle w:val="TableBullet"/>
            </w:pPr>
            <w:r w:rsidRPr="00462BA8">
              <w:t>Exenatide</w:t>
            </w:r>
          </w:p>
        </w:tc>
        <w:tc>
          <w:tcPr>
            <w:tcW w:w="2160" w:type="dxa"/>
            <w:tcBorders>
              <w:top w:val="nil"/>
              <w:left w:val="nil"/>
              <w:bottom w:val="single" w:sz="8" w:space="0" w:color="auto"/>
              <w:right w:val="nil"/>
            </w:tcBorders>
            <w:shd w:val="clear" w:color="auto" w:fill="D9D9D9" w:themeFill="background1" w:themeFillShade="D9"/>
            <w:tcMar>
              <w:top w:w="0" w:type="dxa"/>
              <w:left w:w="72" w:type="dxa"/>
              <w:bottom w:w="0" w:type="dxa"/>
              <w:right w:w="72" w:type="dxa"/>
            </w:tcMar>
            <w:hideMark/>
          </w:tcPr>
          <w:p w14:paraId="1F04071D" w14:textId="1791E705" w:rsidR="00B852BD" w:rsidRPr="00462BA8" w:rsidRDefault="00B852BD" w:rsidP="00621275">
            <w:pPr>
              <w:pStyle w:val="TableBullet"/>
            </w:pPr>
            <w:r w:rsidRPr="00462BA8">
              <w:t>Liraglutide</w:t>
            </w:r>
          </w:p>
        </w:tc>
        <w:tc>
          <w:tcPr>
            <w:tcW w:w="2213" w:type="dxa"/>
            <w:tcBorders>
              <w:top w:val="nil"/>
              <w:left w:val="nil"/>
              <w:bottom w:val="single" w:sz="8" w:space="0" w:color="auto"/>
              <w:right w:val="single" w:sz="8" w:space="0" w:color="auto"/>
            </w:tcBorders>
            <w:shd w:val="clear" w:color="auto" w:fill="D9D9D9" w:themeFill="background1" w:themeFillShade="D9"/>
            <w:tcMar>
              <w:top w:w="0" w:type="dxa"/>
              <w:left w:w="72" w:type="dxa"/>
              <w:bottom w:w="0" w:type="dxa"/>
              <w:right w:w="72" w:type="dxa"/>
            </w:tcMar>
            <w:hideMark/>
          </w:tcPr>
          <w:p w14:paraId="7891B222" w14:textId="77777777" w:rsidR="00B852BD" w:rsidRPr="00462BA8" w:rsidRDefault="00B852BD" w:rsidP="00621275">
            <w:pPr>
              <w:pStyle w:val="TableBullet"/>
            </w:pPr>
            <w:r w:rsidRPr="00462BA8">
              <w:t>Albiglutide</w:t>
            </w:r>
          </w:p>
        </w:tc>
      </w:tr>
      <w:tr w:rsidR="00B852BD" w:rsidRPr="00463667" w14:paraId="20A3EF74" w14:textId="77777777" w:rsidTr="00462BA8">
        <w:tc>
          <w:tcPr>
            <w:tcW w:w="2340" w:type="dxa"/>
            <w:tcBorders>
              <w:top w:val="nil"/>
              <w:left w:val="single" w:sz="8" w:space="0" w:color="auto"/>
              <w:bottom w:val="single" w:sz="8" w:space="0" w:color="auto"/>
              <w:right w:val="single" w:sz="8" w:space="0" w:color="auto"/>
            </w:tcBorders>
            <w:shd w:val="clear" w:color="auto" w:fill="FFFFFF" w:themeFill="background1"/>
            <w:tcMar>
              <w:top w:w="0" w:type="dxa"/>
              <w:left w:w="115" w:type="dxa"/>
              <w:bottom w:w="0" w:type="dxa"/>
              <w:right w:w="115" w:type="dxa"/>
            </w:tcMar>
            <w:hideMark/>
          </w:tcPr>
          <w:p w14:paraId="267011A7" w14:textId="77777777" w:rsidR="00B852BD" w:rsidRPr="00463667" w:rsidRDefault="00B852BD" w:rsidP="00F578E0">
            <w:pPr>
              <w:pStyle w:val="TableText"/>
              <w:spacing w:before="30" w:after="30"/>
            </w:pPr>
            <w:r w:rsidRPr="00463667">
              <w:t>Sodium glucose cotransporter 2 (SGLT2) inhibitor</w:t>
            </w:r>
          </w:p>
        </w:tc>
        <w:tc>
          <w:tcPr>
            <w:tcW w:w="2250" w:type="dxa"/>
            <w:tcBorders>
              <w:top w:val="nil"/>
              <w:left w:val="nil"/>
              <w:bottom w:val="single" w:sz="8" w:space="0" w:color="auto"/>
              <w:right w:val="nil"/>
            </w:tcBorders>
            <w:shd w:val="clear" w:color="auto" w:fill="FFFFFF" w:themeFill="background1"/>
            <w:tcMar>
              <w:top w:w="0" w:type="dxa"/>
              <w:left w:w="72" w:type="dxa"/>
              <w:bottom w:w="0" w:type="dxa"/>
              <w:right w:w="72" w:type="dxa"/>
            </w:tcMar>
            <w:hideMark/>
          </w:tcPr>
          <w:p w14:paraId="3461F010" w14:textId="77777777" w:rsidR="00B852BD" w:rsidRPr="00462BA8" w:rsidRDefault="00B852BD" w:rsidP="00621275">
            <w:pPr>
              <w:pStyle w:val="TableBullet"/>
            </w:pPr>
            <w:r w:rsidRPr="00462BA8">
              <w:t>Canagliflozin</w:t>
            </w:r>
          </w:p>
        </w:tc>
        <w:tc>
          <w:tcPr>
            <w:tcW w:w="2160" w:type="dxa"/>
            <w:tcBorders>
              <w:top w:val="nil"/>
              <w:left w:val="nil"/>
              <w:bottom w:val="single" w:sz="8" w:space="0" w:color="auto"/>
              <w:right w:val="nil"/>
            </w:tcBorders>
            <w:shd w:val="clear" w:color="auto" w:fill="FFFFFF" w:themeFill="background1"/>
            <w:tcMar>
              <w:top w:w="0" w:type="dxa"/>
              <w:left w:w="72" w:type="dxa"/>
              <w:bottom w:w="0" w:type="dxa"/>
              <w:right w:w="72" w:type="dxa"/>
            </w:tcMar>
            <w:hideMark/>
          </w:tcPr>
          <w:p w14:paraId="2C4358BA" w14:textId="77777777" w:rsidR="00B852BD" w:rsidRPr="00462BA8" w:rsidRDefault="00B852BD" w:rsidP="00621275">
            <w:pPr>
              <w:pStyle w:val="TableBullet"/>
            </w:pPr>
            <w:r w:rsidRPr="00462BA8">
              <w:t>Dapagliflozin</w:t>
            </w:r>
          </w:p>
        </w:tc>
        <w:tc>
          <w:tcPr>
            <w:tcW w:w="2213" w:type="dxa"/>
            <w:tcBorders>
              <w:right w:val="single" w:sz="8" w:space="0" w:color="auto"/>
            </w:tcBorders>
            <w:shd w:val="clear" w:color="auto" w:fill="FFFFFF" w:themeFill="background1"/>
            <w:tcMar>
              <w:top w:w="0" w:type="dxa"/>
              <w:left w:w="72" w:type="dxa"/>
              <w:bottom w:w="0" w:type="dxa"/>
              <w:right w:w="72" w:type="dxa"/>
            </w:tcMar>
          </w:tcPr>
          <w:p w14:paraId="2EAF92EA" w14:textId="77777777" w:rsidR="00B852BD" w:rsidRPr="00462BA8" w:rsidRDefault="00613EA7" w:rsidP="00621275">
            <w:pPr>
              <w:pStyle w:val="TableBullet"/>
            </w:pPr>
            <w:r w:rsidRPr="00462BA8">
              <w:t>Empagliflozin</w:t>
            </w:r>
          </w:p>
        </w:tc>
      </w:tr>
      <w:tr w:rsidR="00B852BD" w:rsidRPr="00463667" w14:paraId="580F3774" w14:textId="77777777" w:rsidTr="00462BA8">
        <w:tc>
          <w:tcPr>
            <w:tcW w:w="234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hideMark/>
          </w:tcPr>
          <w:p w14:paraId="4C2603D1" w14:textId="77777777" w:rsidR="00B852BD" w:rsidRPr="00463667" w:rsidRDefault="00B852BD" w:rsidP="00F578E0">
            <w:pPr>
              <w:pStyle w:val="TableText"/>
              <w:spacing w:before="30" w:after="30"/>
            </w:pPr>
            <w:r w:rsidRPr="00463667">
              <w:t>Sulfonylureas</w:t>
            </w:r>
          </w:p>
        </w:tc>
        <w:tc>
          <w:tcPr>
            <w:tcW w:w="2250" w:type="dxa"/>
            <w:tcBorders>
              <w:top w:val="nil"/>
              <w:left w:val="nil"/>
              <w:bottom w:val="single" w:sz="8" w:space="0" w:color="auto"/>
              <w:right w:val="nil"/>
            </w:tcBorders>
            <w:shd w:val="clear" w:color="auto" w:fill="D9D9D9" w:themeFill="background1" w:themeFillShade="D9"/>
            <w:tcMar>
              <w:top w:w="0" w:type="dxa"/>
              <w:left w:w="72" w:type="dxa"/>
              <w:bottom w:w="0" w:type="dxa"/>
              <w:right w:w="72" w:type="dxa"/>
            </w:tcMar>
            <w:hideMark/>
          </w:tcPr>
          <w:p w14:paraId="696D381F" w14:textId="77777777" w:rsidR="00B852BD" w:rsidRPr="00462BA8" w:rsidRDefault="00B852BD" w:rsidP="00621275">
            <w:pPr>
              <w:pStyle w:val="TableBullet"/>
            </w:pPr>
            <w:r w:rsidRPr="00462BA8">
              <w:t>Chlorpropamide</w:t>
            </w:r>
          </w:p>
          <w:p w14:paraId="1E0EFD3E" w14:textId="77777777" w:rsidR="00B852BD" w:rsidRPr="00462BA8" w:rsidRDefault="00B852BD" w:rsidP="00621275">
            <w:pPr>
              <w:pStyle w:val="TableBullet"/>
            </w:pPr>
            <w:r w:rsidRPr="00462BA8">
              <w:t>Glimepiride</w:t>
            </w:r>
          </w:p>
        </w:tc>
        <w:tc>
          <w:tcPr>
            <w:tcW w:w="2160" w:type="dxa"/>
            <w:tcBorders>
              <w:top w:val="nil"/>
              <w:left w:val="nil"/>
              <w:bottom w:val="single" w:sz="8" w:space="0" w:color="auto"/>
              <w:right w:val="nil"/>
            </w:tcBorders>
            <w:shd w:val="clear" w:color="auto" w:fill="D9D9D9" w:themeFill="background1" w:themeFillShade="D9"/>
            <w:tcMar>
              <w:top w:w="0" w:type="dxa"/>
              <w:left w:w="72" w:type="dxa"/>
              <w:bottom w:w="0" w:type="dxa"/>
              <w:right w:w="72" w:type="dxa"/>
            </w:tcMar>
            <w:hideMark/>
          </w:tcPr>
          <w:p w14:paraId="4015F04A" w14:textId="77777777" w:rsidR="00B852BD" w:rsidRPr="00462BA8" w:rsidRDefault="00B852BD" w:rsidP="00621275">
            <w:pPr>
              <w:pStyle w:val="TableBullet"/>
            </w:pPr>
            <w:r w:rsidRPr="00462BA8">
              <w:t xml:space="preserve">Glipizide </w:t>
            </w:r>
          </w:p>
          <w:p w14:paraId="24B02CA3" w14:textId="77777777" w:rsidR="00B852BD" w:rsidRPr="00462BA8" w:rsidRDefault="00B852BD" w:rsidP="00621275">
            <w:pPr>
              <w:pStyle w:val="TableBullet"/>
            </w:pPr>
            <w:r w:rsidRPr="00462BA8">
              <w:t>Glyburide</w:t>
            </w:r>
          </w:p>
        </w:tc>
        <w:tc>
          <w:tcPr>
            <w:tcW w:w="2213"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72" w:type="dxa"/>
              <w:bottom w:w="0" w:type="dxa"/>
              <w:right w:w="72" w:type="dxa"/>
            </w:tcMar>
            <w:hideMark/>
          </w:tcPr>
          <w:p w14:paraId="15AD3652" w14:textId="77777777" w:rsidR="00B852BD" w:rsidRPr="00462BA8" w:rsidRDefault="00B852BD" w:rsidP="00621275">
            <w:pPr>
              <w:pStyle w:val="TableBullet"/>
            </w:pPr>
            <w:r w:rsidRPr="00462BA8">
              <w:t xml:space="preserve">Tolazamide </w:t>
            </w:r>
          </w:p>
          <w:p w14:paraId="310997BF" w14:textId="77777777" w:rsidR="00B852BD" w:rsidRPr="00462BA8" w:rsidRDefault="00B852BD" w:rsidP="00621275">
            <w:pPr>
              <w:pStyle w:val="TableBullet"/>
            </w:pPr>
            <w:r w:rsidRPr="00462BA8">
              <w:t>Tolbutamide</w:t>
            </w:r>
          </w:p>
        </w:tc>
      </w:tr>
      <w:tr w:rsidR="00B852BD" w:rsidRPr="00463667" w14:paraId="056F2AA1" w14:textId="77777777" w:rsidTr="00462BA8">
        <w:tc>
          <w:tcPr>
            <w:tcW w:w="2340" w:type="dxa"/>
            <w:tcBorders>
              <w:top w:val="nil"/>
              <w:left w:val="single" w:sz="8" w:space="0" w:color="auto"/>
              <w:bottom w:val="single" w:sz="8" w:space="0" w:color="auto"/>
              <w:right w:val="single" w:sz="8" w:space="0" w:color="auto"/>
            </w:tcBorders>
            <w:shd w:val="clear" w:color="auto" w:fill="FFFFFF" w:themeFill="background1"/>
            <w:tcMar>
              <w:top w:w="0" w:type="dxa"/>
              <w:left w:w="115" w:type="dxa"/>
              <w:bottom w:w="0" w:type="dxa"/>
              <w:right w:w="115" w:type="dxa"/>
            </w:tcMar>
            <w:vAlign w:val="center"/>
            <w:hideMark/>
          </w:tcPr>
          <w:p w14:paraId="5ACF3867" w14:textId="77777777" w:rsidR="00B852BD" w:rsidRPr="00463667" w:rsidRDefault="00B852BD" w:rsidP="00F578E0">
            <w:pPr>
              <w:pStyle w:val="TableText"/>
              <w:spacing w:before="30" w:after="30"/>
            </w:pPr>
            <w:r w:rsidRPr="00463667">
              <w:t>Thiazolidinediones</w:t>
            </w:r>
          </w:p>
        </w:tc>
        <w:tc>
          <w:tcPr>
            <w:tcW w:w="2250" w:type="dxa"/>
            <w:tcBorders>
              <w:top w:val="nil"/>
              <w:left w:val="nil"/>
              <w:bottom w:val="single" w:sz="8" w:space="0" w:color="auto"/>
              <w:right w:val="nil"/>
            </w:tcBorders>
            <w:shd w:val="clear" w:color="auto" w:fill="FFFFFF" w:themeFill="background1"/>
            <w:tcMar>
              <w:top w:w="0" w:type="dxa"/>
              <w:left w:w="72" w:type="dxa"/>
              <w:bottom w:w="0" w:type="dxa"/>
              <w:right w:w="72" w:type="dxa"/>
            </w:tcMar>
            <w:hideMark/>
          </w:tcPr>
          <w:p w14:paraId="5AB3AA66" w14:textId="77777777" w:rsidR="00B852BD" w:rsidRPr="00462BA8" w:rsidRDefault="00B852BD" w:rsidP="00621275">
            <w:pPr>
              <w:pStyle w:val="TableBullet"/>
            </w:pPr>
            <w:r w:rsidRPr="00462BA8">
              <w:t>Pioglitazone</w:t>
            </w:r>
          </w:p>
        </w:tc>
        <w:tc>
          <w:tcPr>
            <w:tcW w:w="2160" w:type="dxa"/>
            <w:tcBorders>
              <w:top w:val="nil"/>
              <w:left w:val="nil"/>
              <w:bottom w:val="single" w:sz="8" w:space="0" w:color="auto"/>
              <w:right w:val="nil"/>
            </w:tcBorders>
            <w:shd w:val="clear" w:color="auto" w:fill="FFFFFF" w:themeFill="background1"/>
            <w:tcMar>
              <w:top w:w="0" w:type="dxa"/>
              <w:left w:w="72" w:type="dxa"/>
              <w:bottom w:w="0" w:type="dxa"/>
              <w:right w:w="72" w:type="dxa"/>
            </w:tcMar>
            <w:hideMark/>
          </w:tcPr>
          <w:p w14:paraId="399CE2DF" w14:textId="77777777" w:rsidR="00B852BD" w:rsidRPr="00462BA8" w:rsidRDefault="00B852BD" w:rsidP="00621275">
            <w:pPr>
              <w:pStyle w:val="TableBullet"/>
            </w:pPr>
            <w:r w:rsidRPr="00462BA8">
              <w:t>Rosiglitazone</w:t>
            </w:r>
          </w:p>
        </w:tc>
        <w:tc>
          <w:tcPr>
            <w:tcW w:w="2213" w:type="dxa"/>
            <w:tcBorders>
              <w:top w:val="nil"/>
              <w:left w:val="nil"/>
              <w:bottom w:val="single" w:sz="8" w:space="0" w:color="auto"/>
              <w:right w:val="single" w:sz="8" w:space="0" w:color="auto"/>
            </w:tcBorders>
            <w:shd w:val="clear" w:color="auto" w:fill="FFFFFF" w:themeFill="background1"/>
            <w:tcMar>
              <w:top w:w="0" w:type="dxa"/>
              <w:left w:w="72" w:type="dxa"/>
              <w:bottom w:w="0" w:type="dxa"/>
              <w:right w:w="72" w:type="dxa"/>
            </w:tcMar>
          </w:tcPr>
          <w:p w14:paraId="52B85A5B" w14:textId="77777777" w:rsidR="00B852BD" w:rsidRPr="00462BA8" w:rsidRDefault="00B852BD" w:rsidP="004E5025">
            <w:pPr>
              <w:pStyle w:val="TableText"/>
            </w:pPr>
          </w:p>
        </w:tc>
      </w:tr>
      <w:tr w:rsidR="00B852BD" w:rsidRPr="00463667" w14:paraId="2FC3BBCE" w14:textId="77777777" w:rsidTr="00462BA8">
        <w:tc>
          <w:tcPr>
            <w:tcW w:w="2340" w:type="dxa"/>
            <w:tcBorders>
              <w:top w:val="nil"/>
              <w:left w:val="single" w:sz="8" w:space="0" w:color="auto"/>
              <w:bottom w:val="single" w:sz="8" w:space="0" w:color="auto"/>
              <w:right w:val="single" w:sz="8" w:space="0" w:color="auto"/>
            </w:tcBorders>
            <w:shd w:val="clear" w:color="auto" w:fill="D9D9D9" w:themeFill="background1" w:themeFillShade="D9"/>
            <w:tcMar>
              <w:top w:w="0" w:type="dxa"/>
              <w:left w:w="115" w:type="dxa"/>
              <w:bottom w:w="0" w:type="dxa"/>
              <w:right w:w="115" w:type="dxa"/>
            </w:tcMar>
            <w:vAlign w:val="center"/>
            <w:hideMark/>
          </w:tcPr>
          <w:p w14:paraId="14C3269A" w14:textId="77777777" w:rsidR="00B852BD" w:rsidRPr="00463667" w:rsidRDefault="00B852BD" w:rsidP="00F578E0">
            <w:pPr>
              <w:pStyle w:val="TableText"/>
              <w:spacing w:before="30" w:after="30"/>
            </w:pPr>
            <w:r w:rsidRPr="00463667">
              <w:t>Dipeptidyl peptidase-4 (DDP-4) inhibitors</w:t>
            </w:r>
          </w:p>
        </w:tc>
        <w:tc>
          <w:tcPr>
            <w:tcW w:w="2250" w:type="dxa"/>
            <w:tcBorders>
              <w:top w:val="nil"/>
              <w:left w:val="nil"/>
              <w:bottom w:val="single" w:sz="8" w:space="0" w:color="auto"/>
              <w:right w:val="nil"/>
            </w:tcBorders>
            <w:shd w:val="clear" w:color="auto" w:fill="D9D9D9" w:themeFill="background1" w:themeFillShade="D9"/>
            <w:tcMar>
              <w:top w:w="0" w:type="dxa"/>
              <w:left w:w="72" w:type="dxa"/>
              <w:bottom w:w="0" w:type="dxa"/>
              <w:right w:w="72" w:type="dxa"/>
            </w:tcMar>
            <w:hideMark/>
          </w:tcPr>
          <w:p w14:paraId="1DAC99B2" w14:textId="77777777" w:rsidR="00B852BD" w:rsidRPr="00462BA8" w:rsidRDefault="00B852BD" w:rsidP="00621275">
            <w:pPr>
              <w:pStyle w:val="TableBullet"/>
            </w:pPr>
            <w:r w:rsidRPr="00462BA8">
              <w:t>Alogliptin</w:t>
            </w:r>
          </w:p>
          <w:p w14:paraId="0190FA8A" w14:textId="77777777" w:rsidR="00B852BD" w:rsidRPr="00462BA8" w:rsidRDefault="00B852BD" w:rsidP="00621275">
            <w:pPr>
              <w:pStyle w:val="TableBullet"/>
            </w:pPr>
            <w:r w:rsidRPr="00462BA8">
              <w:t>Linagliptin</w:t>
            </w:r>
          </w:p>
        </w:tc>
        <w:tc>
          <w:tcPr>
            <w:tcW w:w="2160" w:type="dxa"/>
            <w:tcBorders>
              <w:top w:val="nil"/>
              <w:left w:val="nil"/>
              <w:bottom w:val="single" w:sz="8" w:space="0" w:color="auto"/>
              <w:right w:val="nil"/>
            </w:tcBorders>
            <w:shd w:val="clear" w:color="auto" w:fill="D9D9D9" w:themeFill="background1" w:themeFillShade="D9"/>
            <w:tcMar>
              <w:top w:w="0" w:type="dxa"/>
              <w:left w:w="72" w:type="dxa"/>
              <w:bottom w:w="0" w:type="dxa"/>
              <w:right w:w="72" w:type="dxa"/>
            </w:tcMar>
            <w:hideMark/>
          </w:tcPr>
          <w:p w14:paraId="31E82E71" w14:textId="77777777" w:rsidR="00B852BD" w:rsidRPr="00462BA8" w:rsidRDefault="00B852BD" w:rsidP="00621275">
            <w:pPr>
              <w:pStyle w:val="TableBullet"/>
            </w:pPr>
            <w:r w:rsidRPr="00462BA8">
              <w:t xml:space="preserve">Saxagliptin </w:t>
            </w:r>
          </w:p>
          <w:p w14:paraId="334A6245" w14:textId="77777777" w:rsidR="00B852BD" w:rsidRPr="00462BA8" w:rsidRDefault="00B852BD" w:rsidP="00621275">
            <w:pPr>
              <w:pStyle w:val="TableBullet"/>
            </w:pPr>
            <w:r w:rsidRPr="00462BA8">
              <w:t>Sitaglipin</w:t>
            </w:r>
          </w:p>
        </w:tc>
        <w:tc>
          <w:tcPr>
            <w:tcW w:w="2213" w:type="dxa"/>
            <w:tcBorders>
              <w:top w:val="nil"/>
              <w:left w:val="nil"/>
              <w:bottom w:val="single" w:sz="8" w:space="0" w:color="auto"/>
              <w:right w:val="single" w:sz="8" w:space="0" w:color="auto"/>
            </w:tcBorders>
            <w:shd w:val="clear" w:color="auto" w:fill="D9D9D9" w:themeFill="background1" w:themeFillShade="D9"/>
            <w:tcMar>
              <w:top w:w="0" w:type="dxa"/>
              <w:left w:w="72" w:type="dxa"/>
              <w:bottom w:w="0" w:type="dxa"/>
              <w:right w:w="72" w:type="dxa"/>
            </w:tcMar>
            <w:hideMark/>
          </w:tcPr>
          <w:p w14:paraId="47A8BF67" w14:textId="77777777" w:rsidR="00B852BD" w:rsidRPr="00462BA8" w:rsidRDefault="00B852BD" w:rsidP="004E5025">
            <w:pPr>
              <w:pStyle w:val="TableText"/>
            </w:pPr>
          </w:p>
        </w:tc>
      </w:tr>
    </w:tbl>
    <w:p w14:paraId="0308A6DB" w14:textId="599A9862" w:rsidR="00B852BD" w:rsidRPr="00463667" w:rsidRDefault="00B852BD" w:rsidP="00D25EEC">
      <w:pPr>
        <w:pStyle w:val="Note"/>
        <w:sectPr w:rsidR="00B852BD" w:rsidRPr="00463667" w:rsidSect="007527F3">
          <w:headerReference w:type="even" r:id="rId17"/>
          <w:headerReference w:type="default" r:id="rId18"/>
          <w:footerReference w:type="default" r:id="rId19"/>
          <w:type w:val="oddPage"/>
          <w:pgSz w:w="12240" w:h="15840" w:code="1"/>
          <w:pgMar w:top="1080" w:right="1080" w:bottom="1080" w:left="1440" w:header="720" w:footer="720" w:gutter="0"/>
          <w:cols w:space="720"/>
        </w:sectPr>
      </w:pPr>
      <w:r w:rsidRPr="00463667">
        <w:rPr>
          <w:b/>
        </w:rPr>
        <w:t>Note:</w:t>
      </w:r>
      <w:r w:rsidRPr="00463667">
        <w:t xml:space="preserve"> Glucophage/metformin as a solo agent is not included because it is used to treat conditions other than diabetes; members with diabetes on these medications are identified through diagnosis codes only. NCQA will post a complete list of medications and NDC codes to www.ncqa.org by November </w:t>
      </w:r>
      <w:r w:rsidR="00D0464F">
        <w:t>2</w:t>
      </w:r>
      <w:r w:rsidRPr="00463667">
        <w:t xml:space="preserve">, </w:t>
      </w:r>
      <w:r w:rsidR="00D0464F">
        <w:t>2015</w:t>
      </w:r>
      <w:r w:rsidRPr="00463667">
        <w:t>.</w:t>
      </w:r>
    </w:p>
    <w:p w14:paraId="7DF5CAF0" w14:textId="77777777" w:rsidR="00B852BD" w:rsidRPr="00463667" w:rsidRDefault="00B852BD" w:rsidP="00B852BD">
      <w:pPr>
        <w:pStyle w:val="ReverseHead"/>
        <w:spacing w:before="0"/>
      </w:pPr>
      <w:r w:rsidRPr="00463667">
        <w:lastRenderedPageBreak/>
        <w:t>Administrative Specification</w:t>
      </w:r>
    </w:p>
    <w:tbl>
      <w:tblPr>
        <w:tblW w:w="9828" w:type="dxa"/>
        <w:tblLayout w:type="fixed"/>
        <w:tblLook w:val="0000" w:firstRow="0" w:lastRow="0" w:firstColumn="0" w:lastColumn="0" w:noHBand="0" w:noVBand="0"/>
      </w:tblPr>
      <w:tblGrid>
        <w:gridCol w:w="1998"/>
        <w:gridCol w:w="7830"/>
      </w:tblGrid>
      <w:tr w:rsidR="00B852BD" w:rsidRPr="00463667" w14:paraId="7C6AC284" w14:textId="77777777" w:rsidTr="00F578E0">
        <w:tc>
          <w:tcPr>
            <w:tcW w:w="1998" w:type="dxa"/>
          </w:tcPr>
          <w:p w14:paraId="59775FE9" w14:textId="77777777" w:rsidR="00B852BD" w:rsidRPr="00463667" w:rsidRDefault="00B852BD" w:rsidP="00F578E0">
            <w:pPr>
              <w:pStyle w:val="MarginSubhead"/>
            </w:pPr>
            <w:r w:rsidRPr="00463667">
              <w:t>Denominator</w:t>
            </w:r>
          </w:p>
        </w:tc>
        <w:tc>
          <w:tcPr>
            <w:tcW w:w="7830" w:type="dxa"/>
          </w:tcPr>
          <w:p w14:paraId="53A74ED3" w14:textId="77777777" w:rsidR="00B852BD" w:rsidRPr="00463667" w:rsidRDefault="00B852BD" w:rsidP="00F578E0">
            <w:pPr>
              <w:pStyle w:val="Body"/>
            </w:pPr>
            <w:r w:rsidRPr="00463667">
              <w:t xml:space="preserve">The eligible population. </w:t>
            </w:r>
          </w:p>
          <w:p w14:paraId="5487E50B" w14:textId="77777777" w:rsidR="00B852BD" w:rsidRPr="00463667" w:rsidRDefault="00B852BD" w:rsidP="00F578E0">
            <w:pPr>
              <w:pStyle w:val="Note"/>
              <w:rPr>
                <w:b/>
              </w:rPr>
            </w:pPr>
            <w:r w:rsidRPr="00463667">
              <w:rPr>
                <w:b/>
              </w:rPr>
              <w:t xml:space="preserve">Note: </w:t>
            </w:r>
            <w:r w:rsidRPr="00463667">
              <w:t>The eligible population for the HbA1c Control &lt;7% for a Selected Population indicator is reported after required exclusions are applied.</w:t>
            </w:r>
          </w:p>
        </w:tc>
      </w:tr>
      <w:tr w:rsidR="00B852BD" w:rsidRPr="00463667" w14:paraId="26D51FBB" w14:textId="77777777" w:rsidTr="00F578E0">
        <w:tc>
          <w:tcPr>
            <w:tcW w:w="1998" w:type="dxa"/>
          </w:tcPr>
          <w:p w14:paraId="26B534E5" w14:textId="77777777" w:rsidR="00B852BD" w:rsidRPr="00463667" w:rsidRDefault="00B852BD" w:rsidP="00F578E0">
            <w:pPr>
              <w:pStyle w:val="MarginSubhead"/>
              <w:jc w:val="right"/>
            </w:pPr>
            <w:r w:rsidRPr="00463667">
              <w:rPr>
                <w:i/>
              </w:rPr>
              <w:t xml:space="preserve">Required exclusions for HbA1c Control </w:t>
            </w:r>
            <w:r w:rsidRPr="00463667">
              <w:rPr>
                <w:i/>
              </w:rPr>
              <w:br/>
              <w:t xml:space="preserve">&lt;7% for a Selected Population indicator </w:t>
            </w:r>
          </w:p>
        </w:tc>
        <w:tc>
          <w:tcPr>
            <w:tcW w:w="7830" w:type="dxa"/>
          </w:tcPr>
          <w:p w14:paraId="10BB013F" w14:textId="77777777" w:rsidR="00B852BD" w:rsidRPr="00463667" w:rsidRDefault="00B852BD" w:rsidP="00F578E0">
            <w:pPr>
              <w:pStyle w:val="Body"/>
            </w:pPr>
            <w:r w:rsidRPr="00463667">
              <w:t>Exclude members who meet any of the following criteria:</w:t>
            </w:r>
          </w:p>
          <w:p w14:paraId="712B8F5F" w14:textId="77777777" w:rsidR="00B852BD" w:rsidRPr="00463667" w:rsidRDefault="00B852BD" w:rsidP="00F578E0">
            <w:pPr>
              <w:pStyle w:val="Bullet"/>
              <w:tabs>
                <w:tab w:val="clear" w:pos="576"/>
              </w:tabs>
            </w:pPr>
            <w:r w:rsidRPr="00463667">
              <w:rPr>
                <w:szCs w:val="19"/>
              </w:rPr>
              <w:t>65 years of age and older as of December 31 of the measurement year.</w:t>
            </w:r>
          </w:p>
          <w:p w14:paraId="1AE7F18B" w14:textId="14374FE6" w:rsidR="003814D9" w:rsidRDefault="00B852BD" w:rsidP="003814D9">
            <w:pPr>
              <w:pStyle w:val="Bullet"/>
            </w:pPr>
            <w:r w:rsidRPr="00463667">
              <w:rPr>
                <w:i/>
                <w:iCs/>
              </w:rPr>
              <w:t xml:space="preserve">CABG. </w:t>
            </w:r>
            <w:r w:rsidRPr="00463667">
              <w:t>Members discharged for CABG (</w:t>
            </w:r>
            <w:r w:rsidRPr="00463667">
              <w:rPr>
                <w:u w:val="single"/>
              </w:rPr>
              <w:t>CABG Value Set</w:t>
            </w:r>
            <w:r w:rsidRPr="00463667">
              <w:t xml:space="preserve">) during the measurement year or the year prior to the measurement year. </w:t>
            </w:r>
            <w:r w:rsidR="003814D9">
              <w:t>To identify discharges:</w:t>
            </w:r>
          </w:p>
          <w:p w14:paraId="4F2A181E" w14:textId="77777777" w:rsidR="003814D9" w:rsidRDefault="003814D9" w:rsidP="007527F3">
            <w:pPr>
              <w:pStyle w:val="Bullet"/>
              <w:numPr>
                <w:ilvl w:val="0"/>
                <w:numId w:val="25"/>
              </w:numPr>
              <w:spacing w:before="60"/>
              <w:ind w:left="792"/>
            </w:pPr>
            <w:r>
              <w:t>Identify all acute and nonacute inpatient stays (</w:t>
            </w:r>
            <w:r w:rsidRPr="00453F25">
              <w:rPr>
                <w:u w:val="single"/>
              </w:rPr>
              <w:t>Inpatient Stay Value Set</w:t>
            </w:r>
            <w:r>
              <w:t>).</w:t>
            </w:r>
          </w:p>
          <w:p w14:paraId="2F282646" w14:textId="0ADCC550" w:rsidR="00B852BD" w:rsidRPr="00463667" w:rsidRDefault="003814D9" w:rsidP="007527F3">
            <w:pPr>
              <w:pStyle w:val="Bullet"/>
              <w:numPr>
                <w:ilvl w:val="0"/>
                <w:numId w:val="25"/>
              </w:numPr>
              <w:spacing w:before="60"/>
              <w:ind w:left="792"/>
            </w:pPr>
            <w:r>
              <w:t xml:space="preserve">Identify the discharge date for the stay. </w:t>
            </w:r>
          </w:p>
          <w:p w14:paraId="32512186" w14:textId="77777777" w:rsidR="00B852BD" w:rsidRPr="00463667" w:rsidRDefault="00B852BD" w:rsidP="00F578E0">
            <w:pPr>
              <w:pStyle w:val="Bullet"/>
              <w:tabs>
                <w:tab w:val="clear" w:pos="576"/>
              </w:tabs>
            </w:pPr>
            <w:r w:rsidRPr="00463667">
              <w:rPr>
                <w:i/>
              </w:rPr>
              <w:t>PCI</w:t>
            </w:r>
            <w:r w:rsidRPr="00463667">
              <w:t>. Members who had PCI (</w:t>
            </w:r>
            <w:r w:rsidRPr="00463667">
              <w:rPr>
                <w:u w:val="single"/>
              </w:rPr>
              <w:t>PCI Value Set</w:t>
            </w:r>
            <w:r w:rsidRPr="00463667">
              <w:t>), in any setting, during the measurement year or the year prior to the measurement year.</w:t>
            </w:r>
          </w:p>
          <w:p w14:paraId="6D7FE034" w14:textId="77777777" w:rsidR="00B852BD" w:rsidRPr="00463667" w:rsidRDefault="00B852BD" w:rsidP="00F578E0">
            <w:pPr>
              <w:pStyle w:val="Bullet"/>
              <w:tabs>
                <w:tab w:val="clear" w:pos="576"/>
              </w:tabs>
            </w:pPr>
            <w:r w:rsidRPr="00463667">
              <w:rPr>
                <w:i/>
              </w:rPr>
              <w:t>IVD.</w:t>
            </w:r>
            <w:r w:rsidRPr="00463667">
              <w:t xml:space="preserve"> Members who met at least one of the following criteria during both the measurement year and the year prior to the measurement year. Criteria need not be the same across both years.</w:t>
            </w:r>
          </w:p>
          <w:p w14:paraId="5DC91284" w14:textId="77777777" w:rsidR="00B852BD" w:rsidRPr="00463667" w:rsidRDefault="00B852BD" w:rsidP="00F578E0">
            <w:pPr>
              <w:pStyle w:val="Dash"/>
            </w:pPr>
            <w:r w:rsidRPr="00463667">
              <w:t>At least one outpatient visit (</w:t>
            </w:r>
            <w:r w:rsidRPr="00463667">
              <w:rPr>
                <w:u w:val="single"/>
              </w:rPr>
              <w:t>Outpatient Value Set</w:t>
            </w:r>
            <w:r w:rsidRPr="00463667">
              <w:t>) with an IVD diagnosis (</w:t>
            </w:r>
            <w:r w:rsidRPr="00463667">
              <w:rPr>
                <w:u w:val="single"/>
              </w:rPr>
              <w:t>IVD Value Set</w:t>
            </w:r>
            <w:r w:rsidRPr="00463667">
              <w:t>).</w:t>
            </w:r>
          </w:p>
          <w:p w14:paraId="05D833E3" w14:textId="77777777" w:rsidR="00B852BD" w:rsidRPr="00463667" w:rsidRDefault="00B852BD" w:rsidP="00F578E0">
            <w:pPr>
              <w:pStyle w:val="Dash"/>
            </w:pPr>
            <w:r w:rsidRPr="00463667">
              <w:t>At least one acute inpatient encounter (</w:t>
            </w:r>
            <w:r w:rsidRPr="00463667">
              <w:rPr>
                <w:u w:val="single"/>
              </w:rPr>
              <w:t>Acute Inpatient Value Set</w:t>
            </w:r>
            <w:r w:rsidRPr="00463667">
              <w:t>) with an IVD diagnosis (</w:t>
            </w:r>
            <w:r w:rsidRPr="00463667">
              <w:rPr>
                <w:u w:val="single"/>
              </w:rPr>
              <w:t>IVD Value Set</w:t>
            </w:r>
            <w:r w:rsidRPr="00463667">
              <w:t>).</w:t>
            </w:r>
          </w:p>
          <w:p w14:paraId="524B4E73" w14:textId="77777777" w:rsidR="00B852BD" w:rsidRPr="00463667" w:rsidRDefault="00B852BD" w:rsidP="00F578E0">
            <w:pPr>
              <w:pStyle w:val="Bullet"/>
              <w:tabs>
                <w:tab w:val="clear" w:pos="576"/>
              </w:tabs>
            </w:pPr>
            <w:r w:rsidRPr="00463667">
              <w:rPr>
                <w:i/>
              </w:rPr>
              <w:t>Thoracic aortic aneurysm.</w:t>
            </w:r>
            <w:r w:rsidRPr="00463667">
              <w:t xml:space="preserve"> Members who met at least one of the following criteria during both the measurement year and the year prior to the measurement year. Criteria need not be the same across both years.</w:t>
            </w:r>
          </w:p>
          <w:p w14:paraId="2E0D7A74" w14:textId="77777777" w:rsidR="00B852BD" w:rsidRPr="00463667" w:rsidRDefault="00B852BD" w:rsidP="00F578E0">
            <w:pPr>
              <w:pStyle w:val="Dash"/>
            </w:pPr>
            <w:r w:rsidRPr="00463667">
              <w:t>At least one outpatient visit (</w:t>
            </w:r>
            <w:r w:rsidRPr="00463667">
              <w:rPr>
                <w:u w:val="single"/>
              </w:rPr>
              <w:t>Outpatient Value Set</w:t>
            </w:r>
            <w:r w:rsidRPr="00463667">
              <w:t>), with a diagnosis of thoracic aortic aneurysm (</w:t>
            </w:r>
            <w:r w:rsidRPr="00463667">
              <w:rPr>
                <w:u w:val="single"/>
              </w:rPr>
              <w:t>Thoracic Aortic Aneurysm Value Set</w:t>
            </w:r>
            <w:r w:rsidRPr="00463667">
              <w:t>).</w:t>
            </w:r>
          </w:p>
          <w:p w14:paraId="561F8476" w14:textId="77777777" w:rsidR="00B852BD" w:rsidRPr="00463667" w:rsidRDefault="00B852BD" w:rsidP="00F578E0">
            <w:pPr>
              <w:pStyle w:val="Dash"/>
            </w:pPr>
            <w:r w:rsidRPr="00463667">
              <w:t>At least one acute inpatient encounter (</w:t>
            </w:r>
            <w:r w:rsidRPr="00463667">
              <w:rPr>
                <w:u w:val="single"/>
              </w:rPr>
              <w:t>Acute Inpatient Value Set</w:t>
            </w:r>
            <w:r w:rsidRPr="00463667">
              <w:t>), with a diagnosis of thoracic aortic aneurysm (</w:t>
            </w:r>
            <w:r w:rsidRPr="00463667">
              <w:rPr>
                <w:u w:val="single"/>
              </w:rPr>
              <w:t>Thoracic Aortic Aneurysm Value Set</w:t>
            </w:r>
            <w:r w:rsidRPr="00463667">
              <w:t>).</w:t>
            </w:r>
          </w:p>
          <w:p w14:paraId="12299848" w14:textId="77777777" w:rsidR="00B852BD" w:rsidRPr="00463667" w:rsidRDefault="00B852BD" w:rsidP="00B852BD">
            <w:pPr>
              <w:pStyle w:val="Bullet"/>
              <w:spacing w:before="100"/>
            </w:pPr>
            <w:r w:rsidRPr="00463667">
              <w:t>Any of the following, in any setting, any time during the member</w:t>
            </w:r>
            <w:r w:rsidR="009F0DF0">
              <w:t>’</w:t>
            </w:r>
            <w:r w:rsidRPr="00463667">
              <w:t>s history through December 31 of the measurement year.</w:t>
            </w:r>
          </w:p>
          <w:p w14:paraId="60C3CDD5" w14:textId="77777777" w:rsidR="00B852BD" w:rsidRPr="00463667" w:rsidRDefault="00B852BD" w:rsidP="00F578E0">
            <w:pPr>
              <w:pStyle w:val="Dash"/>
            </w:pPr>
            <w:r w:rsidRPr="00463667">
              <w:rPr>
                <w:i/>
              </w:rPr>
              <w:t>Chronic heart failure</w:t>
            </w:r>
            <w:r w:rsidRPr="00463667">
              <w:t>. A diagnosis of chronic heart failure (</w:t>
            </w:r>
            <w:r w:rsidRPr="00463667">
              <w:rPr>
                <w:u w:val="single"/>
              </w:rPr>
              <w:t>Chronic Heart Failure Value Set</w:t>
            </w:r>
            <w:r w:rsidRPr="00463667">
              <w:t xml:space="preserve">). </w:t>
            </w:r>
          </w:p>
          <w:p w14:paraId="52BC4FC0" w14:textId="77777777" w:rsidR="00B852BD" w:rsidRPr="00A1031C" w:rsidRDefault="00B852BD" w:rsidP="00F578E0">
            <w:pPr>
              <w:pStyle w:val="Dash"/>
              <w:rPr>
                <w:lang w:val="es-ES"/>
              </w:rPr>
            </w:pPr>
            <w:r w:rsidRPr="00A1031C">
              <w:rPr>
                <w:i/>
                <w:lang w:val="es-ES"/>
              </w:rPr>
              <w:t>Prior MI</w:t>
            </w:r>
            <w:r w:rsidRPr="00A1031C">
              <w:rPr>
                <w:lang w:val="es-ES"/>
              </w:rPr>
              <w:t>. A diagnosis of MI (</w:t>
            </w:r>
            <w:r w:rsidRPr="00A1031C">
              <w:rPr>
                <w:u w:val="single"/>
                <w:lang w:val="es-ES"/>
              </w:rPr>
              <w:t>MI Value Set</w:t>
            </w:r>
            <w:r w:rsidRPr="00A1031C">
              <w:rPr>
                <w:lang w:val="es-ES"/>
              </w:rPr>
              <w:t>).</w:t>
            </w:r>
          </w:p>
          <w:p w14:paraId="1D4C5DC1" w14:textId="77777777" w:rsidR="00B852BD" w:rsidRPr="00463667" w:rsidRDefault="00B852BD" w:rsidP="00F578E0">
            <w:pPr>
              <w:pStyle w:val="Dash"/>
            </w:pPr>
            <w:r w:rsidRPr="00463667">
              <w:rPr>
                <w:i/>
              </w:rPr>
              <w:t>ESRD</w:t>
            </w:r>
            <w:r w:rsidRPr="00463667">
              <w:t>. ESRD (</w:t>
            </w:r>
            <w:r w:rsidRPr="00463667">
              <w:rPr>
                <w:u w:val="single"/>
              </w:rPr>
              <w:t>ESRD Value Set</w:t>
            </w:r>
            <w:r w:rsidRPr="00463667">
              <w:t xml:space="preserve">; </w:t>
            </w:r>
            <w:r w:rsidRPr="00463667">
              <w:rPr>
                <w:u w:val="single"/>
              </w:rPr>
              <w:t>ESRD Obsolete Value Set</w:t>
            </w:r>
            <w:r w:rsidRPr="00463667">
              <w:t>).</w:t>
            </w:r>
          </w:p>
          <w:p w14:paraId="15B58943" w14:textId="77777777" w:rsidR="00B852BD" w:rsidRPr="00463667" w:rsidRDefault="00B852BD" w:rsidP="00F578E0">
            <w:pPr>
              <w:pStyle w:val="Dash"/>
            </w:pPr>
            <w:r w:rsidRPr="00463667">
              <w:rPr>
                <w:i/>
              </w:rPr>
              <w:t>Chronic kidney disease (stage 4)</w:t>
            </w:r>
            <w:r w:rsidRPr="00463667">
              <w:t>. Stage 4 chronic kidney disease (</w:t>
            </w:r>
            <w:r w:rsidRPr="00463667">
              <w:rPr>
                <w:u w:val="single"/>
              </w:rPr>
              <w:t>CKD Stage 4 Value Set</w:t>
            </w:r>
            <w:r w:rsidRPr="00463667">
              <w:t>).</w:t>
            </w:r>
          </w:p>
          <w:p w14:paraId="705F8223" w14:textId="77777777" w:rsidR="00B852BD" w:rsidRPr="00463667" w:rsidRDefault="00B852BD" w:rsidP="00F578E0">
            <w:pPr>
              <w:pStyle w:val="Dash"/>
            </w:pPr>
            <w:r w:rsidRPr="00463667">
              <w:rPr>
                <w:i/>
              </w:rPr>
              <w:t>Dementia</w:t>
            </w:r>
            <w:r w:rsidRPr="00463667">
              <w:t>. A diagnosis of dementia (</w:t>
            </w:r>
            <w:r w:rsidRPr="00463667">
              <w:rPr>
                <w:u w:val="single"/>
              </w:rPr>
              <w:t>Dementia Value Set</w:t>
            </w:r>
            <w:r w:rsidRPr="00463667">
              <w:t xml:space="preserve">; </w:t>
            </w:r>
            <w:r w:rsidRPr="00463667">
              <w:rPr>
                <w:u w:val="single"/>
              </w:rPr>
              <w:t>Frontotemporal Dementia Value Set</w:t>
            </w:r>
            <w:r w:rsidRPr="00463667">
              <w:t xml:space="preserve">). </w:t>
            </w:r>
          </w:p>
          <w:p w14:paraId="1B107EC4" w14:textId="77777777" w:rsidR="00B852BD" w:rsidRPr="00463667" w:rsidRDefault="00B852BD" w:rsidP="00F578E0">
            <w:pPr>
              <w:pStyle w:val="Dash"/>
            </w:pPr>
            <w:r w:rsidRPr="00463667">
              <w:rPr>
                <w:i/>
              </w:rPr>
              <w:t>Blindness</w:t>
            </w:r>
            <w:r w:rsidRPr="00463667">
              <w:t>. A diagnosis of blindness (</w:t>
            </w:r>
            <w:r w:rsidRPr="00463667">
              <w:rPr>
                <w:u w:val="single"/>
              </w:rPr>
              <w:t>Blindness Value Set</w:t>
            </w:r>
            <w:r w:rsidRPr="00463667">
              <w:t xml:space="preserve">). </w:t>
            </w:r>
          </w:p>
          <w:p w14:paraId="62DBD707" w14:textId="77777777" w:rsidR="00B852BD" w:rsidRPr="00463667" w:rsidRDefault="00B852BD" w:rsidP="00F578E0">
            <w:pPr>
              <w:pStyle w:val="Dash"/>
            </w:pPr>
            <w:r w:rsidRPr="00463667">
              <w:rPr>
                <w:i/>
              </w:rPr>
              <w:t>Amputation (lower extremity)</w:t>
            </w:r>
            <w:r w:rsidRPr="00463667">
              <w:t>. Lower extremity amputation (</w:t>
            </w:r>
            <w:r w:rsidRPr="00463667">
              <w:rPr>
                <w:u w:val="single"/>
              </w:rPr>
              <w:t>Lower Extremity Amputation Value Set</w:t>
            </w:r>
            <w:r w:rsidRPr="00463667">
              <w:t>).</w:t>
            </w:r>
          </w:p>
        </w:tc>
      </w:tr>
    </w:tbl>
    <w:p w14:paraId="592F09E5" w14:textId="77777777" w:rsidR="00B852BD" w:rsidRPr="00463667" w:rsidRDefault="00B852BD" w:rsidP="00B852BD">
      <w:pPr>
        <w:pStyle w:val="Heading3"/>
        <w:ind w:left="1530" w:hanging="1530"/>
        <w:sectPr w:rsidR="00B852BD" w:rsidRPr="00463667" w:rsidSect="007527F3">
          <w:pgSz w:w="12240" w:h="15840" w:code="1"/>
          <w:pgMar w:top="1080" w:right="1080" w:bottom="1080" w:left="1440" w:header="720" w:footer="720" w:gutter="0"/>
          <w:cols w:space="720"/>
        </w:sectPr>
      </w:pPr>
    </w:p>
    <w:tbl>
      <w:tblPr>
        <w:tblW w:w="5000" w:type="pct"/>
        <w:tblInd w:w="18" w:type="dxa"/>
        <w:tblLayout w:type="fixed"/>
        <w:tblLook w:val="0000" w:firstRow="0" w:lastRow="0" w:firstColumn="0" w:lastColumn="0" w:noHBand="0" w:noVBand="0"/>
      </w:tblPr>
      <w:tblGrid>
        <w:gridCol w:w="1748"/>
        <w:gridCol w:w="7972"/>
      </w:tblGrid>
      <w:tr w:rsidR="00B852BD" w:rsidRPr="00463667" w14:paraId="117D963A" w14:textId="77777777" w:rsidTr="00F578E0">
        <w:tc>
          <w:tcPr>
            <w:tcW w:w="899" w:type="pct"/>
          </w:tcPr>
          <w:p w14:paraId="7C9B8289" w14:textId="77777777" w:rsidR="00B852BD" w:rsidRPr="00463667" w:rsidRDefault="00B852BD" w:rsidP="00F578E0">
            <w:pPr>
              <w:pStyle w:val="MarginSubhead"/>
              <w:spacing w:before="0"/>
            </w:pPr>
            <w:r w:rsidRPr="00463667">
              <w:lastRenderedPageBreak/>
              <w:t>Numerators</w:t>
            </w:r>
          </w:p>
        </w:tc>
        <w:tc>
          <w:tcPr>
            <w:tcW w:w="4101" w:type="pct"/>
          </w:tcPr>
          <w:p w14:paraId="74EBB4A2" w14:textId="77777777" w:rsidR="00B852BD" w:rsidRPr="00463667" w:rsidRDefault="00B852BD" w:rsidP="00F578E0">
            <w:pPr>
              <w:pStyle w:val="Body"/>
              <w:spacing w:before="0"/>
            </w:pPr>
          </w:p>
        </w:tc>
      </w:tr>
      <w:tr w:rsidR="00B852BD" w:rsidRPr="00463667" w14:paraId="5935D465" w14:textId="77777777" w:rsidTr="00F578E0">
        <w:tc>
          <w:tcPr>
            <w:tcW w:w="899" w:type="pct"/>
          </w:tcPr>
          <w:p w14:paraId="19F8EDCA" w14:textId="77777777" w:rsidR="00B852BD" w:rsidRPr="00463667" w:rsidRDefault="00B852BD" w:rsidP="00F578E0">
            <w:pPr>
              <w:pStyle w:val="MarginSubhead"/>
              <w:spacing w:before="120"/>
              <w:jc w:val="right"/>
              <w:rPr>
                <w:i/>
              </w:rPr>
            </w:pPr>
            <w:r w:rsidRPr="00463667">
              <w:rPr>
                <w:i/>
              </w:rPr>
              <w:t>HbA1c Testing</w:t>
            </w:r>
          </w:p>
        </w:tc>
        <w:tc>
          <w:tcPr>
            <w:tcW w:w="4101" w:type="pct"/>
          </w:tcPr>
          <w:p w14:paraId="7DC71321" w14:textId="77777777" w:rsidR="00B852BD" w:rsidRPr="00463667" w:rsidRDefault="00B852BD" w:rsidP="00F578E0">
            <w:pPr>
              <w:pStyle w:val="Body"/>
              <w:spacing w:before="120"/>
            </w:pPr>
            <w:r w:rsidRPr="00463667">
              <w:t>An HbA1c test (</w:t>
            </w:r>
            <w:r w:rsidRPr="00463667">
              <w:rPr>
                <w:u w:val="single"/>
              </w:rPr>
              <w:t>HbA1c Tests Value Set</w:t>
            </w:r>
            <w:r w:rsidRPr="00463667">
              <w:t xml:space="preserve">) performed during the measurement year, as identified by claim/encounter or automated laboratory data. </w:t>
            </w:r>
          </w:p>
        </w:tc>
      </w:tr>
      <w:tr w:rsidR="00B852BD" w:rsidRPr="00463667" w14:paraId="5163DACA" w14:textId="77777777" w:rsidTr="00F578E0">
        <w:tc>
          <w:tcPr>
            <w:tcW w:w="899" w:type="pct"/>
          </w:tcPr>
          <w:p w14:paraId="012206D4" w14:textId="77777777" w:rsidR="00B852BD" w:rsidRPr="00463667" w:rsidRDefault="00B852BD" w:rsidP="00F578E0">
            <w:pPr>
              <w:pStyle w:val="MarginSubhead"/>
              <w:jc w:val="right"/>
              <w:rPr>
                <w:i/>
              </w:rPr>
            </w:pPr>
            <w:r w:rsidRPr="00463667">
              <w:rPr>
                <w:i/>
              </w:rPr>
              <w:t>HbA1c Poor Control &gt;9%</w:t>
            </w:r>
          </w:p>
        </w:tc>
        <w:tc>
          <w:tcPr>
            <w:tcW w:w="4101" w:type="pct"/>
          </w:tcPr>
          <w:p w14:paraId="116CA838" w14:textId="77777777" w:rsidR="00B852BD" w:rsidRPr="00463667" w:rsidRDefault="00B852BD" w:rsidP="00F578E0">
            <w:pPr>
              <w:pStyle w:val="Body"/>
            </w:pPr>
            <w:r w:rsidRPr="00463667">
              <w:t xml:space="preserve">Use codes in the </w:t>
            </w:r>
            <w:r w:rsidRPr="00463667">
              <w:rPr>
                <w:u w:val="single"/>
              </w:rPr>
              <w:t>HbA1c Tests Value Set</w:t>
            </w:r>
            <w:r w:rsidRPr="00463667">
              <w:t xml:space="preserve"> to identify the </w:t>
            </w:r>
            <w:r w:rsidRPr="00463667">
              <w:rPr>
                <w:i/>
              </w:rPr>
              <w:t>most recent</w:t>
            </w:r>
            <w:r w:rsidRPr="00463667">
              <w:t xml:space="preserve"> HbA1c test during the measurement year. The member is numerator compliant if the most recent HbA1c level is &gt;9.0% or is missing a result, or if an HbA1c test was not done during the measurement year. The member is not numerator compliant if the result for the most recent HbA1c test during the measurement year is ≤9.0%.</w:t>
            </w:r>
          </w:p>
          <w:p w14:paraId="107E1E7A" w14:textId="77777777" w:rsidR="00B852BD" w:rsidRPr="00463667" w:rsidRDefault="00B852BD" w:rsidP="00F578E0">
            <w:pPr>
              <w:pStyle w:val="Body"/>
            </w:pPr>
            <w:r w:rsidRPr="00463667">
              <w:t>Organizations that use CPT Category II codes to identify numerator compliance for this indicator must search for all codes in the following value sets and use the most recent code during the measurement year to evaluate whether the member is numerator compliant.</w:t>
            </w:r>
          </w:p>
        </w:tc>
      </w:tr>
    </w:tbl>
    <w:p w14:paraId="7ECD5CDF" w14:textId="77777777" w:rsidR="00B852BD" w:rsidRPr="00463667" w:rsidRDefault="00B852BD" w:rsidP="00B852B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10"/>
        <w:gridCol w:w="3420"/>
      </w:tblGrid>
      <w:tr w:rsidR="00B852BD" w:rsidRPr="00463667" w14:paraId="4D9D4630" w14:textId="77777777" w:rsidTr="00756D29">
        <w:tc>
          <w:tcPr>
            <w:tcW w:w="3510" w:type="dxa"/>
            <w:tcBorders>
              <w:right w:val="single" w:sz="6" w:space="0" w:color="FFFFFF"/>
            </w:tcBorders>
            <w:shd w:val="clear" w:color="auto" w:fill="000000"/>
          </w:tcPr>
          <w:p w14:paraId="2770C54F" w14:textId="77777777" w:rsidR="00B852BD" w:rsidRPr="00463667" w:rsidRDefault="00B852BD" w:rsidP="00F578E0">
            <w:pPr>
              <w:pStyle w:val="TableHead"/>
              <w:rPr>
                <w:color w:val="auto"/>
              </w:rPr>
            </w:pPr>
            <w:r w:rsidRPr="00463667">
              <w:rPr>
                <w:color w:val="auto"/>
              </w:rPr>
              <w:t>Value Set</w:t>
            </w:r>
          </w:p>
        </w:tc>
        <w:tc>
          <w:tcPr>
            <w:tcW w:w="3420" w:type="dxa"/>
            <w:tcBorders>
              <w:left w:val="single" w:sz="6" w:space="0" w:color="FFFFFF"/>
              <w:right w:val="single" w:sz="6" w:space="0" w:color="auto"/>
            </w:tcBorders>
            <w:shd w:val="clear" w:color="auto" w:fill="000000"/>
          </w:tcPr>
          <w:p w14:paraId="2C4E2990" w14:textId="77777777" w:rsidR="00B852BD" w:rsidRPr="00463667" w:rsidRDefault="00B852BD" w:rsidP="00F578E0">
            <w:pPr>
              <w:pStyle w:val="TableHead"/>
              <w:rPr>
                <w:color w:val="auto"/>
              </w:rPr>
            </w:pPr>
            <w:r w:rsidRPr="00463667">
              <w:rPr>
                <w:color w:val="auto"/>
              </w:rPr>
              <w:t>Numerator Compliance</w:t>
            </w:r>
          </w:p>
        </w:tc>
      </w:tr>
      <w:tr w:rsidR="00B852BD" w:rsidRPr="00463667" w14:paraId="65C92048" w14:textId="77777777" w:rsidTr="00756D29">
        <w:tc>
          <w:tcPr>
            <w:tcW w:w="3510" w:type="dxa"/>
          </w:tcPr>
          <w:p w14:paraId="259A8737" w14:textId="77777777" w:rsidR="00B852BD" w:rsidRPr="00463667" w:rsidRDefault="00B852BD" w:rsidP="00F578E0">
            <w:pPr>
              <w:pStyle w:val="TableText"/>
              <w:rPr>
                <w:u w:val="single"/>
              </w:rPr>
            </w:pPr>
            <w:r w:rsidRPr="00463667">
              <w:rPr>
                <w:u w:val="single"/>
              </w:rPr>
              <w:t>HbA1c Level Less Than 7.0 Value Set</w:t>
            </w:r>
          </w:p>
        </w:tc>
        <w:tc>
          <w:tcPr>
            <w:tcW w:w="3420" w:type="dxa"/>
          </w:tcPr>
          <w:p w14:paraId="34421269" w14:textId="77777777" w:rsidR="00B852BD" w:rsidRPr="00463667" w:rsidRDefault="00B852BD" w:rsidP="00F578E0">
            <w:pPr>
              <w:pStyle w:val="TableText"/>
              <w:jc w:val="center"/>
            </w:pPr>
            <w:r w:rsidRPr="00463667">
              <w:t>Not compliant</w:t>
            </w:r>
          </w:p>
        </w:tc>
      </w:tr>
      <w:tr w:rsidR="00B852BD" w:rsidRPr="00463667" w14:paraId="2DFCFC69" w14:textId="77777777" w:rsidTr="00756D29">
        <w:tc>
          <w:tcPr>
            <w:tcW w:w="3510" w:type="dxa"/>
            <w:shd w:val="clear" w:color="auto" w:fill="D9D9D9"/>
          </w:tcPr>
          <w:p w14:paraId="6FE857B3" w14:textId="77777777" w:rsidR="00B852BD" w:rsidRPr="00463667" w:rsidRDefault="00B852BD" w:rsidP="00F578E0">
            <w:pPr>
              <w:pStyle w:val="TableText"/>
              <w:rPr>
                <w:u w:val="single"/>
              </w:rPr>
            </w:pPr>
            <w:r w:rsidRPr="00463667">
              <w:rPr>
                <w:u w:val="single"/>
              </w:rPr>
              <w:t>HbA1c Level 7.0–9.0 Value Set</w:t>
            </w:r>
          </w:p>
        </w:tc>
        <w:tc>
          <w:tcPr>
            <w:tcW w:w="3420" w:type="dxa"/>
            <w:shd w:val="clear" w:color="auto" w:fill="D9D9D9"/>
          </w:tcPr>
          <w:p w14:paraId="3F795D4C" w14:textId="77777777" w:rsidR="00B852BD" w:rsidRPr="00463667" w:rsidRDefault="00B852BD" w:rsidP="00F578E0">
            <w:pPr>
              <w:pStyle w:val="TableText"/>
              <w:jc w:val="center"/>
            </w:pPr>
            <w:r w:rsidRPr="00463667">
              <w:t>Not compliant</w:t>
            </w:r>
          </w:p>
        </w:tc>
      </w:tr>
      <w:tr w:rsidR="00B852BD" w:rsidRPr="00463667" w14:paraId="63FF38AC" w14:textId="77777777" w:rsidTr="00756D29">
        <w:tc>
          <w:tcPr>
            <w:tcW w:w="3510" w:type="dxa"/>
            <w:tcBorders>
              <w:top w:val="single" w:sz="6" w:space="0" w:color="auto"/>
              <w:left w:val="single" w:sz="6" w:space="0" w:color="auto"/>
              <w:bottom w:val="single" w:sz="6" w:space="0" w:color="auto"/>
              <w:right w:val="single" w:sz="6" w:space="0" w:color="auto"/>
            </w:tcBorders>
            <w:shd w:val="clear" w:color="auto" w:fill="FFFFFF" w:themeFill="background1"/>
          </w:tcPr>
          <w:p w14:paraId="5D6C0CC7" w14:textId="77777777" w:rsidR="00B852BD" w:rsidRPr="00463667" w:rsidRDefault="00B852BD" w:rsidP="00F578E0">
            <w:pPr>
              <w:pStyle w:val="TableText"/>
              <w:rPr>
                <w:u w:val="single"/>
              </w:rPr>
            </w:pPr>
            <w:r w:rsidRPr="00463667">
              <w:rPr>
                <w:u w:val="single"/>
              </w:rPr>
              <w:t>HbA1c Level Greater Than 9.0 Value Set</w:t>
            </w:r>
          </w:p>
        </w:tc>
        <w:tc>
          <w:tcPr>
            <w:tcW w:w="3420" w:type="dxa"/>
            <w:tcBorders>
              <w:top w:val="single" w:sz="6" w:space="0" w:color="auto"/>
              <w:left w:val="single" w:sz="6" w:space="0" w:color="auto"/>
              <w:bottom w:val="single" w:sz="6" w:space="0" w:color="auto"/>
              <w:right w:val="single" w:sz="6" w:space="0" w:color="auto"/>
            </w:tcBorders>
            <w:shd w:val="clear" w:color="auto" w:fill="FFFFFF" w:themeFill="background1"/>
          </w:tcPr>
          <w:p w14:paraId="153316D2" w14:textId="77777777" w:rsidR="00B852BD" w:rsidRPr="00463667" w:rsidRDefault="00B852BD" w:rsidP="00F578E0">
            <w:pPr>
              <w:pStyle w:val="TableText"/>
              <w:jc w:val="center"/>
            </w:pPr>
            <w:r w:rsidRPr="00463667">
              <w:t>Compliant</w:t>
            </w:r>
          </w:p>
        </w:tc>
      </w:tr>
    </w:tbl>
    <w:p w14:paraId="512E1C23" w14:textId="77777777" w:rsidR="00B852BD" w:rsidRPr="00463667" w:rsidRDefault="00B852BD" w:rsidP="00B852BD"/>
    <w:tbl>
      <w:tblPr>
        <w:tblW w:w="0" w:type="auto"/>
        <w:tblInd w:w="18" w:type="dxa"/>
        <w:tblLayout w:type="fixed"/>
        <w:tblLook w:val="0000" w:firstRow="0" w:lastRow="0" w:firstColumn="0" w:lastColumn="0" w:noHBand="0" w:noVBand="0"/>
      </w:tblPr>
      <w:tblGrid>
        <w:gridCol w:w="1800"/>
        <w:gridCol w:w="7902"/>
      </w:tblGrid>
      <w:tr w:rsidR="00B852BD" w:rsidRPr="00463667" w14:paraId="0EFAAE39" w14:textId="77777777" w:rsidTr="00F578E0">
        <w:tc>
          <w:tcPr>
            <w:tcW w:w="1800" w:type="dxa"/>
          </w:tcPr>
          <w:p w14:paraId="70FA5C01" w14:textId="77777777" w:rsidR="00B852BD" w:rsidRPr="00463667" w:rsidRDefault="00B852BD" w:rsidP="00F578E0">
            <w:pPr>
              <w:pStyle w:val="MarginSubhead"/>
              <w:spacing w:before="0"/>
              <w:jc w:val="right"/>
              <w:rPr>
                <w:i/>
              </w:rPr>
            </w:pPr>
          </w:p>
        </w:tc>
        <w:tc>
          <w:tcPr>
            <w:tcW w:w="7902" w:type="dxa"/>
          </w:tcPr>
          <w:p w14:paraId="4FA884C7" w14:textId="77777777" w:rsidR="00B852BD" w:rsidRPr="00463667" w:rsidRDefault="00B852BD" w:rsidP="00F578E0">
            <w:pPr>
              <w:pStyle w:val="Note"/>
            </w:pPr>
            <w:r w:rsidRPr="00463667">
              <w:rPr>
                <w:b/>
              </w:rPr>
              <w:t>Note:</w:t>
            </w:r>
            <w:r w:rsidRPr="00463667">
              <w:t xml:space="preserve"> A lower rate indicates better performance for this indicator (i.e., low rates of poor control indicate better care).</w:t>
            </w:r>
          </w:p>
        </w:tc>
      </w:tr>
      <w:tr w:rsidR="00B852BD" w:rsidRPr="00463667" w14:paraId="54BCE1D3" w14:textId="77777777" w:rsidTr="00F578E0">
        <w:tc>
          <w:tcPr>
            <w:tcW w:w="1800" w:type="dxa"/>
          </w:tcPr>
          <w:p w14:paraId="41FA71B6" w14:textId="77777777" w:rsidR="00B852BD" w:rsidRPr="00463667" w:rsidRDefault="00B852BD" w:rsidP="00F578E0">
            <w:pPr>
              <w:pStyle w:val="MarginSubhead"/>
              <w:jc w:val="right"/>
              <w:rPr>
                <w:i/>
              </w:rPr>
            </w:pPr>
            <w:r w:rsidRPr="00463667">
              <w:rPr>
                <w:i/>
              </w:rPr>
              <w:t>HbA1c Control &lt;8%</w:t>
            </w:r>
          </w:p>
        </w:tc>
        <w:tc>
          <w:tcPr>
            <w:tcW w:w="7902" w:type="dxa"/>
          </w:tcPr>
          <w:p w14:paraId="3FE92504" w14:textId="77777777" w:rsidR="00B852BD" w:rsidRPr="00463667" w:rsidRDefault="00B852BD" w:rsidP="00F578E0">
            <w:pPr>
              <w:pStyle w:val="Body"/>
            </w:pPr>
            <w:r w:rsidRPr="00463667">
              <w:t xml:space="preserve">Use codes in the </w:t>
            </w:r>
            <w:r w:rsidRPr="00463667">
              <w:rPr>
                <w:u w:val="single"/>
              </w:rPr>
              <w:t>HbA1c Tests Value Set</w:t>
            </w:r>
            <w:r w:rsidRPr="00463667">
              <w:t xml:space="preserve"> to identify the </w:t>
            </w:r>
            <w:r w:rsidRPr="00463667">
              <w:rPr>
                <w:i/>
              </w:rPr>
              <w:t>most recent</w:t>
            </w:r>
            <w:r w:rsidRPr="00463667">
              <w:t xml:space="preserve"> HbA1c test during the measurement year. The member is numerator compliant if the most recent HbA1c level is &lt;8.0%. The member is not numerator compliant if the result for the most recent HbA1c test is </w:t>
            </w:r>
            <w:r w:rsidRPr="00463667">
              <w:rPr>
                <w:rFonts w:cs="Arial"/>
              </w:rPr>
              <w:t>≥</w:t>
            </w:r>
            <w:r w:rsidRPr="00463667">
              <w:t xml:space="preserve">8.0% or is missing a result, or if an HbA1c test was not done during the measurement year. </w:t>
            </w:r>
          </w:p>
          <w:p w14:paraId="6E3DD262" w14:textId="77777777" w:rsidR="00B852BD" w:rsidRPr="00463667" w:rsidRDefault="00B852BD" w:rsidP="00F578E0">
            <w:pPr>
              <w:pStyle w:val="Body"/>
            </w:pPr>
            <w:r w:rsidRPr="00463667">
              <w:t>Organizations that use CPT Category II codes to identify numerator compliance for this indicator must search for all codes in the following value sets and use the most recent code during the measurement year to evaluate whether the member is numerator compliant.</w:t>
            </w:r>
          </w:p>
        </w:tc>
      </w:tr>
    </w:tbl>
    <w:p w14:paraId="6D304EF7" w14:textId="77777777" w:rsidR="00B852BD" w:rsidRPr="00463667" w:rsidRDefault="00B852BD" w:rsidP="00B852BD">
      <w:pPr>
        <w:rPr>
          <w:rFonts w:cs="Arial"/>
          <w:b/>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10"/>
        <w:gridCol w:w="3420"/>
      </w:tblGrid>
      <w:tr w:rsidR="00B852BD" w:rsidRPr="00463667" w14:paraId="0222FBD2" w14:textId="77777777" w:rsidTr="00756D29">
        <w:tc>
          <w:tcPr>
            <w:tcW w:w="3510" w:type="dxa"/>
            <w:tcBorders>
              <w:right w:val="single" w:sz="6" w:space="0" w:color="FFFFFF"/>
            </w:tcBorders>
            <w:shd w:val="clear" w:color="auto" w:fill="000000"/>
          </w:tcPr>
          <w:p w14:paraId="71524879" w14:textId="77777777" w:rsidR="00B852BD" w:rsidRPr="00463667" w:rsidRDefault="00B852BD" w:rsidP="00F578E0">
            <w:pPr>
              <w:pStyle w:val="TableHead"/>
              <w:rPr>
                <w:color w:val="auto"/>
              </w:rPr>
            </w:pPr>
            <w:r w:rsidRPr="00463667">
              <w:rPr>
                <w:color w:val="auto"/>
              </w:rPr>
              <w:t>Value Set</w:t>
            </w:r>
          </w:p>
        </w:tc>
        <w:tc>
          <w:tcPr>
            <w:tcW w:w="3420" w:type="dxa"/>
            <w:tcBorders>
              <w:left w:val="single" w:sz="6" w:space="0" w:color="FFFFFF"/>
              <w:right w:val="single" w:sz="6" w:space="0" w:color="auto"/>
            </w:tcBorders>
            <w:shd w:val="clear" w:color="auto" w:fill="000000"/>
          </w:tcPr>
          <w:p w14:paraId="7CB335C7" w14:textId="77777777" w:rsidR="00B852BD" w:rsidRPr="00463667" w:rsidRDefault="00B852BD" w:rsidP="00F578E0">
            <w:pPr>
              <w:pStyle w:val="TableHead"/>
              <w:rPr>
                <w:color w:val="auto"/>
              </w:rPr>
            </w:pPr>
            <w:r w:rsidRPr="00463667">
              <w:rPr>
                <w:color w:val="auto"/>
              </w:rPr>
              <w:t>Numerator Compliance</w:t>
            </w:r>
          </w:p>
        </w:tc>
      </w:tr>
      <w:tr w:rsidR="00B852BD" w:rsidRPr="00463667" w14:paraId="29D855E7" w14:textId="77777777" w:rsidTr="00756D29">
        <w:tc>
          <w:tcPr>
            <w:tcW w:w="3510" w:type="dxa"/>
          </w:tcPr>
          <w:p w14:paraId="132369C1" w14:textId="77777777" w:rsidR="00B852BD" w:rsidRPr="00463667" w:rsidRDefault="00B852BD" w:rsidP="00F578E0">
            <w:pPr>
              <w:pStyle w:val="TableText"/>
              <w:rPr>
                <w:u w:val="single"/>
              </w:rPr>
            </w:pPr>
            <w:r w:rsidRPr="00463667">
              <w:rPr>
                <w:u w:val="single"/>
              </w:rPr>
              <w:t>HbA1c Level Less Than 7.0 Value Set</w:t>
            </w:r>
          </w:p>
        </w:tc>
        <w:tc>
          <w:tcPr>
            <w:tcW w:w="3420" w:type="dxa"/>
          </w:tcPr>
          <w:p w14:paraId="509CC903" w14:textId="77777777" w:rsidR="00B852BD" w:rsidRPr="00463667" w:rsidRDefault="00B852BD" w:rsidP="00F578E0">
            <w:pPr>
              <w:pStyle w:val="TableText"/>
              <w:jc w:val="center"/>
            </w:pPr>
            <w:r w:rsidRPr="00463667">
              <w:t>Compliant</w:t>
            </w:r>
          </w:p>
        </w:tc>
      </w:tr>
      <w:tr w:rsidR="00B852BD" w:rsidRPr="00463667" w14:paraId="055F6026" w14:textId="77777777" w:rsidTr="00756D29">
        <w:tc>
          <w:tcPr>
            <w:tcW w:w="3510" w:type="dxa"/>
            <w:shd w:val="clear" w:color="auto" w:fill="D9D9D9"/>
          </w:tcPr>
          <w:p w14:paraId="6B644247" w14:textId="77777777" w:rsidR="00B852BD" w:rsidRPr="00463667" w:rsidRDefault="00B852BD" w:rsidP="00F578E0">
            <w:pPr>
              <w:pStyle w:val="TableText"/>
              <w:rPr>
                <w:u w:val="single"/>
              </w:rPr>
            </w:pPr>
            <w:r w:rsidRPr="00463667">
              <w:rPr>
                <w:u w:val="single"/>
              </w:rPr>
              <w:t>HbA1c Level 7.0–9.0 Value Set</w:t>
            </w:r>
          </w:p>
        </w:tc>
        <w:tc>
          <w:tcPr>
            <w:tcW w:w="3420" w:type="dxa"/>
            <w:shd w:val="clear" w:color="auto" w:fill="D9D9D9"/>
          </w:tcPr>
          <w:p w14:paraId="004F82F3" w14:textId="77777777" w:rsidR="00B852BD" w:rsidRPr="00463667" w:rsidRDefault="00B852BD" w:rsidP="00F578E0">
            <w:pPr>
              <w:pStyle w:val="TableText"/>
              <w:jc w:val="center"/>
            </w:pPr>
            <w:r w:rsidRPr="00463667">
              <w:t>Not compliant*</w:t>
            </w:r>
          </w:p>
        </w:tc>
      </w:tr>
      <w:tr w:rsidR="00B852BD" w:rsidRPr="00463667" w14:paraId="41362E4E" w14:textId="77777777" w:rsidTr="00756D29">
        <w:tc>
          <w:tcPr>
            <w:tcW w:w="3510" w:type="dxa"/>
            <w:tcBorders>
              <w:top w:val="single" w:sz="6" w:space="0" w:color="auto"/>
              <w:left w:val="single" w:sz="6" w:space="0" w:color="auto"/>
              <w:bottom w:val="single" w:sz="6" w:space="0" w:color="auto"/>
              <w:right w:val="single" w:sz="6" w:space="0" w:color="auto"/>
            </w:tcBorders>
            <w:shd w:val="clear" w:color="auto" w:fill="FFFFFF" w:themeFill="background1"/>
          </w:tcPr>
          <w:p w14:paraId="36F84A4E" w14:textId="77777777" w:rsidR="00B852BD" w:rsidRPr="00463667" w:rsidRDefault="00B852BD" w:rsidP="00F578E0">
            <w:pPr>
              <w:pStyle w:val="TableText"/>
              <w:rPr>
                <w:u w:val="single"/>
              </w:rPr>
            </w:pPr>
            <w:r w:rsidRPr="00463667">
              <w:rPr>
                <w:u w:val="single"/>
              </w:rPr>
              <w:t>HbA1c Level Greater Than 9.0 Value Set</w:t>
            </w:r>
          </w:p>
        </w:tc>
        <w:tc>
          <w:tcPr>
            <w:tcW w:w="3420" w:type="dxa"/>
            <w:tcBorders>
              <w:top w:val="single" w:sz="6" w:space="0" w:color="auto"/>
              <w:left w:val="single" w:sz="6" w:space="0" w:color="auto"/>
              <w:bottom w:val="single" w:sz="6" w:space="0" w:color="auto"/>
              <w:right w:val="single" w:sz="6" w:space="0" w:color="auto"/>
            </w:tcBorders>
            <w:shd w:val="clear" w:color="auto" w:fill="FFFFFF" w:themeFill="background1"/>
          </w:tcPr>
          <w:p w14:paraId="6E475288" w14:textId="77777777" w:rsidR="00B852BD" w:rsidRPr="00463667" w:rsidRDefault="00B852BD" w:rsidP="00F578E0">
            <w:pPr>
              <w:pStyle w:val="TableText"/>
              <w:jc w:val="center"/>
            </w:pPr>
            <w:r w:rsidRPr="00463667">
              <w:t>Not compliant</w:t>
            </w:r>
          </w:p>
        </w:tc>
      </w:tr>
    </w:tbl>
    <w:p w14:paraId="569B4CC3" w14:textId="77777777" w:rsidR="00B852BD" w:rsidRPr="00463667" w:rsidRDefault="00B852BD" w:rsidP="00B852BD">
      <w:pPr>
        <w:pStyle w:val="TableText"/>
        <w:spacing w:before="120" w:after="0"/>
        <w:ind w:left="86" w:hanging="86"/>
      </w:pPr>
      <w:r w:rsidRPr="00463667">
        <w:rPr>
          <w:rFonts w:ascii="Arial" w:hAnsi="Arial" w:cs="Arial"/>
          <w:b/>
        </w:rPr>
        <w:t>*</w:t>
      </w:r>
      <w:r w:rsidRPr="00463667">
        <w:rPr>
          <w:rFonts w:ascii="Arial" w:hAnsi="Arial" w:cs="Arial"/>
          <w:b/>
        </w:rPr>
        <w:tab/>
      </w:r>
      <w:r w:rsidRPr="00463667">
        <w:rPr>
          <w:rFonts w:cs="Arial"/>
        </w:rPr>
        <w:t xml:space="preserve">The CPT Category II code (3045F) in this value set indicates most recent HbA1c (HbA1c) level 7.0%–9.0% and is not specific enough to denote numerator compliance for this indicator. For members with this code, the organization must use other sources (laboratory data, hybrid reporting method) to identify the actual value and determine if the HbA1c result was &lt;8%. Because providers assign the Category II code after reviewing test results, the date of service for the Category II code may not match the date of service for the HbA1c test found in other sources; if dates differ, use the date of service when the test was performed. </w:t>
      </w:r>
    </w:p>
    <w:p w14:paraId="1EDCBA4C" w14:textId="77777777" w:rsidR="00B852BD" w:rsidRPr="00463667" w:rsidRDefault="00B852BD" w:rsidP="00B852BD">
      <w:pPr>
        <w:pStyle w:val="TableText"/>
        <w:spacing w:before="1920" w:after="0"/>
        <w:ind w:left="115" w:hanging="115"/>
        <w:rPr>
          <w:rFonts w:ascii="Arial" w:hAnsi="Arial" w:cs="Arial"/>
          <w:sz w:val="18"/>
          <w:szCs w:val="18"/>
        </w:rPr>
      </w:pPr>
      <w:r w:rsidRPr="00463667">
        <w:rPr>
          <w:rFonts w:ascii="Arial" w:hAnsi="Arial" w:cs="Arial"/>
          <w:sz w:val="18"/>
          <w:szCs w:val="18"/>
        </w:rPr>
        <w:t>_____________</w:t>
      </w:r>
    </w:p>
    <w:p w14:paraId="14E3A6D7" w14:textId="77777777" w:rsidR="00B852BD" w:rsidRPr="00463667" w:rsidRDefault="00B852BD" w:rsidP="006740AA">
      <w:pPr>
        <w:pStyle w:val="TableText"/>
        <w:spacing w:before="60" w:after="0"/>
        <w:rPr>
          <w:rFonts w:ascii="Arial" w:hAnsi="Arial" w:cs="Arial"/>
          <w:sz w:val="18"/>
          <w:szCs w:val="18"/>
        </w:rPr>
        <w:sectPr w:rsidR="00B852BD" w:rsidRPr="00463667" w:rsidSect="007527F3">
          <w:pgSz w:w="12240" w:h="15840" w:code="1"/>
          <w:pgMar w:top="1080" w:right="1080" w:bottom="1080" w:left="1440" w:header="720" w:footer="720" w:gutter="0"/>
          <w:cols w:space="720"/>
        </w:sectPr>
      </w:pPr>
      <w:r w:rsidRPr="00463667">
        <w:rPr>
          <w:rFonts w:ascii="Arial" w:hAnsi="Arial" w:cs="Arial"/>
          <w:sz w:val="18"/>
          <w:szCs w:val="18"/>
        </w:rPr>
        <w:t xml:space="preserve">Current Procedural Terminology © </w:t>
      </w:r>
      <w:r w:rsidR="00D0464F">
        <w:rPr>
          <w:rFonts w:ascii="Arial" w:hAnsi="Arial" w:cs="Arial"/>
          <w:sz w:val="18"/>
          <w:szCs w:val="18"/>
        </w:rPr>
        <w:t>2015</w:t>
      </w:r>
      <w:r w:rsidRPr="00463667">
        <w:rPr>
          <w:rFonts w:ascii="Arial" w:hAnsi="Arial" w:cs="Arial"/>
          <w:sz w:val="18"/>
          <w:szCs w:val="18"/>
        </w:rPr>
        <w:t xml:space="preserve"> American Medical Association. All rights reserved.</w:t>
      </w:r>
    </w:p>
    <w:tbl>
      <w:tblPr>
        <w:tblW w:w="9882" w:type="dxa"/>
        <w:tblInd w:w="18" w:type="dxa"/>
        <w:tblLayout w:type="fixed"/>
        <w:tblLook w:val="0000" w:firstRow="0" w:lastRow="0" w:firstColumn="0" w:lastColumn="0" w:noHBand="0" w:noVBand="0"/>
      </w:tblPr>
      <w:tblGrid>
        <w:gridCol w:w="1800"/>
        <w:gridCol w:w="8082"/>
      </w:tblGrid>
      <w:tr w:rsidR="00B852BD" w:rsidRPr="00463667" w14:paraId="3E22D689" w14:textId="77777777" w:rsidTr="00F578E0">
        <w:tc>
          <w:tcPr>
            <w:tcW w:w="1800" w:type="dxa"/>
          </w:tcPr>
          <w:p w14:paraId="7C84468A" w14:textId="77777777" w:rsidR="00B852BD" w:rsidRPr="00463667" w:rsidRDefault="00B852BD" w:rsidP="00F578E0">
            <w:pPr>
              <w:pStyle w:val="MarginSubhead"/>
              <w:spacing w:before="0"/>
              <w:jc w:val="right"/>
              <w:rPr>
                <w:i/>
              </w:rPr>
            </w:pPr>
            <w:r w:rsidRPr="00463667">
              <w:rPr>
                <w:i/>
              </w:rPr>
              <w:lastRenderedPageBreak/>
              <w:t xml:space="preserve">HbA1c Control &lt;7% for a Selected Population </w:t>
            </w:r>
          </w:p>
        </w:tc>
        <w:tc>
          <w:tcPr>
            <w:tcW w:w="8082" w:type="dxa"/>
          </w:tcPr>
          <w:p w14:paraId="7993246D" w14:textId="77777777" w:rsidR="00B852BD" w:rsidRPr="00463667" w:rsidRDefault="00B852BD" w:rsidP="00F578E0">
            <w:pPr>
              <w:pStyle w:val="Body"/>
              <w:spacing w:before="0"/>
            </w:pPr>
            <w:r w:rsidRPr="00463667">
              <w:t xml:space="preserve">Use codes in the </w:t>
            </w:r>
            <w:r w:rsidRPr="00463667">
              <w:rPr>
                <w:u w:val="single"/>
              </w:rPr>
              <w:t>HbA1c Tests Value Set</w:t>
            </w:r>
            <w:r w:rsidRPr="00463667">
              <w:t xml:space="preserve"> to identify the </w:t>
            </w:r>
            <w:r w:rsidRPr="00463667">
              <w:rPr>
                <w:i/>
              </w:rPr>
              <w:t>most recent</w:t>
            </w:r>
            <w:r w:rsidRPr="00463667">
              <w:t xml:space="preserve"> HbA1c test during the measurement year. The member is numerator compliant if the most recent HbA1c level is &lt;7.0%. The member is not numerator compliant if the result for the most recent HbA1c test is </w:t>
            </w:r>
            <w:r w:rsidRPr="00463667">
              <w:rPr>
                <w:rFonts w:cs="Arial"/>
              </w:rPr>
              <w:t>≥</w:t>
            </w:r>
            <w:r w:rsidRPr="00463667">
              <w:t xml:space="preserve">7.0% or is missing a result, or if an HbA1c test was not performed during the measurement year. </w:t>
            </w:r>
          </w:p>
          <w:p w14:paraId="1CE95306" w14:textId="77777777" w:rsidR="00B852BD" w:rsidRPr="00463667" w:rsidRDefault="00B852BD" w:rsidP="00F578E0">
            <w:pPr>
              <w:pStyle w:val="Body"/>
              <w:rPr>
                <w:i/>
              </w:rPr>
            </w:pPr>
            <w:r w:rsidRPr="00463667">
              <w:t>Organizations that use CPT Category II codes to identify numerator compliance for this indicator must search for all codes in the following value sets and use the most recent code during the measurement year to evaluate whether the member is numerator compliant.</w:t>
            </w:r>
          </w:p>
        </w:tc>
      </w:tr>
    </w:tbl>
    <w:p w14:paraId="598D18F0" w14:textId="77777777" w:rsidR="00B852BD" w:rsidRPr="00463667" w:rsidRDefault="00B852BD" w:rsidP="00B852B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10"/>
        <w:gridCol w:w="3420"/>
      </w:tblGrid>
      <w:tr w:rsidR="00B852BD" w:rsidRPr="00463667" w14:paraId="0EACD79B" w14:textId="77777777" w:rsidTr="00756D29">
        <w:tc>
          <w:tcPr>
            <w:tcW w:w="3510" w:type="dxa"/>
            <w:tcBorders>
              <w:right w:val="single" w:sz="6" w:space="0" w:color="FFFFFF"/>
            </w:tcBorders>
            <w:shd w:val="clear" w:color="auto" w:fill="000000"/>
          </w:tcPr>
          <w:p w14:paraId="1502A0DB" w14:textId="77777777" w:rsidR="00B852BD" w:rsidRPr="00463667" w:rsidRDefault="00B852BD" w:rsidP="00F578E0">
            <w:pPr>
              <w:pStyle w:val="TableHead"/>
              <w:rPr>
                <w:color w:val="auto"/>
              </w:rPr>
            </w:pPr>
            <w:r w:rsidRPr="00463667">
              <w:rPr>
                <w:color w:val="auto"/>
              </w:rPr>
              <w:t>Value Set</w:t>
            </w:r>
          </w:p>
        </w:tc>
        <w:tc>
          <w:tcPr>
            <w:tcW w:w="3420" w:type="dxa"/>
            <w:tcBorders>
              <w:left w:val="single" w:sz="6" w:space="0" w:color="FFFFFF"/>
              <w:right w:val="single" w:sz="6" w:space="0" w:color="auto"/>
            </w:tcBorders>
            <w:shd w:val="clear" w:color="auto" w:fill="000000"/>
          </w:tcPr>
          <w:p w14:paraId="20E1BA17" w14:textId="77777777" w:rsidR="00B852BD" w:rsidRPr="00463667" w:rsidRDefault="00B852BD" w:rsidP="00F578E0">
            <w:pPr>
              <w:pStyle w:val="TableHead"/>
              <w:rPr>
                <w:color w:val="auto"/>
              </w:rPr>
            </w:pPr>
            <w:r w:rsidRPr="00463667">
              <w:rPr>
                <w:color w:val="auto"/>
              </w:rPr>
              <w:t>Numerator Compliance</w:t>
            </w:r>
          </w:p>
        </w:tc>
      </w:tr>
      <w:tr w:rsidR="00B852BD" w:rsidRPr="00463667" w14:paraId="061F10BD" w14:textId="77777777" w:rsidTr="00756D29">
        <w:tc>
          <w:tcPr>
            <w:tcW w:w="3510" w:type="dxa"/>
          </w:tcPr>
          <w:p w14:paraId="17D80138" w14:textId="77777777" w:rsidR="00B852BD" w:rsidRPr="00463667" w:rsidRDefault="00B852BD" w:rsidP="00F578E0">
            <w:pPr>
              <w:pStyle w:val="TableText"/>
              <w:rPr>
                <w:u w:val="single"/>
              </w:rPr>
            </w:pPr>
            <w:r w:rsidRPr="00463667">
              <w:rPr>
                <w:u w:val="single"/>
              </w:rPr>
              <w:t>HbA1c Level Less Than 7.0 Value Set</w:t>
            </w:r>
          </w:p>
        </w:tc>
        <w:tc>
          <w:tcPr>
            <w:tcW w:w="3420" w:type="dxa"/>
          </w:tcPr>
          <w:p w14:paraId="54B385C1" w14:textId="77777777" w:rsidR="00B852BD" w:rsidRPr="00463667" w:rsidRDefault="00B852BD" w:rsidP="00F578E0">
            <w:pPr>
              <w:pStyle w:val="TableText"/>
              <w:jc w:val="center"/>
            </w:pPr>
            <w:r w:rsidRPr="00463667">
              <w:t>Compliant</w:t>
            </w:r>
          </w:p>
        </w:tc>
      </w:tr>
      <w:tr w:rsidR="00B852BD" w:rsidRPr="00463667" w14:paraId="08154DB1" w14:textId="77777777" w:rsidTr="00756D29">
        <w:tc>
          <w:tcPr>
            <w:tcW w:w="3510" w:type="dxa"/>
            <w:shd w:val="clear" w:color="auto" w:fill="D9D9D9"/>
          </w:tcPr>
          <w:p w14:paraId="70D1CB0B" w14:textId="77777777" w:rsidR="00B852BD" w:rsidRPr="00463667" w:rsidRDefault="00B852BD" w:rsidP="00F578E0">
            <w:pPr>
              <w:pStyle w:val="TableText"/>
              <w:rPr>
                <w:u w:val="single"/>
              </w:rPr>
            </w:pPr>
            <w:r w:rsidRPr="00463667">
              <w:rPr>
                <w:u w:val="single"/>
              </w:rPr>
              <w:t>HbA1c Level 7.0–9.0 Value Set</w:t>
            </w:r>
          </w:p>
        </w:tc>
        <w:tc>
          <w:tcPr>
            <w:tcW w:w="3420" w:type="dxa"/>
            <w:shd w:val="clear" w:color="auto" w:fill="D9D9D9"/>
          </w:tcPr>
          <w:p w14:paraId="3B676187" w14:textId="77777777" w:rsidR="00B852BD" w:rsidRPr="00463667" w:rsidRDefault="00B852BD" w:rsidP="00F578E0">
            <w:pPr>
              <w:pStyle w:val="TableText"/>
              <w:jc w:val="center"/>
            </w:pPr>
            <w:r w:rsidRPr="00463667">
              <w:t>Not compliant</w:t>
            </w:r>
          </w:p>
        </w:tc>
      </w:tr>
      <w:tr w:rsidR="00B852BD" w:rsidRPr="00463667" w14:paraId="0324D9AA" w14:textId="77777777" w:rsidTr="00756D29">
        <w:tc>
          <w:tcPr>
            <w:tcW w:w="3510" w:type="dxa"/>
            <w:tcBorders>
              <w:top w:val="single" w:sz="6" w:space="0" w:color="auto"/>
              <w:left w:val="single" w:sz="6" w:space="0" w:color="auto"/>
              <w:bottom w:val="single" w:sz="6" w:space="0" w:color="auto"/>
              <w:right w:val="single" w:sz="6" w:space="0" w:color="auto"/>
            </w:tcBorders>
            <w:shd w:val="clear" w:color="auto" w:fill="FFFFFF" w:themeFill="background1"/>
          </w:tcPr>
          <w:p w14:paraId="34522404" w14:textId="77777777" w:rsidR="00B852BD" w:rsidRPr="00463667" w:rsidRDefault="00B852BD" w:rsidP="00F578E0">
            <w:pPr>
              <w:pStyle w:val="TableText"/>
              <w:rPr>
                <w:u w:val="single"/>
              </w:rPr>
            </w:pPr>
            <w:r w:rsidRPr="00463667">
              <w:rPr>
                <w:u w:val="single"/>
              </w:rPr>
              <w:t>HbA1c Level Greater Than 9.0 Value Set</w:t>
            </w:r>
          </w:p>
        </w:tc>
        <w:tc>
          <w:tcPr>
            <w:tcW w:w="3420" w:type="dxa"/>
            <w:tcBorders>
              <w:top w:val="single" w:sz="6" w:space="0" w:color="auto"/>
              <w:left w:val="single" w:sz="6" w:space="0" w:color="auto"/>
              <w:bottom w:val="single" w:sz="6" w:space="0" w:color="auto"/>
              <w:right w:val="single" w:sz="6" w:space="0" w:color="auto"/>
            </w:tcBorders>
            <w:shd w:val="clear" w:color="auto" w:fill="FFFFFF" w:themeFill="background1"/>
          </w:tcPr>
          <w:p w14:paraId="4E3C8771" w14:textId="77777777" w:rsidR="00B852BD" w:rsidRPr="00463667" w:rsidRDefault="00B852BD" w:rsidP="00F578E0">
            <w:pPr>
              <w:pStyle w:val="TableText"/>
              <w:jc w:val="center"/>
            </w:pPr>
            <w:r w:rsidRPr="00463667">
              <w:t>Not compliant</w:t>
            </w:r>
          </w:p>
        </w:tc>
      </w:tr>
    </w:tbl>
    <w:p w14:paraId="37BEF98B" w14:textId="77777777" w:rsidR="00B852BD" w:rsidRPr="00463667" w:rsidRDefault="00B852BD" w:rsidP="00B852BD"/>
    <w:tbl>
      <w:tblPr>
        <w:tblW w:w="9815" w:type="dxa"/>
        <w:tblInd w:w="18" w:type="dxa"/>
        <w:tblLayout w:type="fixed"/>
        <w:tblLook w:val="0000" w:firstRow="0" w:lastRow="0" w:firstColumn="0" w:lastColumn="0" w:noHBand="0" w:noVBand="0"/>
      </w:tblPr>
      <w:tblGrid>
        <w:gridCol w:w="1805"/>
        <w:gridCol w:w="8010"/>
      </w:tblGrid>
      <w:tr w:rsidR="00B852BD" w:rsidRPr="00463667" w14:paraId="52F9478C" w14:textId="77777777" w:rsidTr="00F578E0">
        <w:tc>
          <w:tcPr>
            <w:tcW w:w="1805" w:type="dxa"/>
          </w:tcPr>
          <w:p w14:paraId="34781879" w14:textId="77777777" w:rsidR="00B852BD" w:rsidRPr="00463667" w:rsidRDefault="00B852BD" w:rsidP="00F578E0">
            <w:pPr>
              <w:pStyle w:val="MarginSubhead"/>
              <w:spacing w:before="240"/>
              <w:jc w:val="right"/>
              <w:rPr>
                <w:i/>
              </w:rPr>
            </w:pPr>
          </w:p>
        </w:tc>
        <w:tc>
          <w:tcPr>
            <w:tcW w:w="8010" w:type="dxa"/>
          </w:tcPr>
          <w:p w14:paraId="7E4FB5AA" w14:textId="77777777" w:rsidR="00B852BD" w:rsidRPr="00463667" w:rsidRDefault="00B852BD" w:rsidP="00F578E0">
            <w:pPr>
              <w:pStyle w:val="Note"/>
            </w:pPr>
            <w:r w:rsidRPr="00463667">
              <w:rPr>
                <w:b/>
              </w:rPr>
              <w:t>Note:</w:t>
            </w:r>
            <w:r w:rsidRPr="00463667">
              <w:t xml:space="preserve"> This indicator uses the eligible population with additional eligible population criteria (e.g., removing members with required exclusions).</w:t>
            </w:r>
          </w:p>
        </w:tc>
      </w:tr>
      <w:tr w:rsidR="00B852BD" w:rsidRPr="00463667" w14:paraId="53D6D486" w14:textId="77777777" w:rsidTr="00F578E0">
        <w:tc>
          <w:tcPr>
            <w:tcW w:w="1805" w:type="dxa"/>
          </w:tcPr>
          <w:p w14:paraId="403AAB63" w14:textId="77777777" w:rsidR="00B852BD" w:rsidRPr="00463667" w:rsidRDefault="00B852BD" w:rsidP="00F578E0">
            <w:pPr>
              <w:pStyle w:val="MarginSubhead"/>
              <w:jc w:val="right"/>
              <w:rPr>
                <w:i/>
              </w:rPr>
            </w:pPr>
            <w:r w:rsidRPr="00463667">
              <w:rPr>
                <w:i/>
              </w:rPr>
              <w:t>Eye Exam</w:t>
            </w:r>
          </w:p>
        </w:tc>
        <w:tc>
          <w:tcPr>
            <w:tcW w:w="8010" w:type="dxa"/>
          </w:tcPr>
          <w:p w14:paraId="25CDD387" w14:textId="77777777" w:rsidR="00B852BD" w:rsidRPr="00463667" w:rsidRDefault="00B852BD" w:rsidP="00F578E0">
            <w:pPr>
              <w:pStyle w:val="Body"/>
            </w:pPr>
            <w:r w:rsidRPr="00463667">
              <w:t>An eye screening for diabetic retinal disease as identified by administrative data. This includes diabetics who had one of the following:</w:t>
            </w:r>
          </w:p>
          <w:p w14:paraId="64389E5C" w14:textId="77777777" w:rsidR="00B852BD" w:rsidRPr="00463667" w:rsidRDefault="00B852BD" w:rsidP="00B852BD">
            <w:pPr>
              <w:pStyle w:val="Bullet"/>
            </w:pPr>
            <w:r w:rsidRPr="00463667">
              <w:t>A retinal or dilated eye exam by an eye care professional (optometrist or ophthalmologist) in the measurement year.</w:t>
            </w:r>
          </w:p>
          <w:p w14:paraId="6B2011BA" w14:textId="77777777" w:rsidR="00B852BD" w:rsidRPr="00463667" w:rsidRDefault="00B852BD" w:rsidP="00B852BD">
            <w:pPr>
              <w:pStyle w:val="Bullet"/>
            </w:pPr>
            <w:r w:rsidRPr="00463667">
              <w:t xml:space="preserve">A </w:t>
            </w:r>
            <w:r w:rsidRPr="00463667">
              <w:rPr>
                <w:i/>
              </w:rPr>
              <w:t>negative</w:t>
            </w:r>
            <w:r w:rsidRPr="00463667">
              <w:t xml:space="preserve"> retinal or dilated eye exam (negative for retinopathy) by an eye care professional in the year prior to the measurement year.</w:t>
            </w:r>
          </w:p>
          <w:p w14:paraId="4854F266" w14:textId="77777777" w:rsidR="00B852BD" w:rsidRPr="00463667" w:rsidRDefault="00B852BD" w:rsidP="00F578E0">
            <w:pPr>
              <w:pStyle w:val="Body"/>
            </w:pPr>
            <w:r w:rsidRPr="00463667">
              <w:t>Any of the following meet criteria:</w:t>
            </w:r>
          </w:p>
          <w:p w14:paraId="7DE40732" w14:textId="77777777" w:rsidR="00B852BD" w:rsidRPr="00463667" w:rsidRDefault="00B852BD" w:rsidP="00B852BD">
            <w:pPr>
              <w:pStyle w:val="Bullet"/>
            </w:pPr>
            <w:r w:rsidRPr="00463667">
              <w:t xml:space="preserve">Any code in the </w:t>
            </w:r>
            <w:r w:rsidRPr="00463667">
              <w:rPr>
                <w:u w:val="single"/>
              </w:rPr>
              <w:t>Diabetic Retinal Screening Value Set</w:t>
            </w:r>
            <w:r w:rsidRPr="00463667">
              <w:t xml:space="preserve"> billed by an eye care professional (optometrist or ophthalmologist) during the measurement year.</w:t>
            </w:r>
          </w:p>
          <w:p w14:paraId="2FF508B1" w14:textId="77777777" w:rsidR="00B852BD" w:rsidRPr="00463667" w:rsidRDefault="00B852BD" w:rsidP="00B852BD">
            <w:pPr>
              <w:pStyle w:val="Bullet"/>
            </w:pPr>
            <w:r w:rsidRPr="00463667">
              <w:t xml:space="preserve">Any code in the </w:t>
            </w:r>
            <w:r w:rsidRPr="00463667">
              <w:rPr>
                <w:u w:val="single"/>
              </w:rPr>
              <w:t>Diabetic Retinal Screening Value Set</w:t>
            </w:r>
            <w:r w:rsidRPr="00463667">
              <w:t xml:space="preserve"> billed by an eye care professional (optometrist or ophthalmologist) during the year prior to the measurement year, with a negative result (negative for retinopathy).</w:t>
            </w:r>
          </w:p>
          <w:p w14:paraId="665B4E22" w14:textId="77777777" w:rsidR="00B852BD" w:rsidRPr="00463667" w:rsidRDefault="00B852BD" w:rsidP="00B852BD">
            <w:pPr>
              <w:pStyle w:val="Bullet"/>
            </w:pPr>
            <w:r w:rsidRPr="00463667">
              <w:t xml:space="preserve">Any code in the </w:t>
            </w:r>
            <w:r w:rsidRPr="00463667">
              <w:rPr>
                <w:u w:val="single"/>
              </w:rPr>
              <w:t xml:space="preserve">Diabetic Retinal Screening With Eye Care Professional Value Set </w:t>
            </w:r>
            <w:r w:rsidRPr="00463667">
              <w:t>billed by any provider type during the measurement year.</w:t>
            </w:r>
          </w:p>
          <w:p w14:paraId="57D15467" w14:textId="77777777" w:rsidR="00B852BD" w:rsidRPr="00463667" w:rsidRDefault="00B852BD" w:rsidP="00B852BD">
            <w:pPr>
              <w:pStyle w:val="Bullet"/>
            </w:pPr>
            <w:r w:rsidRPr="00463667">
              <w:t xml:space="preserve">Any code in the </w:t>
            </w:r>
            <w:r w:rsidRPr="00463667">
              <w:rPr>
                <w:u w:val="single"/>
              </w:rPr>
              <w:t>Diabetic Retinal Screening With Eye Care Professional Value Set</w:t>
            </w:r>
            <w:r w:rsidRPr="00463667">
              <w:t xml:space="preserve"> billed by any provider type during the year prior to the measurement year, with a negative result (negative for retinopathy).</w:t>
            </w:r>
          </w:p>
          <w:p w14:paraId="149FDC65" w14:textId="77777777" w:rsidR="00B852BD" w:rsidRPr="00463667" w:rsidRDefault="00B852BD" w:rsidP="00B852BD">
            <w:pPr>
              <w:pStyle w:val="Bullet"/>
            </w:pPr>
            <w:r w:rsidRPr="00463667">
              <w:t xml:space="preserve">Any code in the </w:t>
            </w:r>
            <w:r w:rsidRPr="00463667">
              <w:rPr>
                <w:u w:val="single"/>
              </w:rPr>
              <w:t>Diabetic Retinal Screening Negative Value Set</w:t>
            </w:r>
            <w:r w:rsidRPr="00463667">
              <w:t xml:space="preserve"> billed by any provider type during the measurement year.</w:t>
            </w:r>
          </w:p>
        </w:tc>
      </w:tr>
    </w:tbl>
    <w:p w14:paraId="73A3FD9B" w14:textId="77777777" w:rsidR="00B852BD" w:rsidRPr="00463667" w:rsidRDefault="00B852BD" w:rsidP="00B852BD">
      <w:pPr>
        <w:pStyle w:val="TableText"/>
        <w:spacing w:before="2160" w:after="0" w:line="240" w:lineRule="auto"/>
        <w:ind w:left="115" w:hanging="115"/>
        <w:rPr>
          <w:rFonts w:ascii="Arial" w:hAnsi="Arial" w:cs="Arial"/>
          <w:sz w:val="18"/>
          <w:szCs w:val="18"/>
        </w:rPr>
      </w:pPr>
      <w:r w:rsidRPr="00463667">
        <w:rPr>
          <w:rFonts w:ascii="Arial" w:hAnsi="Arial" w:cs="Arial"/>
          <w:sz w:val="18"/>
          <w:szCs w:val="18"/>
        </w:rPr>
        <w:t>_____________</w:t>
      </w:r>
    </w:p>
    <w:p w14:paraId="754516D8" w14:textId="77777777" w:rsidR="00B852BD" w:rsidRPr="00463667" w:rsidRDefault="00B852BD" w:rsidP="00423A47">
      <w:pPr>
        <w:pStyle w:val="TableText"/>
        <w:spacing w:before="60" w:after="0" w:line="240" w:lineRule="auto"/>
        <w:rPr>
          <w:rFonts w:ascii="Arial" w:hAnsi="Arial" w:cs="Arial"/>
          <w:sz w:val="18"/>
          <w:szCs w:val="18"/>
        </w:rPr>
      </w:pPr>
      <w:r w:rsidRPr="00463667">
        <w:rPr>
          <w:rFonts w:ascii="Arial" w:hAnsi="Arial" w:cs="Arial"/>
          <w:sz w:val="18"/>
          <w:szCs w:val="18"/>
        </w:rPr>
        <w:t xml:space="preserve">Current Procedural Terminology © </w:t>
      </w:r>
      <w:r w:rsidR="00D0464F">
        <w:rPr>
          <w:rFonts w:ascii="Arial" w:hAnsi="Arial" w:cs="Arial"/>
          <w:sz w:val="18"/>
          <w:szCs w:val="18"/>
        </w:rPr>
        <w:t>2015</w:t>
      </w:r>
      <w:r w:rsidRPr="00463667">
        <w:rPr>
          <w:rFonts w:ascii="Arial" w:hAnsi="Arial" w:cs="Arial"/>
          <w:sz w:val="18"/>
          <w:szCs w:val="18"/>
        </w:rPr>
        <w:t xml:space="preserve"> American Medical Association. All rights reserved.</w:t>
      </w:r>
    </w:p>
    <w:p w14:paraId="768A6044" w14:textId="77777777" w:rsidR="00B852BD" w:rsidRPr="00463667" w:rsidRDefault="00B852BD" w:rsidP="00B852BD">
      <w:pPr>
        <w:spacing w:before="120"/>
        <w:rPr>
          <w:rFonts w:cs="Arial"/>
          <w:sz w:val="18"/>
          <w:szCs w:val="18"/>
        </w:rPr>
        <w:sectPr w:rsidR="00B852BD" w:rsidRPr="00463667" w:rsidSect="007527F3">
          <w:headerReference w:type="even" r:id="rId20"/>
          <w:headerReference w:type="default" r:id="rId21"/>
          <w:footerReference w:type="even" r:id="rId22"/>
          <w:footerReference w:type="default" r:id="rId23"/>
          <w:pgSz w:w="12240" w:h="15840" w:code="1"/>
          <w:pgMar w:top="1080" w:right="1080" w:bottom="1080" w:left="1440" w:header="720" w:footer="720" w:gutter="0"/>
          <w:cols w:space="720"/>
        </w:sectPr>
      </w:pPr>
    </w:p>
    <w:tbl>
      <w:tblPr>
        <w:tblW w:w="9826" w:type="dxa"/>
        <w:tblInd w:w="2" w:type="dxa"/>
        <w:tblLayout w:type="fixed"/>
        <w:tblLook w:val="0000" w:firstRow="0" w:lastRow="0" w:firstColumn="0" w:lastColumn="0" w:noHBand="0" w:noVBand="0"/>
      </w:tblPr>
      <w:tblGrid>
        <w:gridCol w:w="1800"/>
        <w:gridCol w:w="8026"/>
      </w:tblGrid>
      <w:tr w:rsidR="00B852BD" w:rsidRPr="00463667" w14:paraId="1F0BBA82" w14:textId="77777777" w:rsidTr="00756D29">
        <w:tc>
          <w:tcPr>
            <w:tcW w:w="1800" w:type="dxa"/>
          </w:tcPr>
          <w:p w14:paraId="359BFE06" w14:textId="77777777" w:rsidR="00B852BD" w:rsidRPr="00463667" w:rsidRDefault="00B852BD" w:rsidP="00F578E0">
            <w:pPr>
              <w:pStyle w:val="MarginSubhead"/>
              <w:spacing w:before="0"/>
              <w:jc w:val="right"/>
              <w:rPr>
                <w:i/>
              </w:rPr>
            </w:pPr>
            <w:r w:rsidRPr="00463667">
              <w:rPr>
                <w:i/>
              </w:rPr>
              <w:lastRenderedPageBreak/>
              <w:t>Medical Attention for Nephropathy</w:t>
            </w:r>
          </w:p>
        </w:tc>
        <w:tc>
          <w:tcPr>
            <w:tcW w:w="8026" w:type="dxa"/>
          </w:tcPr>
          <w:p w14:paraId="3C6D069E" w14:textId="77777777" w:rsidR="00B852BD" w:rsidRPr="00463667" w:rsidRDefault="00B852BD" w:rsidP="00F578E0">
            <w:pPr>
              <w:pStyle w:val="Body"/>
              <w:spacing w:before="0"/>
            </w:pPr>
            <w:r w:rsidRPr="00463667">
              <w:t xml:space="preserve">A nephropathy screening </w:t>
            </w:r>
            <w:r w:rsidR="002C18E2">
              <w:t xml:space="preserve">or monitoring </w:t>
            </w:r>
            <w:r w:rsidRPr="00463667">
              <w:t xml:space="preserve">test </w:t>
            </w:r>
            <w:r w:rsidRPr="00463667">
              <w:rPr>
                <w:b/>
                <w:i/>
              </w:rPr>
              <w:t>or</w:t>
            </w:r>
            <w:r w:rsidRPr="00463667">
              <w:t xml:space="preserve"> evidence of nephropathy, as documented through administrative data. This includes diabetics who had one of the following during the measurement year:</w:t>
            </w:r>
          </w:p>
          <w:p w14:paraId="3DA3BE74" w14:textId="65A307FE" w:rsidR="00B852BD" w:rsidRPr="00463667" w:rsidRDefault="00B852BD" w:rsidP="00B852BD">
            <w:pPr>
              <w:pStyle w:val="Bullet"/>
            </w:pPr>
            <w:r w:rsidRPr="00463667">
              <w:t xml:space="preserve">A nephropathy screening </w:t>
            </w:r>
            <w:r w:rsidR="002C18E2">
              <w:t xml:space="preserve">or monitoring </w:t>
            </w:r>
            <w:r w:rsidRPr="00463667">
              <w:t>test (</w:t>
            </w:r>
            <w:r w:rsidR="002C18E2">
              <w:rPr>
                <w:u w:val="single"/>
              </w:rPr>
              <w:t>Urine Protein</w:t>
            </w:r>
            <w:r w:rsidRPr="00463667">
              <w:rPr>
                <w:u w:val="single"/>
              </w:rPr>
              <w:t xml:space="preserve"> Tests Value Set</w:t>
            </w:r>
            <w:r w:rsidRPr="00463667">
              <w:t>).</w:t>
            </w:r>
          </w:p>
          <w:p w14:paraId="4DCE46ED" w14:textId="77777777" w:rsidR="00B852BD" w:rsidRPr="00463667" w:rsidRDefault="00B852BD" w:rsidP="00B852BD">
            <w:pPr>
              <w:pStyle w:val="Bullet"/>
            </w:pPr>
            <w:r w:rsidRPr="00463667">
              <w:t>Evidence of treatment for nephropathy or ACE/ARB therapy (</w:t>
            </w:r>
            <w:r w:rsidRPr="00463667">
              <w:rPr>
                <w:u w:val="single"/>
              </w:rPr>
              <w:t>Nephropathy Treatment Value Set</w:t>
            </w:r>
            <w:r w:rsidRPr="00463667">
              <w:t>).</w:t>
            </w:r>
          </w:p>
          <w:p w14:paraId="7D83C351" w14:textId="77777777" w:rsidR="00B852BD" w:rsidRPr="00463667" w:rsidRDefault="00B852BD" w:rsidP="00B852BD">
            <w:pPr>
              <w:pStyle w:val="Bullet"/>
            </w:pPr>
            <w:r w:rsidRPr="00463667">
              <w:t>Evidence of stage 4 chronic kidney disease (</w:t>
            </w:r>
            <w:r w:rsidRPr="00463667">
              <w:rPr>
                <w:u w:val="single"/>
              </w:rPr>
              <w:t>CKD Stage 4 Value Set</w:t>
            </w:r>
            <w:r w:rsidRPr="00463667">
              <w:t>).</w:t>
            </w:r>
          </w:p>
          <w:p w14:paraId="42E8F6BB" w14:textId="77777777" w:rsidR="00B852BD" w:rsidRPr="00463667" w:rsidRDefault="00B852BD" w:rsidP="00B852BD">
            <w:pPr>
              <w:pStyle w:val="Bullet"/>
            </w:pPr>
            <w:r w:rsidRPr="00463667">
              <w:t>Evidence of ESRD (</w:t>
            </w:r>
            <w:r w:rsidRPr="00463667">
              <w:rPr>
                <w:u w:val="single"/>
              </w:rPr>
              <w:t>ESRD Value Set</w:t>
            </w:r>
            <w:r w:rsidRPr="00463667">
              <w:t>).</w:t>
            </w:r>
          </w:p>
          <w:p w14:paraId="7E4E4AF5" w14:textId="77777777" w:rsidR="00B852BD" w:rsidRPr="00463667" w:rsidRDefault="00B852BD" w:rsidP="00B852BD">
            <w:pPr>
              <w:pStyle w:val="Bullet"/>
            </w:pPr>
            <w:r w:rsidRPr="00463667">
              <w:t>Evidence of kidney transplant (</w:t>
            </w:r>
            <w:r w:rsidRPr="00463667">
              <w:rPr>
                <w:u w:val="single"/>
              </w:rPr>
              <w:t>Kidney Transplant Value Set</w:t>
            </w:r>
            <w:r w:rsidRPr="00463667">
              <w:t>).</w:t>
            </w:r>
          </w:p>
          <w:p w14:paraId="1C9E8FD8" w14:textId="77777777" w:rsidR="00B852BD" w:rsidRPr="00463667" w:rsidRDefault="00B852BD" w:rsidP="00B852BD">
            <w:pPr>
              <w:pStyle w:val="Bullet"/>
            </w:pPr>
            <w:r w:rsidRPr="00463667">
              <w:t>A visit with a nephrologist, as identified by the organization</w:t>
            </w:r>
            <w:r w:rsidR="009F0DF0">
              <w:t>’</w:t>
            </w:r>
            <w:r w:rsidRPr="00463667">
              <w:t>s specialty provider codes (no restriction on the diagnosis or procedure code submitted).</w:t>
            </w:r>
          </w:p>
          <w:p w14:paraId="4FF04C12" w14:textId="77777777" w:rsidR="00B852BD" w:rsidRPr="00463667" w:rsidRDefault="00B852BD" w:rsidP="00CD2231">
            <w:pPr>
              <w:pStyle w:val="Bullet"/>
            </w:pPr>
            <w:r w:rsidRPr="00463667">
              <w:t>At least one ACE inhibitor or ARB dispensing event (Table CDC-L).</w:t>
            </w:r>
          </w:p>
          <w:p w14:paraId="50A32D3F" w14:textId="77777777" w:rsidR="00B852BD" w:rsidRPr="00463667" w:rsidRDefault="00B852BD" w:rsidP="00F578E0">
            <w:pPr>
              <w:pStyle w:val="Note"/>
            </w:pPr>
            <w:r w:rsidRPr="00463667">
              <w:rPr>
                <w:b/>
              </w:rPr>
              <w:t>Note:</w:t>
            </w:r>
            <w:r w:rsidRPr="00463667">
              <w:t xml:space="preserve"> A process flow diagram is included at the end of this specification to help implement this measure.</w:t>
            </w:r>
          </w:p>
        </w:tc>
      </w:tr>
    </w:tbl>
    <w:p w14:paraId="1FFEC0EE" w14:textId="77777777" w:rsidR="00B852BD" w:rsidRPr="00463667" w:rsidRDefault="00B852BD" w:rsidP="00B852BD">
      <w:pPr>
        <w:pStyle w:val="TableHeadNotCondensed"/>
      </w:pPr>
      <w:r w:rsidRPr="00463667">
        <w:t xml:space="preserve">Table CDC-L: ACE Inhibitors/ARBs </w:t>
      </w:r>
    </w:p>
    <w:tbl>
      <w:tblPr>
        <w:tblW w:w="9742" w:type="dxa"/>
        <w:tblInd w:w="-5" w:type="dxa"/>
        <w:tblLayout w:type="fixed"/>
        <w:tblLook w:val="0000" w:firstRow="0" w:lastRow="0" w:firstColumn="0" w:lastColumn="0" w:noHBand="0" w:noVBand="0"/>
      </w:tblPr>
      <w:tblGrid>
        <w:gridCol w:w="1643"/>
        <w:gridCol w:w="1547"/>
        <w:gridCol w:w="972"/>
        <w:gridCol w:w="666"/>
        <w:gridCol w:w="1638"/>
        <w:gridCol w:w="486"/>
        <w:gridCol w:w="1152"/>
        <w:gridCol w:w="1638"/>
      </w:tblGrid>
      <w:tr w:rsidR="00B852BD" w:rsidRPr="00463667" w14:paraId="4AF48FB9" w14:textId="77777777" w:rsidTr="006740AA">
        <w:trPr>
          <w:trHeight w:val="255"/>
        </w:trPr>
        <w:tc>
          <w:tcPr>
            <w:tcW w:w="1643" w:type="dxa"/>
            <w:tcBorders>
              <w:top w:val="single" w:sz="4" w:space="0" w:color="auto"/>
              <w:left w:val="single" w:sz="4" w:space="0" w:color="auto"/>
              <w:bottom w:val="single" w:sz="4" w:space="0" w:color="auto"/>
              <w:right w:val="single" w:sz="6" w:space="0" w:color="FFFFFF"/>
            </w:tcBorders>
            <w:shd w:val="clear" w:color="auto" w:fill="000000"/>
            <w:noWrap/>
            <w:vAlign w:val="bottom"/>
          </w:tcPr>
          <w:p w14:paraId="0B3C2AAE" w14:textId="77777777" w:rsidR="00B852BD" w:rsidRPr="00463667" w:rsidRDefault="00B852BD" w:rsidP="00F578E0">
            <w:pPr>
              <w:pStyle w:val="TableHead"/>
              <w:rPr>
                <w:color w:val="auto"/>
              </w:rPr>
            </w:pPr>
            <w:r w:rsidRPr="00463667">
              <w:rPr>
                <w:color w:val="auto"/>
              </w:rPr>
              <w:t>Description</w:t>
            </w:r>
          </w:p>
        </w:tc>
        <w:tc>
          <w:tcPr>
            <w:tcW w:w="8099" w:type="dxa"/>
            <w:gridSpan w:val="7"/>
            <w:tcBorders>
              <w:top w:val="single" w:sz="4" w:space="0" w:color="auto"/>
              <w:left w:val="single" w:sz="6" w:space="0" w:color="FFFFFF"/>
              <w:bottom w:val="single" w:sz="4" w:space="0" w:color="auto"/>
              <w:right w:val="single" w:sz="4" w:space="0" w:color="auto"/>
            </w:tcBorders>
            <w:shd w:val="clear" w:color="auto" w:fill="000000"/>
            <w:noWrap/>
            <w:vAlign w:val="bottom"/>
          </w:tcPr>
          <w:p w14:paraId="1E3DFBE0" w14:textId="77777777" w:rsidR="00B852BD" w:rsidRPr="00463667" w:rsidRDefault="00B852BD" w:rsidP="00F578E0">
            <w:pPr>
              <w:pStyle w:val="TableHead"/>
              <w:rPr>
                <w:color w:val="auto"/>
              </w:rPr>
            </w:pPr>
            <w:r w:rsidRPr="00463667">
              <w:rPr>
                <w:color w:val="auto"/>
              </w:rPr>
              <w:t>Prescription</w:t>
            </w:r>
          </w:p>
        </w:tc>
      </w:tr>
      <w:tr w:rsidR="00B852BD" w:rsidRPr="00463667" w14:paraId="25401805" w14:textId="77777777" w:rsidTr="006740AA">
        <w:tc>
          <w:tcPr>
            <w:tcW w:w="1643" w:type="dxa"/>
            <w:tcBorders>
              <w:top w:val="single" w:sz="4" w:space="0" w:color="auto"/>
              <w:left w:val="single" w:sz="4" w:space="0" w:color="auto"/>
              <w:bottom w:val="single" w:sz="6" w:space="0" w:color="auto"/>
              <w:right w:val="single" w:sz="4" w:space="0" w:color="auto"/>
            </w:tcBorders>
            <w:shd w:val="clear" w:color="auto" w:fill="auto"/>
          </w:tcPr>
          <w:p w14:paraId="233A93C3" w14:textId="77777777" w:rsidR="00B852BD" w:rsidRPr="00463667" w:rsidRDefault="00B852BD" w:rsidP="006740AA">
            <w:pPr>
              <w:pStyle w:val="TableText"/>
            </w:pPr>
            <w:r w:rsidRPr="00463667">
              <w:t>Angiotensin converting enzyme inhibitors</w:t>
            </w:r>
          </w:p>
        </w:tc>
        <w:tc>
          <w:tcPr>
            <w:tcW w:w="1547" w:type="dxa"/>
            <w:tcBorders>
              <w:top w:val="single" w:sz="4" w:space="0" w:color="auto"/>
              <w:left w:val="nil"/>
              <w:bottom w:val="single" w:sz="6" w:space="0" w:color="auto"/>
            </w:tcBorders>
            <w:shd w:val="clear" w:color="auto" w:fill="auto"/>
          </w:tcPr>
          <w:p w14:paraId="1943545E" w14:textId="77777777" w:rsidR="00B852BD" w:rsidRPr="00463667" w:rsidRDefault="00B852BD" w:rsidP="006740AA">
            <w:pPr>
              <w:pStyle w:val="TableBullet"/>
              <w:rPr>
                <w:szCs w:val="19"/>
              </w:rPr>
            </w:pPr>
            <w:r w:rsidRPr="00463667">
              <w:t xml:space="preserve">Benazepril </w:t>
            </w:r>
          </w:p>
          <w:p w14:paraId="47085A49" w14:textId="77777777" w:rsidR="00B852BD" w:rsidRPr="00463667" w:rsidRDefault="00B852BD" w:rsidP="006740AA">
            <w:pPr>
              <w:pStyle w:val="TableBullet"/>
              <w:rPr>
                <w:szCs w:val="19"/>
              </w:rPr>
            </w:pPr>
            <w:r w:rsidRPr="00463667">
              <w:t xml:space="preserve">Captopril </w:t>
            </w:r>
          </w:p>
        </w:tc>
        <w:tc>
          <w:tcPr>
            <w:tcW w:w="1638" w:type="dxa"/>
            <w:gridSpan w:val="2"/>
            <w:tcBorders>
              <w:top w:val="single" w:sz="4" w:space="0" w:color="auto"/>
              <w:bottom w:val="single" w:sz="6" w:space="0" w:color="auto"/>
            </w:tcBorders>
            <w:shd w:val="clear" w:color="auto" w:fill="auto"/>
          </w:tcPr>
          <w:p w14:paraId="267C8EF1" w14:textId="77777777" w:rsidR="00B852BD" w:rsidRPr="00463667" w:rsidRDefault="00B852BD" w:rsidP="006740AA">
            <w:pPr>
              <w:pStyle w:val="TableBullet"/>
              <w:rPr>
                <w:szCs w:val="19"/>
              </w:rPr>
            </w:pPr>
            <w:r w:rsidRPr="00463667">
              <w:t>Enalapril</w:t>
            </w:r>
          </w:p>
          <w:p w14:paraId="13848706" w14:textId="77777777" w:rsidR="00B852BD" w:rsidRPr="00463667" w:rsidRDefault="00B852BD" w:rsidP="006740AA">
            <w:pPr>
              <w:pStyle w:val="TableBullet"/>
              <w:rPr>
                <w:szCs w:val="19"/>
              </w:rPr>
            </w:pPr>
            <w:r w:rsidRPr="00463667">
              <w:t>Fosinopril</w:t>
            </w:r>
          </w:p>
        </w:tc>
        <w:tc>
          <w:tcPr>
            <w:tcW w:w="1638" w:type="dxa"/>
            <w:tcBorders>
              <w:top w:val="single" w:sz="4" w:space="0" w:color="auto"/>
              <w:bottom w:val="single" w:sz="6" w:space="0" w:color="auto"/>
            </w:tcBorders>
            <w:shd w:val="clear" w:color="auto" w:fill="auto"/>
          </w:tcPr>
          <w:p w14:paraId="5E3CB1FE" w14:textId="77777777" w:rsidR="00B852BD" w:rsidRPr="00463667" w:rsidRDefault="00B852BD" w:rsidP="006740AA">
            <w:pPr>
              <w:pStyle w:val="TableBullet"/>
              <w:rPr>
                <w:szCs w:val="19"/>
              </w:rPr>
            </w:pPr>
            <w:r w:rsidRPr="00463667">
              <w:t xml:space="preserve">Lisinopril </w:t>
            </w:r>
          </w:p>
          <w:p w14:paraId="59853BAF" w14:textId="77777777" w:rsidR="00B852BD" w:rsidRPr="00463667" w:rsidRDefault="00B852BD" w:rsidP="006740AA">
            <w:pPr>
              <w:pStyle w:val="TableBullet"/>
              <w:rPr>
                <w:szCs w:val="19"/>
              </w:rPr>
            </w:pPr>
            <w:r w:rsidRPr="00463667">
              <w:t>Moexipril</w:t>
            </w:r>
          </w:p>
        </w:tc>
        <w:tc>
          <w:tcPr>
            <w:tcW w:w="1638" w:type="dxa"/>
            <w:gridSpan w:val="2"/>
            <w:tcBorders>
              <w:top w:val="single" w:sz="4" w:space="0" w:color="auto"/>
              <w:bottom w:val="single" w:sz="6" w:space="0" w:color="auto"/>
            </w:tcBorders>
            <w:shd w:val="clear" w:color="auto" w:fill="auto"/>
          </w:tcPr>
          <w:p w14:paraId="674F7D51" w14:textId="77777777" w:rsidR="00B852BD" w:rsidRPr="00463667" w:rsidRDefault="00B852BD" w:rsidP="006740AA">
            <w:pPr>
              <w:pStyle w:val="TableBullet"/>
              <w:rPr>
                <w:szCs w:val="19"/>
              </w:rPr>
            </w:pPr>
            <w:r w:rsidRPr="00463667">
              <w:t>Perindopril</w:t>
            </w:r>
          </w:p>
          <w:p w14:paraId="6F8776F9" w14:textId="77777777" w:rsidR="00B852BD" w:rsidRPr="00463667" w:rsidRDefault="00B852BD" w:rsidP="006740AA">
            <w:pPr>
              <w:pStyle w:val="TableBullet"/>
              <w:rPr>
                <w:szCs w:val="19"/>
              </w:rPr>
            </w:pPr>
            <w:r w:rsidRPr="00463667">
              <w:t>Quinapril</w:t>
            </w:r>
          </w:p>
        </w:tc>
        <w:tc>
          <w:tcPr>
            <w:tcW w:w="1638" w:type="dxa"/>
            <w:tcBorders>
              <w:top w:val="single" w:sz="4" w:space="0" w:color="auto"/>
              <w:bottom w:val="single" w:sz="6" w:space="0" w:color="auto"/>
              <w:right w:val="single" w:sz="4" w:space="0" w:color="auto"/>
            </w:tcBorders>
            <w:shd w:val="clear" w:color="auto" w:fill="auto"/>
          </w:tcPr>
          <w:p w14:paraId="3AEC1389" w14:textId="77777777" w:rsidR="00B852BD" w:rsidRPr="00463667" w:rsidRDefault="00B852BD" w:rsidP="006740AA">
            <w:pPr>
              <w:pStyle w:val="TableBullet"/>
              <w:rPr>
                <w:szCs w:val="19"/>
              </w:rPr>
            </w:pPr>
            <w:r w:rsidRPr="00463667">
              <w:t xml:space="preserve">Ramipril </w:t>
            </w:r>
          </w:p>
          <w:p w14:paraId="0DB649F6" w14:textId="77777777" w:rsidR="00B852BD" w:rsidRPr="00463667" w:rsidRDefault="00B852BD" w:rsidP="006740AA">
            <w:pPr>
              <w:pStyle w:val="TableBullet"/>
              <w:rPr>
                <w:szCs w:val="19"/>
              </w:rPr>
            </w:pPr>
            <w:r w:rsidRPr="00463667">
              <w:t>Trandolapril</w:t>
            </w:r>
          </w:p>
        </w:tc>
      </w:tr>
      <w:tr w:rsidR="00B852BD" w:rsidRPr="00463667" w14:paraId="2FAF3CAE" w14:textId="77777777" w:rsidTr="006740AA">
        <w:tc>
          <w:tcPr>
            <w:tcW w:w="1643" w:type="dxa"/>
            <w:tcBorders>
              <w:top w:val="single" w:sz="4" w:space="0" w:color="auto"/>
              <w:left w:val="single" w:sz="4" w:space="0" w:color="auto"/>
              <w:bottom w:val="single" w:sz="6" w:space="0" w:color="auto"/>
              <w:right w:val="single" w:sz="4" w:space="0" w:color="auto"/>
            </w:tcBorders>
            <w:shd w:val="clear" w:color="auto" w:fill="FFFFFF" w:themeFill="background1"/>
          </w:tcPr>
          <w:p w14:paraId="26E62D64" w14:textId="77777777" w:rsidR="00B852BD" w:rsidRPr="00463667" w:rsidRDefault="00B852BD" w:rsidP="006740AA">
            <w:pPr>
              <w:pStyle w:val="TableText"/>
            </w:pPr>
            <w:r w:rsidRPr="00463667">
              <w:t>Angiotensin II inhibitors</w:t>
            </w:r>
          </w:p>
        </w:tc>
        <w:tc>
          <w:tcPr>
            <w:tcW w:w="1547" w:type="dxa"/>
            <w:tcBorders>
              <w:top w:val="single" w:sz="4" w:space="0" w:color="auto"/>
              <w:left w:val="nil"/>
              <w:bottom w:val="single" w:sz="6" w:space="0" w:color="auto"/>
            </w:tcBorders>
            <w:shd w:val="clear" w:color="auto" w:fill="FFFFFF" w:themeFill="background1"/>
          </w:tcPr>
          <w:p w14:paraId="67682A4B" w14:textId="77777777" w:rsidR="00B852BD" w:rsidRPr="00463667" w:rsidRDefault="00B852BD" w:rsidP="006740AA">
            <w:pPr>
              <w:pStyle w:val="TableBullet"/>
            </w:pPr>
            <w:r w:rsidRPr="00463667">
              <w:t>Azilsartan</w:t>
            </w:r>
          </w:p>
          <w:p w14:paraId="222B7EB4" w14:textId="77777777" w:rsidR="00B852BD" w:rsidRPr="00463667" w:rsidRDefault="00B852BD" w:rsidP="006740AA">
            <w:pPr>
              <w:pStyle w:val="TableBullet"/>
            </w:pPr>
            <w:r w:rsidRPr="00463667">
              <w:t>Candesartan</w:t>
            </w:r>
          </w:p>
        </w:tc>
        <w:tc>
          <w:tcPr>
            <w:tcW w:w="1638" w:type="dxa"/>
            <w:gridSpan w:val="2"/>
            <w:tcBorders>
              <w:top w:val="single" w:sz="4" w:space="0" w:color="auto"/>
              <w:bottom w:val="single" w:sz="6" w:space="0" w:color="auto"/>
            </w:tcBorders>
            <w:shd w:val="clear" w:color="auto" w:fill="FFFFFF" w:themeFill="background1"/>
          </w:tcPr>
          <w:p w14:paraId="79A871BD" w14:textId="77777777" w:rsidR="00B852BD" w:rsidRPr="00463667" w:rsidRDefault="00B852BD" w:rsidP="006740AA">
            <w:pPr>
              <w:pStyle w:val="TableBullet"/>
            </w:pPr>
            <w:r w:rsidRPr="00463667">
              <w:t>Eprosartan</w:t>
            </w:r>
          </w:p>
          <w:p w14:paraId="4E206242" w14:textId="77777777" w:rsidR="00B852BD" w:rsidRPr="00463667" w:rsidRDefault="00B852BD" w:rsidP="006740AA">
            <w:pPr>
              <w:pStyle w:val="TableBullet"/>
            </w:pPr>
            <w:r w:rsidRPr="00463667">
              <w:t>Irbesartan</w:t>
            </w:r>
          </w:p>
        </w:tc>
        <w:tc>
          <w:tcPr>
            <w:tcW w:w="1638" w:type="dxa"/>
            <w:tcBorders>
              <w:top w:val="single" w:sz="4" w:space="0" w:color="auto"/>
              <w:bottom w:val="single" w:sz="6" w:space="0" w:color="auto"/>
            </w:tcBorders>
            <w:shd w:val="clear" w:color="auto" w:fill="FFFFFF" w:themeFill="background1"/>
          </w:tcPr>
          <w:p w14:paraId="4B666EE5" w14:textId="77777777" w:rsidR="00B852BD" w:rsidRPr="00463667" w:rsidRDefault="00B852BD" w:rsidP="006740AA">
            <w:pPr>
              <w:pStyle w:val="TableBullet"/>
            </w:pPr>
            <w:r w:rsidRPr="00463667">
              <w:t>Losartan</w:t>
            </w:r>
          </w:p>
          <w:p w14:paraId="33B916C4" w14:textId="77777777" w:rsidR="00B852BD" w:rsidRPr="00463667" w:rsidRDefault="00B852BD" w:rsidP="006740AA">
            <w:pPr>
              <w:pStyle w:val="TableBullet"/>
            </w:pPr>
            <w:r w:rsidRPr="00463667">
              <w:t>Olmesartan</w:t>
            </w:r>
          </w:p>
        </w:tc>
        <w:tc>
          <w:tcPr>
            <w:tcW w:w="1638" w:type="dxa"/>
            <w:gridSpan w:val="2"/>
            <w:tcBorders>
              <w:top w:val="single" w:sz="4" w:space="0" w:color="auto"/>
              <w:bottom w:val="single" w:sz="6" w:space="0" w:color="auto"/>
            </w:tcBorders>
            <w:shd w:val="clear" w:color="auto" w:fill="FFFFFF" w:themeFill="background1"/>
          </w:tcPr>
          <w:p w14:paraId="5EAB334B" w14:textId="77777777" w:rsidR="00B852BD" w:rsidRPr="00463667" w:rsidRDefault="00B852BD" w:rsidP="006740AA">
            <w:pPr>
              <w:pStyle w:val="TableBullet"/>
            </w:pPr>
            <w:r w:rsidRPr="00463667">
              <w:t>Telmisartan</w:t>
            </w:r>
            <w:r w:rsidRPr="00463667" w:rsidDel="00CD6712">
              <w:t xml:space="preserve"> </w:t>
            </w:r>
          </w:p>
          <w:p w14:paraId="68DBB922" w14:textId="77777777" w:rsidR="00B852BD" w:rsidRPr="00463667" w:rsidRDefault="00B852BD" w:rsidP="006740AA">
            <w:pPr>
              <w:pStyle w:val="TableBullet"/>
            </w:pPr>
            <w:r w:rsidRPr="00463667">
              <w:t>Valsartan</w:t>
            </w:r>
          </w:p>
        </w:tc>
        <w:tc>
          <w:tcPr>
            <w:tcW w:w="1638" w:type="dxa"/>
            <w:tcBorders>
              <w:top w:val="single" w:sz="4" w:space="0" w:color="auto"/>
              <w:bottom w:val="single" w:sz="6" w:space="0" w:color="auto"/>
              <w:right w:val="single" w:sz="4" w:space="0" w:color="auto"/>
            </w:tcBorders>
            <w:shd w:val="clear" w:color="auto" w:fill="FFFFFF" w:themeFill="background1"/>
          </w:tcPr>
          <w:p w14:paraId="505A34FA" w14:textId="77777777" w:rsidR="00B852BD" w:rsidRPr="00463667" w:rsidRDefault="00B852BD" w:rsidP="00D948D3">
            <w:pPr>
              <w:pStyle w:val="TableText"/>
            </w:pPr>
          </w:p>
        </w:tc>
      </w:tr>
      <w:tr w:rsidR="00B852BD" w:rsidRPr="00463667" w14:paraId="53AB1E0D" w14:textId="77777777" w:rsidTr="006740AA">
        <w:tc>
          <w:tcPr>
            <w:tcW w:w="1643" w:type="dxa"/>
            <w:tcBorders>
              <w:top w:val="single" w:sz="6" w:space="0" w:color="auto"/>
              <w:left w:val="single" w:sz="4" w:space="0" w:color="auto"/>
              <w:bottom w:val="single" w:sz="4" w:space="0" w:color="auto"/>
              <w:right w:val="single" w:sz="4" w:space="0" w:color="auto"/>
            </w:tcBorders>
            <w:shd w:val="clear" w:color="auto" w:fill="auto"/>
          </w:tcPr>
          <w:p w14:paraId="70B79B3A" w14:textId="77777777" w:rsidR="00B852BD" w:rsidRPr="00463667" w:rsidRDefault="00B852BD" w:rsidP="006740AA">
            <w:pPr>
              <w:pStyle w:val="TableText"/>
            </w:pPr>
            <w:r w:rsidRPr="00463667">
              <w:t>Antihypertensive combinations</w:t>
            </w:r>
          </w:p>
        </w:tc>
        <w:tc>
          <w:tcPr>
            <w:tcW w:w="2519" w:type="dxa"/>
            <w:gridSpan w:val="2"/>
            <w:tcBorders>
              <w:top w:val="single" w:sz="6" w:space="0" w:color="auto"/>
              <w:left w:val="nil"/>
              <w:bottom w:val="single" w:sz="4" w:space="0" w:color="auto"/>
            </w:tcBorders>
            <w:shd w:val="clear" w:color="auto" w:fill="auto"/>
          </w:tcPr>
          <w:p w14:paraId="4ECAECDE" w14:textId="77777777" w:rsidR="00B852BD" w:rsidRPr="00463667" w:rsidRDefault="00B852BD" w:rsidP="006740AA">
            <w:pPr>
              <w:pStyle w:val="TableBullet"/>
              <w:rPr>
                <w:szCs w:val="19"/>
              </w:rPr>
            </w:pPr>
            <w:r w:rsidRPr="00463667">
              <w:rPr>
                <w:szCs w:val="19"/>
              </w:rPr>
              <w:t>Aliskiren-valsartan</w:t>
            </w:r>
          </w:p>
          <w:p w14:paraId="59EDD098" w14:textId="77777777" w:rsidR="00B852BD" w:rsidRPr="00463667" w:rsidRDefault="00B852BD" w:rsidP="006740AA">
            <w:pPr>
              <w:pStyle w:val="TableBullet"/>
              <w:rPr>
                <w:szCs w:val="19"/>
              </w:rPr>
            </w:pPr>
            <w:r w:rsidRPr="00463667">
              <w:t>Amlodipine-benazepril</w:t>
            </w:r>
          </w:p>
          <w:p w14:paraId="13685028" w14:textId="77777777" w:rsidR="00B852BD" w:rsidRPr="00463667" w:rsidRDefault="00B852BD" w:rsidP="006740AA">
            <w:pPr>
              <w:pStyle w:val="TableBullet"/>
              <w:rPr>
                <w:szCs w:val="19"/>
              </w:rPr>
            </w:pPr>
            <w:r w:rsidRPr="00463667">
              <w:t>Amlodipine-hydrochlorothiazide-valsartan</w:t>
            </w:r>
          </w:p>
          <w:p w14:paraId="23D7C874" w14:textId="77777777" w:rsidR="00B852BD" w:rsidRPr="00463667" w:rsidRDefault="00B852BD" w:rsidP="006740AA">
            <w:pPr>
              <w:pStyle w:val="TableBullet"/>
              <w:rPr>
                <w:szCs w:val="19"/>
              </w:rPr>
            </w:pPr>
            <w:r w:rsidRPr="00463667">
              <w:t>Amlodipine-hydrochlorothiazide-olmesartan</w:t>
            </w:r>
          </w:p>
          <w:p w14:paraId="2831CD47" w14:textId="77777777" w:rsidR="00B852BD" w:rsidRPr="00463667" w:rsidRDefault="00B852BD" w:rsidP="006740AA">
            <w:pPr>
              <w:pStyle w:val="TableBullet"/>
              <w:rPr>
                <w:szCs w:val="19"/>
              </w:rPr>
            </w:pPr>
            <w:r w:rsidRPr="00463667">
              <w:rPr>
                <w:szCs w:val="19"/>
              </w:rPr>
              <w:t>Amlodipine-olmesartan</w:t>
            </w:r>
          </w:p>
          <w:p w14:paraId="199CED0B" w14:textId="77777777" w:rsidR="00B852BD" w:rsidRPr="00463667" w:rsidRDefault="00B852BD" w:rsidP="006740AA">
            <w:pPr>
              <w:pStyle w:val="TableBullet"/>
            </w:pPr>
            <w:r w:rsidRPr="00463667">
              <w:t>Amlodipine-telmisartan</w:t>
            </w:r>
          </w:p>
          <w:p w14:paraId="343E8714" w14:textId="77777777" w:rsidR="00B852BD" w:rsidRPr="00463667" w:rsidRDefault="00B852BD" w:rsidP="006740AA">
            <w:pPr>
              <w:pStyle w:val="TableBullet"/>
            </w:pPr>
            <w:r w:rsidRPr="00463667">
              <w:t>Amlodipine-valsartan</w:t>
            </w:r>
          </w:p>
        </w:tc>
        <w:tc>
          <w:tcPr>
            <w:tcW w:w="2790" w:type="dxa"/>
            <w:gridSpan w:val="3"/>
            <w:tcBorders>
              <w:top w:val="single" w:sz="6" w:space="0" w:color="auto"/>
              <w:bottom w:val="single" w:sz="4" w:space="0" w:color="auto"/>
            </w:tcBorders>
            <w:shd w:val="clear" w:color="auto" w:fill="auto"/>
          </w:tcPr>
          <w:p w14:paraId="5DD0DA10" w14:textId="77777777" w:rsidR="00B852BD" w:rsidRPr="00463667" w:rsidRDefault="00B852BD" w:rsidP="006740AA">
            <w:pPr>
              <w:pStyle w:val="TableBullet"/>
              <w:rPr>
                <w:szCs w:val="19"/>
              </w:rPr>
            </w:pPr>
            <w:r w:rsidRPr="00463667">
              <w:rPr>
                <w:szCs w:val="20"/>
              </w:rPr>
              <w:t>Azilsartan-chlorthalidone</w:t>
            </w:r>
          </w:p>
          <w:p w14:paraId="304A82D0" w14:textId="77777777" w:rsidR="00B852BD" w:rsidRPr="00463667" w:rsidRDefault="00B852BD" w:rsidP="006740AA">
            <w:pPr>
              <w:pStyle w:val="TableBullet"/>
              <w:rPr>
                <w:szCs w:val="19"/>
              </w:rPr>
            </w:pPr>
            <w:r w:rsidRPr="00463667">
              <w:t>Benazepril-hydrochlorothiazide</w:t>
            </w:r>
          </w:p>
          <w:p w14:paraId="358927BA" w14:textId="77777777" w:rsidR="00B852BD" w:rsidRPr="00463667" w:rsidRDefault="00B852BD" w:rsidP="006740AA">
            <w:pPr>
              <w:pStyle w:val="TableBullet"/>
              <w:rPr>
                <w:szCs w:val="19"/>
              </w:rPr>
            </w:pPr>
            <w:r w:rsidRPr="00463667">
              <w:t>Candesartan-hydrochlorothiazide</w:t>
            </w:r>
          </w:p>
          <w:p w14:paraId="69C5CCF4" w14:textId="77777777" w:rsidR="00B852BD" w:rsidRPr="00463667" w:rsidRDefault="00B852BD" w:rsidP="006740AA">
            <w:pPr>
              <w:pStyle w:val="TableBullet"/>
              <w:rPr>
                <w:szCs w:val="19"/>
              </w:rPr>
            </w:pPr>
            <w:r w:rsidRPr="00463667">
              <w:t>Captopril-hydrochlorothiazide</w:t>
            </w:r>
          </w:p>
          <w:p w14:paraId="6454AA4B" w14:textId="77777777" w:rsidR="00B852BD" w:rsidRPr="00463667" w:rsidRDefault="00B852BD" w:rsidP="006740AA">
            <w:pPr>
              <w:pStyle w:val="TableBullet"/>
              <w:rPr>
                <w:szCs w:val="19"/>
              </w:rPr>
            </w:pPr>
            <w:r w:rsidRPr="00463667">
              <w:t>Enalapril-hydrochlorothiazide</w:t>
            </w:r>
          </w:p>
          <w:p w14:paraId="1F15F08A" w14:textId="77777777" w:rsidR="00B852BD" w:rsidRPr="00463667" w:rsidRDefault="00B852BD" w:rsidP="006740AA">
            <w:pPr>
              <w:pStyle w:val="TableBullet"/>
              <w:rPr>
                <w:szCs w:val="19"/>
              </w:rPr>
            </w:pPr>
            <w:r w:rsidRPr="00463667">
              <w:t>Eprosartan-hydrochlorothiazide</w:t>
            </w:r>
          </w:p>
          <w:p w14:paraId="27B9AA30" w14:textId="77777777" w:rsidR="00B852BD" w:rsidRPr="00463667" w:rsidRDefault="00B852BD" w:rsidP="006740AA">
            <w:pPr>
              <w:pStyle w:val="TableBullet"/>
              <w:rPr>
                <w:szCs w:val="19"/>
              </w:rPr>
            </w:pPr>
            <w:r w:rsidRPr="00463667">
              <w:t>Fosinopril-hydrochlorothiazide</w:t>
            </w:r>
          </w:p>
          <w:p w14:paraId="18C2B4ED" w14:textId="77777777" w:rsidR="00B852BD" w:rsidRPr="00463667" w:rsidRDefault="00B852BD" w:rsidP="006740AA">
            <w:pPr>
              <w:pStyle w:val="TableBullet"/>
            </w:pPr>
            <w:r w:rsidRPr="00463667">
              <w:t>Hydrochlorothiazide-irbesartan</w:t>
            </w:r>
          </w:p>
        </w:tc>
        <w:tc>
          <w:tcPr>
            <w:tcW w:w="2790" w:type="dxa"/>
            <w:gridSpan w:val="2"/>
            <w:tcBorders>
              <w:top w:val="single" w:sz="6" w:space="0" w:color="auto"/>
              <w:bottom w:val="single" w:sz="4" w:space="0" w:color="auto"/>
              <w:right w:val="single" w:sz="4" w:space="0" w:color="auto"/>
            </w:tcBorders>
            <w:shd w:val="clear" w:color="auto" w:fill="auto"/>
          </w:tcPr>
          <w:p w14:paraId="00A3B880" w14:textId="77777777" w:rsidR="00B852BD" w:rsidRPr="00463667" w:rsidRDefault="00B852BD" w:rsidP="006740AA">
            <w:pPr>
              <w:pStyle w:val="TableBullet"/>
              <w:rPr>
                <w:szCs w:val="19"/>
              </w:rPr>
            </w:pPr>
            <w:r w:rsidRPr="00463667">
              <w:t>Hydrochlorothiazide-lisinopril</w:t>
            </w:r>
          </w:p>
          <w:p w14:paraId="23E9B628" w14:textId="77777777" w:rsidR="00B852BD" w:rsidRPr="00463667" w:rsidRDefault="00B852BD" w:rsidP="006740AA">
            <w:pPr>
              <w:pStyle w:val="TableBullet"/>
              <w:rPr>
                <w:szCs w:val="19"/>
              </w:rPr>
            </w:pPr>
            <w:r w:rsidRPr="00463667">
              <w:t>Hydrochlorothiazide-losartan</w:t>
            </w:r>
          </w:p>
          <w:p w14:paraId="57FDE416" w14:textId="77777777" w:rsidR="00B852BD" w:rsidRPr="00463667" w:rsidRDefault="00B852BD" w:rsidP="006740AA">
            <w:pPr>
              <w:pStyle w:val="TableBullet"/>
              <w:rPr>
                <w:szCs w:val="19"/>
              </w:rPr>
            </w:pPr>
            <w:r w:rsidRPr="00463667">
              <w:t>Hydrochlorothiazide-moexipril</w:t>
            </w:r>
          </w:p>
          <w:p w14:paraId="4224173E" w14:textId="77777777" w:rsidR="00B852BD" w:rsidRPr="00463667" w:rsidRDefault="00B852BD" w:rsidP="006740AA">
            <w:pPr>
              <w:pStyle w:val="TableBullet"/>
              <w:rPr>
                <w:szCs w:val="19"/>
              </w:rPr>
            </w:pPr>
            <w:r w:rsidRPr="00463667">
              <w:t>Hydrochlorothiazide-olmesartan</w:t>
            </w:r>
          </w:p>
          <w:p w14:paraId="7D9C6F40" w14:textId="77777777" w:rsidR="00B852BD" w:rsidRPr="00463667" w:rsidRDefault="00B852BD" w:rsidP="006740AA">
            <w:pPr>
              <w:pStyle w:val="TableBullet"/>
              <w:rPr>
                <w:szCs w:val="19"/>
              </w:rPr>
            </w:pPr>
            <w:r w:rsidRPr="00463667">
              <w:t xml:space="preserve">Hydrochlorothiazide-quinapril </w:t>
            </w:r>
          </w:p>
          <w:p w14:paraId="7564E042" w14:textId="77777777" w:rsidR="00B852BD" w:rsidRPr="00463667" w:rsidRDefault="00B852BD" w:rsidP="006740AA">
            <w:pPr>
              <w:pStyle w:val="TableBullet"/>
              <w:rPr>
                <w:szCs w:val="19"/>
              </w:rPr>
            </w:pPr>
            <w:r w:rsidRPr="00463667">
              <w:t xml:space="preserve">Hydrochlorothiazide-telmisartan </w:t>
            </w:r>
          </w:p>
          <w:p w14:paraId="39FC477A" w14:textId="77777777" w:rsidR="00B852BD" w:rsidRPr="00463667" w:rsidRDefault="00B852BD" w:rsidP="006740AA">
            <w:pPr>
              <w:pStyle w:val="TableBullet"/>
              <w:rPr>
                <w:szCs w:val="19"/>
              </w:rPr>
            </w:pPr>
            <w:r w:rsidRPr="00463667">
              <w:t>Hydrochlorothiazide-valsartan</w:t>
            </w:r>
          </w:p>
          <w:p w14:paraId="1E4EE4C5" w14:textId="77777777" w:rsidR="00B852BD" w:rsidRPr="00463667" w:rsidRDefault="00B852BD" w:rsidP="006740AA">
            <w:pPr>
              <w:pStyle w:val="TableBullet"/>
              <w:rPr>
                <w:szCs w:val="19"/>
              </w:rPr>
            </w:pPr>
            <w:r w:rsidRPr="00463667">
              <w:t xml:space="preserve">Trandolapril-verapamil </w:t>
            </w:r>
          </w:p>
        </w:tc>
      </w:tr>
    </w:tbl>
    <w:p w14:paraId="66ACB34F" w14:textId="3CE2D796" w:rsidR="00B852BD" w:rsidRPr="00463667" w:rsidRDefault="00B852BD" w:rsidP="00B852BD">
      <w:pPr>
        <w:pStyle w:val="Note"/>
        <w:spacing w:before="60"/>
        <w:rPr>
          <w:szCs w:val="20"/>
        </w:rPr>
      </w:pPr>
      <w:r w:rsidRPr="00463667">
        <w:rPr>
          <w:rFonts w:cs="Arial"/>
          <w:b/>
          <w:bCs/>
          <w:szCs w:val="20"/>
        </w:rPr>
        <w:t xml:space="preserve">Note: </w:t>
      </w:r>
      <w:r w:rsidRPr="00463667">
        <w:rPr>
          <w:szCs w:val="20"/>
        </w:rPr>
        <w:t xml:space="preserve">NCQA will post a comprehensive list of medications and NDC codes to www.ncqa.org by November </w:t>
      </w:r>
      <w:r w:rsidR="00D0464F">
        <w:rPr>
          <w:szCs w:val="20"/>
        </w:rPr>
        <w:t>2</w:t>
      </w:r>
      <w:r w:rsidRPr="00463667">
        <w:rPr>
          <w:szCs w:val="20"/>
        </w:rPr>
        <w:t xml:space="preserve">, </w:t>
      </w:r>
      <w:r w:rsidR="00D0464F">
        <w:rPr>
          <w:szCs w:val="20"/>
        </w:rPr>
        <w:t>2015</w:t>
      </w:r>
      <w:r w:rsidRPr="00463667">
        <w:rPr>
          <w:szCs w:val="20"/>
        </w:rPr>
        <w:t xml:space="preserve">. </w:t>
      </w:r>
    </w:p>
    <w:p w14:paraId="0A67CEB2" w14:textId="77777777" w:rsidR="00B852BD" w:rsidRPr="00463667" w:rsidRDefault="00B852BD" w:rsidP="00B852BD"/>
    <w:tbl>
      <w:tblPr>
        <w:tblW w:w="9810" w:type="dxa"/>
        <w:tblInd w:w="18" w:type="dxa"/>
        <w:tblLayout w:type="fixed"/>
        <w:tblLook w:val="0000" w:firstRow="0" w:lastRow="0" w:firstColumn="0" w:lastColumn="0" w:noHBand="0" w:noVBand="0"/>
      </w:tblPr>
      <w:tblGrid>
        <w:gridCol w:w="1980"/>
        <w:gridCol w:w="7830"/>
      </w:tblGrid>
      <w:tr w:rsidR="00B852BD" w:rsidRPr="00463667" w14:paraId="003DA163" w14:textId="77777777" w:rsidTr="00A16C6D">
        <w:trPr>
          <w:trHeight w:val="20"/>
        </w:trPr>
        <w:tc>
          <w:tcPr>
            <w:tcW w:w="1980" w:type="dxa"/>
          </w:tcPr>
          <w:p w14:paraId="4B7132D8" w14:textId="77777777" w:rsidR="00B852BD" w:rsidRPr="00463667" w:rsidRDefault="00B852BD" w:rsidP="006041E8">
            <w:pPr>
              <w:pStyle w:val="MarginSubhead"/>
              <w:spacing w:before="0"/>
              <w:jc w:val="right"/>
              <w:rPr>
                <w:i/>
                <w:szCs w:val="20"/>
              </w:rPr>
            </w:pPr>
            <w:r w:rsidRPr="00463667">
              <w:rPr>
                <w:i/>
                <w:szCs w:val="20"/>
              </w:rPr>
              <w:t>BP Control &lt;140/90 mm Hg</w:t>
            </w:r>
          </w:p>
        </w:tc>
        <w:tc>
          <w:tcPr>
            <w:tcW w:w="7830" w:type="dxa"/>
          </w:tcPr>
          <w:p w14:paraId="50B85A71" w14:textId="77777777" w:rsidR="00B852BD" w:rsidRPr="00463667" w:rsidRDefault="00B852BD" w:rsidP="00F578E0">
            <w:pPr>
              <w:pStyle w:val="Body"/>
              <w:spacing w:before="0"/>
              <w:rPr>
                <w:szCs w:val="20"/>
              </w:rPr>
            </w:pPr>
            <w:r w:rsidRPr="00463667">
              <w:rPr>
                <w:szCs w:val="20"/>
              </w:rPr>
              <w:t>Use automated data to identify the most recent BP reading taken during an outpatient visit (</w:t>
            </w:r>
            <w:r w:rsidRPr="00463667">
              <w:rPr>
                <w:szCs w:val="20"/>
                <w:u w:val="single"/>
              </w:rPr>
              <w:t>Outpatient Value Set</w:t>
            </w:r>
            <w:r w:rsidRPr="00463667">
              <w:rPr>
                <w:szCs w:val="20"/>
              </w:rPr>
              <w:t>) or a nonacute inpatient encounter (</w:t>
            </w:r>
            <w:r w:rsidRPr="00463667">
              <w:rPr>
                <w:szCs w:val="20"/>
                <w:u w:val="single"/>
              </w:rPr>
              <w:t>Nonacute Inpatient Value Set</w:t>
            </w:r>
            <w:r w:rsidRPr="00463667">
              <w:rPr>
                <w:szCs w:val="20"/>
              </w:rPr>
              <w:t xml:space="preserve">) during the measurement year. </w:t>
            </w:r>
          </w:p>
          <w:p w14:paraId="4B726FF3" w14:textId="77777777" w:rsidR="00B852BD" w:rsidRPr="00463667" w:rsidRDefault="00B852BD" w:rsidP="00F578E0">
            <w:pPr>
              <w:pStyle w:val="Body"/>
            </w:pPr>
            <w:r w:rsidRPr="00463667">
              <w:rPr>
                <w:szCs w:val="20"/>
              </w:rPr>
              <w:t xml:space="preserve">The member is numerator compliant if the BP is &lt;140/90 mm Hg. The member is not compliant if the BP is </w:t>
            </w:r>
            <w:r w:rsidRPr="00463667">
              <w:rPr>
                <w:rFonts w:cs="Arial"/>
                <w:szCs w:val="20"/>
              </w:rPr>
              <w:t>≥</w:t>
            </w:r>
            <w:r w:rsidRPr="00463667">
              <w:rPr>
                <w:szCs w:val="20"/>
              </w:rPr>
              <w:t xml:space="preserve">140/90 mm Hg, if there is no BP reading during the measurement year or if the reading is incomplete (e.g., the systolic or diastolic level is missing). If there are multiple BPs on the same date of service, use the lowest systolic and lowest diastolic BP on that date as the representative BP. </w:t>
            </w:r>
          </w:p>
        </w:tc>
      </w:tr>
    </w:tbl>
    <w:p w14:paraId="5764F9DA" w14:textId="77777777" w:rsidR="00A16C6D" w:rsidRDefault="00A16C6D">
      <w:pPr>
        <w:sectPr w:rsidR="00A16C6D" w:rsidSect="007527F3">
          <w:headerReference w:type="default" r:id="rId24"/>
          <w:pgSz w:w="12240" w:h="15840" w:code="1"/>
          <w:pgMar w:top="1080" w:right="1080" w:bottom="1080" w:left="1440" w:header="720" w:footer="720" w:gutter="0"/>
          <w:cols w:space="720"/>
        </w:sectPr>
      </w:pPr>
    </w:p>
    <w:tbl>
      <w:tblPr>
        <w:tblW w:w="9792" w:type="dxa"/>
        <w:tblInd w:w="18" w:type="dxa"/>
        <w:tblLayout w:type="fixed"/>
        <w:tblLook w:val="0000" w:firstRow="0" w:lastRow="0" w:firstColumn="0" w:lastColumn="0" w:noHBand="0" w:noVBand="0"/>
      </w:tblPr>
      <w:tblGrid>
        <w:gridCol w:w="1800"/>
        <w:gridCol w:w="7992"/>
      </w:tblGrid>
      <w:tr w:rsidR="00B852BD" w:rsidRPr="00463667" w14:paraId="6B64E8E9" w14:textId="77777777" w:rsidTr="00A16C6D">
        <w:trPr>
          <w:trHeight w:val="20"/>
        </w:trPr>
        <w:tc>
          <w:tcPr>
            <w:tcW w:w="1800" w:type="dxa"/>
          </w:tcPr>
          <w:p w14:paraId="57D20473" w14:textId="77777777" w:rsidR="00B852BD" w:rsidRPr="00463667" w:rsidRDefault="00B852BD" w:rsidP="00F578E0">
            <w:pPr>
              <w:pStyle w:val="MarginSubhead"/>
              <w:spacing w:before="120"/>
              <w:jc w:val="right"/>
              <w:rPr>
                <w:i/>
                <w:szCs w:val="20"/>
              </w:rPr>
            </w:pPr>
          </w:p>
        </w:tc>
        <w:tc>
          <w:tcPr>
            <w:tcW w:w="7992" w:type="dxa"/>
          </w:tcPr>
          <w:p w14:paraId="2F01995A" w14:textId="77777777" w:rsidR="00B852BD" w:rsidRPr="00463667" w:rsidRDefault="00B852BD" w:rsidP="00F578E0">
            <w:pPr>
              <w:pStyle w:val="Body"/>
              <w:spacing w:before="0"/>
              <w:rPr>
                <w:szCs w:val="20"/>
              </w:rPr>
            </w:pPr>
            <w:r w:rsidRPr="00463667">
              <w:t>Organizations that use CPT Category II codes to identify numerator compliance for this indicator must search for all codes in the following value sets and use the most recent codes during the measurement year to determine numerator compliance for both systolic and diastolic levels.</w:t>
            </w:r>
          </w:p>
        </w:tc>
      </w:tr>
    </w:tbl>
    <w:p w14:paraId="19481CF8" w14:textId="77777777" w:rsidR="00B852BD" w:rsidRPr="00463667" w:rsidRDefault="00B852BD" w:rsidP="00B852BD">
      <w:pPr>
        <w:pStyle w:val="Heading3"/>
        <w:spacing w:before="0"/>
      </w:pP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896"/>
        <w:gridCol w:w="3150"/>
      </w:tblGrid>
      <w:tr w:rsidR="00B852BD" w:rsidRPr="00463667" w14:paraId="7C65B0AB" w14:textId="77777777" w:rsidTr="006740AA">
        <w:tc>
          <w:tcPr>
            <w:tcW w:w="3896" w:type="dxa"/>
            <w:tcBorders>
              <w:right w:val="single" w:sz="6" w:space="0" w:color="FFFFFF"/>
            </w:tcBorders>
            <w:shd w:val="clear" w:color="auto" w:fill="000000"/>
          </w:tcPr>
          <w:p w14:paraId="7E8C2657" w14:textId="77777777" w:rsidR="00B852BD" w:rsidRPr="00463667" w:rsidRDefault="00B852BD" w:rsidP="00F578E0">
            <w:pPr>
              <w:pStyle w:val="TableHead"/>
              <w:rPr>
                <w:color w:val="auto"/>
              </w:rPr>
            </w:pPr>
            <w:r w:rsidRPr="00463667">
              <w:rPr>
                <w:color w:val="auto"/>
              </w:rPr>
              <w:t>Value Set</w:t>
            </w:r>
          </w:p>
        </w:tc>
        <w:tc>
          <w:tcPr>
            <w:tcW w:w="3150" w:type="dxa"/>
            <w:tcBorders>
              <w:left w:val="single" w:sz="6" w:space="0" w:color="FFFFFF"/>
              <w:right w:val="single" w:sz="6" w:space="0" w:color="auto"/>
            </w:tcBorders>
            <w:shd w:val="clear" w:color="auto" w:fill="000000"/>
          </w:tcPr>
          <w:p w14:paraId="61A7C60C" w14:textId="77777777" w:rsidR="00B852BD" w:rsidRPr="00463667" w:rsidRDefault="00B852BD" w:rsidP="00F578E0">
            <w:pPr>
              <w:pStyle w:val="TableHead"/>
              <w:rPr>
                <w:color w:val="auto"/>
              </w:rPr>
            </w:pPr>
            <w:r w:rsidRPr="00463667">
              <w:rPr>
                <w:color w:val="auto"/>
              </w:rPr>
              <w:t>Numerator Compliance</w:t>
            </w:r>
          </w:p>
        </w:tc>
      </w:tr>
      <w:tr w:rsidR="00B852BD" w:rsidRPr="00463667" w14:paraId="0F46C564" w14:textId="77777777" w:rsidTr="006740AA">
        <w:tc>
          <w:tcPr>
            <w:tcW w:w="3896" w:type="dxa"/>
          </w:tcPr>
          <w:p w14:paraId="6437890E" w14:textId="77777777" w:rsidR="00B852BD" w:rsidRPr="00463667" w:rsidRDefault="00B852BD" w:rsidP="00F578E0">
            <w:pPr>
              <w:pStyle w:val="TableText"/>
              <w:rPr>
                <w:u w:val="single"/>
              </w:rPr>
            </w:pPr>
            <w:r w:rsidRPr="00463667">
              <w:rPr>
                <w:u w:val="single"/>
              </w:rPr>
              <w:t>Systolic Less Than 140 Value Set</w:t>
            </w:r>
          </w:p>
        </w:tc>
        <w:tc>
          <w:tcPr>
            <w:tcW w:w="3150" w:type="dxa"/>
          </w:tcPr>
          <w:p w14:paraId="4191BE85" w14:textId="77777777" w:rsidR="00B852BD" w:rsidRPr="00463667" w:rsidRDefault="00B852BD" w:rsidP="00F578E0">
            <w:pPr>
              <w:pStyle w:val="TableText"/>
              <w:jc w:val="center"/>
            </w:pPr>
            <w:r w:rsidRPr="00463667">
              <w:t>Systolic compliant</w:t>
            </w:r>
          </w:p>
        </w:tc>
      </w:tr>
      <w:tr w:rsidR="00B852BD" w:rsidRPr="00463667" w14:paraId="3CB5DAA9" w14:textId="77777777" w:rsidTr="006740AA">
        <w:tc>
          <w:tcPr>
            <w:tcW w:w="3896" w:type="dxa"/>
            <w:shd w:val="clear" w:color="auto" w:fill="D9D9D9"/>
          </w:tcPr>
          <w:p w14:paraId="290F5556" w14:textId="77777777" w:rsidR="00B852BD" w:rsidRPr="00463667" w:rsidRDefault="00B852BD" w:rsidP="00F578E0">
            <w:pPr>
              <w:pStyle w:val="TableText"/>
              <w:rPr>
                <w:u w:val="single"/>
              </w:rPr>
            </w:pPr>
            <w:r w:rsidRPr="00463667">
              <w:rPr>
                <w:u w:val="single"/>
              </w:rPr>
              <w:t>Systolic Greater Than/Equal To 140 Value Set</w:t>
            </w:r>
          </w:p>
        </w:tc>
        <w:tc>
          <w:tcPr>
            <w:tcW w:w="3150" w:type="dxa"/>
            <w:shd w:val="clear" w:color="auto" w:fill="D9D9D9"/>
          </w:tcPr>
          <w:p w14:paraId="4C498D12" w14:textId="77777777" w:rsidR="00B852BD" w:rsidRPr="00463667" w:rsidRDefault="00B852BD" w:rsidP="00F578E0">
            <w:pPr>
              <w:pStyle w:val="TableText"/>
              <w:jc w:val="center"/>
            </w:pPr>
            <w:r w:rsidRPr="00463667">
              <w:t>Systolic not compliant</w:t>
            </w:r>
          </w:p>
        </w:tc>
      </w:tr>
      <w:tr w:rsidR="00B852BD" w:rsidRPr="00463667" w14:paraId="6B89D814" w14:textId="77777777" w:rsidTr="006740AA">
        <w:tc>
          <w:tcPr>
            <w:tcW w:w="3896" w:type="dxa"/>
            <w:shd w:val="clear" w:color="auto" w:fill="FFFFFF" w:themeFill="background1"/>
          </w:tcPr>
          <w:p w14:paraId="2792472F" w14:textId="77777777" w:rsidR="00B852BD" w:rsidRPr="00463667" w:rsidRDefault="00B852BD" w:rsidP="00F578E0">
            <w:pPr>
              <w:pStyle w:val="TableText"/>
              <w:rPr>
                <w:u w:val="single"/>
              </w:rPr>
            </w:pPr>
            <w:r w:rsidRPr="00463667">
              <w:rPr>
                <w:u w:val="single"/>
              </w:rPr>
              <w:t>Diastolic Less Than 80 Value Set</w:t>
            </w:r>
          </w:p>
        </w:tc>
        <w:tc>
          <w:tcPr>
            <w:tcW w:w="3150" w:type="dxa"/>
            <w:shd w:val="clear" w:color="auto" w:fill="FFFFFF" w:themeFill="background1"/>
          </w:tcPr>
          <w:p w14:paraId="31C19BFC" w14:textId="77777777" w:rsidR="00B852BD" w:rsidRPr="00463667" w:rsidRDefault="00B852BD" w:rsidP="00F578E0">
            <w:pPr>
              <w:pStyle w:val="TableText"/>
              <w:jc w:val="center"/>
            </w:pPr>
            <w:r w:rsidRPr="00463667">
              <w:t>Diastolic compliant</w:t>
            </w:r>
          </w:p>
        </w:tc>
      </w:tr>
      <w:tr w:rsidR="00B852BD" w:rsidRPr="00463667" w14:paraId="2C5F2A75" w14:textId="77777777" w:rsidTr="006740AA">
        <w:tc>
          <w:tcPr>
            <w:tcW w:w="3896" w:type="dxa"/>
            <w:shd w:val="clear" w:color="auto" w:fill="D9D9D9"/>
          </w:tcPr>
          <w:p w14:paraId="223366B0" w14:textId="77777777" w:rsidR="00B852BD" w:rsidRPr="00463667" w:rsidRDefault="00B852BD" w:rsidP="00F578E0">
            <w:pPr>
              <w:pStyle w:val="TableText"/>
              <w:rPr>
                <w:u w:val="single"/>
              </w:rPr>
            </w:pPr>
            <w:r w:rsidRPr="00463667">
              <w:rPr>
                <w:u w:val="single"/>
              </w:rPr>
              <w:t>Diastolic 80–89 Value Set</w:t>
            </w:r>
          </w:p>
        </w:tc>
        <w:tc>
          <w:tcPr>
            <w:tcW w:w="3150" w:type="dxa"/>
            <w:shd w:val="clear" w:color="auto" w:fill="D9D9D9"/>
          </w:tcPr>
          <w:p w14:paraId="28F72550" w14:textId="77777777" w:rsidR="00B852BD" w:rsidRPr="00463667" w:rsidRDefault="00B852BD" w:rsidP="00F578E0">
            <w:pPr>
              <w:pStyle w:val="TableText"/>
              <w:jc w:val="center"/>
            </w:pPr>
            <w:r w:rsidRPr="00463667">
              <w:t>Diastolic compliant</w:t>
            </w:r>
          </w:p>
        </w:tc>
      </w:tr>
      <w:tr w:rsidR="00B852BD" w:rsidRPr="00463667" w14:paraId="2B73FB6D" w14:textId="77777777" w:rsidTr="006740AA">
        <w:tc>
          <w:tcPr>
            <w:tcW w:w="3896" w:type="dxa"/>
            <w:shd w:val="clear" w:color="auto" w:fill="FFFFFF" w:themeFill="background1"/>
          </w:tcPr>
          <w:p w14:paraId="59EC8D6A" w14:textId="77777777" w:rsidR="00B852BD" w:rsidRPr="00463667" w:rsidRDefault="00B852BD" w:rsidP="00F578E0">
            <w:pPr>
              <w:pStyle w:val="TableText"/>
              <w:rPr>
                <w:u w:val="single"/>
              </w:rPr>
            </w:pPr>
            <w:r w:rsidRPr="00463667">
              <w:rPr>
                <w:u w:val="single"/>
              </w:rPr>
              <w:t>Diastolic Greater Than/Equal To 90 Value Set</w:t>
            </w:r>
          </w:p>
        </w:tc>
        <w:tc>
          <w:tcPr>
            <w:tcW w:w="3150" w:type="dxa"/>
            <w:shd w:val="clear" w:color="auto" w:fill="FFFFFF" w:themeFill="background1"/>
          </w:tcPr>
          <w:p w14:paraId="62F9FD36" w14:textId="77777777" w:rsidR="00B852BD" w:rsidRPr="00463667" w:rsidRDefault="00B852BD" w:rsidP="00F578E0">
            <w:pPr>
              <w:pStyle w:val="TableText"/>
              <w:jc w:val="center"/>
            </w:pPr>
            <w:r w:rsidRPr="00463667">
              <w:t>Diastolic not compliant</w:t>
            </w:r>
          </w:p>
        </w:tc>
      </w:tr>
    </w:tbl>
    <w:p w14:paraId="1B815346" w14:textId="77777777" w:rsidR="00B852BD" w:rsidRPr="00463667" w:rsidRDefault="00B852BD" w:rsidP="00B852BD">
      <w:pPr>
        <w:pStyle w:val="SubHead20"/>
        <w:rPr>
          <w:i/>
        </w:rPr>
      </w:pPr>
      <w:r w:rsidRPr="00463667">
        <w:t xml:space="preserve">Exclusions </w:t>
      </w:r>
      <w:r w:rsidRPr="00463667">
        <w:rPr>
          <w:i/>
        </w:rPr>
        <w:t>(optional)</w:t>
      </w:r>
    </w:p>
    <w:p w14:paraId="4B6473A1" w14:textId="0BF4651B" w:rsidR="00B852BD" w:rsidRPr="00463667" w:rsidRDefault="00756D29" w:rsidP="00B852BD">
      <w:pPr>
        <w:pStyle w:val="Body"/>
        <w:tabs>
          <w:tab w:val="left" w:pos="2005"/>
        </w:tabs>
        <w:ind w:left="25"/>
      </w:pPr>
      <w:r>
        <w:t>M</w:t>
      </w:r>
      <w:r w:rsidR="00B852BD" w:rsidRPr="00463667">
        <w:t>embers who do not have a diagnosis of diabetes (</w:t>
      </w:r>
      <w:r w:rsidR="00B852BD" w:rsidRPr="00463667">
        <w:rPr>
          <w:u w:val="single"/>
        </w:rPr>
        <w:t>Diabetes Value Set</w:t>
      </w:r>
      <w:r w:rsidR="00B852BD" w:rsidRPr="00463667">
        <w:t xml:space="preserve">), in any setting, during the measurement year or </w:t>
      </w:r>
      <w:r>
        <w:t xml:space="preserve">the </w:t>
      </w:r>
      <w:r w:rsidR="00B852BD" w:rsidRPr="00463667">
        <w:t>year prior to the measurement year</w:t>
      </w:r>
      <w:r w:rsidR="00B852BD" w:rsidRPr="00756D29">
        <w:rPr>
          <w:i/>
        </w:rPr>
        <w:t xml:space="preserve"> </w:t>
      </w:r>
      <w:r w:rsidR="00B852BD" w:rsidRPr="00756D29">
        <w:rPr>
          <w:b/>
          <w:i/>
        </w:rPr>
        <w:t>and</w:t>
      </w:r>
      <w:r w:rsidR="00B852BD" w:rsidRPr="00463667">
        <w:t xml:space="preserve"> who</w:t>
      </w:r>
      <w:r w:rsidR="0078262E">
        <w:t xml:space="preserve"> had a diagnosis of </w:t>
      </w:r>
      <w:r w:rsidR="0078262E" w:rsidRPr="00463667">
        <w:t>gestational diabetes or steroid-induced diabetes (</w:t>
      </w:r>
      <w:r w:rsidR="0078262E" w:rsidRPr="00463667">
        <w:rPr>
          <w:u w:val="single"/>
        </w:rPr>
        <w:t>Diabetes Exclusions Value Set</w:t>
      </w:r>
      <w:r w:rsidR="0078262E" w:rsidRPr="00463667">
        <w:t>), in any setting, during the measurement year or the year prior to the measurement year.</w:t>
      </w:r>
    </w:p>
    <w:p w14:paraId="4C541E28" w14:textId="77777777" w:rsidR="00B852BD" w:rsidRDefault="00B852BD" w:rsidP="00B852BD">
      <w:pPr>
        <w:pStyle w:val="Body"/>
      </w:pPr>
      <w:r w:rsidRPr="00463667">
        <w:t xml:space="preserve">Organizations that apply optional exclusions must exclude members from the denominator for all indicators. The denominator for all rates must be the same, with the exception of the </w:t>
      </w:r>
      <w:r w:rsidRPr="00463667">
        <w:rPr>
          <w:i/>
        </w:rPr>
        <w:t>HbA1c Control (&lt;7.0%) for a Selected Population</w:t>
      </w:r>
      <w:r w:rsidRPr="00463667">
        <w:t xml:space="preserve"> denominator.</w:t>
      </w:r>
    </w:p>
    <w:p w14:paraId="5215B1A2" w14:textId="07885F10" w:rsidR="00966FEF" w:rsidRPr="00463667" w:rsidRDefault="00966FEF" w:rsidP="00B852BD">
      <w:pPr>
        <w:pStyle w:val="Body"/>
      </w:pPr>
      <w:r w:rsidRPr="00966FEF">
        <w:t>If the member was included in the measure based on claim or encounter data, as described in the event/</w:t>
      </w:r>
      <w:r w:rsidR="00756D29">
        <w:t xml:space="preserve"> </w:t>
      </w:r>
      <w:r w:rsidRPr="00966FEF">
        <w:t>diagnosis criteria, the optional exclusions do not apply because the member had a diagnosis of diabetes.</w:t>
      </w:r>
    </w:p>
    <w:p w14:paraId="254C6A2C" w14:textId="77777777" w:rsidR="00B852BD" w:rsidRPr="00463667" w:rsidRDefault="00B852BD" w:rsidP="00B852BD">
      <w:pPr>
        <w:pStyle w:val="ReverseHead"/>
      </w:pPr>
      <w:r w:rsidRPr="00463667">
        <w:t>Hybrid Specification</w:t>
      </w:r>
    </w:p>
    <w:tbl>
      <w:tblPr>
        <w:tblW w:w="9918" w:type="dxa"/>
        <w:tblInd w:w="-90" w:type="dxa"/>
        <w:tblLayout w:type="fixed"/>
        <w:tblLook w:val="0000" w:firstRow="0" w:lastRow="0" w:firstColumn="0" w:lastColumn="0" w:noHBand="0" w:noVBand="0"/>
      </w:tblPr>
      <w:tblGrid>
        <w:gridCol w:w="1908"/>
        <w:gridCol w:w="8010"/>
      </w:tblGrid>
      <w:tr w:rsidR="00B852BD" w:rsidRPr="00463667" w14:paraId="16C0090D" w14:textId="77777777" w:rsidTr="00F578E0">
        <w:tc>
          <w:tcPr>
            <w:tcW w:w="1908" w:type="dxa"/>
          </w:tcPr>
          <w:p w14:paraId="7F91D70C" w14:textId="77777777" w:rsidR="00B852BD" w:rsidRPr="00463667" w:rsidRDefault="00B852BD" w:rsidP="00F578E0">
            <w:pPr>
              <w:pStyle w:val="MarginSubhead"/>
            </w:pPr>
            <w:r w:rsidRPr="00463667">
              <w:t>Denominator</w:t>
            </w:r>
          </w:p>
        </w:tc>
        <w:tc>
          <w:tcPr>
            <w:tcW w:w="8010" w:type="dxa"/>
          </w:tcPr>
          <w:p w14:paraId="18F3E8FD" w14:textId="77777777" w:rsidR="00B852BD" w:rsidRPr="00463667" w:rsidRDefault="00B852BD" w:rsidP="00F578E0">
            <w:pPr>
              <w:pStyle w:val="Body"/>
              <w:rPr>
                <w:u w:val="single"/>
              </w:rPr>
            </w:pPr>
            <w:r w:rsidRPr="00463667">
              <w:t xml:space="preserve">A systematic sample of 548 drawn from the eligible population for each product line. A sample size of 548 is based on the goal of achieving a sample of at least 411 for the HbA1c &lt;7% denominator after required exclusions. The </w:t>
            </w:r>
            <w:r w:rsidRPr="00463667">
              <w:rPr>
                <w:i/>
              </w:rPr>
              <w:t>HbA1c Control &lt;7% for a Selected Population</w:t>
            </w:r>
            <w:r w:rsidRPr="00463667">
              <w:t xml:space="preserve"> indicator is not collected or reported for the Medicare product line. Organizations should use a sample size of 411 for the Medicare product line or if they do not report the </w:t>
            </w:r>
            <w:r w:rsidRPr="00463667">
              <w:rPr>
                <w:i/>
              </w:rPr>
              <w:t>HbA1c Control &lt;7% for a Selected Population</w:t>
            </w:r>
            <w:r w:rsidRPr="00463667">
              <w:t xml:space="preserve"> indicator.</w:t>
            </w:r>
          </w:p>
          <w:p w14:paraId="4F936822" w14:textId="2F70CD3C" w:rsidR="00613DB3" w:rsidRDefault="00B852BD" w:rsidP="00F578E0">
            <w:pPr>
              <w:pStyle w:val="Body"/>
            </w:pPr>
            <w:r w:rsidRPr="00463667">
              <w:t xml:space="preserve">Members who meet the required exclusion criteria for the </w:t>
            </w:r>
            <w:r w:rsidRPr="00463667">
              <w:rPr>
                <w:i/>
              </w:rPr>
              <w:t>HbA1c Control &lt;7% for a Selected Population</w:t>
            </w:r>
            <w:r w:rsidRPr="00463667">
              <w:t xml:space="preserve"> indicator are excluded from the denominator of the </w:t>
            </w:r>
            <w:r w:rsidRPr="00463667">
              <w:rPr>
                <w:i/>
              </w:rPr>
              <w:t xml:space="preserve">HbA1c </w:t>
            </w:r>
            <w:r w:rsidR="00756D29">
              <w:rPr>
                <w:i/>
              </w:rPr>
              <w:t xml:space="preserve">Control </w:t>
            </w:r>
            <w:r w:rsidRPr="00463667">
              <w:rPr>
                <w:i/>
              </w:rPr>
              <w:t>&lt;7% for a Selected Population</w:t>
            </w:r>
            <w:r w:rsidRPr="00463667">
              <w:t xml:space="preserve"> indicator. </w:t>
            </w:r>
            <w:r w:rsidR="00613DB3">
              <w:t>R</w:t>
            </w:r>
            <w:r w:rsidRPr="00463667">
              <w:t xml:space="preserve">eport this indicator as 548 minus the required exclusions. </w:t>
            </w:r>
          </w:p>
          <w:p w14:paraId="603DEEAD" w14:textId="650ECA60" w:rsidR="00B852BD" w:rsidRPr="00463667" w:rsidRDefault="00B852BD" w:rsidP="00F578E0">
            <w:pPr>
              <w:pStyle w:val="Body"/>
            </w:pPr>
            <w:r w:rsidRPr="00463667">
              <w:t xml:space="preserve">If the sample drops below 411, use members from the oversample to maintain the MRSS. If the oversample was underestimated and all auxiliary members have been exhausted without satisfying the MRSS, per the </w:t>
            </w:r>
            <w:r w:rsidRPr="00463667">
              <w:rPr>
                <w:i/>
              </w:rPr>
              <w:t>Guidelines for Calculations and Sampling</w:t>
            </w:r>
            <w:r w:rsidRPr="00463667">
              <w:t>, the organization must contact NCQA to determine next steps.</w:t>
            </w:r>
          </w:p>
          <w:p w14:paraId="42FA489A" w14:textId="77777777" w:rsidR="00B852BD" w:rsidRPr="00463667" w:rsidRDefault="00B852BD" w:rsidP="00F578E0">
            <w:pPr>
              <w:pStyle w:val="Note"/>
            </w:pPr>
            <w:r w:rsidRPr="00463667">
              <w:rPr>
                <w:b/>
              </w:rPr>
              <w:t xml:space="preserve">Note: </w:t>
            </w:r>
            <w:r w:rsidRPr="00463667">
              <w:t>The eligible population for the HbA1c Control &lt;7% for a Selected Population indicator is reported after required exclusions are applied.</w:t>
            </w:r>
          </w:p>
        </w:tc>
      </w:tr>
    </w:tbl>
    <w:p w14:paraId="6027E7AD" w14:textId="77777777" w:rsidR="00B852BD" w:rsidRPr="00463667" w:rsidRDefault="00B852BD" w:rsidP="007527F3">
      <w:pPr>
        <w:pStyle w:val="Note"/>
        <w:spacing w:before="1080"/>
        <w:rPr>
          <w:rFonts w:cs="Arial"/>
          <w:i w:val="0"/>
          <w:sz w:val="18"/>
          <w:szCs w:val="18"/>
        </w:rPr>
      </w:pPr>
      <w:r w:rsidRPr="00463667">
        <w:rPr>
          <w:rFonts w:cs="Arial"/>
          <w:i w:val="0"/>
          <w:sz w:val="18"/>
          <w:szCs w:val="18"/>
        </w:rPr>
        <w:t>_____________</w:t>
      </w:r>
    </w:p>
    <w:p w14:paraId="75EFBB46" w14:textId="77777777" w:rsidR="00B852BD" w:rsidRPr="00463667" w:rsidRDefault="00B852BD" w:rsidP="004E25CA">
      <w:pPr>
        <w:pStyle w:val="TableText"/>
        <w:spacing w:before="60" w:after="0"/>
        <w:rPr>
          <w:rFonts w:ascii="Arial" w:hAnsi="Arial" w:cs="Arial"/>
          <w:sz w:val="18"/>
          <w:szCs w:val="18"/>
        </w:rPr>
      </w:pPr>
      <w:r w:rsidRPr="00463667">
        <w:rPr>
          <w:rFonts w:ascii="Arial" w:hAnsi="Arial" w:cs="Arial"/>
          <w:sz w:val="18"/>
          <w:szCs w:val="18"/>
        </w:rPr>
        <w:t xml:space="preserve">Current Procedural Terminology © </w:t>
      </w:r>
      <w:r w:rsidR="00D0464F">
        <w:rPr>
          <w:rFonts w:ascii="Arial" w:hAnsi="Arial" w:cs="Arial"/>
          <w:sz w:val="18"/>
          <w:szCs w:val="18"/>
        </w:rPr>
        <w:t>2015</w:t>
      </w:r>
      <w:r w:rsidRPr="00463667">
        <w:rPr>
          <w:rFonts w:ascii="Arial" w:hAnsi="Arial" w:cs="Arial"/>
          <w:sz w:val="18"/>
          <w:szCs w:val="18"/>
        </w:rPr>
        <w:t xml:space="preserve"> American Medical Association. All rights reserved.</w:t>
      </w:r>
    </w:p>
    <w:p w14:paraId="08F06E0F" w14:textId="77777777" w:rsidR="00B852BD" w:rsidRPr="00463667" w:rsidRDefault="00B852BD" w:rsidP="00B852BD">
      <w:pPr>
        <w:pStyle w:val="Bullet"/>
        <w:numPr>
          <w:ilvl w:val="0"/>
          <w:numId w:val="0"/>
        </w:numPr>
        <w:ind w:left="576" w:hanging="216"/>
        <w:sectPr w:rsidR="00B852BD" w:rsidRPr="00463667" w:rsidSect="007527F3">
          <w:pgSz w:w="12240" w:h="15840" w:code="1"/>
          <w:pgMar w:top="1080" w:right="1080" w:bottom="1080" w:left="1440" w:header="720" w:footer="720" w:gutter="0"/>
          <w:cols w:space="720"/>
        </w:sectPr>
      </w:pPr>
    </w:p>
    <w:tbl>
      <w:tblPr>
        <w:tblW w:w="9792" w:type="dxa"/>
        <w:tblInd w:w="18" w:type="dxa"/>
        <w:tblLayout w:type="fixed"/>
        <w:tblLook w:val="0000" w:firstRow="0" w:lastRow="0" w:firstColumn="0" w:lastColumn="0" w:noHBand="0" w:noVBand="0"/>
      </w:tblPr>
      <w:tblGrid>
        <w:gridCol w:w="2250"/>
        <w:gridCol w:w="7542"/>
      </w:tblGrid>
      <w:tr w:rsidR="00B852BD" w:rsidRPr="00463667" w14:paraId="421AC95F" w14:textId="77777777" w:rsidTr="00F578E0">
        <w:tc>
          <w:tcPr>
            <w:tcW w:w="2250" w:type="dxa"/>
          </w:tcPr>
          <w:p w14:paraId="0ABAF238" w14:textId="77777777" w:rsidR="00B852BD" w:rsidRPr="00463667" w:rsidRDefault="00B852BD" w:rsidP="00F578E0">
            <w:pPr>
              <w:pStyle w:val="MarginSubhead"/>
            </w:pPr>
          </w:p>
        </w:tc>
        <w:tc>
          <w:tcPr>
            <w:tcW w:w="7542" w:type="dxa"/>
          </w:tcPr>
          <w:p w14:paraId="40EB0DBC" w14:textId="77777777" w:rsidR="00B852BD" w:rsidRPr="00463667" w:rsidRDefault="00B852BD" w:rsidP="00F578E0">
            <w:pPr>
              <w:pStyle w:val="Body"/>
              <w:spacing w:before="0"/>
            </w:pPr>
            <w:r w:rsidRPr="00463667">
              <w:t>The organization may reduce the sample size using the current year</w:t>
            </w:r>
            <w:r w:rsidR="009F0DF0">
              <w:t>’</w:t>
            </w:r>
            <w:r w:rsidRPr="00463667">
              <w:t>s administrative rate or the prior year</w:t>
            </w:r>
            <w:r w:rsidR="009F0DF0">
              <w:t>’</w:t>
            </w:r>
            <w:r w:rsidRPr="00463667">
              <w:t xml:space="preserve">s audited, product line-specific rate for the lowest rate among all the reported CDC indicators. The lowest rate for all reported indicators must be used when reducing the sample size. </w:t>
            </w:r>
          </w:p>
          <w:p w14:paraId="147AB267" w14:textId="77777777" w:rsidR="00B852BD" w:rsidRPr="00463667" w:rsidRDefault="00B852BD" w:rsidP="00F578E0">
            <w:pPr>
              <w:pStyle w:val="Body"/>
            </w:pPr>
            <w:r w:rsidRPr="00463667">
              <w:t xml:space="preserve">If the organization chooses to reduce the sample size and report the </w:t>
            </w:r>
            <w:r w:rsidRPr="00463667">
              <w:rPr>
                <w:i/>
                <w:iCs/>
              </w:rPr>
              <w:t>HbA1c Control &lt;7% for a Selected Population</w:t>
            </w:r>
            <w:r w:rsidRPr="00463667">
              <w:t xml:space="preserve"> indicator, the sample size for this indicator must still be the appropriate sample size as specified in </w:t>
            </w:r>
            <w:r w:rsidRPr="00463667">
              <w:rPr>
                <w:iCs/>
              </w:rPr>
              <w:t>Table 1: Sample Sizes When Data Are Available on the Product Line Being Measured</w:t>
            </w:r>
            <w:r w:rsidRPr="00463667">
              <w:t xml:space="preserve"> (in the </w:t>
            </w:r>
            <w:r w:rsidRPr="00463667">
              <w:rPr>
                <w:i/>
                <w:iCs/>
              </w:rPr>
              <w:t>Guidelines for Calculations and Sampling)</w:t>
            </w:r>
            <w:r w:rsidRPr="00463667">
              <w:t xml:space="preserve"> after the required exclusions are removed.</w:t>
            </w:r>
          </w:p>
        </w:tc>
      </w:tr>
      <w:tr w:rsidR="00B852BD" w:rsidRPr="00463667" w14:paraId="12826A8C" w14:textId="77777777" w:rsidTr="00F578E0">
        <w:tc>
          <w:tcPr>
            <w:tcW w:w="2250" w:type="dxa"/>
          </w:tcPr>
          <w:p w14:paraId="18AC24F2" w14:textId="77777777" w:rsidR="00B852BD" w:rsidRPr="00463667" w:rsidRDefault="00B852BD" w:rsidP="00F578E0">
            <w:pPr>
              <w:pStyle w:val="MarginSubhead"/>
              <w:spacing w:before="120"/>
              <w:jc w:val="right"/>
              <w:rPr>
                <w:i/>
                <w:szCs w:val="20"/>
              </w:rPr>
            </w:pPr>
            <w:r w:rsidRPr="00463667">
              <w:rPr>
                <w:i/>
              </w:rPr>
              <w:t xml:space="preserve">Required exclusions for HbA1c Control &lt;7% for a Selected Population </w:t>
            </w:r>
          </w:p>
        </w:tc>
        <w:tc>
          <w:tcPr>
            <w:tcW w:w="7542" w:type="dxa"/>
          </w:tcPr>
          <w:p w14:paraId="1F120CD1" w14:textId="77777777" w:rsidR="00B852BD" w:rsidRPr="00463667" w:rsidRDefault="00B852BD" w:rsidP="00F578E0">
            <w:pPr>
              <w:pStyle w:val="Body"/>
              <w:spacing w:before="120"/>
            </w:pPr>
          </w:p>
        </w:tc>
      </w:tr>
      <w:tr w:rsidR="00B852BD" w:rsidRPr="00463667" w14:paraId="3D14D35A" w14:textId="77777777" w:rsidTr="00F578E0">
        <w:tc>
          <w:tcPr>
            <w:tcW w:w="2250" w:type="dxa"/>
          </w:tcPr>
          <w:p w14:paraId="303E2E50" w14:textId="77777777" w:rsidR="00B852BD" w:rsidRPr="00463667" w:rsidRDefault="00B852BD" w:rsidP="00F578E0">
            <w:pPr>
              <w:pStyle w:val="MarginSubhead"/>
              <w:spacing w:before="120"/>
              <w:rPr>
                <w:szCs w:val="20"/>
                <w:u w:val="single"/>
              </w:rPr>
            </w:pPr>
            <w:r w:rsidRPr="00463667">
              <w:rPr>
                <w:szCs w:val="20"/>
                <w:u w:val="single"/>
              </w:rPr>
              <w:t>Administrative</w:t>
            </w:r>
          </w:p>
        </w:tc>
        <w:tc>
          <w:tcPr>
            <w:tcW w:w="7542" w:type="dxa"/>
          </w:tcPr>
          <w:p w14:paraId="5C838868" w14:textId="77777777" w:rsidR="00B852BD" w:rsidRPr="00463667" w:rsidRDefault="00B852BD" w:rsidP="00F578E0">
            <w:pPr>
              <w:pStyle w:val="Body"/>
              <w:spacing w:before="120"/>
              <w:rPr>
                <w:szCs w:val="20"/>
              </w:rPr>
            </w:pPr>
            <w:r w:rsidRPr="00463667">
              <w:rPr>
                <w:szCs w:val="20"/>
              </w:rPr>
              <w:t xml:space="preserve">Refer to </w:t>
            </w:r>
            <w:r w:rsidRPr="00463667">
              <w:rPr>
                <w:i/>
                <w:szCs w:val="20"/>
              </w:rPr>
              <w:t>Administrative Specification</w:t>
            </w:r>
            <w:r w:rsidRPr="00463667">
              <w:rPr>
                <w:szCs w:val="20"/>
              </w:rPr>
              <w:t xml:space="preserve"> to identify required exclusions from administrative data.</w:t>
            </w:r>
          </w:p>
        </w:tc>
      </w:tr>
      <w:tr w:rsidR="00B852BD" w:rsidRPr="00463667" w14:paraId="002590C9" w14:textId="77777777" w:rsidTr="00F578E0">
        <w:tc>
          <w:tcPr>
            <w:tcW w:w="2250" w:type="dxa"/>
          </w:tcPr>
          <w:p w14:paraId="62FCE7CE" w14:textId="77777777" w:rsidR="00B852BD" w:rsidRPr="00463667" w:rsidRDefault="00B852BD" w:rsidP="00F578E0">
            <w:pPr>
              <w:pStyle w:val="MarginSubhead"/>
              <w:spacing w:before="120"/>
              <w:rPr>
                <w:szCs w:val="20"/>
                <w:u w:val="single"/>
              </w:rPr>
            </w:pPr>
            <w:r w:rsidRPr="00463667">
              <w:rPr>
                <w:szCs w:val="20"/>
                <w:u w:val="single"/>
              </w:rPr>
              <w:t>Medical record</w:t>
            </w:r>
          </w:p>
        </w:tc>
        <w:tc>
          <w:tcPr>
            <w:tcW w:w="7542" w:type="dxa"/>
          </w:tcPr>
          <w:p w14:paraId="1B55A7F3" w14:textId="77777777" w:rsidR="00B852BD" w:rsidRPr="00463667" w:rsidRDefault="00B852BD" w:rsidP="00F578E0">
            <w:pPr>
              <w:pStyle w:val="Body"/>
              <w:spacing w:before="120"/>
            </w:pPr>
            <w:r w:rsidRPr="00463667">
              <w:t>Exclude members who meet any of the following criteria:</w:t>
            </w:r>
          </w:p>
          <w:p w14:paraId="4018CE26" w14:textId="77777777" w:rsidR="00B852BD" w:rsidRPr="00463667" w:rsidRDefault="00B852BD" w:rsidP="00B852BD">
            <w:pPr>
              <w:pStyle w:val="Bullet"/>
              <w:spacing w:before="60"/>
            </w:pPr>
            <w:r w:rsidRPr="00463667">
              <w:rPr>
                <w:szCs w:val="19"/>
              </w:rPr>
              <w:t>65 years of age and older as of December 31 of the measurement year.</w:t>
            </w:r>
          </w:p>
          <w:p w14:paraId="12A95C7A" w14:textId="77777777" w:rsidR="00B852BD" w:rsidRPr="00463667" w:rsidRDefault="00B852BD" w:rsidP="00F578E0">
            <w:pPr>
              <w:pStyle w:val="Bullet"/>
              <w:tabs>
                <w:tab w:val="clear" w:pos="576"/>
              </w:tabs>
              <w:spacing w:before="60"/>
            </w:pPr>
            <w:r w:rsidRPr="00463667">
              <w:rPr>
                <w:i/>
              </w:rPr>
              <w:t>CABG .</w:t>
            </w:r>
            <w:r w:rsidRPr="00463667">
              <w:t xml:space="preserve"> Dated documentation of CABG in the measurement year or the year before the measurement year.</w:t>
            </w:r>
          </w:p>
          <w:p w14:paraId="064D718A" w14:textId="77777777" w:rsidR="00B852BD" w:rsidRPr="00463667" w:rsidRDefault="00B852BD" w:rsidP="00F578E0">
            <w:pPr>
              <w:pStyle w:val="Bullet"/>
              <w:tabs>
                <w:tab w:val="clear" w:pos="576"/>
              </w:tabs>
              <w:spacing w:before="60"/>
            </w:pPr>
            <w:r w:rsidRPr="00463667">
              <w:rPr>
                <w:i/>
              </w:rPr>
              <w:t>PCI.</w:t>
            </w:r>
            <w:r w:rsidRPr="00463667">
              <w:t xml:space="preserve"> Dated documentation of PCI in the measurement year or the year before the measurement year.</w:t>
            </w:r>
            <w:r w:rsidR="002300AB">
              <w:t xml:space="preserve"> </w:t>
            </w:r>
          </w:p>
          <w:p w14:paraId="64097DF8" w14:textId="77777777" w:rsidR="00B852BD" w:rsidRPr="00463667" w:rsidRDefault="00B852BD" w:rsidP="00F578E0">
            <w:pPr>
              <w:pStyle w:val="Bullet"/>
              <w:tabs>
                <w:tab w:val="clear" w:pos="576"/>
              </w:tabs>
              <w:spacing w:before="60"/>
            </w:pPr>
            <w:r w:rsidRPr="00463667">
              <w:rPr>
                <w:i/>
              </w:rPr>
              <w:t>IVD.</w:t>
            </w:r>
            <w:r w:rsidRPr="00463667">
              <w:t xml:space="preserve"> Documentation of an IVD diagnosis. Look as far back as possible in the member</w:t>
            </w:r>
            <w:r w:rsidR="009F0DF0">
              <w:t>’</w:t>
            </w:r>
            <w:r w:rsidRPr="00463667">
              <w:t>s history through December 31 of the measurement year. Appropriate diagnoses include:</w:t>
            </w:r>
          </w:p>
          <w:p w14:paraId="5B326DD5" w14:textId="77777777" w:rsidR="00B852BD" w:rsidRPr="00463667" w:rsidRDefault="00B852BD" w:rsidP="00F578E0">
            <w:pPr>
              <w:pStyle w:val="Dash"/>
            </w:pPr>
            <w:r w:rsidRPr="00463667">
              <w:t>IVD.</w:t>
            </w:r>
          </w:p>
          <w:p w14:paraId="38AC5CF2" w14:textId="77777777" w:rsidR="00B852BD" w:rsidRPr="00463667" w:rsidRDefault="00B852BD" w:rsidP="00F578E0">
            <w:pPr>
              <w:pStyle w:val="Dash"/>
            </w:pPr>
            <w:r w:rsidRPr="00463667">
              <w:t>Ischemic heart disease.</w:t>
            </w:r>
          </w:p>
          <w:p w14:paraId="47767E37" w14:textId="77777777" w:rsidR="00B852BD" w:rsidRPr="00463667" w:rsidRDefault="00B852BD" w:rsidP="00F578E0">
            <w:pPr>
              <w:pStyle w:val="Dash"/>
            </w:pPr>
            <w:r w:rsidRPr="00463667">
              <w:t>Angina.</w:t>
            </w:r>
          </w:p>
          <w:p w14:paraId="27D4D6B4" w14:textId="77777777" w:rsidR="00B852BD" w:rsidRPr="00463667" w:rsidRDefault="00B852BD" w:rsidP="00F578E0">
            <w:pPr>
              <w:pStyle w:val="Dash"/>
            </w:pPr>
            <w:r w:rsidRPr="00463667">
              <w:t>Coronary atherosclerosis.</w:t>
            </w:r>
          </w:p>
          <w:p w14:paraId="2B3D7F40" w14:textId="77777777" w:rsidR="00B852BD" w:rsidRPr="00463667" w:rsidRDefault="00B852BD" w:rsidP="00F578E0">
            <w:pPr>
              <w:pStyle w:val="Dash"/>
            </w:pPr>
            <w:r w:rsidRPr="00463667">
              <w:t>Coronary artery occlusion.</w:t>
            </w:r>
          </w:p>
          <w:p w14:paraId="71477524" w14:textId="77777777" w:rsidR="00B852BD" w:rsidRPr="00463667" w:rsidRDefault="00B852BD" w:rsidP="00F578E0">
            <w:pPr>
              <w:pStyle w:val="Dash"/>
            </w:pPr>
            <w:r w:rsidRPr="00463667">
              <w:t>Cardiovascular disease.</w:t>
            </w:r>
          </w:p>
          <w:p w14:paraId="5D65DD70" w14:textId="77777777" w:rsidR="00B852BD" w:rsidRPr="00463667" w:rsidRDefault="00B852BD" w:rsidP="00F578E0">
            <w:pPr>
              <w:pStyle w:val="Dash"/>
            </w:pPr>
            <w:r w:rsidRPr="00463667">
              <w:t>Occlusion or stenosis of precerebral arteries (including basilar, carotid and vertebral arteries).</w:t>
            </w:r>
          </w:p>
          <w:p w14:paraId="27ECF92A" w14:textId="77777777" w:rsidR="00B852BD" w:rsidRPr="00463667" w:rsidRDefault="00B852BD" w:rsidP="00F578E0">
            <w:pPr>
              <w:pStyle w:val="Dash"/>
            </w:pPr>
            <w:r w:rsidRPr="00463667">
              <w:t>Atherosclerosis of renal artery.</w:t>
            </w:r>
          </w:p>
          <w:p w14:paraId="491F942D" w14:textId="77777777" w:rsidR="00B852BD" w:rsidRPr="00463667" w:rsidRDefault="00B852BD" w:rsidP="00F578E0">
            <w:pPr>
              <w:pStyle w:val="Dash"/>
            </w:pPr>
            <w:r w:rsidRPr="00463667">
              <w:t>Atherosclerosis of native arteries of the extremities.</w:t>
            </w:r>
          </w:p>
          <w:p w14:paraId="5B846CF8" w14:textId="77777777" w:rsidR="00B852BD" w:rsidRPr="00463667" w:rsidRDefault="00B852BD" w:rsidP="00F578E0">
            <w:pPr>
              <w:pStyle w:val="Dash"/>
            </w:pPr>
            <w:r w:rsidRPr="00463667">
              <w:t xml:space="preserve">Chronic total occlusion of artery of the extremities. </w:t>
            </w:r>
          </w:p>
          <w:p w14:paraId="02555225" w14:textId="77777777" w:rsidR="00B852BD" w:rsidRPr="00463667" w:rsidRDefault="00B852BD" w:rsidP="00F578E0">
            <w:pPr>
              <w:pStyle w:val="Dash"/>
            </w:pPr>
            <w:r w:rsidRPr="00463667">
              <w:t xml:space="preserve">Arterial embolism and thrombosis. </w:t>
            </w:r>
          </w:p>
          <w:p w14:paraId="1E3D0612" w14:textId="77777777" w:rsidR="00B852BD" w:rsidRPr="00463667" w:rsidRDefault="00B852BD" w:rsidP="00F578E0">
            <w:pPr>
              <w:pStyle w:val="Dash"/>
            </w:pPr>
            <w:r w:rsidRPr="00463667">
              <w:t>Atheroembolism.</w:t>
            </w:r>
          </w:p>
          <w:p w14:paraId="261EB5F6" w14:textId="77777777" w:rsidR="00B852BD" w:rsidRPr="00463667" w:rsidRDefault="00B852BD" w:rsidP="00F578E0">
            <w:pPr>
              <w:pStyle w:val="Bullet"/>
              <w:tabs>
                <w:tab w:val="clear" w:pos="576"/>
              </w:tabs>
            </w:pPr>
            <w:r w:rsidRPr="00463667">
              <w:rPr>
                <w:i/>
              </w:rPr>
              <w:t>Thoracoabdominal or thoracic aortic aneurysm.</w:t>
            </w:r>
            <w:r w:rsidRPr="00463667">
              <w:t xml:space="preserve"> Documentation of thoracoabdominal aneurysm or thoracic aortic aneurysm. Look as far back as possible in the member</w:t>
            </w:r>
            <w:r w:rsidR="009F0DF0">
              <w:t>’</w:t>
            </w:r>
            <w:r w:rsidRPr="00463667">
              <w:t>s history through December 31 of the measurement year.</w:t>
            </w:r>
          </w:p>
          <w:p w14:paraId="03376B8C" w14:textId="77777777" w:rsidR="00B852BD" w:rsidRPr="00463667" w:rsidRDefault="00B852BD" w:rsidP="00B852BD">
            <w:pPr>
              <w:pStyle w:val="Bullet"/>
            </w:pPr>
            <w:r w:rsidRPr="00463667">
              <w:rPr>
                <w:i/>
              </w:rPr>
              <w:t>CHF.</w:t>
            </w:r>
            <w:r w:rsidRPr="00463667">
              <w:t xml:space="preserve"> Documentation of CHF</w:t>
            </w:r>
            <w:r w:rsidRPr="00463667">
              <w:rPr>
                <w:i/>
              </w:rPr>
              <w:t xml:space="preserve"> </w:t>
            </w:r>
            <w:r w:rsidRPr="00463667">
              <w:t>or cardiomyopathy diagno</w:t>
            </w:r>
            <w:r w:rsidRPr="00463667">
              <w:rPr>
                <w:i/>
              </w:rPr>
              <w:t>sis.</w:t>
            </w:r>
            <w:r w:rsidRPr="00463667">
              <w:t xml:space="preserve"> Look as far back as possible in the member</w:t>
            </w:r>
            <w:r w:rsidR="009F0DF0">
              <w:t>’</w:t>
            </w:r>
            <w:r w:rsidRPr="00463667">
              <w:t>s history through December 31 of the measurement year.</w:t>
            </w:r>
          </w:p>
        </w:tc>
      </w:tr>
    </w:tbl>
    <w:p w14:paraId="3C3027F8" w14:textId="77777777" w:rsidR="00B852BD" w:rsidRPr="00463667" w:rsidRDefault="00B852BD" w:rsidP="00B852BD">
      <w:pPr>
        <w:sectPr w:rsidR="00B852BD" w:rsidRPr="00463667" w:rsidSect="007527F3">
          <w:headerReference w:type="default" r:id="rId25"/>
          <w:pgSz w:w="12240" w:h="15840" w:code="1"/>
          <w:pgMar w:top="1080" w:right="1080" w:bottom="1080" w:left="1440" w:header="720" w:footer="720" w:gutter="0"/>
          <w:cols w:space="720"/>
        </w:sectPr>
      </w:pPr>
    </w:p>
    <w:tbl>
      <w:tblPr>
        <w:tblW w:w="0" w:type="auto"/>
        <w:tblInd w:w="18" w:type="dxa"/>
        <w:tblLayout w:type="fixed"/>
        <w:tblLook w:val="0000" w:firstRow="0" w:lastRow="0" w:firstColumn="0" w:lastColumn="0" w:noHBand="0" w:noVBand="0"/>
      </w:tblPr>
      <w:tblGrid>
        <w:gridCol w:w="1872"/>
        <w:gridCol w:w="7830"/>
      </w:tblGrid>
      <w:tr w:rsidR="00B852BD" w:rsidRPr="00463667" w14:paraId="3CC55455" w14:textId="77777777" w:rsidTr="00F578E0">
        <w:tc>
          <w:tcPr>
            <w:tcW w:w="1872" w:type="dxa"/>
          </w:tcPr>
          <w:p w14:paraId="1E7A215E" w14:textId="77777777" w:rsidR="00B852BD" w:rsidRPr="00463667" w:rsidRDefault="00B852BD" w:rsidP="00F578E0">
            <w:pPr>
              <w:pStyle w:val="MarginSubhead"/>
              <w:spacing w:before="120"/>
              <w:rPr>
                <w:szCs w:val="20"/>
                <w:u w:val="single"/>
              </w:rPr>
            </w:pPr>
          </w:p>
        </w:tc>
        <w:tc>
          <w:tcPr>
            <w:tcW w:w="7830" w:type="dxa"/>
          </w:tcPr>
          <w:p w14:paraId="4E5ED948" w14:textId="77777777" w:rsidR="00B852BD" w:rsidRPr="00463667" w:rsidRDefault="00B852BD" w:rsidP="00B852BD">
            <w:pPr>
              <w:pStyle w:val="Bullet"/>
              <w:spacing w:before="0"/>
            </w:pPr>
            <w:r w:rsidRPr="00463667">
              <w:rPr>
                <w:i/>
              </w:rPr>
              <w:t>Prior MI.</w:t>
            </w:r>
            <w:r w:rsidRPr="00463667">
              <w:t xml:space="preserve"> Documentation of prior MI. Look as far back as possible in the member</w:t>
            </w:r>
            <w:r w:rsidR="009F0DF0">
              <w:t>’</w:t>
            </w:r>
            <w:r w:rsidRPr="00463667">
              <w:t>s history through December 31 of the measurement year.</w:t>
            </w:r>
          </w:p>
          <w:p w14:paraId="27C27999" w14:textId="77777777" w:rsidR="00B852BD" w:rsidRPr="00463667" w:rsidRDefault="00B852BD" w:rsidP="00B852BD">
            <w:pPr>
              <w:pStyle w:val="Bullet"/>
              <w:spacing w:before="100"/>
            </w:pPr>
            <w:r w:rsidRPr="00463667">
              <w:rPr>
                <w:i/>
              </w:rPr>
              <w:t>ESRD.</w:t>
            </w:r>
            <w:r w:rsidRPr="00463667">
              <w:t xml:space="preserve"> Documentation of stage 5 chronic kidney disease, ESRD or dialysis. Look as far back as possible in the member</w:t>
            </w:r>
            <w:r w:rsidR="009F0DF0">
              <w:t>’</w:t>
            </w:r>
            <w:r w:rsidRPr="00463667">
              <w:t>s history through December 31 of the measurement year.</w:t>
            </w:r>
          </w:p>
          <w:p w14:paraId="6ABF9F46" w14:textId="77777777" w:rsidR="00B852BD" w:rsidRPr="00463667" w:rsidRDefault="00B852BD" w:rsidP="00F578E0">
            <w:pPr>
              <w:pStyle w:val="Bullet"/>
              <w:tabs>
                <w:tab w:val="clear" w:pos="576"/>
              </w:tabs>
              <w:spacing w:before="100"/>
            </w:pPr>
            <w:r w:rsidRPr="00463667">
              <w:rPr>
                <w:i/>
              </w:rPr>
              <w:t xml:space="preserve">Chronic kidney disease (stage 4). </w:t>
            </w:r>
            <w:r w:rsidRPr="00463667">
              <w:t>Documentation of stage 4 chronic kidney disease. Look as far back as possible in the member</w:t>
            </w:r>
            <w:r w:rsidR="009F0DF0">
              <w:t>’</w:t>
            </w:r>
            <w:r w:rsidRPr="00463667">
              <w:t>s history through December 31 of the measurement year.</w:t>
            </w:r>
          </w:p>
          <w:p w14:paraId="544E1F37" w14:textId="77777777" w:rsidR="00B852BD" w:rsidRPr="00463667" w:rsidRDefault="00B852BD" w:rsidP="00B852BD">
            <w:pPr>
              <w:pStyle w:val="Bullet"/>
              <w:spacing w:before="100"/>
            </w:pPr>
            <w:r w:rsidRPr="00463667">
              <w:rPr>
                <w:i/>
              </w:rPr>
              <w:t>Dementia.</w:t>
            </w:r>
            <w:r w:rsidRPr="00463667">
              <w:t xml:space="preserve"> Documentation of dementia. Look as far back as possible in the member</w:t>
            </w:r>
            <w:r w:rsidR="009F0DF0">
              <w:t>’</w:t>
            </w:r>
            <w:r w:rsidRPr="00463667">
              <w:t>s history through December 31 of the measurement year.</w:t>
            </w:r>
          </w:p>
          <w:p w14:paraId="54105234" w14:textId="77777777" w:rsidR="00B852BD" w:rsidRPr="00463667" w:rsidRDefault="00B852BD" w:rsidP="00B852BD">
            <w:pPr>
              <w:pStyle w:val="Bullet"/>
              <w:spacing w:before="100"/>
            </w:pPr>
            <w:r w:rsidRPr="00463667">
              <w:rPr>
                <w:i/>
              </w:rPr>
              <w:t>Blindness.</w:t>
            </w:r>
            <w:r w:rsidRPr="00463667">
              <w:t xml:space="preserve"> Documentation of blindness in one or both eyes. Look as far back as possible in the member</w:t>
            </w:r>
            <w:r w:rsidR="009F0DF0">
              <w:t>’</w:t>
            </w:r>
            <w:r w:rsidRPr="00463667">
              <w:t>s history through December 31 of the measurement year.</w:t>
            </w:r>
          </w:p>
          <w:p w14:paraId="112E6AD6" w14:textId="77777777" w:rsidR="00B852BD" w:rsidRPr="00463667" w:rsidRDefault="00B852BD" w:rsidP="00B852BD">
            <w:pPr>
              <w:pStyle w:val="Bullet"/>
              <w:spacing w:before="100"/>
            </w:pPr>
            <w:r w:rsidRPr="00463667">
              <w:rPr>
                <w:i/>
              </w:rPr>
              <w:t>Amputation (lower extremity).</w:t>
            </w:r>
            <w:r w:rsidRPr="00463667">
              <w:t xml:space="preserve"> Documentation of lower extremity amputation. Look as far back as possible in the member</w:t>
            </w:r>
            <w:r w:rsidR="009F0DF0">
              <w:t>’</w:t>
            </w:r>
            <w:r w:rsidRPr="00463667">
              <w:t>s history through December 31 of the measurement year.</w:t>
            </w:r>
          </w:p>
        </w:tc>
      </w:tr>
    </w:tbl>
    <w:p w14:paraId="79410A61" w14:textId="77777777" w:rsidR="00B852BD" w:rsidRPr="00463667" w:rsidRDefault="00B852BD" w:rsidP="00B852BD">
      <w:pPr>
        <w:pStyle w:val="Note"/>
      </w:pPr>
      <w:r w:rsidRPr="00463667">
        <w:rPr>
          <w:b/>
        </w:rPr>
        <w:t>Note:</w:t>
      </w:r>
      <w:r w:rsidRPr="00463667">
        <w:t xml:space="preserve"> For Hybrid reporting, search the medical record for required exclusions and apply them before determining if the member has a numerator hit. Organizations are not required to search for required exclusions if a member has an administrative hit for the indicator, but must exclude these members if they are discovered during medical record review.</w:t>
      </w:r>
    </w:p>
    <w:p w14:paraId="4F3832B5" w14:textId="77777777" w:rsidR="00B852BD" w:rsidRPr="00463667" w:rsidRDefault="00B852BD" w:rsidP="00B852BD">
      <w:pPr>
        <w:pStyle w:val="Note"/>
        <w:spacing w:before="0"/>
      </w:pPr>
    </w:p>
    <w:tbl>
      <w:tblPr>
        <w:tblW w:w="0" w:type="auto"/>
        <w:tblInd w:w="18" w:type="dxa"/>
        <w:tblLayout w:type="fixed"/>
        <w:tblLook w:val="0000" w:firstRow="0" w:lastRow="0" w:firstColumn="0" w:lastColumn="0" w:noHBand="0" w:noVBand="0"/>
      </w:tblPr>
      <w:tblGrid>
        <w:gridCol w:w="1890"/>
        <w:gridCol w:w="1800"/>
        <w:gridCol w:w="2700"/>
        <w:gridCol w:w="3420"/>
      </w:tblGrid>
      <w:tr w:rsidR="00B852BD" w:rsidRPr="00463667" w14:paraId="1E43C07A" w14:textId="77777777" w:rsidTr="00613DB3">
        <w:tc>
          <w:tcPr>
            <w:tcW w:w="1890" w:type="dxa"/>
          </w:tcPr>
          <w:p w14:paraId="39FE332E" w14:textId="77777777" w:rsidR="00B852BD" w:rsidRPr="00463667" w:rsidRDefault="00B852BD" w:rsidP="00F578E0">
            <w:pPr>
              <w:pStyle w:val="MarginSubhead"/>
              <w:spacing w:before="0"/>
              <w:rPr>
                <w:szCs w:val="20"/>
              </w:rPr>
            </w:pPr>
            <w:r w:rsidRPr="00463667">
              <w:rPr>
                <w:szCs w:val="20"/>
              </w:rPr>
              <w:t>Numerators</w:t>
            </w:r>
          </w:p>
        </w:tc>
        <w:tc>
          <w:tcPr>
            <w:tcW w:w="7920" w:type="dxa"/>
            <w:gridSpan w:val="3"/>
          </w:tcPr>
          <w:p w14:paraId="67FE34FD" w14:textId="77777777" w:rsidR="00B852BD" w:rsidRPr="00463667" w:rsidRDefault="00B852BD" w:rsidP="00F578E0">
            <w:pPr>
              <w:pStyle w:val="Body"/>
              <w:spacing w:before="0"/>
              <w:rPr>
                <w:szCs w:val="20"/>
              </w:rPr>
            </w:pPr>
          </w:p>
        </w:tc>
      </w:tr>
      <w:tr w:rsidR="00B852BD" w:rsidRPr="00463667" w14:paraId="4C2CE543" w14:textId="77777777" w:rsidTr="00613DB3">
        <w:tc>
          <w:tcPr>
            <w:tcW w:w="1890" w:type="dxa"/>
          </w:tcPr>
          <w:p w14:paraId="283BD7BF" w14:textId="77777777" w:rsidR="00B852BD" w:rsidRPr="00463667" w:rsidRDefault="00B852BD" w:rsidP="00F578E0">
            <w:pPr>
              <w:pStyle w:val="MarginSubhead"/>
              <w:spacing w:before="120"/>
              <w:jc w:val="right"/>
              <w:rPr>
                <w:i/>
                <w:szCs w:val="20"/>
              </w:rPr>
            </w:pPr>
            <w:r w:rsidRPr="00463667">
              <w:rPr>
                <w:i/>
                <w:szCs w:val="20"/>
              </w:rPr>
              <w:t>HbA1c Testing</w:t>
            </w:r>
          </w:p>
        </w:tc>
        <w:tc>
          <w:tcPr>
            <w:tcW w:w="7920" w:type="dxa"/>
            <w:gridSpan w:val="3"/>
          </w:tcPr>
          <w:p w14:paraId="1AD0828C" w14:textId="77777777" w:rsidR="00B852BD" w:rsidRPr="00463667" w:rsidRDefault="00B852BD" w:rsidP="00F578E0">
            <w:pPr>
              <w:pStyle w:val="Body"/>
              <w:spacing w:before="120"/>
              <w:rPr>
                <w:szCs w:val="20"/>
              </w:rPr>
            </w:pPr>
            <w:r w:rsidRPr="00463667">
              <w:rPr>
                <w:szCs w:val="20"/>
              </w:rPr>
              <w:t>An HbA1c test performed during the measurement year as identified by administrative data or medical record review.</w:t>
            </w:r>
          </w:p>
        </w:tc>
      </w:tr>
      <w:tr w:rsidR="00B852BD" w:rsidRPr="00463667" w14:paraId="683A1CF7" w14:textId="77777777" w:rsidTr="00613DB3">
        <w:tc>
          <w:tcPr>
            <w:tcW w:w="1890" w:type="dxa"/>
          </w:tcPr>
          <w:p w14:paraId="71642237" w14:textId="77777777" w:rsidR="00B852BD" w:rsidRPr="00463667" w:rsidRDefault="00B852BD" w:rsidP="00F578E0">
            <w:pPr>
              <w:pStyle w:val="MarginSubhead"/>
              <w:rPr>
                <w:szCs w:val="20"/>
                <w:u w:val="single"/>
              </w:rPr>
            </w:pPr>
            <w:r w:rsidRPr="00463667">
              <w:rPr>
                <w:szCs w:val="20"/>
                <w:u w:val="single"/>
              </w:rPr>
              <w:t>Administrative</w:t>
            </w:r>
          </w:p>
        </w:tc>
        <w:tc>
          <w:tcPr>
            <w:tcW w:w="7920" w:type="dxa"/>
            <w:gridSpan w:val="3"/>
          </w:tcPr>
          <w:p w14:paraId="298180E2" w14:textId="77777777" w:rsidR="00B852BD" w:rsidRPr="00463667" w:rsidRDefault="00B852BD" w:rsidP="00F578E0">
            <w:pPr>
              <w:pStyle w:val="Body"/>
              <w:rPr>
                <w:szCs w:val="20"/>
              </w:rPr>
            </w:pPr>
            <w:r w:rsidRPr="00463667">
              <w:rPr>
                <w:szCs w:val="20"/>
              </w:rPr>
              <w:t xml:space="preserve">Refer to </w:t>
            </w:r>
            <w:r w:rsidRPr="00463667">
              <w:rPr>
                <w:i/>
                <w:szCs w:val="20"/>
              </w:rPr>
              <w:t>Administrative Specification</w:t>
            </w:r>
            <w:r w:rsidRPr="00463667">
              <w:rPr>
                <w:szCs w:val="20"/>
              </w:rPr>
              <w:t xml:space="preserve"> to identify positive numerator hits from administrative data.</w:t>
            </w:r>
          </w:p>
        </w:tc>
      </w:tr>
      <w:tr w:rsidR="00B852BD" w:rsidRPr="00463667" w14:paraId="1F56D250" w14:textId="77777777" w:rsidTr="00613DB3">
        <w:tc>
          <w:tcPr>
            <w:tcW w:w="1890" w:type="dxa"/>
          </w:tcPr>
          <w:p w14:paraId="187618C8" w14:textId="77777777" w:rsidR="00B852BD" w:rsidRPr="00463667" w:rsidRDefault="00B852BD" w:rsidP="00F578E0">
            <w:pPr>
              <w:pStyle w:val="MarginSubhead"/>
              <w:rPr>
                <w:szCs w:val="20"/>
                <w:u w:val="single"/>
              </w:rPr>
            </w:pPr>
            <w:r w:rsidRPr="00463667">
              <w:rPr>
                <w:szCs w:val="20"/>
                <w:u w:val="single"/>
              </w:rPr>
              <w:t>Medical record</w:t>
            </w:r>
          </w:p>
        </w:tc>
        <w:tc>
          <w:tcPr>
            <w:tcW w:w="7920" w:type="dxa"/>
            <w:gridSpan w:val="3"/>
          </w:tcPr>
          <w:p w14:paraId="05A17D76" w14:textId="77777777" w:rsidR="00B852BD" w:rsidRPr="00463667" w:rsidRDefault="00B852BD" w:rsidP="00F578E0">
            <w:pPr>
              <w:pStyle w:val="Body"/>
              <w:rPr>
                <w:szCs w:val="20"/>
              </w:rPr>
            </w:pPr>
            <w:r w:rsidRPr="00463667">
              <w:rPr>
                <w:szCs w:val="20"/>
              </w:rPr>
              <w:t>At a minimum, documentation in the medical record must include a note indicating the date when the HbA1c test was performed and the result or finding. Count notation of the following in the medical record:</w:t>
            </w:r>
          </w:p>
        </w:tc>
      </w:tr>
      <w:tr w:rsidR="00B852BD" w:rsidRPr="00463667" w14:paraId="3D80D5A0" w14:textId="77777777" w:rsidTr="00613DB3">
        <w:tc>
          <w:tcPr>
            <w:tcW w:w="1890" w:type="dxa"/>
            <w:tcBorders>
              <w:bottom w:val="nil"/>
            </w:tcBorders>
          </w:tcPr>
          <w:p w14:paraId="60CF149D" w14:textId="77777777" w:rsidR="00B852BD" w:rsidRPr="00463667" w:rsidRDefault="00B852BD" w:rsidP="00F578E0">
            <w:pPr>
              <w:pStyle w:val="MarginSubhead"/>
              <w:rPr>
                <w:szCs w:val="20"/>
                <w:u w:val="single"/>
              </w:rPr>
            </w:pPr>
          </w:p>
        </w:tc>
        <w:tc>
          <w:tcPr>
            <w:tcW w:w="1800" w:type="dxa"/>
            <w:tcBorders>
              <w:bottom w:val="nil"/>
            </w:tcBorders>
          </w:tcPr>
          <w:p w14:paraId="0356A4CE" w14:textId="77777777" w:rsidR="00B852BD" w:rsidRPr="00463667" w:rsidRDefault="00B852BD" w:rsidP="007527F3">
            <w:pPr>
              <w:pStyle w:val="Bullet"/>
              <w:spacing w:before="60"/>
            </w:pPr>
            <w:r w:rsidRPr="00463667">
              <w:t>A1c.</w:t>
            </w:r>
          </w:p>
          <w:p w14:paraId="2DFD172D" w14:textId="77777777" w:rsidR="00B852BD" w:rsidRPr="00463667" w:rsidRDefault="00B852BD" w:rsidP="007527F3">
            <w:pPr>
              <w:pStyle w:val="Bullet"/>
              <w:spacing w:before="60"/>
            </w:pPr>
            <w:r w:rsidRPr="00463667">
              <w:t>HbA1c.</w:t>
            </w:r>
          </w:p>
        </w:tc>
        <w:tc>
          <w:tcPr>
            <w:tcW w:w="2700" w:type="dxa"/>
            <w:tcBorders>
              <w:bottom w:val="nil"/>
            </w:tcBorders>
          </w:tcPr>
          <w:p w14:paraId="616EF6DB" w14:textId="77777777" w:rsidR="00B852BD" w:rsidRPr="00463667" w:rsidRDefault="00B852BD" w:rsidP="007527F3">
            <w:pPr>
              <w:pStyle w:val="ProcessBullet"/>
              <w:spacing w:before="60"/>
            </w:pPr>
            <w:r w:rsidRPr="00463667">
              <w:t>Hemoglobin A1c.</w:t>
            </w:r>
          </w:p>
          <w:p w14:paraId="790123C5" w14:textId="77777777" w:rsidR="00B852BD" w:rsidRPr="00463667" w:rsidRDefault="00B852BD" w:rsidP="007527F3">
            <w:pPr>
              <w:pStyle w:val="ProcessBullet"/>
              <w:spacing w:before="60"/>
            </w:pPr>
            <w:r w:rsidRPr="00463667">
              <w:t xml:space="preserve">Glycohemoglobin A1c. </w:t>
            </w:r>
          </w:p>
        </w:tc>
        <w:tc>
          <w:tcPr>
            <w:tcW w:w="3420" w:type="dxa"/>
            <w:tcBorders>
              <w:bottom w:val="nil"/>
            </w:tcBorders>
          </w:tcPr>
          <w:p w14:paraId="3BC63234" w14:textId="77777777" w:rsidR="00B852BD" w:rsidRPr="00463667" w:rsidRDefault="00B852BD" w:rsidP="007527F3">
            <w:pPr>
              <w:pStyle w:val="ProcessBullet"/>
              <w:spacing w:before="60"/>
            </w:pPr>
            <w:r w:rsidRPr="00463667">
              <w:t>HgbA1c.</w:t>
            </w:r>
          </w:p>
        </w:tc>
      </w:tr>
      <w:tr w:rsidR="00B852BD" w:rsidRPr="00463667" w14:paraId="4857B850" w14:textId="77777777" w:rsidTr="00613DB3">
        <w:tc>
          <w:tcPr>
            <w:tcW w:w="1890" w:type="dxa"/>
          </w:tcPr>
          <w:p w14:paraId="129021B6" w14:textId="77777777" w:rsidR="00B852BD" w:rsidRPr="00463667" w:rsidRDefault="00B852BD" w:rsidP="00F578E0">
            <w:pPr>
              <w:pStyle w:val="MarginSubhead"/>
              <w:jc w:val="right"/>
              <w:rPr>
                <w:i/>
                <w:szCs w:val="20"/>
              </w:rPr>
            </w:pPr>
            <w:r w:rsidRPr="00463667">
              <w:rPr>
                <w:i/>
                <w:szCs w:val="20"/>
              </w:rPr>
              <w:t>HbA1c Poor Control &gt;9%</w:t>
            </w:r>
          </w:p>
        </w:tc>
        <w:tc>
          <w:tcPr>
            <w:tcW w:w="7920" w:type="dxa"/>
            <w:gridSpan w:val="3"/>
          </w:tcPr>
          <w:p w14:paraId="3E69FAA4" w14:textId="77777777" w:rsidR="00B852BD" w:rsidRPr="00463667" w:rsidRDefault="00B852BD" w:rsidP="00F578E0">
            <w:pPr>
              <w:pStyle w:val="Body"/>
            </w:pPr>
            <w:r w:rsidRPr="00463667">
              <w:t xml:space="preserve">The </w:t>
            </w:r>
            <w:r w:rsidRPr="00463667">
              <w:rPr>
                <w:i/>
              </w:rPr>
              <w:t>most recent</w:t>
            </w:r>
            <w:r w:rsidRPr="00463667">
              <w:t xml:space="preserve"> HbA1c level (performed during the measurement year) is &gt;9.0% or is missing, or was not done during the measurement year, as documented through automated laboratory data or medical record review. </w:t>
            </w:r>
          </w:p>
          <w:p w14:paraId="02C12FE9" w14:textId="77777777" w:rsidR="00B852BD" w:rsidRPr="00463667" w:rsidRDefault="00B852BD" w:rsidP="00F578E0">
            <w:pPr>
              <w:pStyle w:val="Note"/>
              <w:rPr>
                <w:szCs w:val="20"/>
              </w:rPr>
            </w:pPr>
            <w:r w:rsidRPr="00463667">
              <w:rPr>
                <w:b/>
              </w:rPr>
              <w:t xml:space="preserve">Note: </w:t>
            </w:r>
            <w:r w:rsidRPr="00463667">
              <w:t>A lower rate indicates better performance for this indicator (i.e., low rates of poor control indicate better care).</w:t>
            </w:r>
          </w:p>
        </w:tc>
      </w:tr>
      <w:tr w:rsidR="00B852BD" w:rsidRPr="00463667" w14:paraId="72E174F7" w14:textId="77777777" w:rsidTr="00613DB3">
        <w:tc>
          <w:tcPr>
            <w:tcW w:w="1890" w:type="dxa"/>
          </w:tcPr>
          <w:p w14:paraId="6846B785" w14:textId="77777777" w:rsidR="00B852BD" w:rsidRPr="00463667" w:rsidRDefault="00B852BD" w:rsidP="00F578E0">
            <w:pPr>
              <w:pStyle w:val="MarginSubhead"/>
              <w:rPr>
                <w:b w:val="0"/>
                <w:szCs w:val="20"/>
                <w:u w:val="single"/>
              </w:rPr>
            </w:pPr>
            <w:r w:rsidRPr="00463667">
              <w:rPr>
                <w:szCs w:val="20"/>
                <w:u w:val="single"/>
              </w:rPr>
              <w:t>Administrative</w:t>
            </w:r>
          </w:p>
        </w:tc>
        <w:tc>
          <w:tcPr>
            <w:tcW w:w="7920" w:type="dxa"/>
            <w:gridSpan w:val="3"/>
          </w:tcPr>
          <w:p w14:paraId="7BFB4DB8" w14:textId="77777777" w:rsidR="00B852BD" w:rsidRPr="00463667" w:rsidRDefault="00B852BD" w:rsidP="00F578E0">
            <w:pPr>
              <w:pStyle w:val="Body"/>
              <w:rPr>
                <w:szCs w:val="20"/>
              </w:rPr>
            </w:pPr>
            <w:r w:rsidRPr="00463667">
              <w:rPr>
                <w:szCs w:val="20"/>
              </w:rPr>
              <w:t xml:space="preserve">Refer to </w:t>
            </w:r>
            <w:r w:rsidRPr="00463667">
              <w:rPr>
                <w:i/>
                <w:szCs w:val="20"/>
              </w:rPr>
              <w:t>Administrative Specification</w:t>
            </w:r>
            <w:r w:rsidRPr="00463667">
              <w:rPr>
                <w:szCs w:val="20"/>
              </w:rPr>
              <w:t xml:space="preserve"> to identify positive numerator hits from administrative data.</w:t>
            </w:r>
          </w:p>
        </w:tc>
      </w:tr>
      <w:tr w:rsidR="00B852BD" w:rsidRPr="00463667" w14:paraId="496014F0" w14:textId="77777777" w:rsidTr="00613DB3">
        <w:tc>
          <w:tcPr>
            <w:tcW w:w="1890" w:type="dxa"/>
          </w:tcPr>
          <w:p w14:paraId="4E5121F0" w14:textId="77777777" w:rsidR="00B852BD" w:rsidRPr="00463667" w:rsidRDefault="00B852BD" w:rsidP="00F578E0">
            <w:pPr>
              <w:pStyle w:val="MarginSubhead"/>
              <w:rPr>
                <w:szCs w:val="20"/>
                <w:u w:val="single"/>
              </w:rPr>
            </w:pPr>
            <w:r w:rsidRPr="00463667">
              <w:rPr>
                <w:szCs w:val="20"/>
                <w:u w:val="single"/>
              </w:rPr>
              <w:t>Medical record</w:t>
            </w:r>
          </w:p>
        </w:tc>
        <w:tc>
          <w:tcPr>
            <w:tcW w:w="7920" w:type="dxa"/>
            <w:gridSpan w:val="3"/>
          </w:tcPr>
          <w:p w14:paraId="198FD7EB" w14:textId="77777777" w:rsidR="00B852BD" w:rsidRPr="00463667" w:rsidRDefault="00B852BD" w:rsidP="00F578E0">
            <w:pPr>
              <w:pStyle w:val="Body"/>
              <w:rPr>
                <w:rFonts w:cs="Arial"/>
                <w:szCs w:val="20"/>
              </w:rPr>
            </w:pPr>
            <w:r w:rsidRPr="00463667">
              <w:rPr>
                <w:szCs w:val="20"/>
              </w:rPr>
              <w:t xml:space="preserve">At a minimum, documentation in the medical record must include a note indicating the date when the HbA1c test was performed and the result. The member is numerator compliant if the result for the most recent HbA1c level during the measurement year is &gt;9.0% or is missing, or if an HbA1c test was not done during the measurement year. The member is not numerator compliant if the most recent HbA1c level during the measurement year is </w:t>
            </w:r>
            <w:r w:rsidRPr="00463667">
              <w:rPr>
                <w:rFonts w:cs="Arial"/>
                <w:szCs w:val="20"/>
              </w:rPr>
              <w:t>≤9.0%.</w:t>
            </w:r>
          </w:p>
          <w:p w14:paraId="3E5B2325" w14:textId="77777777" w:rsidR="00B852BD" w:rsidRPr="00463667" w:rsidRDefault="00B852BD" w:rsidP="00F578E0">
            <w:pPr>
              <w:pStyle w:val="Body"/>
              <w:rPr>
                <w:szCs w:val="20"/>
              </w:rPr>
            </w:pPr>
            <w:r w:rsidRPr="00463667">
              <w:rPr>
                <w:rFonts w:cs="Arial"/>
                <w:szCs w:val="20"/>
              </w:rPr>
              <w:t>Ranges and thresholds do not meet criteria for this indicator. A distinct numeric result is required for numerator compliance.</w:t>
            </w:r>
          </w:p>
        </w:tc>
      </w:tr>
    </w:tbl>
    <w:p w14:paraId="06101482" w14:textId="77777777" w:rsidR="00B852BD" w:rsidRPr="00463667" w:rsidRDefault="00B852BD" w:rsidP="00B852BD">
      <w:pPr>
        <w:sectPr w:rsidR="00B852BD" w:rsidRPr="00463667" w:rsidSect="007527F3">
          <w:pgSz w:w="12240" w:h="15840" w:code="1"/>
          <w:pgMar w:top="1080" w:right="1080" w:bottom="1080" w:left="1440" w:header="720" w:footer="720" w:gutter="0"/>
          <w:cols w:space="720"/>
        </w:sectPr>
      </w:pPr>
    </w:p>
    <w:tbl>
      <w:tblPr>
        <w:tblW w:w="0" w:type="auto"/>
        <w:tblInd w:w="18" w:type="dxa"/>
        <w:tblLayout w:type="fixed"/>
        <w:tblLook w:val="0000" w:firstRow="0" w:lastRow="0" w:firstColumn="0" w:lastColumn="0" w:noHBand="0" w:noVBand="0"/>
      </w:tblPr>
      <w:tblGrid>
        <w:gridCol w:w="1890"/>
        <w:gridCol w:w="7920"/>
      </w:tblGrid>
      <w:tr w:rsidR="00B852BD" w:rsidRPr="00463667" w14:paraId="1699EB52" w14:textId="77777777" w:rsidTr="00613DB3">
        <w:tc>
          <w:tcPr>
            <w:tcW w:w="1890" w:type="dxa"/>
            <w:tcBorders>
              <w:bottom w:val="nil"/>
            </w:tcBorders>
          </w:tcPr>
          <w:p w14:paraId="31EF601F" w14:textId="77777777" w:rsidR="00B852BD" w:rsidRPr="00463667" w:rsidRDefault="00B852BD" w:rsidP="00F578E0">
            <w:pPr>
              <w:pStyle w:val="MarginSubhead"/>
              <w:spacing w:before="0"/>
              <w:jc w:val="right"/>
              <w:rPr>
                <w:i/>
                <w:szCs w:val="20"/>
              </w:rPr>
            </w:pPr>
            <w:r w:rsidRPr="00463667">
              <w:rPr>
                <w:i/>
                <w:szCs w:val="20"/>
              </w:rPr>
              <w:lastRenderedPageBreak/>
              <w:t>HbA1c Control &lt;8%</w:t>
            </w:r>
          </w:p>
        </w:tc>
        <w:tc>
          <w:tcPr>
            <w:tcW w:w="7920" w:type="dxa"/>
            <w:tcBorders>
              <w:bottom w:val="nil"/>
            </w:tcBorders>
          </w:tcPr>
          <w:p w14:paraId="47475523" w14:textId="77777777" w:rsidR="00B852BD" w:rsidRPr="00463667" w:rsidRDefault="00B852BD" w:rsidP="00F578E0">
            <w:pPr>
              <w:pStyle w:val="Body"/>
              <w:spacing w:before="0"/>
            </w:pPr>
            <w:r w:rsidRPr="00463667">
              <w:t xml:space="preserve">The </w:t>
            </w:r>
            <w:r w:rsidRPr="00463667">
              <w:rPr>
                <w:i/>
              </w:rPr>
              <w:t>most recent</w:t>
            </w:r>
            <w:r w:rsidRPr="00463667">
              <w:t xml:space="preserve"> HbA1c level (performed during the measurement year) is &lt;8.0% as identified by automated laboratory data or medical record review.</w:t>
            </w:r>
          </w:p>
        </w:tc>
      </w:tr>
      <w:tr w:rsidR="00B852BD" w:rsidRPr="00463667" w14:paraId="778C84D8" w14:textId="77777777" w:rsidTr="00613DB3">
        <w:tc>
          <w:tcPr>
            <w:tcW w:w="1890" w:type="dxa"/>
            <w:tcBorders>
              <w:bottom w:val="nil"/>
            </w:tcBorders>
          </w:tcPr>
          <w:p w14:paraId="29E566D5" w14:textId="77777777" w:rsidR="00B852BD" w:rsidRPr="00463667" w:rsidRDefault="00B852BD" w:rsidP="00F578E0">
            <w:pPr>
              <w:pStyle w:val="MarginSubhead"/>
              <w:jc w:val="right"/>
              <w:rPr>
                <w:i/>
                <w:szCs w:val="20"/>
                <w:u w:val="single"/>
              </w:rPr>
            </w:pPr>
            <w:r w:rsidRPr="00463667">
              <w:rPr>
                <w:szCs w:val="20"/>
                <w:u w:val="single"/>
              </w:rPr>
              <w:t>Administrative</w:t>
            </w:r>
          </w:p>
        </w:tc>
        <w:tc>
          <w:tcPr>
            <w:tcW w:w="7920" w:type="dxa"/>
            <w:tcBorders>
              <w:bottom w:val="nil"/>
            </w:tcBorders>
          </w:tcPr>
          <w:p w14:paraId="60A6BC23" w14:textId="77777777" w:rsidR="00B852BD" w:rsidRPr="00463667" w:rsidRDefault="00B852BD" w:rsidP="00F578E0">
            <w:pPr>
              <w:pStyle w:val="Body"/>
            </w:pPr>
            <w:r w:rsidRPr="00463667">
              <w:rPr>
                <w:szCs w:val="20"/>
              </w:rPr>
              <w:t xml:space="preserve">Refer to </w:t>
            </w:r>
            <w:r w:rsidRPr="00463667">
              <w:rPr>
                <w:i/>
                <w:szCs w:val="20"/>
              </w:rPr>
              <w:t>Administrative Specification</w:t>
            </w:r>
            <w:r w:rsidRPr="00463667">
              <w:rPr>
                <w:szCs w:val="20"/>
              </w:rPr>
              <w:t xml:space="preserve"> to identify positive numerator hits from administrative data.</w:t>
            </w:r>
          </w:p>
        </w:tc>
      </w:tr>
      <w:tr w:rsidR="00B852BD" w:rsidRPr="00463667" w14:paraId="76388A8D" w14:textId="77777777" w:rsidTr="00613DB3">
        <w:tc>
          <w:tcPr>
            <w:tcW w:w="1890" w:type="dxa"/>
            <w:tcBorders>
              <w:bottom w:val="nil"/>
            </w:tcBorders>
          </w:tcPr>
          <w:p w14:paraId="64D15584" w14:textId="77777777" w:rsidR="00B852BD" w:rsidRPr="00463667" w:rsidRDefault="00B852BD" w:rsidP="00F578E0">
            <w:pPr>
              <w:pStyle w:val="MarginSubhead"/>
              <w:jc w:val="right"/>
              <w:rPr>
                <w:i/>
                <w:szCs w:val="20"/>
                <w:u w:val="single"/>
              </w:rPr>
            </w:pPr>
            <w:r w:rsidRPr="00463667">
              <w:rPr>
                <w:szCs w:val="20"/>
                <w:u w:val="single"/>
              </w:rPr>
              <w:t>Medical record</w:t>
            </w:r>
          </w:p>
        </w:tc>
        <w:tc>
          <w:tcPr>
            <w:tcW w:w="7920" w:type="dxa"/>
            <w:tcBorders>
              <w:bottom w:val="nil"/>
            </w:tcBorders>
          </w:tcPr>
          <w:p w14:paraId="4DCA9D51" w14:textId="77777777" w:rsidR="00B852BD" w:rsidRPr="00463667" w:rsidRDefault="00B852BD" w:rsidP="00F578E0">
            <w:pPr>
              <w:pStyle w:val="Body"/>
              <w:rPr>
                <w:rFonts w:cs="Arial"/>
              </w:rPr>
            </w:pPr>
            <w:r w:rsidRPr="00463667">
              <w:rPr>
                <w:szCs w:val="20"/>
              </w:rPr>
              <w:t xml:space="preserve">At a minimum, documentation in the medical record must include a note indicating the date when the HbA1c test was performed and the result. The member is numerator compliant if the most recent HbA1c level during the measurement year is </w:t>
            </w:r>
            <w:r w:rsidRPr="00463667">
              <w:t xml:space="preserve">&lt;8.0%. The member is not numerator compliant if the result for the most recent HbA1c level during the measurement year is </w:t>
            </w:r>
            <w:r w:rsidRPr="00463667">
              <w:rPr>
                <w:rFonts w:cs="Arial"/>
              </w:rPr>
              <w:t>≥8.0% or is missing, or if an HbA1c test was not performed during the measurement year.</w:t>
            </w:r>
          </w:p>
          <w:p w14:paraId="710209A2" w14:textId="77777777" w:rsidR="00B852BD" w:rsidRPr="00463667" w:rsidRDefault="00B852BD" w:rsidP="00F578E0">
            <w:pPr>
              <w:pStyle w:val="Body"/>
            </w:pPr>
            <w:r w:rsidRPr="00463667">
              <w:rPr>
                <w:rFonts w:cs="Arial"/>
                <w:szCs w:val="20"/>
              </w:rPr>
              <w:t>Ranges and thresholds do not meet criteria for this indicator. A distinct numeric result is required for numerator compliance.</w:t>
            </w:r>
          </w:p>
        </w:tc>
      </w:tr>
      <w:tr w:rsidR="00B852BD" w:rsidRPr="00463667" w14:paraId="2A9D0EB7" w14:textId="77777777" w:rsidTr="00613DB3">
        <w:tc>
          <w:tcPr>
            <w:tcW w:w="1890" w:type="dxa"/>
            <w:tcBorders>
              <w:bottom w:val="nil"/>
            </w:tcBorders>
          </w:tcPr>
          <w:p w14:paraId="7228496B" w14:textId="77777777" w:rsidR="00B852BD" w:rsidRPr="00463667" w:rsidRDefault="00B852BD" w:rsidP="00F578E0">
            <w:pPr>
              <w:pStyle w:val="MarginSubhead"/>
              <w:jc w:val="right"/>
              <w:rPr>
                <w:i/>
                <w:szCs w:val="20"/>
              </w:rPr>
            </w:pPr>
            <w:r w:rsidRPr="00463667">
              <w:rPr>
                <w:i/>
                <w:szCs w:val="20"/>
              </w:rPr>
              <w:t>HbA1c Control &lt;7% for a Selected Population</w:t>
            </w:r>
          </w:p>
        </w:tc>
        <w:tc>
          <w:tcPr>
            <w:tcW w:w="7920" w:type="dxa"/>
            <w:tcBorders>
              <w:bottom w:val="nil"/>
            </w:tcBorders>
          </w:tcPr>
          <w:p w14:paraId="0E957400" w14:textId="77777777" w:rsidR="00B852BD" w:rsidRPr="00463667" w:rsidRDefault="00B852BD" w:rsidP="00F578E0">
            <w:pPr>
              <w:pStyle w:val="Body"/>
            </w:pPr>
            <w:r w:rsidRPr="00463667">
              <w:t xml:space="preserve">The </w:t>
            </w:r>
            <w:r w:rsidRPr="00463667">
              <w:rPr>
                <w:i/>
              </w:rPr>
              <w:t>most recent</w:t>
            </w:r>
            <w:r w:rsidRPr="00463667">
              <w:t xml:space="preserve"> HbA1c level (performed during the measurement year) is &lt;7.0% as identified by automated laboratory data or medical record review.</w:t>
            </w:r>
          </w:p>
          <w:p w14:paraId="168FEDA8" w14:textId="77777777" w:rsidR="00B852BD" w:rsidRPr="00463667" w:rsidRDefault="00B852BD" w:rsidP="00F578E0">
            <w:pPr>
              <w:pStyle w:val="Note"/>
            </w:pPr>
            <w:r w:rsidRPr="00463667">
              <w:rPr>
                <w:b/>
              </w:rPr>
              <w:t>Note:</w:t>
            </w:r>
            <w:r w:rsidRPr="00463667">
              <w:t xml:space="preserve"> This indicator uses the eligible population with additional eligible population criteria (i.e., removing members with comorbid conditions).</w:t>
            </w:r>
          </w:p>
        </w:tc>
      </w:tr>
      <w:tr w:rsidR="00B852BD" w:rsidRPr="00463667" w14:paraId="31AE5486" w14:textId="77777777" w:rsidTr="00613DB3">
        <w:tc>
          <w:tcPr>
            <w:tcW w:w="1890" w:type="dxa"/>
          </w:tcPr>
          <w:p w14:paraId="664A3D4C" w14:textId="77777777" w:rsidR="00B852BD" w:rsidRPr="00463667" w:rsidRDefault="00B852BD" w:rsidP="00F578E0">
            <w:pPr>
              <w:pStyle w:val="MarginSubhead"/>
              <w:rPr>
                <w:b w:val="0"/>
                <w:szCs w:val="20"/>
                <w:u w:val="single"/>
              </w:rPr>
            </w:pPr>
            <w:r w:rsidRPr="00463667">
              <w:rPr>
                <w:szCs w:val="20"/>
                <w:u w:val="single"/>
              </w:rPr>
              <w:t>Administrative</w:t>
            </w:r>
          </w:p>
        </w:tc>
        <w:tc>
          <w:tcPr>
            <w:tcW w:w="7920" w:type="dxa"/>
          </w:tcPr>
          <w:p w14:paraId="491E7D00" w14:textId="77777777" w:rsidR="00B852BD" w:rsidRPr="00463667" w:rsidRDefault="00B852BD" w:rsidP="00F578E0">
            <w:pPr>
              <w:pStyle w:val="Body"/>
              <w:rPr>
                <w:szCs w:val="20"/>
              </w:rPr>
            </w:pPr>
            <w:r w:rsidRPr="00463667">
              <w:rPr>
                <w:szCs w:val="20"/>
              </w:rPr>
              <w:t xml:space="preserve">Refer to </w:t>
            </w:r>
            <w:r w:rsidRPr="00463667">
              <w:rPr>
                <w:i/>
                <w:szCs w:val="20"/>
              </w:rPr>
              <w:t>Administrative Specification</w:t>
            </w:r>
            <w:r w:rsidRPr="00463667">
              <w:rPr>
                <w:szCs w:val="20"/>
              </w:rPr>
              <w:t xml:space="preserve"> to identify positive numerator hits from administrative data.</w:t>
            </w:r>
          </w:p>
        </w:tc>
      </w:tr>
      <w:tr w:rsidR="00B852BD" w:rsidRPr="00463667" w14:paraId="5723EC4F" w14:textId="77777777" w:rsidTr="00613DB3">
        <w:tc>
          <w:tcPr>
            <w:tcW w:w="1890" w:type="dxa"/>
          </w:tcPr>
          <w:p w14:paraId="07ED6543" w14:textId="77777777" w:rsidR="00B852BD" w:rsidRPr="00463667" w:rsidRDefault="00B852BD" w:rsidP="00F578E0">
            <w:pPr>
              <w:pStyle w:val="MarginSubhead"/>
              <w:rPr>
                <w:szCs w:val="20"/>
                <w:u w:val="single"/>
              </w:rPr>
            </w:pPr>
            <w:r w:rsidRPr="00463667">
              <w:rPr>
                <w:szCs w:val="20"/>
                <w:u w:val="single"/>
              </w:rPr>
              <w:t>Medical record</w:t>
            </w:r>
          </w:p>
        </w:tc>
        <w:tc>
          <w:tcPr>
            <w:tcW w:w="7920" w:type="dxa"/>
          </w:tcPr>
          <w:p w14:paraId="395260E1" w14:textId="77777777" w:rsidR="00B852BD" w:rsidRPr="00463667" w:rsidRDefault="00B852BD" w:rsidP="00F578E0">
            <w:pPr>
              <w:pStyle w:val="Body"/>
              <w:rPr>
                <w:rFonts w:cs="Arial"/>
              </w:rPr>
            </w:pPr>
            <w:r w:rsidRPr="00463667">
              <w:rPr>
                <w:szCs w:val="20"/>
              </w:rPr>
              <w:t xml:space="preserve">At a minimum, documentation in the medical record must include a note indicating the date when the HbA1c test was performed and the result. The member is numerator compliant if the most recent HbA1c level during the measurement year is </w:t>
            </w:r>
            <w:r w:rsidRPr="00463667">
              <w:t xml:space="preserve">&lt;7.0%. The member is not numerator compliant if the result for the most recent HbA1c level during the measurement year is </w:t>
            </w:r>
            <w:r w:rsidRPr="00463667">
              <w:rPr>
                <w:rFonts w:cs="Arial"/>
              </w:rPr>
              <w:t>≥7.0% or is missing, or if an HbA1c test was not performed during the measurement year.</w:t>
            </w:r>
          </w:p>
          <w:p w14:paraId="285B71A7" w14:textId="77777777" w:rsidR="00B852BD" w:rsidRPr="00463667" w:rsidRDefault="00B852BD" w:rsidP="00F578E0">
            <w:pPr>
              <w:pStyle w:val="Body"/>
              <w:rPr>
                <w:szCs w:val="20"/>
              </w:rPr>
            </w:pPr>
            <w:r w:rsidRPr="00463667">
              <w:rPr>
                <w:rFonts w:cs="Arial"/>
                <w:szCs w:val="20"/>
              </w:rPr>
              <w:t>Ranges and thresholds do not meet criteria for this indicator. A distinct numeric result is required for numerator compliance.</w:t>
            </w:r>
          </w:p>
        </w:tc>
      </w:tr>
      <w:tr w:rsidR="00B852BD" w:rsidRPr="00463667" w14:paraId="56021FDA" w14:textId="77777777" w:rsidTr="00613DB3">
        <w:tc>
          <w:tcPr>
            <w:tcW w:w="1890" w:type="dxa"/>
          </w:tcPr>
          <w:p w14:paraId="182D67F8" w14:textId="77777777" w:rsidR="00B852BD" w:rsidRPr="00463667" w:rsidRDefault="00B852BD" w:rsidP="00F578E0">
            <w:pPr>
              <w:pStyle w:val="MarginSubhead"/>
              <w:jc w:val="right"/>
              <w:rPr>
                <w:b w:val="0"/>
                <w:i/>
                <w:szCs w:val="20"/>
              </w:rPr>
            </w:pPr>
            <w:r w:rsidRPr="00463667">
              <w:rPr>
                <w:i/>
                <w:szCs w:val="20"/>
              </w:rPr>
              <w:t>Eye Exam</w:t>
            </w:r>
          </w:p>
        </w:tc>
        <w:tc>
          <w:tcPr>
            <w:tcW w:w="7920" w:type="dxa"/>
          </w:tcPr>
          <w:p w14:paraId="20FA63B2" w14:textId="77777777" w:rsidR="00B852BD" w:rsidRPr="00463667" w:rsidRDefault="00B852BD" w:rsidP="00F578E0">
            <w:pPr>
              <w:pStyle w:val="Body"/>
            </w:pPr>
            <w:r w:rsidRPr="00463667">
              <w:t>An eye screening for diabetic retinal disease as identified by administrative data or medical record review. This includes diabetics who had one of the following:</w:t>
            </w:r>
          </w:p>
          <w:p w14:paraId="40CF6BE5" w14:textId="77777777" w:rsidR="00B852BD" w:rsidRPr="00463667" w:rsidRDefault="00B852BD" w:rsidP="00B852BD">
            <w:pPr>
              <w:pStyle w:val="Bullet"/>
              <w:rPr>
                <w:szCs w:val="20"/>
              </w:rPr>
            </w:pPr>
            <w:r w:rsidRPr="00463667">
              <w:rPr>
                <w:szCs w:val="20"/>
              </w:rPr>
              <w:t>A retinal or dilated eye exam by an eye care professional (optometrist or ophthalmologist) in the measurement year.</w:t>
            </w:r>
          </w:p>
          <w:p w14:paraId="706B0DED" w14:textId="77777777" w:rsidR="00B852BD" w:rsidRPr="00463667" w:rsidRDefault="00B852BD" w:rsidP="00B852BD">
            <w:pPr>
              <w:pStyle w:val="Bullet"/>
              <w:rPr>
                <w:szCs w:val="20"/>
              </w:rPr>
            </w:pPr>
            <w:r w:rsidRPr="00463667">
              <w:rPr>
                <w:szCs w:val="20"/>
              </w:rPr>
              <w:t xml:space="preserve">A </w:t>
            </w:r>
            <w:r w:rsidRPr="00463667">
              <w:rPr>
                <w:i/>
                <w:szCs w:val="20"/>
              </w:rPr>
              <w:t>negative</w:t>
            </w:r>
            <w:r w:rsidRPr="00463667">
              <w:rPr>
                <w:szCs w:val="20"/>
              </w:rPr>
              <w:t xml:space="preserve"> retinal or dilated exam (negative for retinopathy) by an eye care professional (optometrist or ophthalmologist) in the year prior to the measurement year.</w:t>
            </w:r>
          </w:p>
        </w:tc>
      </w:tr>
      <w:tr w:rsidR="00B852BD" w:rsidRPr="00463667" w14:paraId="32F94A33" w14:textId="77777777" w:rsidTr="00613DB3">
        <w:tc>
          <w:tcPr>
            <w:tcW w:w="1890" w:type="dxa"/>
          </w:tcPr>
          <w:p w14:paraId="2A8CD79F" w14:textId="77777777" w:rsidR="00B852BD" w:rsidRPr="00463667" w:rsidRDefault="00B852BD" w:rsidP="00F578E0">
            <w:pPr>
              <w:pStyle w:val="MarginSubhead"/>
              <w:rPr>
                <w:szCs w:val="20"/>
                <w:u w:val="single"/>
              </w:rPr>
            </w:pPr>
            <w:r w:rsidRPr="00463667">
              <w:rPr>
                <w:szCs w:val="20"/>
                <w:u w:val="single"/>
              </w:rPr>
              <w:t>Administrative</w:t>
            </w:r>
          </w:p>
        </w:tc>
        <w:tc>
          <w:tcPr>
            <w:tcW w:w="7920" w:type="dxa"/>
          </w:tcPr>
          <w:p w14:paraId="7838B80A" w14:textId="77777777" w:rsidR="00B852BD" w:rsidRPr="00463667" w:rsidRDefault="00B852BD" w:rsidP="00F578E0">
            <w:pPr>
              <w:pStyle w:val="Body"/>
              <w:rPr>
                <w:szCs w:val="20"/>
              </w:rPr>
            </w:pPr>
            <w:r w:rsidRPr="00463667">
              <w:rPr>
                <w:szCs w:val="20"/>
              </w:rPr>
              <w:t xml:space="preserve">Refer to </w:t>
            </w:r>
            <w:r w:rsidRPr="00463667">
              <w:rPr>
                <w:i/>
                <w:szCs w:val="20"/>
              </w:rPr>
              <w:t>Administrative Specification</w:t>
            </w:r>
            <w:r w:rsidRPr="00463667">
              <w:rPr>
                <w:szCs w:val="20"/>
              </w:rPr>
              <w:t xml:space="preserve"> to identify positive numerator hits from administrative data.</w:t>
            </w:r>
          </w:p>
        </w:tc>
      </w:tr>
      <w:tr w:rsidR="00B852BD" w:rsidRPr="00463667" w14:paraId="4214B485" w14:textId="77777777" w:rsidTr="00613DB3">
        <w:tc>
          <w:tcPr>
            <w:tcW w:w="1890" w:type="dxa"/>
          </w:tcPr>
          <w:p w14:paraId="20A05607" w14:textId="77777777" w:rsidR="00B852BD" w:rsidRPr="00463667" w:rsidRDefault="00B852BD" w:rsidP="00F578E0">
            <w:pPr>
              <w:pStyle w:val="MarginSubhead"/>
              <w:rPr>
                <w:szCs w:val="20"/>
                <w:u w:val="single"/>
              </w:rPr>
            </w:pPr>
            <w:r w:rsidRPr="00463667">
              <w:rPr>
                <w:szCs w:val="20"/>
                <w:u w:val="single"/>
              </w:rPr>
              <w:t>Medical record</w:t>
            </w:r>
          </w:p>
        </w:tc>
        <w:tc>
          <w:tcPr>
            <w:tcW w:w="7920" w:type="dxa"/>
          </w:tcPr>
          <w:p w14:paraId="421119AB" w14:textId="77777777" w:rsidR="00B852BD" w:rsidRPr="00463667" w:rsidRDefault="00B852BD" w:rsidP="00F578E0">
            <w:pPr>
              <w:pStyle w:val="Body"/>
            </w:pPr>
            <w:r w:rsidRPr="00463667">
              <w:t>At a minimum, documentation in the medical record must include one of the following:</w:t>
            </w:r>
          </w:p>
          <w:p w14:paraId="251287C5" w14:textId="77777777" w:rsidR="00B852BD" w:rsidRPr="00463667" w:rsidRDefault="00B852BD" w:rsidP="00B852BD">
            <w:pPr>
              <w:pStyle w:val="Bullet"/>
              <w:rPr>
                <w:szCs w:val="20"/>
              </w:rPr>
            </w:pPr>
            <w:r w:rsidRPr="00463667">
              <w:t>A note or letter prepared by an ophthalmologist, optometrist, PCP or other health care professional indicating that an ophthalmoscopic exam was completed by an eye care professional (optometrist or ophthalmologist), the date when the procedure was performed and the results.</w:t>
            </w:r>
          </w:p>
          <w:p w14:paraId="52EF5174" w14:textId="77777777" w:rsidR="00B852BD" w:rsidRPr="00463667" w:rsidRDefault="00B852BD" w:rsidP="00B852BD">
            <w:pPr>
              <w:pStyle w:val="Bullet"/>
            </w:pPr>
            <w:r w:rsidRPr="00463667">
              <w:t>A chart or photograph of retinal abnormalities indicating the date when the fundus photography was performed and evidence that an eye care professional (optometrist or ophthalmologist) reviewed the results. Alternatively, results may be read by a qualified reading center that operates under the direction of a medical director who is a retinal specialist.</w:t>
            </w:r>
          </w:p>
        </w:tc>
      </w:tr>
    </w:tbl>
    <w:p w14:paraId="2F5E22F1" w14:textId="77777777" w:rsidR="00B852BD" w:rsidRPr="00463667" w:rsidRDefault="00B852BD" w:rsidP="00B852BD">
      <w:pPr>
        <w:sectPr w:rsidR="00B852BD" w:rsidRPr="00463667" w:rsidSect="007527F3">
          <w:pgSz w:w="12240" w:h="15840" w:code="1"/>
          <w:pgMar w:top="1080" w:right="1080" w:bottom="1080" w:left="1440" w:header="720" w:footer="720" w:gutter="0"/>
          <w:cols w:space="720"/>
        </w:sectPr>
      </w:pPr>
    </w:p>
    <w:tbl>
      <w:tblPr>
        <w:tblW w:w="9810" w:type="dxa"/>
        <w:tblInd w:w="18" w:type="dxa"/>
        <w:tblLayout w:type="fixed"/>
        <w:tblLook w:val="0000" w:firstRow="0" w:lastRow="0" w:firstColumn="0" w:lastColumn="0" w:noHBand="0" w:noVBand="0"/>
      </w:tblPr>
      <w:tblGrid>
        <w:gridCol w:w="7"/>
        <w:gridCol w:w="1883"/>
        <w:gridCol w:w="7"/>
        <w:gridCol w:w="7895"/>
        <w:gridCol w:w="18"/>
      </w:tblGrid>
      <w:tr w:rsidR="00B852BD" w:rsidRPr="00463667" w14:paraId="04D0CF72" w14:textId="77777777" w:rsidTr="00A16C6D">
        <w:tc>
          <w:tcPr>
            <w:tcW w:w="1890" w:type="dxa"/>
            <w:gridSpan w:val="2"/>
          </w:tcPr>
          <w:p w14:paraId="496F3C1C" w14:textId="77777777" w:rsidR="00B852BD" w:rsidRPr="00463667" w:rsidRDefault="00B852BD" w:rsidP="00F578E0">
            <w:pPr>
              <w:pStyle w:val="MarginSubhead"/>
              <w:spacing w:before="0"/>
              <w:jc w:val="right"/>
              <w:rPr>
                <w:i/>
                <w:szCs w:val="20"/>
              </w:rPr>
            </w:pPr>
          </w:p>
        </w:tc>
        <w:tc>
          <w:tcPr>
            <w:tcW w:w="7920" w:type="dxa"/>
            <w:gridSpan w:val="3"/>
          </w:tcPr>
          <w:p w14:paraId="4B61DFBA" w14:textId="77777777" w:rsidR="00B852BD" w:rsidRPr="00463667" w:rsidRDefault="00B852BD" w:rsidP="00B852BD">
            <w:pPr>
              <w:pStyle w:val="Bullet"/>
              <w:spacing w:before="0"/>
            </w:pPr>
            <w:r w:rsidRPr="00463667">
              <w:t>Documentation of a negative retinal or dilated exam by an eye care professional (optometrist or ophthalmologist) in the year prior to the measurement year, where results indicate retinopathy was not present (e.g., documentation of normal findings for a dilated or retinal eye exam performed by an eye care professional (optometrist or ophthalmologist) meets criteria).</w:t>
            </w:r>
          </w:p>
        </w:tc>
      </w:tr>
      <w:tr w:rsidR="00B852BD" w:rsidRPr="00463667" w14:paraId="37C20F25" w14:textId="77777777" w:rsidTr="00A16C6D">
        <w:trPr>
          <w:trHeight w:val="525"/>
        </w:trPr>
        <w:tc>
          <w:tcPr>
            <w:tcW w:w="1890" w:type="dxa"/>
            <w:gridSpan w:val="2"/>
          </w:tcPr>
          <w:p w14:paraId="59B2F8F7" w14:textId="77777777" w:rsidR="00B852BD" w:rsidRPr="00463667" w:rsidRDefault="00B852BD" w:rsidP="00F578E0">
            <w:pPr>
              <w:pStyle w:val="MarginSubhead"/>
              <w:jc w:val="right"/>
              <w:rPr>
                <w:i/>
              </w:rPr>
            </w:pPr>
            <w:r w:rsidRPr="00463667">
              <w:rPr>
                <w:i/>
              </w:rPr>
              <w:t>Medical Attention for Nephropathy</w:t>
            </w:r>
          </w:p>
        </w:tc>
        <w:tc>
          <w:tcPr>
            <w:tcW w:w="7920" w:type="dxa"/>
            <w:gridSpan w:val="3"/>
          </w:tcPr>
          <w:p w14:paraId="4206108B" w14:textId="77777777" w:rsidR="00B852BD" w:rsidRPr="00463667" w:rsidRDefault="00B852BD" w:rsidP="00F578E0">
            <w:pPr>
              <w:pStyle w:val="Body"/>
            </w:pPr>
            <w:r w:rsidRPr="00463667">
              <w:t xml:space="preserve">A nephropathy screening </w:t>
            </w:r>
            <w:r w:rsidR="002C18E2">
              <w:t xml:space="preserve">or monitoring </w:t>
            </w:r>
            <w:r w:rsidRPr="00463667">
              <w:t xml:space="preserve">test during the measurement year </w:t>
            </w:r>
            <w:r w:rsidRPr="00463667">
              <w:rPr>
                <w:b/>
                <w:i/>
              </w:rPr>
              <w:t>or</w:t>
            </w:r>
            <w:r w:rsidRPr="00463667">
              <w:t xml:space="preserve"> evidence of nephropathy during the measurement year, as documented through either administrative data or medical record review. </w:t>
            </w:r>
          </w:p>
          <w:p w14:paraId="7DB58526" w14:textId="77777777" w:rsidR="00B852BD" w:rsidRPr="00463667" w:rsidRDefault="00B852BD" w:rsidP="00F578E0">
            <w:pPr>
              <w:pStyle w:val="Note"/>
            </w:pPr>
            <w:r w:rsidRPr="00463667">
              <w:rPr>
                <w:b/>
              </w:rPr>
              <w:t>Note:</w:t>
            </w:r>
            <w:r w:rsidRPr="00463667">
              <w:t xml:space="preserve"> A process flow diagram is included at the end of this specification to help implement this measure.</w:t>
            </w:r>
          </w:p>
        </w:tc>
      </w:tr>
      <w:tr w:rsidR="00B852BD" w:rsidRPr="00463667" w14:paraId="16880562" w14:textId="77777777" w:rsidTr="00A16C6D">
        <w:trPr>
          <w:trHeight w:val="525"/>
        </w:trPr>
        <w:tc>
          <w:tcPr>
            <w:tcW w:w="1890" w:type="dxa"/>
            <w:gridSpan w:val="2"/>
          </w:tcPr>
          <w:p w14:paraId="2ACBE086" w14:textId="77777777" w:rsidR="00B852BD" w:rsidRPr="00463667" w:rsidRDefault="00B852BD" w:rsidP="00F578E0">
            <w:pPr>
              <w:pStyle w:val="MarginSubhead"/>
              <w:rPr>
                <w:u w:val="single"/>
              </w:rPr>
            </w:pPr>
            <w:r w:rsidRPr="00463667">
              <w:rPr>
                <w:u w:val="single"/>
              </w:rPr>
              <w:t>Administrative</w:t>
            </w:r>
          </w:p>
        </w:tc>
        <w:tc>
          <w:tcPr>
            <w:tcW w:w="7920" w:type="dxa"/>
            <w:gridSpan w:val="3"/>
          </w:tcPr>
          <w:p w14:paraId="6A71459A" w14:textId="77777777" w:rsidR="00B852BD" w:rsidRPr="00463667" w:rsidRDefault="00B852BD" w:rsidP="00F578E0">
            <w:pPr>
              <w:pStyle w:val="Body"/>
            </w:pPr>
            <w:r w:rsidRPr="00463667">
              <w:t xml:space="preserve">Refer to </w:t>
            </w:r>
            <w:r w:rsidRPr="00463667">
              <w:rPr>
                <w:i/>
              </w:rPr>
              <w:t>Administrative Specification</w:t>
            </w:r>
            <w:r w:rsidRPr="00463667">
              <w:t xml:space="preserve"> to identify positive numerator hits from administrative data.</w:t>
            </w:r>
          </w:p>
        </w:tc>
      </w:tr>
      <w:tr w:rsidR="00B852BD" w:rsidRPr="00463667" w14:paraId="5F4E5491" w14:textId="77777777" w:rsidTr="00A16C6D">
        <w:tblPrEx>
          <w:tblCellMar>
            <w:left w:w="180" w:type="dxa"/>
            <w:right w:w="180" w:type="dxa"/>
          </w:tblCellMar>
        </w:tblPrEx>
        <w:trPr>
          <w:gridBefore w:val="1"/>
          <w:wBefore w:w="7" w:type="dxa"/>
        </w:trPr>
        <w:tc>
          <w:tcPr>
            <w:tcW w:w="1890" w:type="dxa"/>
            <w:gridSpan w:val="2"/>
            <w:tcMar>
              <w:left w:w="115" w:type="dxa"/>
              <w:right w:w="115" w:type="dxa"/>
            </w:tcMar>
          </w:tcPr>
          <w:p w14:paraId="7B432B4F" w14:textId="77777777" w:rsidR="00B852BD" w:rsidRPr="00463667" w:rsidRDefault="00B852BD" w:rsidP="00F578E0">
            <w:pPr>
              <w:pStyle w:val="MarginSubhead"/>
              <w:rPr>
                <w:u w:val="single"/>
              </w:rPr>
            </w:pPr>
            <w:r w:rsidRPr="00463667">
              <w:rPr>
                <w:u w:val="single"/>
              </w:rPr>
              <w:t>Medical record</w:t>
            </w:r>
          </w:p>
        </w:tc>
        <w:tc>
          <w:tcPr>
            <w:tcW w:w="7913" w:type="dxa"/>
            <w:gridSpan w:val="2"/>
            <w:tcMar>
              <w:left w:w="115" w:type="dxa"/>
              <w:right w:w="115" w:type="dxa"/>
            </w:tcMar>
          </w:tcPr>
          <w:p w14:paraId="5AE16411" w14:textId="6FC33201" w:rsidR="002C18E2" w:rsidRDefault="002C18E2" w:rsidP="00F578E0">
            <w:pPr>
              <w:pStyle w:val="Body"/>
            </w:pPr>
            <w:r>
              <w:t>Any of the following meet criteria for a nephropathy screening or monitoring test or evidence of nephropathy.</w:t>
            </w:r>
            <w:r w:rsidR="00B852BD" w:rsidRPr="00463667">
              <w:t xml:space="preserve"> </w:t>
            </w:r>
          </w:p>
          <w:p w14:paraId="13C8CF73" w14:textId="08DCC8EA" w:rsidR="00B852BD" w:rsidRPr="00463667" w:rsidRDefault="002C18E2" w:rsidP="002C18E2">
            <w:pPr>
              <w:pStyle w:val="Bullet"/>
              <w:spacing w:before="100"/>
            </w:pPr>
            <w:r>
              <w:t xml:space="preserve">A urine test for albumin or protein. </w:t>
            </w:r>
            <w:r w:rsidR="00B852BD" w:rsidRPr="00463667">
              <w:t>At a minimum, documentation must include a note indicating the date when a urine test was performed, and the result or finding. Any of the following meet the criteria:</w:t>
            </w:r>
          </w:p>
          <w:p w14:paraId="19CB1824" w14:textId="19147135" w:rsidR="00B852BD" w:rsidRPr="00463667" w:rsidRDefault="00B852BD" w:rsidP="002C18E2">
            <w:pPr>
              <w:pStyle w:val="Dash"/>
              <w:spacing w:before="50"/>
            </w:pPr>
            <w:r w:rsidRPr="00463667">
              <w:t>24-hour urine for albumin</w:t>
            </w:r>
            <w:r w:rsidR="002C18E2">
              <w:t xml:space="preserve"> or protein</w:t>
            </w:r>
            <w:r w:rsidRPr="00463667">
              <w:t>.</w:t>
            </w:r>
          </w:p>
          <w:p w14:paraId="1F69DABF" w14:textId="4047BA92" w:rsidR="00B852BD" w:rsidRPr="00463667" w:rsidRDefault="00B852BD" w:rsidP="002C18E2">
            <w:pPr>
              <w:pStyle w:val="Dash"/>
              <w:spacing w:before="50"/>
            </w:pPr>
            <w:r w:rsidRPr="00463667">
              <w:t>Timed urine for albumin</w:t>
            </w:r>
            <w:r w:rsidR="002C18E2">
              <w:t xml:space="preserve"> or protein</w:t>
            </w:r>
            <w:r w:rsidRPr="00463667">
              <w:t>.</w:t>
            </w:r>
          </w:p>
          <w:p w14:paraId="3AF997AC" w14:textId="1ACD5559" w:rsidR="00B852BD" w:rsidRPr="00463667" w:rsidRDefault="00B852BD" w:rsidP="002C18E2">
            <w:pPr>
              <w:pStyle w:val="Dash"/>
              <w:spacing w:before="50"/>
            </w:pPr>
            <w:r w:rsidRPr="00463667">
              <w:t>Spot urine for albumin</w:t>
            </w:r>
            <w:r w:rsidR="002C18E2">
              <w:t xml:space="preserve"> or protein</w:t>
            </w:r>
            <w:r w:rsidRPr="00463667">
              <w:t>.</w:t>
            </w:r>
          </w:p>
          <w:p w14:paraId="143C6380" w14:textId="524FF6CC" w:rsidR="00B852BD" w:rsidRPr="00463667" w:rsidRDefault="00B852BD" w:rsidP="002C18E2">
            <w:pPr>
              <w:pStyle w:val="Dash"/>
              <w:spacing w:before="50"/>
            </w:pPr>
            <w:r w:rsidRPr="00463667">
              <w:t>Urine for albumin/creatinine ratio.</w:t>
            </w:r>
          </w:p>
          <w:p w14:paraId="6BC1D9F3" w14:textId="77777777" w:rsidR="00B852BD" w:rsidRPr="00463667" w:rsidRDefault="00B852BD" w:rsidP="002C18E2">
            <w:pPr>
              <w:pStyle w:val="Dash"/>
              <w:spacing w:before="50"/>
            </w:pPr>
            <w:r w:rsidRPr="00463667">
              <w:t>24-hour urine for total protein.</w:t>
            </w:r>
          </w:p>
          <w:p w14:paraId="06D31ED1" w14:textId="77777777" w:rsidR="00B852BD" w:rsidRPr="00463667" w:rsidRDefault="00B852BD" w:rsidP="002C18E2">
            <w:pPr>
              <w:pStyle w:val="Dash"/>
              <w:spacing w:before="50"/>
            </w:pPr>
            <w:r w:rsidRPr="00463667">
              <w:t>Random urine for protein/creatinine ratio.</w:t>
            </w:r>
          </w:p>
          <w:p w14:paraId="1B6ABAFE" w14:textId="77777777" w:rsidR="00B852BD" w:rsidRPr="00463667" w:rsidRDefault="00B852BD" w:rsidP="002C18E2">
            <w:pPr>
              <w:pStyle w:val="Bullet"/>
              <w:spacing w:before="100"/>
            </w:pPr>
            <w:r w:rsidRPr="00463667">
              <w:t>Documentation of a visit to a nephrologist.</w:t>
            </w:r>
          </w:p>
          <w:p w14:paraId="689462A2" w14:textId="77777777" w:rsidR="00B852BD" w:rsidRPr="00463667" w:rsidRDefault="00B852BD" w:rsidP="002C18E2">
            <w:pPr>
              <w:pStyle w:val="Bullet"/>
              <w:spacing w:before="100"/>
            </w:pPr>
            <w:r w:rsidRPr="00463667">
              <w:t>Documentation of a renal transplant.</w:t>
            </w:r>
          </w:p>
          <w:p w14:paraId="1F98E22E" w14:textId="77777777" w:rsidR="00B852BD" w:rsidRPr="00463667" w:rsidRDefault="00B852BD" w:rsidP="002C18E2">
            <w:pPr>
              <w:pStyle w:val="Bullet"/>
              <w:spacing w:before="100"/>
            </w:pPr>
            <w:r w:rsidRPr="00463667">
              <w:t>Documentation of medical attention for any of the following (no restriction on provider type):</w:t>
            </w:r>
          </w:p>
          <w:p w14:paraId="4729C5D1" w14:textId="77777777" w:rsidR="00B852BD" w:rsidRPr="00463667" w:rsidRDefault="00B852BD" w:rsidP="00F578E0">
            <w:pPr>
              <w:pStyle w:val="Dash"/>
              <w:spacing w:before="50"/>
            </w:pPr>
            <w:r w:rsidRPr="00463667">
              <w:t>Diabetic nephropathy.</w:t>
            </w:r>
          </w:p>
          <w:p w14:paraId="2896CB3A" w14:textId="77777777" w:rsidR="00B852BD" w:rsidRPr="00463667" w:rsidRDefault="00B852BD" w:rsidP="00F578E0">
            <w:pPr>
              <w:pStyle w:val="Dash"/>
              <w:spacing w:before="50"/>
            </w:pPr>
            <w:r w:rsidRPr="00463667">
              <w:t>ESRD.</w:t>
            </w:r>
          </w:p>
          <w:p w14:paraId="3BFF43EA" w14:textId="77777777" w:rsidR="00B852BD" w:rsidRPr="00463667" w:rsidRDefault="00B852BD" w:rsidP="00F578E0">
            <w:pPr>
              <w:pStyle w:val="Dash"/>
              <w:spacing w:before="50"/>
            </w:pPr>
            <w:r w:rsidRPr="00463667">
              <w:t>Chronic renal failure (CRF).</w:t>
            </w:r>
          </w:p>
          <w:p w14:paraId="4ADD4BA9" w14:textId="77777777" w:rsidR="00B852BD" w:rsidRPr="00463667" w:rsidRDefault="00B852BD" w:rsidP="00F578E0">
            <w:pPr>
              <w:pStyle w:val="Dash"/>
              <w:spacing w:before="50"/>
            </w:pPr>
            <w:r w:rsidRPr="00463667">
              <w:t>Chronic kidney disease (CKD).</w:t>
            </w:r>
          </w:p>
          <w:p w14:paraId="26AC8290" w14:textId="77777777" w:rsidR="00B852BD" w:rsidRPr="00463667" w:rsidRDefault="00B852BD" w:rsidP="00F578E0">
            <w:pPr>
              <w:pStyle w:val="Dash"/>
              <w:spacing w:before="50"/>
            </w:pPr>
            <w:r w:rsidRPr="00463667">
              <w:t>Renal insufficiency.</w:t>
            </w:r>
          </w:p>
          <w:p w14:paraId="4319A4EE" w14:textId="77777777" w:rsidR="00B852BD" w:rsidRPr="00463667" w:rsidRDefault="00B852BD" w:rsidP="00F578E0">
            <w:pPr>
              <w:pStyle w:val="Dash"/>
              <w:spacing w:before="50"/>
            </w:pPr>
            <w:r w:rsidRPr="00463667">
              <w:t>Proteinuria.</w:t>
            </w:r>
          </w:p>
          <w:p w14:paraId="49D91767" w14:textId="77777777" w:rsidR="00B852BD" w:rsidRPr="00463667" w:rsidRDefault="00B852BD" w:rsidP="00F578E0">
            <w:pPr>
              <w:pStyle w:val="Dash"/>
              <w:spacing w:before="50"/>
            </w:pPr>
            <w:r w:rsidRPr="00463667">
              <w:t>Albuminuria.</w:t>
            </w:r>
          </w:p>
          <w:p w14:paraId="28639533" w14:textId="77777777" w:rsidR="00B852BD" w:rsidRPr="00463667" w:rsidRDefault="00B852BD" w:rsidP="00F578E0">
            <w:pPr>
              <w:pStyle w:val="Dash"/>
              <w:spacing w:before="50"/>
            </w:pPr>
            <w:r w:rsidRPr="00463667">
              <w:t>Renal dysfunction.</w:t>
            </w:r>
          </w:p>
          <w:p w14:paraId="0F5F83A5" w14:textId="77777777" w:rsidR="00B852BD" w:rsidRPr="00463667" w:rsidRDefault="00B852BD" w:rsidP="00F578E0">
            <w:pPr>
              <w:pStyle w:val="Dash"/>
              <w:spacing w:before="50"/>
            </w:pPr>
            <w:r w:rsidRPr="00463667">
              <w:t>Acute renal failure (ARF).</w:t>
            </w:r>
          </w:p>
          <w:p w14:paraId="5E4A1AAB" w14:textId="77777777" w:rsidR="00B852BD" w:rsidRPr="00A16C6D" w:rsidRDefault="00B852BD" w:rsidP="00F578E0">
            <w:pPr>
              <w:pStyle w:val="Dash"/>
              <w:spacing w:before="50"/>
              <w:rPr>
                <w:b/>
              </w:rPr>
            </w:pPr>
            <w:r w:rsidRPr="00463667">
              <w:t>Dialysis, hemodialysis or peritoneal dialysis.</w:t>
            </w:r>
          </w:p>
          <w:p w14:paraId="2D7E3F47" w14:textId="70D2554A" w:rsidR="00B852BD" w:rsidRPr="00463667" w:rsidRDefault="00A16C6D" w:rsidP="00A16C6D">
            <w:pPr>
              <w:pStyle w:val="Bullet"/>
            </w:pPr>
            <w:r w:rsidRPr="00463667">
              <w:t>Evidence of ACE inhibitor/ARB therapy. Documentation in the medical record must include, at minimum, a note indicating that the member received an ambulatory prescription for ACE inhibitors/ARBs in the measurement year.</w:t>
            </w:r>
          </w:p>
        </w:tc>
      </w:tr>
      <w:tr w:rsidR="00A16C6D" w:rsidRPr="00463667" w14:paraId="18BB3E1F" w14:textId="77777777" w:rsidTr="00A16C6D">
        <w:trPr>
          <w:gridBefore w:val="1"/>
          <w:gridAfter w:val="1"/>
          <w:wBefore w:w="7" w:type="dxa"/>
          <w:wAfter w:w="18" w:type="dxa"/>
        </w:trPr>
        <w:tc>
          <w:tcPr>
            <w:tcW w:w="1890" w:type="dxa"/>
            <w:gridSpan w:val="2"/>
          </w:tcPr>
          <w:p w14:paraId="5B0F2D58" w14:textId="77777777" w:rsidR="00A16C6D" w:rsidRPr="00463667" w:rsidRDefault="00A16C6D" w:rsidP="00CD2231">
            <w:pPr>
              <w:pStyle w:val="MarginSubhead"/>
              <w:ind w:left="0"/>
              <w:jc w:val="right"/>
              <w:rPr>
                <w:i/>
              </w:rPr>
            </w:pPr>
            <w:r w:rsidRPr="00463667">
              <w:rPr>
                <w:i/>
              </w:rPr>
              <w:t>BP Control &lt;140/90 mm Hg</w:t>
            </w:r>
          </w:p>
        </w:tc>
        <w:tc>
          <w:tcPr>
            <w:tcW w:w="7895" w:type="dxa"/>
          </w:tcPr>
          <w:p w14:paraId="704B6DAB" w14:textId="77777777" w:rsidR="00A16C6D" w:rsidRPr="00463667" w:rsidRDefault="00A16C6D" w:rsidP="00CD2231">
            <w:pPr>
              <w:pStyle w:val="Body"/>
            </w:pPr>
            <w:r w:rsidRPr="00463667">
              <w:t xml:space="preserve">The </w:t>
            </w:r>
            <w:r w:rsidRPr="00463667">
              <w:rPr>
                <w:i/>
              </w:rPr>
              <w:t>most recent</w:t>
            </w:r>
            <w:r w:rsidRPr="00463667">
              <w:t xml:space="preserve"> BP level (taken during the measurement year) is &lt;140/90 mm Hg, as documented through administrative data or medical record review.</w:t>
            </w:r>
          </w:p>
        </w:tc>
      </w:tr>
      <w:tr w:rsidR="00A16C6D" w:rsidRPr="00463667" w14:paraId="7B61A916" w14:textId="77777777" w:rsidTr="00A16C6D">
        <w:trPr>
          <w:gridBefore w:val="1"/>
          <w:gridAfter w:val="1"/>
          <w:wBefore w:w="7" w:type="dxa"/>
          <w:wAfter w:w="18" w:type="dxa"/>
        </w:trPr>
        <w:tc>
          <w:tcPr>
            <w:tcW w:w="1890" w:type="dxa"/>
            <w:gridSpan w:val="2"/>
          </w:tcPr>
          <w:p w14:paraId="624AEE9F" w14:textId="77777777" w:rsidR="00A16C6D" w:rsidRPr="00463667" w:rsidRDefault="00A16C6D" w:rsidP="00A16C6D">
            <w:pPr>
              <w:pStyle w:val="MarginSubhead"/>
              <w:rPr>
                <w:u w:val="single"/>
              </w:rPr>
            </w:pPr>
            <w:r w:rsidRPr="00463667">
              <w:rPr>
                <w:u w:val="single"/>
              </w:rPr>
              <w:t>Administrative</w:t>
            </w:r>
          </w:p>
        </w:tc>
        <w:tc>
          <w:tcPr>
            <w:tcW w:w="7895" w:type="dxa"/>
          </w:tcPr>
          <w:p w14:paraId="6FB12EEA" w14:textId="77777777" w:rsidR="00A16C6D" w:rsidRPr="00463667" w:rsidRDefault="00A16C6D" w:rsidP="00A16C6D">
            <w:pPr>
              <w:pStyle w:val="Body"/>
            </w:pPr>
            <w:r w:rsidRPr="00463667">
              <w:t xml:space="preserve">Refer to </w:t>
            </w:r>
            <w:r w:rsidRPr="00463667">
              <w:rPr>
                <w:i/>
              </w:rPr>
              <w:t>Administrative Specification</w:t>
            </w:r>
            <w:r w:rsidRPr="00463667">
              <w:t xml:space="preserve"> to identify positive numerator hits from administrative data.</w:t>
            </w:r>
          </w:p>
        </w:tc>
      </w:tr>
    </w:tbl>
    <w:p w14:paraId="6CA0A85A" w14:textId="77777777" w:rsidR="00B852BD" w:rsidRPr="00463667" w:rsidRDefault="00B852BD" w:rsidP="00B852BD">
      <w:pPr>
        <w:sectPr w:rsidR="00B852BD" w:rsidRPr="00463667" w:rsidSect="007527F3">
          <w:pgSz w:w="12240" w:h="15840" w:code="1"/>
          <w:pgMar w:top="1080" w:right="1080" w:bottom="1080" w:left="1440" w:header="720" w:footer="720" w:gutter="0"/>
          <w:cols w:space="720"/>
        </w:sectPr>
      </w:pPr>
    </w:p>
    <w:tbl>
      <w:tblPr>
        <w:tblW w:w="9785" w:type="dxa"/>
        <w:tblInd w:w="25" w:type="dxa"/>
        <w:tblLayout w:type="fixed"/>
        <w:tblLook w:val="0000" w:firstRow="0" w:lastRow="0" w:firstColumn="0" w:lastColumn="0" w:noHBand="0" w:noVBand="0"/>
      </w:tblPr>
      <w:tblGrid>
        <w:gridCol w:w="7"/>
        <w:gridCol w:w="1883"/>
        <w:gridCol w:w="7895"/>
      </w:tblGrid>
      <w:tr w:rsidR="00B852BD" w:rsidRPr="00463667" w14:paraId="497F8B12" w14:textId="77777777" w:rsidTr="00F578E0">
        <w:tc>
          <w:tcPr>
            <w:tcW w:w="1890" w:type="dxa"/>
            <w:gridSpan w:val="2"/>
          </w:tcPr>
          <w:p w14:paraId="6A676C2B" w14:textId="77777777" w:rsidR="00B852BD" w:rsidRPr="00463667" w:rsidRDefault="00B852BD" w:rsidP="00A16C6D">
            <w:pPr>
              <w:pStyle w:val="MarginSubhead"/>
              <w:spacing w:before="0"/>
              <w:rPr>
                <w:u w:val="single"/>
              </w:rPr>
            </w:pPr>
            <w:r w:rsidRPr="00463667">
              <w:rPr>
                <w:u w:val="single"/>
              </w:rPr>
              <w:lastRenderedPageBreak/>
              <w:t>Medical record</w:t>
            </w:r>
          </w:p>
        </w:tc>
        <w:tc>
          <w:tcPr>
            <w:tcW w:w="7895" w:type="dxa"/>
          </w:tcPr>
          <w:p w14:paraId="1CADA7FB" w14:textId="77777777" w:rsidR="00B852BD" w:rsidRPr="00463667" w:rsidRDefault="00B852BD" w:rsidP="00A16C6D">
            <w:pPr>
              <w:pStyle w:val="Body"/>
              <w:spacing w:before="0"/>
            </w:pPr>
            <w:r w:rsidRPr="00463667">
              <w:t>The organization should use the medical record from which it abstracts data for the other CDC indicators. If the organization does not abstract for other indicators, it should use the medical record of the provider that manages the member</w:t>
            </w:r>
            <w:r w:rsidR="009F0DF0">
              <w:t>’</w:t>
            </w:r>
            <w:r w:rsidRPr="00463667">
              <w:t>s diabetes. If that medical record does not contain a BP, the organization may use the medical record of another PCP or specialist from whom the member receives care.</w:t>
            </w:r>
          </w:p>
          <w:p w14:paraId="4D121369" w14:textId="77777777" w:rsidR="00B852BD" w:rsidRPr="00463667" w:rsidRDefault="00B852BD" w:rsidP="00F578E0">
            <w:pPr>
              <w:pStyle w:val="Body"/>
            </w:pPr>
            <w:r w:rsidRPr="00463667">
              <w:t>To determine if BP is adequately controlled, the organization must identify the representative BP following the steps below.</w:t>
            </w:r>
          </w:p>
        </w:tc>
      </w:tr>
      <w:tr w:rsidR="00B852BD" w:rsidRPr="00463667" w14:paraId="327A2F9F" w14:textId="77777777" w:rsidTr="00F578E0">
        <w:tc>
          <w:tcPr>
            <w:tcW w:w="1890" w:type="dxa"/>
            <w:gridSpan w:val="2"/>
          </w:tcPr>
          <w:p w14:paraId="3D0708E8" w14:textId="77777777" w:rsidR="00B852BD" w:rsidRPr="00463667" w:rsidRDefault="00B852BD" w:rsidP="00F578E0">
            <w:pPr>
              <w:pStyle w:val="MarginSubhead"/>
              <w:ind w:left="0"/>
              <w:jc w:val="right"/>
              <w:rPr>
                <w:i/>
              </w:rPr>
            </w:pPr>
            <w:r w:rsidRPr="00463667">
              <w:rPr>
                <w:i/>
              </w:rPr>
              <w:t>Step 1</w:t>
            </w:r>
          </w:p>
        </w:tc>
        <w:tc>
          <w:tcPr>
            <w:tcW w:w="7895" w:type="dxa"/>
          </w:tcPr>
          <w:p w14:paraId="51ED7E2D" w14:textId="77777777" w:rsidR="00B852BD" w:rsidRPr="00463667" w:rsidRDefault="00B852BD" w:rsidP="00F578E0">
            <w:pPr>
              <w:pStyle w:val="Body"/>
            </w:pPr>
            <w:r w:rsidRPr="00463667">
              <w:t>Identify the most recent BP reading noted during the measurement year. Do not include BP readings that meet the following criteria:</w:t>
            </w:r>
          </w:p>
          <w:p w14:paraId="1F0E72A5" w14:textId="77777777" w:rsidR="00B852BD" w:rsidRPr="00463667" w:rsidRDefault="00B852BD" w:rsidP="00B852BD">
            <w:pPr>
              <w:pStyle w:val="Bullet"/>
              <w:spacing w:before="100"/>
            </w:pPr>
            <w:r w:rsidRPr="00463667">
              <w:t>Taken during an acute inpatient stay or an ED visit.</w:t>
            </w:r>
          </w:p>
          <w:p w14:paraId="0850E5CF" w14:textId="77777777" w:rsidR="00B852BD" w:rsidRPr="00463667" w:rsidRDefault="00B852BD" w:rsidP="00B852BD">
            <w:pPr>
              <w:pStyle w:val="Bullet"/>
              <w:spacing w:before="100"/>
            </w:pPr>
            <w:r w:rsidRPr="00463667">
              <w:t>Taken during an outpatient visit which was for the sole purpose of having a diagnostic test or surgical procedure performed (e.g., sigmoidoscopy, removal of a mole).</w:t>
            </w:r>
          </w:p>
          <w:p w14:paraId="228CDCB7" w14:textId="5DC496D1" w:rsidR="00B852BD" w:rsidRPr="00463667" w:rsidRDefault="00B852BD" w:rsidP="00B852BD">
            <w:pPr>
              <w:pStyle w:val="Bullet"/>
              <w:spacing w:before="100"/>
            </w:pPr>
            <w:r w:rsidRPr="00463667">
              <w:t xml:space="preserve">Obtained the same day as a major diagnostic or surgical procedure (e.g., </w:t>
            </w:r>
            <w:r w:rsidR="003D1857">
              <w:t xml:space="preserve">EKG/ECG, </w:t>
            </w:r>
            <w:r w:rsidRPr="00463667">
              <w:t>stress test, administration of IV contrast for a radiology procedure, endoscopy).</w:t>
            </w:r>
          </w:p>
          <w:p w14:paraId="10FC19E5" w14:textId="77777777" w:rsidR="00B852BD" w:rsidRPr="00463667" w:rsidRDefault="00B852BD" w:rsidP="00B852BD">
            <w:pPr>
              <w:pStyle w:val="Bullet"/>
              <w:spacing w:before="100"/>
            </w:pPr>
            <w:r w:rsidRPr="00463667">
              <w:t>Reported by or taken by the member.</w:t>
            </w:r>
          </w:p>
        </w:tc>
      </w:tr>
      <w:tr w:rsidR="00B852BD" w:rsidRPr="00463667" w14:paraId="1F4D8F6C" w14:textId="77777777" w:rsidTr="00F578E0">
        <w:trPr>
          <w:gridBefore w:val="1"/>
          <w:wBefore w:w="7" w:type="dxa"/>
        </w:trPr>
        <w:tc>
          <w:tcPr>
            <w:tcW w:w="1883" w:type="dxa"/>
          </w:tcPr>
          <w:p w14:paraId="1481C0E7" w14:textId="77777777" w:rsidR="00B852BD" w:rsidRPr="00463667" w:rsidRDefault="00B852BD" w:rsidP="00F578E0">
            <w:pPr>
              <w:pStyle w:val="MarginSubhead"/>
              <w:ind w:left="0"/>
              <w:jc w:val="right"/>
              <w:rPr>
                <w:i/>
              </w:rPr>
            </w:pPr>
            <w:r w:rsidRPr="00463667">
              <w:rPr>
                <w:i/>
              </w:rPr>
              <w:t>Step 2</w:t>
            </w:r>
          </w:p>
        </w:tc>
        <w:tc>
          <w:tcPr>
            <w:tcW w:w="7895" w:type="dxa"/>
          </w:tcPr>
          <w:p w14:paraId="50D22519" w14:textId="77777777" w:rsidR="00B852BD" w:rsidRPr="00463667" w:rsidRDefault="00B852BD" w:rsidP="00F578E0">
            <w:pPr>
              <w:pStyle w:val="Body"/>
            </w:pPr>
            <w:r w:rsidRPr="00463667">
              <w:rPr>
                <w:iCs/>
              </w:rPr>
              <w:t xml:space="preserve">Identify the lowest systolic and lowest diastolic BP reading from the most recent BP notation in the medical record. </w:t>
            </w:r>
            <w:r w:rsidRPr="00463667">
              <w:t>If there are multiple BPs recorded for a single date, use the lowest systolic and lowest diastolic BP on that date as the representative BP. The systolic and diastolic results do not need to be from the same reading when multiple readings are recorded for a single date.</w:t>
            </w:r>
          </w:p>
          <w:p w14:paraId="28E61F5A" w14:textId="77777777" w:rsidR="00B852BD" w:rsidRPr="00463667" w:rsidRDefault="00B852BD" w:rsidP="00F578E0">
            <w:pPr>
              <w:pStyle w:val="Body"/>
              <w:rPr>
                <w:iCs/>
              </w:rPr>
            </w:pPr>
            <w:r w:rsidRPr="00463667">
              <w:rPr>
                <w:szCs w:val="20"/>
              </w:rPr>
              <w:t>The member is not numerator compliant if the BP does not meet the specified threshold or is missing, or if there is no BP reading during the measurement year or if the reading is incomplete (i.e.,</w:t>
            </w:r>
            <w:r w:rsidRPr="00463667" w:rsidDel="00842C7A">
              <w:rPr>
                <w:szCs w:val="20"/>
              </w:rPr>
              <w:t xml:space="preserve"> </w:t>
            </w:r>
            <w:r w:rsidRPr="00463667">
              <w:rPr>
                <w:szCs w:val="20"/>
              </w:rPr>
              <w:t>the systolic or diastolic level is missing).</w:t>
            </w:r>
          </w:p>
        </w:tc>
      </w:tr>
    </w:tbl>
    <w:p w14:paraId="7D83DFE6" w14:textId="77777777" w:rsidR="00B852BD" w:rsidRPr="00463667" w:rsidRDefault="00B852BD" w:rsidP="00A16C6D">
      <w:pPr>
        <w:pStyle w:val="SubHead20"/>
        <w:rPr>
          <w:i/>
        </w:rPr>
      </w:pPr>
      <w:r w:rsidRPr="00463667">
        <w:t xml:space="preserve">Exclusions </w:t>
      </w:r>
      <w:r w:rsidRPr="00463667">
        <w:rPr>
          <w:i/>
        </w:rPr>
        <w:t>(optional)</w:t>
      </w:r>
    </w:p>
    <w:p w14:paraId="47316733" w14:textId="6D9903E8" w:rsidR="00B852BD" w:rsidRPr="00463667" w:rsidRDefault="00B852BD" w:rsidP="00B852BD">
      <w:pPr>
        <w:pStyle w:val="Body"/>
        <w:tabs>
          <w:tab w:val="left" w:pos="2005"/>
        </w:tabs>
        <w:ind w:left="25"/>
      </w:pPr>
      <w:r w:rsidRPr="00463667">
        <w:t xml:space="preserve">Refer to </w:t>
      </w:r>
      <w:r w:rsidRPr="00463667">
        <w:rPr>
          <w:i/>
        </w:rPr>
        <w:t xml:space="preserve">Administrative </w:t>
      </w:r>
      <w:r w:rsidRPr="00463667">
        <w:t xml:space="preserve">Specification for exclusion criteria. Identify members who did not have a diagnosis of diabetes, in any setting, during the measurement year or the year prior to the measurement year, </w:t>
      </w:r>
      <w:r w:rsidRPr="00D42B49">
        <w:rPr>
          <w:b/>
          <w:i/>
        </w:rPr>
        <w:t>and</w:t>
      </w:r>
      <w:r w:rsidRPr="00463667">
        <w:t xml:space="preserve"> who</w:t>
      </w:r>
      <w:r w:rsidR="00BD6A9C">
        <w:t xml:space="preserve"> had a diagnosis of </w:t>
      </w:r>
      <w:r w:rsidR="00BD6A9C" w:rsidRPr="00463667">
        <w:t>gestational diabetes or steroid-induced diabetes, in any setting, during the measurement year or the year prior to the measurement year.</w:t>
      </w:r>
    </w:p>
    <w:p w14:paraId="27B14040" w14:textId="77777777" w:rsidR="00B852BD" w:rsidRPr="00463667" w:rsidRDefault="00B852BD" w:rsidP="00B852BD">
      <w:pPr>
        <w:pStyle w:val="SubHead20"/>
        <w:rPr>
          <w:i/>
        </w:rPr>
      </w:pPr>
      <w:r w:rsidRPr="00463667">
        <w:rPr>
          <w:i/>
        </w:rPr>
        <w:t xml:space="preserve">Note </w:t>
      </w:r>
    </w:p>
    <w:p w14:paraId="55FAA22D" w14:textId="77777777" w:rsidR="00B852BD" w:rsidRPr="00463667" w:rsidRDefault="00B852BD" w:rsidP="00B852BD">
      <w:pPr>
        <w:pStyle w:val="ProcessBullet"/>
        <w:rPr>
          <w:i/>
          <w:iCs/>
        </w:rPr>
      </w:pPr>
      <w:r w:rsidRPr="00463667">
        <w:rPr>
          <w:i/>
          <w:iCs/>
        </w:rPr>
        <w:t>O</w:t>
      </w:r>
      <w:r w:rsidRPr="00463667">
        <w:rPr>
          <w:i/>
        </w:rPr>
        <w:t>rganizations</w:t>
      </w:r>
      <w:r w:rsidRPr="00463667">
        <w:rPr>
          <w:i/>
          <w:iCs/>
        </w:rPr>
        <w:t xml:space="preserve"> may select a data collection method (Administrative vs. Hybrid) at the indicator level, but the method used for HbA1c testing and control rates must be consistent.</w:t>
      </w:r>
    </w:p>
    <w:p w14:paraId="0B2C8AC4" w14:textId="77777777" w:rsidR="00B852BD" w:rsidRPr="00966FEF" w:rsidRDefault="00B852BD" w:rsidP="00B852BD">
      <w:pPr>
        <w:pStyle w:val="ProcessBullet"/>
      </w:pPr>
      <w:r w:rsidRPr="00463667">
        <w:rPr>
          <w:i/>
          <w:iCs/>
        </w:rPr>
        <w:t>Blindness is not an exclusion for a diabetic eye exam because it is difficult to distinguish between individuals who are legally blind but require a retinal exam and those who are completely blind and therefore do not require an exam.</w:t>
      </w:r>
    </w:p>
    <w:p w14:paraId="46D442B1" w14:textId="6393B6C4" w:rsidR="00966FEF" w:rsidRPr="003064DD" w:rsidRDefault="00966FEF" w:rsidP="00105373">
      <w:pPr>
        <w:pStyle w:val="ProcessBullet"/>
        <w:rPr>
          <w:i/>
          <w:iCs/>
        </w:rPr>
      </w:pPr>
      <w:r w:rsidRPr="003064DD">
        <w:rPr>
          <w:i/>
        </w:rPr>
        <w:t xml:space="preserve">Hypertensive retinopathy is not </w:t>
      </w:r>
      <w:r w:rsidR="00FA5509" w:rsidRPr="003064DD">
        <w:rPr>
          <w:i/>
        </w:rPr>
        <w:t>handled</w:t>
      </w:r>
      <w:r w:rsidRPr="003064DD">
        <w:rPr>
          <w:i/>
        </w:rPr>
        <w:t xml:space="preserve"> differently from diabetic retinopathy when reporting the </w:t>
      </w:r>
      <w:r w:rsidR="00447263" w:rsidRPr="003064DD">
        <w:rPr>
          <w:i/>
        </w:rPr>
        <w:t>eye exam indicator</w:t>
      </w:r>
      <w:r w:rsidR="00F543E7" w:rsidRPr="003064DD">
        <w:rPr>
          <w:i/>
        </w:rPr>
        <w:t xml:space="preserve">; for example, </w:t>
      </w:r>
      <w:r w:rsidR="003064DD" w:rsidRPr="003064DD">
        <w:rPr>
          <w:i/>
          <w:iCs/>
        </w:rPr>
        <w:t xml:space="preserve">an eye exam documented as positive for hypertensive retinopathy is counted as positive for diabetic retinopathy and an eye exam documented as negative for hypertensive retinopathy is counted as negative for diabetic retinopathy. </w:t>
      </w:r>
      <w:r w:rsidR="00FA5509" w:rsidRPr="003064DD">
        <w:rPr>
          <w:i/>
          <w:iCs/>
        </w:rPr>
        <w:t>The intent of the eye exam indicator is to ensure that members with evidence of any type of retinopathy have an eye exam annually, while members who remain free of retinopathy (i.e., the retinal exam was negative for retinopathy) are screened every other year.</w:t>
      </w:r>
    </w:p>
    <w:p w14:paraId="1F7EF894" w14:textId="3B1DB54A" w:rsidR="008E269A" w:rsidRPr="0019136B" w:rsidRDefault="00B852BD" w:rsidP="0019136B">
      <w:pPr>
        <w:pStyle w:val="ProcessBullet"/>
        <w:rPr>
          <w:i/>
          <w:szCs w:val="20"/>
        </w:rPr>
      </w:pPr>
      <w:r w:rsidRPr="00463667">
        <w:rPr>
          <w:i/>
        </w:rPr>
        <w:t>If a combination of administrative, supplemental or hybrid data are used, the most recent result must be used, regardless of data source, for the indicators that require use of the most recent result.</w:t>
      </w:r>
    </w:p>
    <w:p w14:paraId="65130F45" w14:textId="406958E2" w:rsidR="008E269A" w:rsidRDefault="008E269A" w:rsidP="008E269A">
      <w:pPr>
        <w:pStyle w:val="ProcessBullet"/>
        <w:rPr>
          <w:i/>
        </w:rPr>
      </w:pPr>
      <w:r w:rsidRPr="00A16C6D">
        <w:rPr>
          <w:i/>
        </w:rPr>
        <w:lastRenderedPageBreak/>
        <w:t xml:space="preserve">If an organization chooses to apply </w:t>
      </w:r>
      <w:r>
        <w:rPr>
          <w:i/>
        </w:rPr>
        <w:t xml:space="preserve">the </w:t>
      </w:r>
      <w:r w:rsidRPr="00A16C6D">
        <w:rPr>
          <w:i/>
        </w:rPr>
        <w:t>optional exclusions, member</w:t>
      </w:r>
      <w:r>
        <w:rPr>
          <w:i/>
        </w:rPr>
        <w:t>s</w:t>
      </w:r>
      <w:r w:rsidRPr="00A16C6D">
        <w:rPr>
          <w:i/>
        </w:rPr>
        <w:t xml:space="preserve"> must be numerator negative for at least one indicator</w:t>
      </w:r>
      <w:r>
        <w:rPr>
          <w:i/>
        </w:rPr>
        <w:t>, with the exception of</w:t>
      </w:r>
      <w:r w:rsidRPr="00A16C6D">
        <w:rPr>
          <w:i/>
        </w:rPr>
        <w:t xml:space="preserve"> HbA1c Poor Control (&gt;9%). </w:t>
      </w:r>
      <w:r>
        <w:rPr>
          <w:i/>
        </w:rPr>
        <w:t xml:space="preserve">Remove members from the eligible population who are </w:t>
      </w:r>
      <w:r w:rsidRPr="00A16C6D">
        <w:rPr>
          <w:i/>
        </w:rPr>
        <w:t xml:space="preserve">numerator negative for any indicator (other than </w:t>
      </w:r>
      <w:r>
        <w:rPr>
          <w:i/>
        </w:rPr>
        <w:t xml:space="preserve">for </w:t>
      </w:r>
      <w:r w:rsidRPr="00A16C6D">
        <w:rPr>
          <w:i/>
        </w:rPr>
        <w:t>HbA1c Poor Control</w:t>
      </w:r>
      <w:r>
        <w:rPr>
          <w:i/>
        </w:rPr>
        <w:t xml:space="preserve"> [&gt;9%]</w:t>
      </w:r>
      <w:r w:rsidRPr="00A16C6D">
        <w:rPr>
          <w:i/>
        </w:rPr>
        <w:t>) and substitute member</w:t>
      </w:r>
      <w:r>
        <w:rPr>
          <w:i/>
        </w:rPr>
        <w:t>s</w:t>
      </w:r>
      <w:r w:rsidRPr="00A16C6D">
        <w:rPr>
          <w:i/>
        </w:rPr>
        <w:t xml:space="preserve"> from the oversample. </w:t>
      </w:r>
      <w:r>
        <w:rPr>
          <w:i/>
        </w:rPr>
        <w:t xml:space="preserve">Do not exclude members who are </w:t>
      </w:r>
      <w:r w:rsidRPr="00A16C6D">
        <w:rPr>
          <w:i/>
        </w:rPr>
        <w:t xml:space="preserve">numerator compliant for all indicators except HbA1c Poor Control </w:t>
      </w:r>
      <w:r>
        <w:rPr>
          <w:i/>
        </w:rPr>
        <w:t>(</w:t>
      </w:r>
      <w:r w:rsidRPr="00A16C6D">
        <w:rPr>
          <w:i/>
        </w:rPr>
        <w:t>&gt;9%</w:t>
      </w:r>
      <w:r>
        <w:rPr>
          <w:i/>
        </w:rPr>
        <w:t>)</w:t>
      </w:r>
      <w:r w:rsidRPr="00A16C6D">
        <w:rPr>
          <w:i/>
        </w:rPr>
        <w:t>, because a lower rate indicates better performance for this indicator.</w:t>
      </w:r>
    </w:p>
    <w:p w14:paraId="6902A4C1" w14:textId="62679D61" w:rsidR="00B852BD" w:rsidRPr="00463667" w:rsidRDefault="00275796" w:rsidP="007527F3">
      <w:pPr>
        <w:spacing w:before="360" w:after="360"/>
        <w:jc w:val="center"/>
        <w:rPr>
          <w:b/>
        </w:rPr>
        <w:sectPr w:rsidR="00B852BD" w:rsidRPr="00463667" w:rsidSect="007527F3">
          <w:pgSz w:w="12240" w:h="15840" w:code="1"/>
          <w:pgMar w:top="1080" w:right="1080" w:bottom="1080" w:left="1440" w:header="720" w:footer="720" w:gutter="0"/>
          <w:cols w:space="720"/>
        </w:sectPr>
      </w:pPr>
      <w:r>
        <w:rPr>
          <w:b/>
          <w:noProof/>
        </w:rPr>
        <w:drawing>
          <wp:anchor distT="0" distB="0" distL="114300" distR="114300" simplePos="0" relativeHeight="251657728" behindDoc="1" locked="0" layoutInCell="1" allowOverlap="1" wp14:anchorId="26DD7F48" wp14:editId="7497C3BD">
            <wp:simplePos x="0" y="0"/>
            <wp:positionH relativeFrom="column">
              <wp:posOffset>739140</wp:posOffset>
            </wp:positionH>
            <wp:positionV relativeFrom="paragraph">
              <wp:posOffset>394970</wp:posOffset>
            </wp:positionV>
            <wp:extent cx="4343820" cy="62636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57427" cy="6283261"/>
                    </a:xfrm>
                    <a:prstGeom prst="rect">
                      <a:avLst/>
                    </a:prstGeom>
                    <a:noFill/>
                  </pic:spPr>
                </pic:pic>
              </a:graphicData>
            </a:graphic>
            <wp14:sizeRelH relativeFrom="page">
              <wp14:pctWidth>0</wp14:pctWidth>
            </wp14:sizeRelH>
            <wp14:sizeRelV relativeFrom="page">
              <wp14:pctHeight>0</wp14:pctHeight>
            </wp14:sizeRelV>
          </wp:anchor>
        </w:drawing>
      </w:r>
      <w:r w:rsidR="00B852BD" w:rsidRPr="00463667">
        <w:rPr>
          <w:rFonts w:cs="Arial"/>
          <w:b/>
          <w:sz w:val="32"/>
          <w:szCs w:val="32"/>
        </w:rPr>
        <w:t>Monitoring for Diabetic Nephropathy</w:t>
      </w:r>
    </w:p>
    <w:p w14:paraId="257761BF" w14:textId="77777777" w:rsidR="00B852BD" w:rsidRPr="00463667" w:rsidRDefault="00B852BD" w:rsidP="00B852BD">
      <w:pPr>
        <w:pStyle w:val="ReverseHead"/>
      </w:pPr>
      <w:r w:rsidRPr="00463667">
        <w:lastRenderedPageBreak/>
        <w:t xml:space="preserve">Data Elements for Reporting </w:t>
      </w:r>
    </w:p>
    <w:p w14:paraId="6FEDA9DC" w14:textId="77777777" w:rsidR="00B852BD" w:rsidRPr="00463667" w:rsidRDefault="00B852BD" w:rsidP="00B852BD">
      <w:pPr>
        <w:pStyle w:val="Body"/>
      </w:pPr>
      <w:r w:rsidRPr="00463667">
        <w:t>Organizations that submit HEDIS data to NCQA must provide the following data elements.</w:t>
      </w:r>
    </w:p>
    <w:p w14:paraId="0B9A5616" w14:textId="77777777" w:rsidR="00B852BD" w:rsidRPr="00463667" w:rsidRDefault="00B852BD" w:rsidP="00B852BD">
      <w:pPr>
        <w:pStyle w:val="TableHeadNotCondensed"/>
      </w:pPr>
      <w:r w:rsidRPr="00463667">
        <w:t>Table CDC-1/2/3: Data Elements for Comprehensive Diabetes Care</w:t>
      </w:r>
    </w:p>
    <w:tbl>
      <w:tblPr>
        <w:tblW w:w="972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68"/>
        <w:gridCol w:w="1980"/>
        <w:gridCol w:w="1980"/>
      </w:tblGrid>
      <w:tr w:rsidR="00B852BD" w:rsidRPr="00463667" w14:paraId="7D0F7156" w14:textId="77777777" w:rsidTr="006740AA">
        <w:tc>
          <w:tcPr>
            <w:tcW w:w="5768" w:type="dxa"/>
            <w:tcBorders>
              <w:bottom w:val="single" w:sz="6" w:space="0" w:color="auto"/>
              <w:right w:val="single" w:sz="6" w:space="0" w:color="FFFFFF"/>
            </w:tcBorders>
            <w:shd w:val="clear" w:color="auto" w:fill="000000"/>
          </w:tcPr>
          <w:p w14:paraId="3AE53287" w14:textId="77777777" w:rsidR="00B852BD" w:rsidRPr="00463667" w:rsidRDefault="00B852BD" w:rsidP="00F578E0">
            <w:pPr>
              <w:pStyle w:val="TableHead"/>
              <w:rPr>
                <w:color w:val="auto"/>
              </w:rPr>
            </w:pPr>
          </w:p>
        </w:tc>
        <w:tc>
          <w:tcPr>
            <w:tcW w:w="1980" w:type="dxa"/>
            <w:tcBorders>
              <w:left w:val="single" w:sz="6" w:space="0" w:color="FFFFFF"/>
              <w:bottom w:val="single" w:sz="6" w:space="0" w:color="auto"/>
              <w:right w:val="single" w:sz="6" w:space="0" w:color="FFFFFF"/>
            </w:tcBorders>
            <w:shd w:val="clear" w:color="auto" w:fill="000000"/>
          </w:tcPr>
          <w:p w14:paraId="05D04927" w14:textId="77777777" w:rsidR="00B852BD" w:rsidRPr="00463667" w:rsidRDefault="00B852BD" w:rsidP="00F578E0">
            <w:pPr>
              <w:pStyle w:val="TableHead"/>
              <w:rPr>
                <w:color w:val="auto"/>
              </w:rPr>
            </w:pPr>
            <w:r w:rsidRPr="00463667">
              <w:rPr>
                <w:color w:val="auto"/>
              </w:rPr>
              <w:t>Administrative</w:t>
            </w:r>
          </w:p>
        </w:tc>
        <w:tc>
          <w:tcPr>
            <w:tcW w:w="1980" w:type="dxa"/>
            <w:tcBorders>
              <w:left w:val="single" w:sz="6" w:space="0" w:color="FFFFFF"/>
              <w:bottom w:val="single" w:sz="6" w:space="0" w:color="auto"/>
            </w:tcBorders>
            <w:shd w:val="clear" w:color="auto" w:fill="000000"/>
          </w:tcPr>
          <w:p w14:paraId="2293040F" w14:textId="77777777" w:rsidR="00B852BD" w:rsidRPr="00463667" w:rsidRDefault="00B852BD" w:rsidP="00F578E0">
            <w:pPr>
              <w:pStyle w:val="TableHead"/>
              <w:rPr>
                <w:color w:val="auto"/>
              </w:rPr>
            </w:pPr>
            <w:r w:rsidRPr="00463667">
              <w:rPr>
                <w:color w:val="auto"/>
              </w:rPr>
              <w:t>Hybrid</w:t>
            </w:r>
          </w:p>
        </w:tc>
      </w:tr>
      <w:tr w:rsidR="00B852BD" w:rsidRPr="00463667" w14:paraId="000C0B5F" w14:textId="77777777" w:rsidTr="006740AA">
        <w:tc>
          <w:tcPr>
            <w:tcW w:w="5768" w:type="dxa"/>
            <w:tcBorders>
              <w:bottom w:val="single" w:sz="6" w:space="0" w:color="auto"/>
            </w:tcBorders>
          </w:tcPr>
          <w:p w14:paraId="547BF1CB" w14:textId="77777777" w:rsidR="00B852BD" w:rsidRPr="00463667" w:rsidRDefault="00B852BD" w:rsidP="00F578E0">
            <w:pPr>
              <w:pStyle w:val="TableText"/>
            </w:pPr>
            <w:r w:rsidRPr="00463667">
              <w:t>Measurement year</w:t>
            </w:r>
          </w:p>
        </w:tc>
        <w:tc>
          <w:tcPr>
            <w:tcW w:w="1980" w:type="dxa"/>
            <w:tcBorders>
              <w:bottom w:val="single" w:sz="6" w:space="0" w:color="auto"/>
            </w:tcBorders>
          </w:tcPr>
          <w:p w14:paraId="31F7D4D6" w14:textId="77777777" w:rsidR="00B852BD" w:rsidRPr="00463667" w:rsidRDefault="00B852BD" w:rsidP="00F578E0">
            <w:pPr>
              <w:pStyle w:val="TableText"/>
              <w:jc w:val="center"/>
            </w:pPr>
            <w:r w:rsidRPr="00463667">
              <w:rPr>
                <w:i/>
                <w:iCs/>
              </w:rPr>
              <w:t>Each of the 7 rates</w:t>
            </w:r>
          </w:p>
        </w:tc>
        <w:tc>
          <w:tcPr>
            <w:tcW w:w="1980" w:type="dxa"/>
            <w:tcBorders>
              <w:bottom w:val="single" w:sz="6" w:space="0" w:color="auto"/>
            </w:tcBorders>
          </w:tcPr>
          <w:p w14:paraId="0BACD24A" w14:textId="77777777" w:rsidR="00B852BD" w:rsidRPr="00463667" w:rsidRDefault="00B852BD" w:rsidP="00F578E0">
            <w:pPr>
              <w:pStyle w:val="TableText"/>
              <w:jc w:val="center"/>
            </w:pPr>
            <w:r w:rsidRPr="00463667">
              <w:rPr>
                <w:i/>
                <w:iCs/>
              </w:rPr>
              <w:t>Each of the 7 rates</w:t>
            </w:r>
          </w:p>
        </w:tc>
      </w:tr>
      <w:tr w:rsidR="00B852BD" w:rsidRPr="00463667" w14:paraId="468825FE" w14:textId="77777777" w:rsidTr="006740AA">
        <w:tc>
          <w:tcPr>
            <w:tcW w:w="5768" w:type="dxa"/>
            <w:shd w:val="clear" w:color="auto" w:fill="E0E0E0"/>
          </w:tcPr>
          <w:p w14:paraId="691CEE9C" w14:textId="77777777" w:rsidR="00B852BD" w:rsidRPr="00463667" w:rsidRDefault="00B852BD" w:rsidP="00F578E0">
            <w:pPr>
              <w:pStyle w:val="TableText"/>
            </w:pPr>
            <w:r w:rsidRPr="00463667">
              <w:t xml:space="preserve">Data collection methodology (Administrative or Hybrid) </w:t>
            </w:r>
          </w:p>
        </w:tc>
        <w:tc>
          <w:tcPr>
            <w:tcW w:w="1980" w:type="dxa"/>
            <w:shd w:val="clear" w:color="auto" w:fill="E0E0E0"/>
          </w:tcPr>
          <w:p w14:paraId="15FAD23C" w14:textId="77777777" w:rsidR="00B852BD" w:rsidRPr="00463667" w:rsidRDefault="00B852BD" w:rsidP="00F578E0">
            <w:pPr>
              <w:pStyle w:val="TableText"/>
              <w:jc w:val="center"/>
            </w:pPr>
            <w:r w:rsidRPr="00463667">
              <w:rPr>
                <w:i/>
                <w:iCs/>
              </w:rPr>
              <w:t>Each of the 7 rates</w:t>
            </w:r>
          </w:p>
        </w:tc>
        <w:tc>
          <w:tcPr>
            <w:tcW w:w="1980" w:type="dxa"/>
            <w:shd w:val="clear" w:color="auto" w:fill="E0E0E0"/>
          </w:tcPr>
          <w:p w14:paraId="525FF6B4" w14:textId="77777777" w:rsidR="00B852BD" w:rsidRPr="00463667" w:rsidRDefault="00B852BD" w:rsidP="00F578E0">
            <w:pPr>
              <w:pStyle w:val="TableText"/>
              <w:jc w:val="center"/>
              <w:rPr>
                <w:i/>
                <w:iCs/>
              </w:rPr>
            </w:pPr>
            <w:r w:rsidRPr="00463667">
              <w:rPr>
                <w:i/>
                <w:iCs/>
              </w:rPr>
              <w:t>Each of the 7 rates</w:t>
            </w:r>
          </w:p>
        </w:tc>
      </w:tr>
      <w:tr w:rsidR="00B852BD" w:rsidRPr="00463667" w14:paraId="6BF7EB62" w14:textId="77777777" w:rsidTr="006740AA">
        <w:tc>
          <w:tcPr>
            <w:tcW w:w="5768" w:type="dxa"/>
            <w:shd w:val="clear" w:color="auto" w:fill="auto"/>
          </w:tcPr>
          <w:p w14:paraId="70264980" w14:textId="77777777" w:rsidR="00B852BD" w:rsidRPr="00463667" w:rsidRDefault="00B852BD" w:rsidP="00F578E0">
            <w:pPr>
              <w:pStyle w:val="TableText"/>
            </w:pPr>
            <w:r w:rsidRPr="00463667">
              <w:t xml:space="preserve">Eligible population with required exclusions applied </w:t>
            </w:r>
          </w:p>
        </w:tc>
        <w:tc>
          <w:tcPr>
            <w:tcW w:w="1980" w:type="dxa"/>
            <w:shd w:val="clear" w:color="auto" w:fill="auto"/>
          </w:tcPr>
          <w:p w14:paraId="07DEB79A" w14:textId="77777777" w:rsidR="00B852BD" w:rsidRPr="00463667" w:rsidRDefault="00B852BD" w:rsidP="00F578E0">
            <w:pPr>
              <w:pStyle w:val="TableText"/>
              <w:jc w:val="center"/>
            </w:pPr>
            <w:r w:rsidRPr="00463667">
              <w:rPr>
                <w:i/>
                <w:iCs/>
              </w:rPr>
              <w:t>Each of the 7 rates</w:t>
            </w:r>
          </w:p>
        </w:tc>
        <w:tc>
          <w:tcPr>
            <w:tcW w:w="1980" w:type="dxa"/>
            <w:shd w:val="clear" w:color="auto" w:fill="auto"/>
          </w:tcPr>
          <w:p w14:paraId="06364B6B" w14:textId="77777777" w:rsidR="00B852BD" w:rsidRPr="00463667" w:rsidRDefault="00B852BD" w:rsidP="00F578E0">
            <w:pPr>
              <w:pStyle w:val="TableText"/>
              <w:jc w:val="center"/>
              <w:rPr>
                <w:i/>
                <w:iCs/>
              </w:rPr>
            </w:pPr>
            <w:r w:rsidRPr="00463667">
              <w:rPr>
                <w:i/>
                <w:iCs/>
              </w:rPr>
              <w:t>Each of the 7 rates</w:t>
            </w:r>
          </w:p>
        </w:tc>
      </w:tr>
      <w:tr w:rsidR="00B852BD" w:rsidRPr="00463667" w14:paraId="65FC89A7" w14:textId="77777777" w:rsidTr="006740AA">
        <w:tc>
          <w:tcPr>
            <w:tcW w:w="5768" w:type="dxa"/>
            <w:tcBorders>
              <w:bottom w:val="single" w:sz="6" w:space="0" w:color="auto"/>
            </w:tcBorders>
            <w:shd w:val="clear" w:color="auto" w:fill="E0E0E0"/>
          </w:tcPr>
          <w:p w14:paraId="210E128D" w14:textId="77777777" w:rsidR="00B852BD" w:rsidRPr="00463667" w:rsidRDefault="00B852BD" w:rsidP="00F578E0">
            <w:pPr>
              <w:pStyle w:val="TableText"/>
            </w:pPr>
            <w:r w:rsidRPr="00463667">
              <w:t xml:space="preserve">Number of numerator events by administrative data in eligible population </w:t>
            </w:r>
            <w:r w:rsidRPr="00463667">
              <w:br/>
              <w:t>(before optional exclusions)</w:t>
            </w:r>
          </w:p>
        </w:tc>
        <w:tc>
          <w:tcPr>
            <w:tcW w:w="1980" w:type="dxa"/>
            <w:tcBorders>
              <w:bottom w:val="single" w:sz="6" w:space="0" w:color="auto"/>
            </w:tcBorders>
            <w:shd w:val="clear" w:color="auto" w:fill="E0E0E0"/>
          </w:tcPr>
          <w:p w14:paraId="33EA801E" w14:textId="77777777" w:rsidR="00B852BD" w:rsidRPr="00463667" w:rsidRDefault="00B852BD" w:rsidP="00F578E0">
            <w:pPr>
              <w:pStyle w:val="TableText"/>
              <w:jc w:val="center"/>
            </w:pPr>
          </w:p>
        </w:tc>
        <w:tc>
          <w:tcPr>
            <w:tcW w:w="1980" w:type="dxa"/>
            <w:tcBorders>
              <w:bottom w:val="single" w:sz="6" w:space="0" w:color="auto"/>
            </w:tcBorders>
            <w:shd w:val="clear" w:color="auto" w:fill="E0E0E0"/>
          </w:tcPr>
          <w:p w14:paraId="4641D105" w14:textId="77777777" w:rsidR="00B852BD" w:rsidRPr="00463667" w:rsidRDefault="00B852BD" w:rsidP="00F578E0">
            <w:pPr>
              <w:pStyle w:val="TableText"/>
              <w:jc w:val="center"/>
              <w:rPr>
                <w:i/>
                <w:iCs/>
              </w:rPr>
            </w:pPr>
            <w:r w:rsidRPr="00463667">
              <w:rPr>
                <w:i/>
                <w:iCs/>
              </w:rPr>
              <w:t>Each of the 7 rates</w:t>
            </w:r>
          </w:p>
        </w:tc>
      </w:tr>
      <w:tr w:rsidR="00B852BD" w:rsidRPr="00463667" w14:paraId="6FCD7C9C" w14:textId="77777777" w:rsidTr="006740AA">
        <w:tc>
          <w:tcPr>
            <w:tcW w:w="5768" w:type="dxa"/>
            <w:shd w:val="clear" w:color="auto" w:fill="auto"/>
          </w:tcPr>
          <w:p w14:paraId="2439A788" w14:textId="77777777" w:rsidR="00B852BD" w:rsidRPr="00463667" w:rsidRDefault="00B852BD" w:rsidP="00F578E0">
            <w:pPr>
              <w:pStyle w:val="TableText"/>
            </w:pPr>
            <w:r w:rsidRPr="00463667">
              <w:t>Current year</w:t>
            </w:r>
            <w:r w:rsidR="009F0DF0">
              <w:t>’</w:t>
            </w:r>
            <w:r w:rsidRPr="00463667">
              <w:t>s administrative rate (before optional exclusions)</w:t>
            </w:r>
          </w:p>
        </w:tc>
        <w:tc>
          <w:tcPr>
            <w:tcW w:w="1980" w:type="dxa"/>
            <w:shd w:val="clear" w:color="auto" w:fill="auto"/>
          </w:tcPr>
          <w:p w14:paraId="52DCDA68" w14:textId="77777777" w:rsidR="00B852BD" w:rsidRPr="00463667" w:rsidRDefault="00B852BD" w:rsidP="00F578E0">
            <w:pPr>
              <w:pStyle w:val="TableText"/>
              <w:jc w:val="center"/>
            </w:pPr>
          </w:p>
        </w:tc>
        <w:tc>
          <w:tcPr>
            <w:tcW w:w="1980" w:type="dxa"/>
            <w:shd w:val="clear" w:color="auto" w:fill="auto"/>
          </w:tcPr>
          <w:p w14:paraId="7DB3A4FD" w14:textId="77777777" w:rsidR="00B852BD" w:rsidRPr="00463667" w:rsidRDefault="00B852BD" w:rsidP="00F578E0">
            <w:pPr>
              <w:pStyle w:val="TableText"/>
              <w:jc w:val="center"/>
              <w:rPr>
                <w:i/>
                <w:iCs/>
              </w:rPr>
            </w:pPr>
            <w:r w:rsidRPr="00463667">
              <w:rPr>
                <w:i/>
                <w:iCs/>
              </w:rPr>
              <w:t>Each of the 7 rates</w:t>
            </w:r>
          </w:p>
        </w:tc>
      </w:tr>
      <w:tr w:rsidR="00B852BD" w:rsidRPr="00463667" w14:paraId="0BF7D617" w14:textId="77777777" w:rsidTr="006740AA">
        <w:tc>
          <w:tcPr>
            <w:tcW w:w="5768" w:type="dxa"/>
            <w:tcBorders>
              <w:bottom w:val="single" w:sz="6" w:space="0" w:color="auto"/>
            </w:tcBorders>
            <w:shd w:val="clear" w:color="auto" w:fill="E0E0E0"/>
          </w:tcPr>
          <w:p w14:paraId="393272DF" w14:textId="77777777" w:rsidR="00B852BD" w:rsidRPr="00463667" w:rsidRDefault="00B852BD" w:rsidP="00F578E0">
            <w:pPr>
              <w:pStyle w:val="TableText"/>
            </w:pPr>
            <w:r w:rsidRPr="00463667">
              <w:t xml:space="preserve">Minimum required sample size (MRSS) or other sample size </w:t>
            </w:r>
          </w:p>
        </w:tc>
        <w:tc>
          <w:tcPr>
            <w:tcW w:w="1980" w:type="dxa"/>
            <w:tcBorders>
              <w:bottom w:val="single" w:sz="6" w:space="0" w:color="auto"/>
            </w:tcBorders>
            <w:shd w:val="clear" w:color="auto" w:fill="E0E0E0"/>
          </w:tcPr>
          <w:p w14:paraId="5F6D94C6" w14:textId="77777777" w:rsidR="00B852BD" w:rsidRPr="00463667" w:rsidRDefault="00B852BD" w:rsidP="00F578E0">
            <w:pPr>
              <w:pStyle w:val="TableText"/>
              <w:jc w:val="center"/>
            </w:pPr>
          </w:p>
        </w:tc>
        <w:tc>
          <w:tcPr>
            <w:tcW w:w="1980" w:type="dxa"/>
            <w:tcBorders>
              <w:bottom w:val="single" w:sz="6" w:space="0" w:color="auto"/>
            </w:tcBorders>
            <w:shd w:val="clear" w:color="auto" w:fill="E0E0E0"/>
          </w:tcPr>
          <w:p w14:paraId="09F15FE0" w14:textId="77777777" w:rsidR="00B852BD" w:rsidRPr="00463667" w:rsidRDefault="00B852BD" w:rsidP="00F578E0">
            <w:pPr>
              <w:pStyle w:val="TableText"/>
              <w:jc w:val="center"/>
              <w:rPr>
                <w:i/>
                <w:iCs/>
              </w:rPr>
            </w:pPr>
            <w:r w:rsidRPr="00463667">
              <w:rPr>
                <w:i/>
                <w:iCs/>
              </w:rPr>
              <w:t>Each of the 7 rates</w:t>
            </w:r>
          </w:p>
        </w:tc>
      </w:tr>
      <w:tr w:rsidR="00B852BD" w:rsidRPr="00463667" w14:paraId="5AA705C8" w14:textId="77777777" w:rsidTr="006740AA">
        <w:tc>
          <w:tcPr>
            <w:tcW w:w="5768" w:type="dxa"/>
            <w:shd w:val="clear" w:color="auto" w:fill="auto"/>
          </w:tcPr>
          <w:p w14:paraId="3DDCEF4C" w14:textId="77777777" w:rsidR="00B852BD" w:rsidRPr="00463667" w:rsidRDefault="00B852BD" w:rsidP="00F578E0">
            <w:pPr>
              <w:pStyle w:val="TableText"/>
            </w:pPr>
            <w:r w:rsidRPr="00463667">
              <w:t>Oversampling rate</w:t>
            </w:r>
          </w:p>
        </w:tc>
        <w:tc>
          <w:tcPr>
            <w:tcW w:w="1980" w:type="dxa"/>
            <w:shd w:val="clear" w:color="auto" w:fill="auto"/>
          </w:tcPr>
          <w:p w14:paraId="5FD50043" w14:textId="77777777" w:rsidR="00B852BD" w:rsidRPr="00463667" w:rsidRDefault="00B852BD" w:rsidP="00F578E0">
            <w:pPr>
              <w:pStyle w:val="TableText"/>
              <w:jc w:val="center"/>
            </w:pPr>
          </w:p>
        </w:tc>
        <w:tc>
          <w:tcPr>
            <w:tcW w:w="1980" w:type="dxa"/>
            <w:shd w:val="clear" w:color="auto" w:fill="auto"/>
          </w:tcPr>
          <w:p w14:paraId="0977F963" w14:textId="77777777" w:rsidR="00B852BD" w:rsidRPr="00463667" w:rsidRDefault="00B852BD" w:rsidP="00F578E0">
            <w:pPr>
              <w:pStyle w:val="TableText"/>
              <w:jc w:val="center"/>
              <w:rPr>
                <w:i/>
                <w:iCs/>
              </w:rPr>
            </w:pPr>
            <w:r w:rsidRPr="00463667">
              <w:rPr>
                <w:i/>
                <w:iCs/>
              </w:rPr>
              <w:t>Each of the 7 rates</w:t>
            </w:r>
          </w:p>
        </w:tc>
      </w:tr>
      <w:tr w:rsidR="00B852BD" w:rsidRPr="00463667" w14:paraId="7B3BF21C" w14:textId="77777777" w:rsidTr="006740AA">
        <w:tc>
          <w:tcPr>
            <w:tcW w:w="5768" w:type="dxa"/>
            <w:tcBorders>
              <w:bottom w:val="single" w:sz="6" w:space="0" w:color="auto"/>
            </w:tcBorders>
            <w:shd w:val="clear" w:color="auto" w:fill="E0E0E0"/>
          </w:tcPr>
          <w:p w14:paraId="5495BA0C" w14:textId="77777777" w:rsidR="00B852BD" w:rsidRPr="00463667" w:rsidRDefault="00B852BD" w:rsidP="00F578E0">
            <w:pPr>
              <w:pStyle w:val="TableText"/>
            </w:pPr>
            <w:r w:rsidRPr="00463667">
              <w:t xml:space="preserve">Final sample size (FSS) </w:t>
            </w:r>
          </w:p>
        </w:tc>
        <w:tc>
          <w:tcPr>
            <w:tcW w:w="1980" w:type="dxa"/>
            <w:tcBorders>
              <w:bottom w:val="single" w:sz="6" w:space="0" w:color="auto"/>
            </w:tcBorders>
            <w:shd w:val="clear" w:color="auto" w:fill="E0E0E0"/>
          </w:tcPr>
          <w:p w14:paraId="0F0F49E3" w14:textId="77777777" w:rsidR="00B852BD" w:rsidRPr="00463667" w:rsidRDefault="00B852BD" w:rsidP="00F578E0">
            <w:pPr>
              <w:pStyle w:val="TableText"/>
              <w:jc w:val="center"/>
            </w:pPr>
          </w:p>
        </w:tc>
        <w:tc>
          <w:tcPr>
            <w:tcW w:w="1980" w:type="dxa"/>
            <w:tcBorders>
              <w:bottom w:val="single" w:sz="6" w:space="0" w:color="auto"/>
            </w:tcBorders>
            <w:shd w:val="clear" w:color="auto" w:fill="E0E0E0"/>
          </w:tcPr>
          <w:p w14:paraId="58922FAD" w14:textId="77777777" w:rsidR="00B852BD" w:rsidRPr="00463667" w:rsidRDefault="00B852BD" w:rsidP="00F578E0">
            <w:pPr>
              <w:pStyle w:val="TableText"/>
              <w:jc w:val="center"/>
              <w:rPr>
                <w:i/>
                <w:iCs/>
              </w:rPr>
            </w:pPr>
            <w:r w:rsidRPr="00463667">
              <w:rPr>
                <w:i/>
                <w:iCs/>
              </w:rPr>
              <w:t>Each of the 7 rates</w:t>
            </w:r>
          </w:p>
        </w:tc>
      </w:tr>
      <w:tr w:rsidR="00B852BD" w:rsidRPr="00463667" w14:paraId="4F9919AD" w14:textId="77777777" w:rsidTr="006740AA">
        <w:tc>
          <w:tcPr>
            <w:tcW w:w="5768" w:type="dxa"/>
            <w:shd w:val="clear" w:color="auto" w:fill="auto"/>
          </w:tcPr>
          <w:p w14:paraId="45C41C73" w14:textId="77777777" w:rsidR="00B852BD" w:rsidRPr="00463667" w:rsidRDefault="00B852BD" w:rsidP="00F578E0">
            <w:pPr>
              <w:pStyle w:val="TableText"/>
            </w:pPr>
            <w:r w:rsidRPr="00463667">
              <w:t xml:space="preserve">Number of numerator events by administrative data in FSS </w:t>
            </w:r>
          </w:p>
        </w:tc>
        <w:tc>
          <w:tcPr>
            <w:tcW w:w="1980" w:type="dxa"/>
            <w:shd w:val="clear" w:color="auto" w:fill="auto"/>
          </w:tcPr>
          <w:p w14:paraId="0F84406C" w14:textId="77777777" w:rsidR="00B852BD" w:rsidRPr="00463667" w:rsidRDefault="00B852BD" w:rsidP="00F578E0">
            <w:pPr>
              <w:pStyle w:val="TableText"/>
              <w:jc w:val="center"/>
            </w:pPr>
          </w:p>
        </w:tc>
        <w:tc>
          <w:tcPr>
            <w:tcW w:w="1980" w:type="dxa"/>
            <w:shd w:val="clear" w:color="auto" w:fill="auto"/>
          </w:tcPr>
          <w:p w14:paraId="5FA81E23" w14:textId="77777777" w:rsidR="00B852BD" w:rsidRPr="00463667" w:rsidRDefault="00B852BD" w:rsidP="00F578E0">
            <w:pPr>
              <w:pStyle w:val="TableText"/>
              <w:jc w:val="center"/>
              <w:rPr>
                <w:i/>
                <w:iCs/>
              </w:rPr>
            </w:pPr>
            <w:r w:rsidRPr="00463667">
              <w:rPr>
                <w:i/>
                <w:iCs/>
              </w:rPr>
              <w:t>Each of the 7 rates</w:t>
            </w:r>
          </w:p>
        </w:tc>
      </w:tr>
      <w:tr w:rsidR="00B852BD" w:rsidRPr="00463667" w14:paraId="72D7CE33" w14:textId="77777777" w:rsidTr="006740AA">
        <w:tc>
          <w:tcPr>
            <w:tcW w:w="5768" w:type="dxa"/>
            <w:tcBorders>
              <w:bottom w:val="single" w:sz="6" w:space="0" w:color="auto"/>
            </w:tcBorders>
            <w:shd w:val="clear" w:color="auto" w:fill="E0E0E0"/>
          </w:tcPr>
          <w:p w14:paraId="3F7AF071" w14:textId="77777777" w:rsidR="00B852BD" w:rsidRPr="00463667" w:rsidRDefault="00B852BD" w:rsidP="00F578E0">
            <w:pPr>
              <w:pStyle w:val="TableText"/>
            </w:pPr>
            <w:r w:rsidRPr="00463667">
              <w:t>Administrative rate on FSS</w:t>
            </w:r>
          </w:p>
        </w:tc>
        <w:tc>
          <w:tcPr>
            <w:tcW w:w="1980" w:type="dxa"/>
            <w:tcBorders>
              <w:bottom w:val="single" w:sz="6" w:space="0" w:color="auto"/>
            </w:tcBorders>
            <w:shd w:val="clear" w:color="auto" w:fill="E0E0E0"/>
          </w:tcPr>
          <w:p w14:paraId="6A66FCC9" w14:textId="77777777" w:rsidR="00B852BD" w:rsidRPr="00463667" w:rsidRDefault="00B852BD" w:rsidP="00F578E0">
            <w:pPr>
              <w:pStyle w:val="TableText"/>
              <w:jc w:val="center"/>
            </w:pPr>
          </w:p>
        </w:tc>
        <w:tc>
          <w:tcPr>
            <w:tcW w:w="1980" w:type="dxa"/>
            <w:tcBorders>
              <w:bottom w:val="single" w:sz="6" w:space="0" w:color="auto"/>
            </w:tcBorders>
            <w:shd w:val="clear" w:color="auto" w:fill="E0E0E0"/>
          </w:tcPr>
          <w:p w14:paraId="0BFC8DC7" w14:textId="77777777" w:rsidR="00B852BD" w:rsidRPr="00463667" w:rsidRDefault="00B852BD" w:rsidP="00F578E0">
            <w:pPr>
              <w:pStyle w:val="TableText"/>
              <w:jc w:val="center"/>
              <w:rPr>
                <w:i/>
                <w:iCs/>
              </w:rPr>
            </w:pPr>
            <w:r w:rsidRPr="00463667">
              <w:rPr>
                <w:i/>
                <w:iCs/>
              </w:rPr>
              <w:t>Each of the 7 rates</w:t>
            </w:r>
          </w:p>
        </w:tc>
      </w:tr>
      <w:tr w:rsidR="00B852BD" w:rsidRPr="00463667" w14:paraId="38C59E8B" w14:textId="77777777" w:rsidTr="006740AA">
        <w:tc>
          <w:tcPr>
            <w:tcW w:w="5768" w:type="dxa"/>
            <w:shd w:val="clear" w:color="auto" w:fill="auto"/>
          </w:tcPr>
          <w:p w14:paraId="5C0E8299" w14:textId="77777777" w:rsidR="00B852BD" w:rsidRPr="00463667" w:rsidRDefault="00B852BD" w:rsidP="00F578E0">
            <w:pPr>
              <w:pStyle w:val="TableText"/>
            </w:pPr>
            <w:r w:rsidRPr="00463667">
              <w:t xml:space="preserve">Number of original sample records excluded because of valid data errors </w:t>
            </w:r>
          </w:p>
        </w:tc>
        <w:tc>
          <w:tcPr>
            <w:tcW w:w="1980" w:type="dxa"/>
            <w:shd w:val="clear" w:color="auto" w:fill="auto"/>
          </w:tcPr>
          <w:p w14:paraId="33B4FC07" w14:textId="77777777" w:rsidR="00B852BD" w:rsidRPr="00463667" w:rsidRDefault="00B852BD" w:rsidP="00F578E0">
            <w:pPr>
              <w:pStyle w:val="TableText"/>
              <w:jc w:val="center"/>
            </w:pPr>
          </w:p>
        </w:tc>
        <w:tc>
          <w:tcPr>
            <w:tcW w:w="1980" w:type="dxa"/>
            <w:shd w:val="clear" w:color="auto" w:fill="auto"/>
          </w:tcPr>
          <w:p w14:paraId="41356738" w14:textId="77777777" w:rsidR="00B852BD" w:rsidRPr="00463667" w:rsidRDefault="00B852BD" w:rsidP="00F578E0">
            <w:pPr>
              <w:pStyle w:val="TableText"/>
              <w:jc w:val="center"/>
              <w:rPr>
                <w:i/>
                <w:iCs/>
              </w:rPr>
            </w:pPr>
            <w:r w:rsidRPr="00463667">
              <w:rPr>
                <w:i/>
                <w:iCs/>
              </w:rPr>
              <w:t>Each of the 7 rates</w:t>
            </w:r>
          </w:p>
        </w:tc>
      </w:tr>
      <w:tr w:rsidR="00B852BD" w:rsidRPr="00463667" w14:paraId="78EDE0AB" w14:textId="77777777" w:rsidTr="006740AA">
        <w:tc>
          <w:tcPr>
            <w:tcW w:w="5768" w:type="dxa"/>
            <w:tcBorders>
              <w:bottom w:val="single" w:sz="6" w:space="0" w:color="auto"/>
            </w:tcBorders>
            <w:shd w:val="clear" w:color="auto" w:fill="E0E0E0"/>
          </w:tcPr>
          <w:p w14:paraId="1060141D" w14:textId="77777777" w:rsidR="00B852BD" w:rsidRPr="00463667" w:rsidRDefault="00B852BD" w:rsidP="00F578E0">
            <w:pPr>
              <w:pStyle w:val="TableText"/>
            </w:pPr>
            <w:r w:rsidRPr="00463667">
              <w:t>Number of optional administrative data records excluded</w:t>
            </w:r>
          </w:p>
        </w:tc>
        <w:tc>
          <w:tcPr>
            <w:tcW w:w="1980" w:type="dxa"/>
            <w:tcBorders>
              <w:bottom w:val="single" w:sz="6" w:space="0" w:color="auto"/>
            </w:tcBorders>
            <w:shd w:val="clear" w:color="auto" w:fill="E0E0E0"/>
          </w:tcPr>
          <w:p w14:paraId="50F0594D" w14:textId="77777777" w:rsidR="00B852BD" w:rsidRPr="00463667" w:rsidRDefault="00B852BD" w:rsidP="00F578E0">
            <w:pPr>
              <w:pStyle w:val="TableText"/>
              <w:jc w:val="center"/>
            </w:pPr>
          </w:p>
        </w:tc>
        <w:tc>
          <w:tcPr>
            <w:tcW w:w="1980" w:type="dxa"/>
            <w:tcBorders>
              <w:bottom w:val="single" w:sz="6" w:space="0" w:color="auto"/>
            </w:tcBorders>
            <w:shd w:val="clear" w:color="auto" w:fill="E0E0E0"/>
          </w:tcPr>
          <w:p w14:paraId="2F9EC4BA" w14:textId="77777777" w:rsidR="00B852BD" w:rsidRPr="00463667" w:rsidRDefault="00B852BD" w:rsidP="00F578E0">
            <w:pPr>
              <w:pStyle w:val="TableText"/>
              <w:jc w:val="center"/>
              <w:rPr>
                <w:i/>
                <w:iCs/>
              </w:rPr>
            </w:pPr>
            <w:r w:rsidRPr="00463667">
              <w:rPr>
                <w:i/>
                <w:iCs/>
              </w:rPr>
              <w:t>Each of the 7 rates</w:t>
            </w:r>
          </w:p>
        </w:tc>
      </w:tr>
      <w:tr w:rsidR="00B852BD" w:rsidRPr="00463667" w14:paraId="67E95BB0" w14:textId="77777777" w:rsidTr="006740AA">
        <w:tc>
          <w:tcPr>
            <w:tcW w:w="5768" w:type="dxa"/>
            <w:shd w:val="clear" w:color="auto" w:fill="auto"/>
          </w:tcPr>
          <w:p w14:paraId="58D0FCCD" w14:textId="77777777" w:rsidR="00B852BD" w:rsidRPr="00463667" w:rsidRDefault="00B852BD" w:rsidP="00F578E0">
            <w:pPr>
              <w:pStyle w:val="TableText"/>
            </w:pPr>
            <w:r w:rsidRPr="00463667">
              <w:t>Number of optional medical records excluded</w:t>
            </w:r>
          </w:p>
        </w:tc>
        <w:tc>
          <w:tcPr>
            <w:tcW w:w="1980" w:type="dxa"/>
            <w:shd w:val="clear" w:color="auto" w:fill="auto"/>
          </w:tcPr>
          <w:p w14:paraId="647F27E7" w14:textId="77777777" w:rsidR="00B852BD" w:rsidRPr="00463667" w:rsidRDefault="00B852BD" w:rsidP="00F578E0">
            <w:pPr>
              <w:pStyle w:val="TableText"/>
              <w:jc w:val="center"/>
            </w:pPr>
          </w:p>
        </w:tc>
        <w:tc>
          <w:tcPr>
            <w:tcW w:w="1980" w:type="dxa"/>
            <w:shd w:val="clear" w:color="auto" w:fill="auto"/>
          </w:tcPr>
          <w:p w14:paraId="7D2AA42D" w14:textId="77777777" w:rsidR="00B852BD" w:rsidRPr="00463667" w:rsidRDefault="00B852BD" w:rsidP="00F578E0">
            <w:pPr>
              <w:pStyle w:val="TableText"/>
              <w:jc w:val="center"/>
              <w:rPr>
                <w:i/>
                <w:iCs/>
              </w:rPr>
            </w:pPr>
            <w:r w:rsidRPr="00463667">
              <w:rPr>
                <w:i/>
                <w:iCs/>
              </w:rPr>
              <w:t>Each of the 7 rates</w:t>
            </w:r>
          </w:p>
        </w:tc>
      </w:tr>
      <w:tr w:rsidR="00B852BD" w:rsidRPr="00463667" w14:paraId="521A6208" w14:textId="77777777" w:rsidTr="006740AA">
        <w:tc>
          <w:tcPr>
            <w:tcW w:w="5768" w:type="dxa"/>
            <w:tcBorders>
              <w:bottom w:val="single" w:sz="6" w:space="0" w:color="auto"/>
            </w:tcBorders>
            <w:shd w:val="clear" w:color="auto" w:fill="E0E0E0"/>
          </w:tcPr>
          <w:p w14:paraId="7E6F6D30" w14:textId="77777777" w:rsidR="00B852BD" w:rsidRPr="00463667" w:rsidRDefault="00B852BD" w:rsidP="00F578E0">
            <w:pPr>
              <w:pStyle w:val="TableText"/>
            </w:pPr>
            <w:r w:rsidRPr="00463667">
              <w:t xml:space="preserve">Number of employee/dependent medical records excluded </w:t>
            </w:r>
          </w:p>
        </w:tc>
        <w:tc>
          <w:tcPr>
            <w:tcW w:w="1980" w:type="dxa"/>
            <w:tcBorders>
              <w:bottom w:val="single" w:sz="6" w:space="0" w:color="auto"/>
            </w:tcBorders>
            <w:shd w:val="clear" w:color="auto" w:fill="E0E0E0"/>
          </w:tcPr>
          <w:p w14:paraId="13BCCD1E" w14:textId="77777777" w:rsidR="00B852BD" w:rsidRPr="00463667" w:rsidRDefault="00B852BD" w:rsidP="00F578E0">
            <w:pPr>
              <w:pStyle w:val="TableText"/>
              <w:jc w:val="center"/>
            </w:pPr>
          </w:p>
        </w:tc>
        <w:tc>
          <w:tcPr>
            <w:tcW w:w="1980" w:type="dxa"/>
            <w:tcBorders>
              <w:bottom w:val="single" w:sz="6" w:space="0" w:color="auto"/>
            </w:tcBorders>
            <w:shd w:val="clear" w:color="auto" w:fill="E0E0E0"/>
          </w:tcPr>
          <w:p w14:paraId="4D15A2FB" w14:textId="77777777" w:rsidR="00B852BD" w:rsidRPr="00463667" w:rsidRDefault="00B852BD" w:rsidP="00F578E0">
            <w:pPr>
              <w:pStyle w:val="TableText"/>
              <w:jc w:val="center"/>
              <w:rPr>
                <w:i/>
                <w:iCs/>
              </w:rPr>
            </w:pPr>
            <w:r w:rsidRPr="00463667">
              <w:rPr>
                <w:i/>
                <w:iCs/>
              </w:rPr>
              <w:t>Each of the 7 rates</w:t>
            </w:r>
          </w:p>
        </w:tc>
      </w:tr>
      <w:tr w:rsidR="00B852BD" w:rsidRPr="00463667" w14:paraId="52C8D75C" w14:textId="77777777" w:rsidTr="006740AA">
        <w:tc>
          <w:tcPr>
            <w:tcW w:w="5768" w:type="dxa"/>
            <w:shd w:val="clear" w:color="auto" w:fill="auto"/>
          </w:tcPr>
          <w:p w14:paraId="592FA77E" w14:textId="77777777" w:rsidR="00B852BD" w:rsidRPr="00463667" w:rsidRDefault="00B852BD" w:rsidP="00F578E0">
            <w:pPr>
              <w:pStyle w:val="TableText"/>
            </w:pPr>
            <w:r w:rsidRPr="00463667">
              <w:t>Number of HbA1c &lt;7 required medical records excluded</w:t>
            </w:r>
          </w:p>
        </w:tc>
        <w:tc>
          <w:tcPr>
            <w:tcW w:w="1980" w:type="dxa"/>
            <w:shd w:val="clear" w:color="auto" w:fill="auto"/>
          </w:tcPr>
          <w:p w14:paraId="14397DC5" w14:textId="77777777" w:rsidR="00B852BD" w:rsidRPr="00463667" w:rsidRDefault="00B852BD" w:rsidP="00F578E0">
            <w:pPr>
              <w:pStyle w:val="TableText"/>
              <w:jc w:val="center"/>
            </w:pPr>
          </w:p>
        </w:tc>
        <w:tc>
          <w:tcPr>
            <w:tcW w:w="1980" w:type="dxa"/>
            <w:shd w:val="clear" w:color="auto" w:fill="auto"/>
          </w:tcPr>
          <w:p w14:paraId="7C9A9EBE" w14:textId="77777777" w:rsidR="00B852BD" w:rsidRPr="00463667" w:rsidRDefault="00B852BD" w:rsidP="00F578E0">
            <w:pPr>
              <w:pStyle w:val="TableText"/>
              <w:jc w:val="center"/>
              <w:rPr>
                <w:i/>
                <w:iCs/>
              </w:rPr>
            </w:pPr>
            <w:r w:rsidRPr="00463667">
              <w:rPr>
                <w:i/>
                <w:iCs/>
              </w:rPr>
              <w:t>HbA1c &lt;7 Rate</w:t>
            </w:r>
          </w:p>
        </w:tc>
      </w:tr>
      <w:tr w:rsidR="00B852BD" w:rsidRPr="00463667" w14:paraId="4B08ED74" w14:textId="77777777" w:rsidTr="006740AA">
        <w:tc>
          <w:tcPr>
            <w:tcW w:w="5768" w:type="dxa"/>
            <w:shd w:val="clear" w:color="auto" w:fill="E0E0E0"/>
          </w:tcPr>
          <w:p w14:paraId="7DFAB378" w14:textId="77777777" w:rsidR="00B852BD" w:rsidRPr="00463667" w:rsidRDefault="00B852BD" w:rsidP="00F578E0">
            <w:pPr>
              <w:pStyle w:val="TableText"/>
            </w:pPr>
            <w:r w:rsidRPr="00463667">
              <w:t>Number of HbA1c &lt;7 required administrative data records excluded</w:t>
            </w:r>
          </w:p>
        </w:tc>
        <w:tc>
          <w:tcPr>
            <w:tcW w:w="1980" w:type="dxa"/>
            <w:shd w:val="clear" w:color="auto" w:fill="E0E0E0"/>
          </w:tcPr>
          <w:p w14:paraId="15C3F4A3" w14:textId="77777777" w:rsidR="00B852BD" w:rsidRPr="00463667" w:rsidRDefault="00B852BD" w:rsidP="00F578E0">
            <w:pPr>
              <w:pStyle w:val="TableText"/>
              <w:jc w:val="center"/>
            </w:pPr>
          </w:p>
        </w:tc>
        <w:tc>
          <w:tcPr>
            <w:tcW w:w="1980" w:type="dxa"/>
            <w:shd w:val="clear" w:color="auto" w:fill="E0E0E0"/>
          </w:tcPr>
          <w:p w14:paraId="198CD660" w14:textId="77777777" w:rsidR="00B852BD" w:rsidRPr="00463667" w:rsidRDefault="00B852BD" w:rsidP="00F578E0">
            <w:pPr>
              <w:pStyle w:val="TableText"/>
              <w:jc w:val="center"/>
              <w:rPr>
                <w:i/>
                <w:iCs/>
              </w:rPr>
            </w:pPr>
            <w:r w:rsidRPr="00463667">
              <w:rPr>
                <w:i/>
                <w:iCs/>
              </w:rPr>
              <w:t>HbA1c &lt;7 Rate</w:t>
            </w:r>
          </w:p>
        </w:tc>
      </w:tr>
      <w:tr w:rsidR="00B852BD" w:rsidRPr="00463667" w14:paraId="44B3B6CA" w14:textId="77777777" w:rsidTr="006740AA">
        <w:tc>
          <w:tcPr>
            <w:tcW w:w="5768" w:type="dxa"/>
            <w:shd w:val="clear" w:color="auto" w:fill="FFFFFF"/>
          </w:tcPr>
          <w:p w14:paraId="308A470B" w14:textId="77777777" w:rsidR="00B852BD" w:rsidRPr="00463667" w:rsidRDefault="00B852BD" w:rsidP="00F578E0">
            <w:pPr>
              <w:pStyle w:val="TableText"/>
            </w:pPr>
            <w:r w:rsidRPr="00463667">
              <w:t xml:space="preserve">Records added from the oversample list </w:t>
            </w:r>
          </w:p>
        </w:tc>
        <w:tc>
          <w:tcPr>
            <w:tcW w:w="1980" w:type="dxa"/>
            <w:shd w:val="clear" w:color="auto" w:fill="FFFFFF"/>
          </w:tcPr>
          <w:p w14:paraId="43D44AE9" w14:textId="77777777" w:rsidR="00B852BD" w:rsidRPr="00463667" w:rsidRDefault="00B852BD" w:rsidP="00F578E0">
            <w:pPr>
              <w:pStyle w:val="TableText"/>
              <w:jc w:val="center"/>
            </w:pPr>
          </w:p>
        </w:tc>
        <w:tc>
          <w:tcPr>
            <w:tcW w:w="1980" w:type="dxa"/>
            <w:shd w:val="clear" w:color="auto" w:fill="FFFFFF"/>
          </w:tcPr>
          <w:p w14:paraId="424AA549" w14:textId="77777777" w:rsidR="00B852BD" w:rsidRPr="00463667" w:rsidRDefault="00B852BD" w:rsidP="00F578E0">
            <w:pPr>
              <w:pStyle w:val="TableText"/>
              <w:jc w:val="center"/>
              <w:rPr>
                <w:i/>
                <w:iCs/>
              </w:rPr>
            </w:pPr>
            <w:r w:rsidRPr="00463667">
              <w:rPr>
                <w:i/>
                <w:iCs/>
              </w:rPr>
              <w:t>Each of the 7 rates</w:t>
            </w:r>
          </w:p>
        </w:tc>
      </w:tr>
      <w:tr w:rsidR="00B852BD" w:rsidRPr="00463667" w14:paraId="2C9EF74D" w14:textId="77777777" w:rsidTr="006740AA">
        <w:tc>
          <w:tcPr>
            <w:tcW w:w="5768" w:type="dxa"/>
            <w:tcBorders>
              <w:bottom w:val="single" w:sz="6" w:space="0" w:color="auto"/>
            </w:tcBorders>
            <w:shd w:val="clear" w:color="auto" w:fill="D9D9D9"/>
          </w:tcPr>
          <w:p w14:paraId="3D7831FC" w14:textId="77777777" w:rsidR="00B852BD" w:rsidRPr="00463667" w:rsidRDefault="00B852BD" w:rsidP="00F578E0">
            <w:pPr>
              <w:pStyle w:val="TableText"/>
            </w:pPr>
            <w:r w:rsidRPr="00463667">
              <w:t>Denominator</w:t>
            </w:r>
          </w:p>
        </w:tc>
        <w:tc>
          <w:tcPr>
            <w:tcW w:w="1980" w:type="dxa"/>
            <w:tcBorders>
              <w:bottom w:val="single" w:sz="6" w:space="0" w:color="auto"/>
            </w:tcBorders>
            <w:shd w:val="clear" w:color="auto" w:fill="D9D9D9"/>
          </w:tcPr>
          <w:p w14:paraId="472258C7" w14:textId="77777777" w:rsidR="00B852BD" w:rsidRPr="00463667" w:rsidRDefault="00B852BD" w:rsidP="00F578E0">
            <w:pPr>
              <w:pStyle w:val="TableText"/>
              <w:jc w:val="center"/>
            </w:pPr>
          </w:p>
        </w:tc>
        <w:tc>
          <w:tcPr>
            <w:tcW w:w="1980" w:type="dxa"/>
            <w:tcBorders>
              <w:bottom w:val="single" w:sz="6" w:space="0" w:color="auto"/>
            </w:tcBorders>
            <w:shd w:val="clear" w:color="auto" w:fill="D9D9D9"/>
          </w:tcPr>
          <w:p w14:paraId="0BB4A808" w14:textId="77777777" w:rsidR="00B852BD" w:rsidRPr="00463667" w:rsidRDefault="00B852BD" w:rsidP="00F578E0">
            <w:pPr>
              <w:pStyle w:val="TableText"/>
              <w:jc w:val="center"/>
              <w:rPr>
                <w:i/>
                <w:iCs/>
              </w:rPr>
            </w:pPr>
            <w:r w:rsidRPr="00463667">
              <w:rPr>
                <w:i/>
                <w:iCs/>
              </w:rPr>
              <w:t>Each of the 7 rates</w:t>
            </w:r>
          </w:p>
        </w:tc>
      </w:tr>
      <w:tr w:rsidR="00B852BD" w:rsidRPr="00463667" w14:paraId="4202779E" w14:textId="77777777" w:rsidTr="006740AA">
        <w:tc>
          <w:tcPr>
            <w:tcW w:w="5768" w:type="dxa"/>
            <w:shd w:val="clear" w:color="auto" w:fill="FFFFFF"/>
          </w:tcPr>
          <w:p w14:paraId="698207E2" w14:textId="77777777" w:rsidR="00B852BD" w:rsidRPr="00463667" w:rsidRDefault="00B852BD" w:rsidP="00F578E0">
            <w:pPr>
              <w:pStyle w:val="TableText"/>
            </w:pPr>
            <w:r w:rsidRPr="00463667">
              <w:t>Numerator events by administrative data</w:t>
            </w:r>
          </w:p>
        </w:tc>
        <w:tc>
          <w:tcPr>
            <w:tcW w:w="1980" w:type="dxa"/>
            <w:shd w:val="clear" w:color="auto" w:fill="FFFFFF"/>
          </w:tcPr>
          <w:p w14:paraId="3C754ACF" w14:textId="77777777" w:rsidR="00B852BD" w:rsidRPr="00463667" w:rsidRDefault="00B852BD" w:rsidP="00F578E0">
            <w:pPr>
              <w:pStyle w:val="TableText"/>
              <w:jc w:val="center"/>
            </w:pPr>
            <w:r w:rsidRPr="00463667">
              <w:rPr>
                <w:i/>
                <w:iCs/>
              </w:rPr>
              <w:t xml:space="preserve">Each of the 7 rates </w:t>
            </w:r>
          </w:p>
        </w:tc>
        <w:tc>
          <w:tcPr>
            <w:tcW w:w="1980" w:type="dxa"/>
            <w:shd w:val="clear" w:color="auto" w:fill="FFFFFF"/>
          </w:tcPr>
          <w:p w14:paraId="7AC3BBA4" w14:textId="77777777" w:rsidR="00B852BD" w:rsidRPr="00463667" w:rsidRDefault="00B852BD" w:rsidP="00F578E0">
            <w:pPr>
              <w:pStyle w:val="TableText"/>
              <w:jc w:val="center"/>
              <w:rPr>
                <w:i/>
                <w:iCs/>
              </w:rPr>
            </w:pPr>
            <w:r w:rsidRPr="00463667">
              <w:rPr>
                <w:i/>
                <w:iCs/>
              </w:rPr>
              <w:t>Each of the 7 rates</w:t>
            </w:r>
          </w:p>
        </w:tc>
      </w:tr>
      <w:tr w:rsidR="00B852BD" w:rsidRPr="00463667" w14:paraId="2F009226" w14:textId="77777777" w:rsidTr="006740AA">
        <w:tc>
          <w:tcPr>
            <w:tcW w:w="5768" w:type="dxa"/>
            <w:tcBorders>
              <w:bottom w:val="single" w:sz="6" w:space="0" w:color="auto"/>
            </w:tcBorders>
            <w:shd w:val="clear" w:color="auto" w:fill="D9D9D9" w:themeFill="background1" w:themeFillShade="D9"/>
          </w:tcPr>
          <w:p w14:paraId="73B3B7BF" w14:textId="77777777" w:rsidR="00B852BD" w:rsidRPr="00463667" w:rsidRDefault="00B852BD" w:rsidP="00F578E0">
            <w:pPr>
              <w:pStyle w:val="TableText"/>
            </w:pPr>
            <w:r w:rsidRPr="00463667">
              <w:t>Numerator events by medical records</w:t>
            </w:r>
          </w:p>
        </w:tc>
        <w:tc>
          <w:tcPr>
            <w:tcW w:w="1980" w:type="dxa"/>
            <w:tcBorders>
              <w:bottom w:val="single" w:sz="6" w:space="0" w:color="auto"/>
            </w:tcBorders>
            <w:shd w:val="clear" w:color="auto" w:fill="D9D9D9" w:themeFill="background1" w:themeFillShade="D9"/>
          </w:tcPr>
          <w:p w14:paraId="509D01F0" w14:textId="77777777" w:rsidR="00B852BD" w:rsidRPr="00463667" w:rsidRDefault="00B852BD" w:rsidP="00F578E0">
            <w:pPr>
              <w:pStyle w:val="TableText2"/>
              <w:jc w:val="center"/>
            </w:pPr>
          </w:p>
        </w:tc>
        <w:tc>
          <w:tcPr>
            <w:tcW w:w="1980" w:type="dxa"/>
            <w:tcBorders>
              <w:bottom w:val="single" w:sz="6" w:space="0" w:color="auto"/>
            </w:tcBorders>
            <w:shd w:val="clear" w:color="auto" w:fill="D9D9D9" w:themeFill="background1" w:themeFillShade="D9"/>
          </w:tcPr>
          <w:p w14:paraId="32602F3A" w14:textId="77777777" w:rsidR="00B852BD" w:rsidRPr="00463667" w:rsidRDefault="00B852BD" w:rsidP="00F578E0">
            <w:pPr>
              <w:pStyle w:val="TableText"/>
              <w:jc w:val="center"/>
              <w:rPr>
                <w:i/>
                <w:iCs/>
              </w:rPr>
            </w:pPr>
            <w:r w:rsidRPr="00463667">
              <w:rPr>
                <w:i/>
                <w:iCs/>
              </w:rPr>
              <w:t>Each of the 7 rates</w:t>
            </w:r>
          </w:p>
        </w:tc>
      </w:tr>
      <w:tr w:rsidR="00EB00B0" w:rsidRPr="00463667" w14:paraId="3859E410" w14:textId="77777777" w:rsidTr="006740AA">
        <w:tc>
          <w:tcPr>
            <w:tcW w:w="5768" w:type="dxa"/>
            <w:tcBorders>
              <w:bottom w:val="single" w:sz="6" w:space="0" w:color="auto"/>
            </w:tcBorders>
            <w:shd w:val="clear" w:color="auto" w:fill="FFFFFF" w:themeFill="background1"/>
          </w:tcPr>
          <w:p w14:paraId="43F3799F" w14:textId="77777777" w:rsidR="00EB00B0" w:rsidRPr="00463667" w:rsidRDefault="00EB00B0" w:rsidP="00EB00B0">
            <w:pPr>
              <w:pStyle w:val="TableText"/>
            </w:pPr>
            <w:r w:rsidRPr="00EB00B0">
              <w:t>Numerator events by supplemental data</w:t>
            </w:r>
          </w:p>
        </w:tc>
        <w:tc>
          <w:tcPr>
            <w:tcW w:w="1980" w:type="dxa"/>
            <w:tcBorders>
              <w:bottom w:val="single" w:sz="6" w:space="0" w:color="auto"/>
            </w:tcBorders>
            <w:shd w:val="clear" w:color="auto" w:fill="FFFFFF" w:themeFill="background1"/>
          </w:tcPr>
          <w:p w14:paraId="6E8D9CFB" w14:textId="77777777" w:rsidR="00EB00B0" w:rsidRPr="00463667" w:rsidRDefault="00EB00B0" w:rsidP="00EB00B0">
            <w:pPr>
              <w:pStyle w:val="TableText2"/>
              <w:jc w:val="center"/>
            </w:pPr>
            <w:r w:rsidRPr="00463667">
              <w:rPr>
                <w:i/>
                <w:iCs/>
              </w:rPr>
              <w:t>Each of the 7 rates</w:t>
            </w:r>
          </w:p>
        </w:tc>
        <w:tc>
          <w:tcPr>
            <w:tcW w:w="1980" w:type="dxa"/>
            <w:tcBorders>
              <w:bottom w:val="single" w:sz="6" w:space="0" w:color="auto"/>
            </w:tcBorders>
            <w:shd w:val="clear" w:color="auto" w:fill="FFFFFF" w:themeFill="background1"/>
          </w:tcPr>
          <w:p w14:paraId="49CC2951" w14:textId="77777777" w:rsidR="00EB00B0" w:rsidRPr="00463667" w:rsidRDefault="00EB00B0" w:rsidP="00EB00B0">
            <w:pPr>
              <w:pStyle w:val="TableText"/>
              <w:jc w:val="center"/>
              <w:rPr>
                <w:i/>
                <w:iCs/>
              </w:rPr>
            </w:pPr>
            <w:r w:rsidRPr="00463667">
              <w:rPr>
                <w:i/>
                <w:iCs/>
              </w:rPr>
              <w:t>Each of the 7 rates</w:t>
            </w:r>
          </w:p>
        </w:tc>
      </w:tr>
      <w:tr w:rsidR="00EB00B0" w:rsidRPr="00463667" w14:paraId="35567504" w14:textId="77777777" w:rsidTr="006740AA">
        <w:tc>
          <w:tcPr>
            <w:tcW w:w="5768" w:type="dxa"/>
            <w:shd w:val="clear" w:color="auto" w:fill="D9D9D9" w:themeFill="background1" w:themeFillShade="D9"/>
          </w:tcPr>
          <w:p w14:paraId="6B8F1945" w14:textId="77777777" w:rsidR="00EB00B0" w:rsidRPr="00463667" w:rsidRDefault="00EB00B0" w:rsidP="00EB00B0">
            <w:pPr>
              <w:pStyle w:val="TableText"/>
            </w:pPr>
            <w:r w:rsidRPr="00463667">
              <w:t>Reported rate</w:t>
            </w:r>
          </w:p>
        </w:tc>
        <w:tc>
          <w:tcPr>
            <w:tcW w:w="1980" w:type="dxa"/>
            <w:shd w:val="clear" w:color="auto" w:fill="D9D9D9" w:themeFill="background1" w:themeFillShade="D9"/>
          </w:tcPr>
          <w:p w14:paraId="6BC955A3" w14:textId="77777777" w:rsidR="00EB00B0" w:rsidRPr="00463667" w:rsidRDefault="00EB00B0" w:rsidP="00EB00B0">
            <w:pPr>
              <w:pStyle w:val="TableText"/>
              <w:jc w:val="center"/>
            </w:pPr>
            <w:r w:rsidRPr="00463667">
              <w:rPr>
                <w:i/>
                <w:iCs/>
              </w:rPr>
              <w:t>Each of the 7 rates</w:t>
            </w:r>
          </w:p>
        </w:tc>
        <w:tc>
          <w:tcPr>
            <w:tcW w:w="1980" w:type="dxa"/>
            <w:shd w:val="clear" w:color="auto" w:fill="D9D9D9" w:themeFill="background1" w:themeFillShade="D9"/>
          </w:tcPr>
          <w:p w14:paraId="25E74BDF" w14:textId="77777777" w:rsidR="00EB00B0" w:rsidRPr="00463667" w:rsidRDefault="00EB00B0" w:rsidP="00EB00B0">
            <w:pPr>
              <w:pStyle w:val="TableText"/>
              <w:jc w:val="center"/>
              <w:rPr>
                <w:i/>
                <w:iCs/>
              </w:rPr>
            </w:pPr>
            <w:r w:rsidRPr="00463667">
              <w:rPr>
                <w:i/>
                <w:iCs/>
              </w:rPr>
              <w:t>Each of the 7 rates</w:t>
            </w:r>
          </w:p>
        </w:tc>
      </w:tr>
      <w:tr w:rsidR="00EB00B0" w:rsidRPr="00463667" w14:paraId="32DC16C4" w14:textId="77777777" w:rsidTr="006740AA">
        <w:tc>
          <w:tcPr>
            <w:tcW w:w="5768" w:type="dxa"/>
            <w:tcBorders>
              <w:bottom w:val="single" w:sz="6" w:space="0" w:color="auto"/>
            </w:tcBorders>
            <w:shd w:val="clear" w:color="auto" w:fill="FFFFFF" w:themeFill="background1"/>
          </w:tcPr>
          <w:p w14:paraId="50D3ED79" w14:textId="77777777" w:rsidR="00EB00B0" w:rsidRPr="00463667" w:rsidRDefault="00EB00B0" w:rsidP="00EB00B0">
            <w:pPr>
              <w:pStyle w:val="TableText"/>
            </w:pPr>
            <w:r w:rsidRPr="00463667">
              <w:t>Lower 95% confidence interval</w:t>
            </w:r>
          </w:p>
        </w:tc>
        <w:tc>
          <w:tcPr>
            <w:tcW w:w="1980" w:type="dxa"/>
            <w:tcBorders>
              <w:bottom w:val="single" w:sz="6" w:space="0" w:color="auto"/>
            </w:tcBorders>
            <w:shd w:val="clear" w:color="auto" w:fill="FFFFFF" w:themeFill="background1"/>
          </w:tcPr>
          <w:p w14:paraId="6D4A1EAF" w14:textId="77777777" w:rsidR="00EB00B0" w:rsidRPr="00463667" w:rsidRDefault="00EB00B0" w:rsidP="00EB00B0">
            <w:pPr>
              <w:pStyle w:val="TableText"/>
              <w:jc w:val="center"/>
            </w:pPr>
            <w:r w:rsidRPr="00463667">
              <w:rPr>
                <w:i/>
                <w:iCs/>
              </w:rPr>
              <w:t>Each of the 7 rates</w:t>
            </w:r>
          </w:p>
        </w:tc>
        <w:tc>
          <w:tcPr>
            <w:tcW w:w="1980" w:type="dxa"/>
            <w:tcBorders>
              <w:bottom w:val="single" w:sz="6" w:space="0" w:color="auto"/>
            </w:tcBorders>
            <w:shd w:val="clear" w:color="auto" w:fill="FFFFFF" w:themeFill="background1"/>
          </w:tcPr>
          <w:p w14:paraId="4F8816B6" w14:textId="77777777" w:rsidR="00EB00B0" w:rsidRPr="00463667" w:rsidRDefault="00EB00B0" w:rsidP="00EB00B0">
            <w:pPr>
              <w:pStyle w:val="TableText"/>
              <w:jc w:val="center"/>
              <w:rPr>
                <w:i/>
                <w:iCs/>
              </w:rPr>
            </w:pPr>
            <w:r w:rsidRPr="00463667">
              <w:rPr>
                <w:i/>
                <w:iCs/>
              </w:rPr>
              <w:t>Each of the 7 rates</w:t>
            </w:r>
          </w:p>
        </w:tc>
      </w:tr>
      <w:tr w:rsidR="00EB00B0" w:rsidRPr="00463667" w14:paraId="6AE5934B" w14:textId="77777777" w:rsidTr="006740AA">
        <w:tc>
          <w:tcPr>
            <w:tcW w:w="5768" w:type="dxa"/>
            <w:tcBorders>
              <w:bottom w:val="single" w:sz="6" w:space="0" w:color="auto"/>
            </w:tcBorders>
            <w:shd w:val="clear" w:color="auto" w:fill="D9D9D9" w:themeFill="background1" w:themeFillShade="D9"/>
          </w:tcPr>
          <w:p w14:paraId="40621E17" w14:textId="77777777" w:rsidR="00EB00B0" w:rsidRPr="00463667" w:rsidRDefault="00EB00B0" w:rsidP="00EB00B0">
            <w:pPr>
              <w:pStyle w:val="TableText"/>
            </w:pPr>
            <w:r w:rsidRPr="00463667">
              <w:t>Upper 95% confidence interval</w:t>
            </w:r>
          </w:p>
        </w:tc>
        <w:tc>
          <w:tcPr>
            <w:tcW w:w="1980" w:type="dxa"/>
            <w:tcBorders>
              <w:bottom w:val="single" w:sz="6" w:space="0" w:color="auto"/>
            </w:tcBorders>
            <w:shd w:val="clear" w:color="auto" w:fill="D9D9D9" w:themeFill="background1" w:themeFillShade="D9"/>
          </w:tcPr>
          <w:p w14:paraId="0F293DBD" w14:textId="77777777" w:rsidR="00EB00B0" w:rsidRPr="00463667" w:rsidRDefault="00EB00B0" w:rsidP="00EB00B0">
            <w:pPr>
              <w:pStyle w:val="TableText"/>
              <w:jc w:val="center"/>
            </w:pPr>
            <w:r w:rsidRPr="00463667">
              <w:rPr>
                <w:i/>
                <w:iCs/>
              </w:rPr>
              <w:t>Each of the 7 rates</w:t>
            </w:r>
          </w:p>
        </w:tc>
        <w:tc>
          <w:tcPr>
            <w:tcW w:w="1980" w:type="dxa"/>
            <w:tcBorders>
              <w:bottom w:val="single" w:sz="6" w:space="0" w:color="auto"/>
            </w:tcBorders>
            <w:shd w:val="clear" w:color="auto" w:fill="D9D9D9" w:themeFill="background1" w:themeFillShade="D9"/>
          </w:tcPr>
          <w:p w14:paraId="3C3225EC" w14:textId="77777777" w:rsidR="00EB00B0" w:rsidRPr="00463667" w:rsidRDefault="00EB00B0" w:rsidP="00EB00B0">
            <w:pPr>
              <w:pStyle w:val="TableText"/>
              <w:jc w:val="center"/>
            </w:pPr>
            <w:r w:rsidRPr="00463667">
              <w:rPr>
                <w:i/>
                <w:iCs/>
              </w:rPr>
              <w:t>Each of the 7 rates</w:t>
            </w:r>
          </w:p>
        </w:tc>
      </w:tr>
    </w:tbl>
    <w:p w14:paraId="2029F67F" w14:textId="77777777" w:rsidR="00A16C6D" w:rsidRDefault="00A16C6D" w:rsidP="00B852BD">
      <w:pPr>
        <w:pStyle w:val="TableText"/>
        <w:spacing w:before="120"/>
        <w:ind w:left="90" w:hanging="90"/>
      </w:pPr>
    </w:p>
    <w:p w14:paraId="3ED3985B" w14:textId="77777777" w:rsidR="007527F3" w:rsidRDefault="007527F3" w:rsidP="00B852BD">
      <w:pPr>
        <w:pStyle w:val="TableText"/>
        <w:spacing w:before="120"/>
        <w:ind w:left="90" w:hanging="90"/>
        <w:sectPr w:rsidR="007527F3" w:rsidSect="007527F3">
          <w:headerReference w:type="even" r:id="rId27"/>
          <w:pgSz w:w="12240" w:h="15840" w:code="1"/>
          <w:pgMar w:top="1080" w:right="1080" w:bottom="1080" w:left="1440" w:header="720" w:footer="720" w:gutter="0"/>
          <w:cols w:space="720"/>
          <w:docGrid w:linePitch="360"/>
        </w:sectPr>
      </w:pPr>
    </w:p>
    <w:p w14:paraId="20B30792" w14:textId="77777777" w:rsidR="00C46D88" w:rsidRDefault="00C46D88" w:rsidP="00C46D88">
      <w:pPr>
        <w:pStyle w:val="Heading2"/>
        <w:rPr>
          <w:lang w:val="pt-BR"/>
        </w:rPr>
      </w:pPr>
      <w:r>
        <w:rPr>
          <w:lang w:val="pt-BR"/>
        </w:rPr>
        <w:lastRenderedPageBreak/>
        <w:t>Statin Therapy for Patients With Diabetes (SPD)</w:t>
      </w:r>
    </w:p>
    <w:p w14:paraId="0F36255D" w14:textId="77777777" w:rsidR="00C46D88" w:rsidRPr="00C96833" w:rsidRDefault="00C46D88" w:rsidP="00C46D88">
      <w:pPr>
        <w:pStyle w:val="Heading2"/>
        <w:pBdr>
          <w:top w:val="single" w:sz="6" w:space="1" w:color="auto"/>
          <w:bottom w:val="single" w:sz="6" w:space="1" w:color="auto"/>
        </w:pBdr>
        <w:spacing w:after="0"/>
        <w:jc w:val="left"/>
      </w:pPr>
      <w:r w:rsidRPr="00C96833">
        <w:rPr>
          <w:i w:val="0"/>
          <w:smallCaps/>
          <w:sz w:val="22"/>
        </w:rPr>
        <w:t xml:space="preserve">Summary of Changes to HEDIS </w:t>
      </w:r>
      <w:r>
        <w:rPr>
          <w:i w:val="0"/>
          <w:smallCaps/>
          <w:sz w:val="22"/>
        </w:rPr>
        <w:t>2016</w:t>
      </w:r>
    </w:p>
    <w:p w14:paraId="2B44128A" w14:textId="77777777" w:rsidR="00C46D88" w:rsidRPr="00F47647" w:rsidRDefault="00C46D88" w:rsidP="007527F3">
      <w:pPr>
        <w:pStyle w:val="ProcessBullet"/>
        <w:rPr>
          <w:lang w:val="pt-BR"/>
        </w:rPr>
      </w:pPr>
      <w:r w:rsidRPr="00F47647">
        <w:t>First-year measure.</w:t>
      </w:r>
    </w:p>
    <w:p w14:paraId="6D8802FC" w14:textId="77777777" w:rsidR="00C46D88" w:rsidRPr="005D07B9" w:rsidRDefault="00C46D88" w:rsidP="00C46D88">
      <w:pPr>
        <w:pStyle w:val="StdHead"/>
      </w:pPr>
      <w:r w:rsidRPr="005D07B9">
        <w:t>Description</w:t>
      </w:r>
    </w:p>
    <w:p w14:paraId="15E768FF" w14:textId="77777777" w:rsidR="00C46D88" w:rsidRDefault="00C46D88" w:rsidP="00C46D88">
      <w:pPr>
        <w:pStyle w:val="Body"/>
        <w:rPr>
          <w:rFonts w:eastAsiaTheme="minorHAnsi" w:cs="Arial"/>
          <w:szCs w:val="20"/>
        </w:rPr>
      </w:pPr>
      <w:r>
        <w:t>The percentage of members 40–75 years of age during the measurement year with diabetes who do not have clinical atherosclerotic cardiovascular disease (ASCVD) who met the following criteria</w:t>
      </w:r>
      <w:r w:rsidRPr="006160C4">
        <w:rPr>
          <w:szCs w:val="20"/>
        </w:rPr>
        <w:t xml:space="preserve">. </w:t>
      </w:r>
      <w:r w:rsidRPr="006160C4">
        <w:rPr>
          <w:rFonts w:eastAsiaTheme="minorHAnsi" w:cs="Arial"/>
          <w:szCs w:val="20"/>
        </w:rPr>
        <w:t>Two rates are reported:</w:t>
      </w:r>
    </w:p>
    <w:p w14:paraId="69B3C465" w14:textId="4013E666" w:rsidR="00C46D88" w:rsidRDefault="00C46D88" w:rsidP="00462BA8">
      <w:pPr>
        <w:pStyle w:val="Body"/>
        <w:numPr>
          <w:ilvl w:val="0"/>
          <w:numId w:val="22"/>
        </w:numPr>
        <w:spacing w:before="120"/>
        <w:ind w:left="648" w:hanging="288"/>
        <w:rPr>
          <w:szCs w:val="20"/>
        </w:rPr>
      </w:pPr>
      <w:r>
        <w:rPr>
          <w:i/>
          <w:szCs w:val="20"/>
        </w:rPr>
        <w:t xml:space="preserve">Received Statin Therapy. </w:t>
      </w:r>
      <w:r>
        <w:rPr>
          <w:szCs w:val="20"/>
        </w:rPr>
        <w:t xml:space="preserve">Members who were dispensed </w:t>
      </w:r>
      <w:r w:rsidR="00F63BDD">
        <w:rPr>
          <w:szCs w:val="20"/>
        </w:rPr>
        <w:t xml:space="preserve">at least one </w:t>
      </w:r>
      <w:r>
        <w:rPr>
          <w:szCs w:val="20"/>
        </w:rPr>
        <w:t>statin</w:t>
      </w:r>
      <w:r w:rsidR="00F63BDD">
        <w:rPr>
          <w:szCs w:val="20"/>
        </w:rPr>
        <w:t xml:space="preserve"> medication</w:t>
      </w:r>
      <w:r>
        <w:rPr>
          <w:szCs w:val="20"/>
        </w:rPr>
        <w:t xml:space="preserve"> of any intensity during the measurement year.</w:t>
      </w:r>
    </w:p>
    <w:p w14:paraId="308234A7" w14:textId="3E23349D" w:rsidR="00C46D88" w:rsidRPr="006160C4" w:rsidRDefault="00C46D88" w:rsidP="00462BA8">
      <w:pPr>
        <w:pStyle w:val="Body"/>
        <w:numPr>
          <w:ilvl w:val="0"/>
          <w:numId w:val="22"/>
        </w:numPr>
        <w:spacing w:before="120"/>
        <w:ind w:left="648" w:hanging="288"/>
        <w:rPr>
          <w:szCs w:val="20"/>
        </w:rPr>
      </w:pPr>
      <w:r>
        <w:rPr>
          <w:i/>
          <w:szCs w:val="20"/>
        </w:rPr>
        <w:t>Statin</w:t>
      </w:r>
      <w:r w:rsidRPr="00913363">
        <w:rPr>
          <w:i/>
          <w:szCs w:val="20"/>
        </w:rPr>
        <w:t xml:space="preserve"> </w:t>
      </w:r>
      <w:r>
        <w:rPr>
          <w:i/>
          <w:szCs w:val="20"/>
        </w:rPr>
        <w:t>Adherence</w:t>
      </w:r>
      <w:r w:rsidRPr="00913363">
        <w:rPr>
          <w:i/>
          <w:szCs w:val="20"/>
        </w:rPr>
        <w:t xml:space="preserve"> 80</w:t>
      </w:r>
      <w:r w:rsidR="00F63BDD">
        <w:rPr>
          <w:i/>
          <w:szCs w:val="20"/>
        </w:rPr>
        <w:t>%</w:t>
      </w:r>
      <w:r w:rsidRPr="00913363">
        <w:rPr>
          <w:i/>
          <w:szCs w:val="20"/>
        </w:rPr>
        <w:t>.</w:t>
      </w:r>
      <w:r>
        <w:rPr>
          <w:szCs w:val="20"/>
        </w:rPr>
        <w:t xml:space="preserve"> Members who </w:t>
      </w:r>
      <w:r w:rsidR="00793A84">
        <w:rPr>
          <w:szCs w:val="20"/>
        </w:rPr>
        <w:t xml:space="preserve">remained on </w:t>
      </w:r>
      <w:r w:rsidRPr="006160C4">
        <w:rPr>
          <w:szCs w:val="20"/>
        </w:rPr>
        <w:t>a statin</w:t>
      </w:r>
      <w:r w:rsidR="00793A84">
        <w:rPr>
          <w:szCs w:val="20"/>
        </w:rPr>
        <w:t xml:space="preserve"> medication</w:t>
      </w:r>
      <w:r w:rsidRPr="006160C4">
        <w:rPr>
          <w:szCs w:val="20"/>
        </w:rPr>
        <w:t xml:space="preserve"> of </w:t>
      </w:r>
      <w:r>
        <w:rPr>
          <w:szCs w:val="20"/>
        </w:rPr>
        <w:t>any</w:t>
      </w:r>
      <w:r w:rsidRPr="006160C4">
        <w:rPr>
          <w:szCs w:val="20"/>
        </w:rPr>
        <w:t xml:space="preserve"> intensity </w:t>
      </w:r>
      <w:r>
        <w:rPr>
          <w:szCs w:val="20"/>
        </w:rPr>
        <w:t>for at least 80% of the treatment period</w:t>
      </w:r>
      <w:r w:rsidRPr="006160C4">
        <w:rPr>
          <w:szCs w:val="20"/>
        </w:rPr>
        <w:t>.</w:t>
      </w:r>
    </w:p>
    <w:p w14:paraId="0E2ABBF8" w14:textId="77777777" w:rsidR="00C46D88" w:rsidRPr="0099631E" w:rsidRDefault="00C46D88" w:rsidP="00C46D88">
      <w:pPr>
        <w:pStyle w:val="StdHead"/>
        <w:rPr>
          <w:sz w:val="24"/>
        </w:rPr>
      </w:pPr>
      <w:r w:rsidRPr="0099631E">
        <w:rPr>
          <w:szCs w:val="24"/>
        </w:rPr>
        <w:t>Definitions</w:t>
      </w:r>
    </w:p>
    <w:tbl>
      <w:tblPr>
        <w:tblW w:w="9837" w:type="dxa"/>
        <w:tblInd w:w="-90" w:type="dxa"/>
        <w:tblLayout w:type="fixed"/>
        <w:tblLook w:val="0000" w:firstRow="0" w:lastRow="0" w:firstColumn="0" w:lastColumn="0" w:noHBand="0" w:noVBand="0"/>
      </w:tblPr>
      <w:tblGrid>
        <w:gridCol w:w="2070"/>
        <w:gridCol w:w="7767"/>
      </w:tblGrid>
      <w:tr w:rsidR="00C46D88" w:rsidRPr="009B2963" w14:paraId="1DB2EB07" w14:textId="77777777" w:rsidTr="007527F3">
        <w:tc>
          <w:tcPr>
            <w:tcW w:w="2070" w:type="dxa"/>
          </w:tcPr>
          <w:p w14:paraId="1879CFA5" w14:textId="77777777" w:rsidR="00C46D88" w:rsidRPr="009B2963" w:rsidRDefault="00C46D88" w:rsidP="003814D9">
            <w:pPr>
              <w:pStyle w:val="MarginSubhead"/>
            </w:pPr>
            <w:r w:rsidRPr="009B2963">
              <w:t>IPSD</w:t>
            </w:r>
          </w:p>
        </w:tc>
        <w:tc>
          <w:tcPr>
            <w:tcW w:w="7767" w:type="dxa"/>
          </w:tcPr>
          <w:p w14:paraId="141FA969" w14:textId="77777777" w:rsidR="00C46D88" w:rsidRPr="009B2963" w:rsidRDefault="00C46D88" w:rsidP="003814D9">
            <w:pPr>
              <w:pStyle w:val="Body"/>
              <w:rPr>
                <w:iCs/>
              </w:rPr>
            </w:pPr>
            <w:r w:rsidRPr="009B2963">
              <w:rPr>
                <w:iCs/>
              </w:rPr>
              <w:t xml:space="preserve">Index prescription start date. The earliest prescription dispensing date for any statin medication of </w:t>
            </w:r>
            <w:r>
              <w:rPr>
                <w:iCs/>
              </w:rPr>
              <w:t>any</w:t>
            </w:r>
            <w:r w:rsidRPr="009B2963">
              <w:rPr>
                <w:iCs/>
              </w:rPr>
              <w:t xml:space="preserve"> intensity during the measurement year. </w:t>
            </w:r>
          </w:p>
        </w:tc>
      </w:tr>
      <w:tr w:rsidR="00C46D88" w:rsidRPr="009B2963" w14:paraId="2DF64756" w14:textId="77777777" w:rsidTr="007527F3">
        <w:tc>
          <w:tcPr>
            <w:tcW w:w="2070" w:type="dxa"/>
          </w:tcPr>
          <w:p w14:paraId="73EF22C3" w14:textId="77777777" w:rsidR="00C46D88" w:rsidRPr="009B2963" w:rsidRDefault="00C46D88" w:rsidP="003814D9">
            <w:pPr>
              <w:pStyle w:val="MarginSubhead"/>
            </w:pPr>
            <w:r w:rsidRPr="009B2963">
              <w:t xml:space="preserve">Treatment </w:t>
            </w:r>
            <w:r>
              <w:t>p</w:t>
            </w:r>
            <w:r w:rsidRPr="009B2963">
              <w:t>eriod</w:t>
            </w:r>
          </w:p>
        </w:tc>
        <w:tc>
          <w:tcPr>
            <w:tcW w:w="7767" w:type="dxa"/>
          </w:tcPr>
          <w:p w14:paraId="38158E06" w14:textId="77777777" w:rsidR="00C46D88" w:rsidRPr="009B2963" w:rsidRDefault="00C46D88" w:rsidP="003814D9">
            <w:pPr>
              <w:pStyle w:val="Body"/>
              <w:rPr>
                <w:iCs/>
              </w:rPr>
            </w:pPr>
            <w:r w:rsidRPr="009B2963">
              <w:rPr>
                <w:iCs/>
              </w:rPr>
              <w:t>The period of time beginning on the IPSD through the last day of the measurement year.</w:t>
            </w:r>
          </w:p>
        </w:tc>
      </w:tr>
      <w:tr w:rsidR="00C46D88" w:rsidRPr="009B2963" w14:paraId="4AE269F5" w14:textId="77777777" w:rsidTr="007527F3">
        <w:trPr>
          <w:trHeight w:val="747"/>
        </w:trPr>
        <w:tc>
          <w:tcPr>
            <w:tcW w:w="2070" w:type="dxa"/>
          </w:tcPr>
          <w:p w14:paraId="5C1B68D6" w14:textId="77777777" w:rsidR="00C46D88" w:rsidRPr="009B2963" w:rsidRDefault="00C46D88" w:rsidP="003814D9">
            <w:pPr>
              <w:pStyle w:val="MarginSubhead"/>
            </w:pPr>
            <w:r w:rsidRPr="009B2963">
              <w:t>PDC</w:t>
            </w:r>
          </w:p>
        </w:tc>
        <w:tc>
          <w:tcPr>
            <w:tcW w:w="7767" w:type="dxa"/>
          </w:tcPr>
          <w:p w14:paraId="2291B53B" w14:textId="77777777" w:rsidR="00C46D88" w:rsidRPr="009B2963" w:rsidRDefault="00C46D88" w:rsidP="003814D9">
            <w:pPr>
              <w:pStyle w:val="Body"/>
            </w:pPr>
            <w:r w:rsidRPr="009B2963">
              <w:t>Proportion of days covered. The number of days the member is covered by at least one statin medication prescription of appropriate intensity, divided by the number of days in the treatment period.</w:t>
            </w:r>
          </w:p>
        </w:tc>
      </w:tr>
      <w:tr w:rsidR="00C46D88" w:rsidRPr="009B2963" w14:paraId="66B4F8F9" w14:textId="77777777" w:rsidTr="007527F3">
        <w:tc>
          <w:tcPr>
            <w:tcW w:w="2070" w:type="dxa"/>
          </w:tcPr>
          <w:p w14:paraId="6B07A774" w14:textId="77777777" w:rsidR="00C46D88" w:rsidRPr="009B2963" w:rsidRDefault="00C46D88" w:rsidP="003814D9">
            <w:pPr>
              <w:pStyle w:val="MarginSubhead"/>
            </w:pPr>
            <w:r w:rsidRPr="009B2963">
              <w:t xml:space="preserve">Calculating number of days covered for multiple prescriptions </w:t>
            </w:r>
          </w:p>
        </w:tc>
        <w:tc>
          <w:tcPr>
            <w:tcW w:w="7767" w:type="dxa"/>
          </w:tcPr>
          <w:p w14:paraId="1FB009F9" w14:textId="2CBA6D92" w:rsidR="00C46D88" w:rsidRPr="009B2963" w:rsidRDefault="00C46D88" w:rsidP="003814D9">
            <w:pPr>
              <w:pStyle w:val="Body"/>
            </w:pPr>
            <w:r w:rsidRPr="009B2963">
              <w:t>If multiple prescriptions for different medications are dispensed on the same day, calculate number of days covered by a statin medication (for the numerator) using the prescriptions with the longest days supply. For multiple different prescriptions dispensed on different days with overlapping days supply, count each day within the treatment period only once toward the numerator.</w:t>
            </w:r>
            <w:r w:rsidR="0013524C">
              <w:t xml:space="preserve"> </w:t>
            </w:r>
          </w:p>
          <w:p w14:paraId="3F7B609C" w14:textId="0A531CD8" w:rsidR="00C46D88" w:rsidRPr="009B2963" w:rsidRDefault="00C46D88" w:rsidP="003814D9">
            <w:pPr>
              <w:pStyle w:val="Body"/>
            </w:pPr>
            <w:r w:rsidRPr="009B2963">
              <w:t>If multiple prescriptions for the same medication are dispensed on the same or different day, sum the days supply and use the total to calculate the number of days covered by a statin medication (for the numerator). For example, three prescriptions for the same medication are</w:t>
            </w:r>
            <w:r w:rsidR="005B0C79">
              <w:t xml:space="preserve"> </w:t>
            </w:r>
            <w:r w:rsidRPr="009B2963">
              <w:t>dispensed on the same day, each with a 30-day supply, sum the days supply for a total of 90 days covered by a statin. Subtract any days supply that extends beyond December 31 of the measurement year.</w:t>
            </w:r>
          </w:p>
          <w:p w14:paraId="7B3621A0" w14:textId="77777777" w:rsidR="00C46D88" w:rsidRPr="009B2963" w:rsidRDefault="00C46D88" w:rsidP="003814D9">
            <w:pPr>
              <w:pStyle w:val="Body"/>
            </w:pPr>
            <w:r w:rsidRPr="009B2963">
              <w:t>Use the drug ID provided by the NDC to determine if the prescriptions are the same or different.</w:t>
            </w:r>
          </w:p>
        </w:tc>
      </w:tr>
    </w:tbl>
    <w:p w14:paraId="47C0606B" w14:textId="77777777" w:rsidR="00C46D88" w:rsidRPr="005D07B9" w:rsidRDefault="00C46D88" w:rsidP="00C46D88">
      <w:pPr>
        <w:pStyle w:val="StdHead"/>
      </w:pPr>
      <w:r w:rsidRPr="005D07B9">
        <w:t>Eligible Population</w:t>
      </w:r>
      <w:r>
        <w:t xml:space="preserve">: </w:t>
      </w:r>
      <w:r w:rsidRPr="00EC29D4">
        <w:rPr>
          <w:i/>
        </w:rPr>
        <w:t>Rate 1</w:t>
      </w:r>
      <w:r>
        <w:t>—</w:t>
      </w:r>
      <w:r w:rsidRPr="00913363">
        <w:t>Received Statin Therapy</w:t>
      </w:r>
    </w:p>
    <w:tbl>
      <w:tblPr>
        <w:tblW w:w="9837" w:type="dxa"/>
        <w:tblInd w:w="-90" w:type="dxa"/>
        <w:tblLayout w:type="fixed"/>
        <w:tblLook w:val="0000" w:firstRow="0" w:lastRow="0" w:firstColumn="0" w:lastColumn="0" w:noHBand="0" w:noVBand="0"/>
      </w:tblPr>
      <w:tblGrid>
        <w:gridCol w:w="2070"/>
        <w:gridCol w:w="7767"/>
      </w:tblGrid>
      <w:tr w:rsidR="00C46D88" w:rsidRPr="005D07B9" w14:paraId="5333D899" w14:textId="77777777" w:rsidTr="007527F3">
        <w:tc>
          <w:tcPr>
            <w:tcW w:w="2070" w:type="dxa"/>
          </w:tcPr>
          <w:p w14:paraId="3A3FBB4B" w14:textId="77777777" w:rsidR="00C46D88" w:rsidRPr="005D07B9" w:rsidRDefault="00C46D88" w:rsidP="003814D9">
            <w:pPr>
              <w:pStyle w:val="MarginSubhead"/>
            </w:pPr>
            <w:r w:rsidRPr="005D07B9">
              <w:t>Product lines</w:t>
            </w:r>
          </w:p>
        </w:tc>
        <w:tc>
          <w:tcPr>
            <w:tcW w:w="7767" w:type="dxa"/>
          </w:tcPr>
          <w:p w14:paraId="3A00FE98" w14:textId="77777777" w:rsidR="00C46D88" w:rsidRPr="005D07B9" w:rsidRDefault="00C46D88" w:rsidP="003814D9">
            <w:pPr>
              <w:pStyle w:val="Body"/>
            </w:pPr>
            <w:r w:rsidRPr="005D07B9">
              <w:t>Commercial, Medicaid, Medicare (report each product line separately).</w:t>
            </w:r>
          </w:p>
        </w:tc>
      </w:tr>
      <w:tr w:rsidR="00C46D88" w:rsidRPr="005D07B9" w14:paraId="2B88FFC3" w14:textId="77777777" w:rsidTr="007527F3">
        <w:tc>
          <w:tcPr>
            <w:tcW w:w="2070" w:type="dxa"/>
          </w:tcPr>
          <w:p w14:paraId="07093516" w14:textId="77777777" w:rsidR="00C46D88" w:rsidRPr="005D07B9" w:rsidRDefault="00C46D88" w:rsidP="003814D9">
            <w:pPr>
              <w:pStyle w:val="MarginSubhead"/>
            </w:pPr>
            <w:r w:rsidRPr="005D07B9">
              <w:t>Ages</w:t>
            </w:r>
          </w:p>
        </w:tc>
        <w:tc>
          <w:tcPr>
            <w:tcW w:w="7767" w:type="dxa"/>
          </w:tcPr>
          <w:p w14:paraId="074635C2" w14:textId="77777777" w:rsidR="00C46D88" w:rsidRPr="005D07B9" w:rsidRDefault="00C46D88" w:rsidP="003814D9">
            <w:pPr>
              <w:pStyle w:val="Body"/>
            </w:pPr>
            <w:r>
              <w:t>40</w:t>
            </w:r>
            <w:r w:rsidRPr="005D07B9">
              <w:t>–75 years as of December 31 of the measurement year.</w:t>
            </w:r>
          </w:p>
        </w:tc>
      </w:tr>
      <w:tr w:rsidR="00C46D88" w:rsidRPr="005D07B9" w14:paraId="2BC6EAE7" w14:textId="77777777" w:rsidTr="007527F3">
        <w:tc>
          <w:tcPr>
            <w:tcW w:w="2070" w:type="dxa"/>
          </w:tcPr>
          <w:p w14:paraId="41C89CBA" w14:textId="77777777" w:rsidR="00C46D88" w:rsidRPr="005D07B9" w:rsidRDefault="00C46D88" w:rsidP="003814D9">
            <w:pPr>
              <w:pStyle w:val="MarginSubhead"/>
            </w:pPr>
            <w:r w:rsidRPr="005D07B9">
              <w:t>Continuous enrollment</w:t>
            </w:r>
          </w:p>
        </w:tc>
        <w:tc>
          <w:tcPr>
            <w:tcW w:w="7767" w:type="dxa"/>
          </w:tcPr>
          <w:p w14:paraId="483170F3" w14:textId="77777777" w:rsidR="00C46D88" w:rsidRPr="005D07B9" w:rsidRDefault="00C46D88" w:rsidP="003814D9">
            <w:pPr>
              <w:pStyle w:val="Body"/>
            </w:pPr>
            <w:r w:rsidRPr="002D4C6D">
              <w:t>The measurement year</w:t>
            </w:r>
            <w:r>
              <w:t xml:space="preserve"> and the year prior to the measurement year</w:t>
            </w:r>
            <w:r w:rsidRPr="002D4C6D">
              <w:t>.</w:t>
            </w:r>
            <w:r w:rsidRPr="005D07B9">
              <w:t xml:space="preserve"> </w:t>
            </w:r>
          </w:p>
        </w:tc>
      </w:tr>
    </w:tbl>
    <w:p w14:paraId="26EA2D39" w14:textId="77777777" w:rsidR="007527F3" w:rsidRDefault="007527F3">
      <w:pPr>
        <w:sectPr w:rsidR="007527F3" w:rsidSect="007527F3">
          <w:headerReference w:type="even" r:id="rId28"/>
          <w:headerReference w:type="default" r:id="rId29"/>
          <w:pgSz w:w="12240" w:h="15840" w:code="1"/>
          <w:pgMar w:top="1080" w:right="1080" w:bottom="1080" w:left="1440" w:header="720" w:footer="720" w:gutter="0"/>
          <w:cols w:space="720"/>
          <w:docGrid w:linePitch="360"/>
        </w:sectPr>
      </w:pPr>
    </w:p>
    <w:tbl>
      <w:tblPr>
        <w:tblW w:w="9837" w:type="dxa"/>
        <w:tblInd w:w="-90" w:type="dxa"/>
        <w:tblLayout w:type="fixed"/>
        <w:tblLook w:val="0000" w:firstRow="0" w:lastRow="0" w:firstColumn="0" w:lastColumn="0" w:noHBand="0" w:noVBand="0"/>
      </w:tblPr>
      <w:tblGrid>
        <w:gridCol w:w="2070"/>
        <w:gridCol w:w="7740"/>
        <w:gridCol w:w="27"/>
      </w:tblGrid>
      <w:tr w:rsidR="00C46D88" w:rsidRPr="005D07B9" w14:paraId="26D6E73F" w14:textId="77777777" w:rsidTr="007527F3">
        <w:tc>
          <w:tcPr>
            <w:tcW w:w="2070" w:type="dxa"/>
          </w:tcPr>
          <w:p w14:paraId="092E647B" w14:textId="77777777" w:rsidR="00C46D88" w:rsidRPr="005D07B9" w:rsidRDefault="00C46D88" w:rsidP="007527F3">
            <w:pPr>
              <w:pStyle w:val="MarginSubhead"/>
              <w:spacing w:before="0"/>
            </w:pPr>
            <w:r w:rsidRPr="005D07B9">
              <w:lastRenderedPageBreak/>
              <w:t>Allowable gap</w:t>
            </w:r>
          </w:p>
        </w:tc>
        <w:tc>
          <w:tcPr>
            <w:tcW w:w="7767" w:type="dxa"/>
            <w:gridSpan w:val="2"/>
          </w:tcPr>
          <w:p w14:paraId="53D17DE0" w14:textId="77777777" w:rsidR="00C46D88" w:rsidRPr="005D07B9" w:rsidRDefault="00C46D88" w:rsidP="007527F3">
            <w:pPr>
              <w:pStyle w:val="Body"/>
              <w:spacing w:before="0"/>
            </w:pPr>
            <w:r w:rsidRPr="005D07B9">
              <w:t xml:space="preserve">No more than one gap in enrollment of up to 45 days during the measurement year. To determine continuous enrollment for a Medicaid beneficiary for whom enrollment is verified monthly, the member may not have more than a 1-month gap in coverage (i.e., a member whose coverage lapses for 2 months [60 days] is not considered continuously enrolled). </w:t>
            </w:r>
          </w:p>
        </w:tc>
      </w:tr>
      <w:tr w:rsidR="00C46D88" w:rsidRPr="005D07B9" w14:paraId="3136EC2E" w14:textId="77777777" w:rsidTr="007527F3">
        <w:tc>
          <w:tcPr>
            <w:tcW w:w="2070" w:type="dxa"/>
          </w:tcPr>
          <w:p w14:paraId="1D7232CE" w14:textId="77777777" w:rsidR="00C46D88" w:rsidRPr="00FB05E0" w:rsidRDefault="00C46D88" w:rsidP="003814D9">
            <w:pPr>
              <w:pStyle w:val="MarginSubhead"/>
            </w:pPr>
            <w:r w:rsidRPr="00FB05E0">
              <w:t>Anchor date</w:t>
            </w:r>
          </w:p>
        </w:tc>
        <w:tc>
          <w:tcPr>
            <w:tcW w:w="7767" w:type="dxa"/>
            <w:gridSpan w:val="2"/>
          </w:tcPr>
          <w:p w14:paraId="4113D749" w14:textId="77777777" w:rsidR="00C46D88" w:rsidRPr="00FB05E0" w:rsidRDefault="00C46D88" w:rsidP="003814D9">
            <w:pPr>
              <w:pStyle w:val="Body"/>
            </w:pPr>
            <w:r w:rsidRPr="00FB05E0">
              <w:t>December 31 of the measurement year.</w:t>
            </w:r>
          </w:p>
        </w:tc>
      </w:tr>
      <w:tr w:rsidR="00C46D88" w:rsidRPr="005D07B9" w14:paraId="366418DA" w14:textId="77777777" w:rsidTr="007527F3">
        <w:tc>
          <w:tcPr>
            <w:tcW w:w="2070" w:type="dxa"/>
          </w:tcPr>
          <w:p w14:paraId="230F6054" w14:textId="77777777" w:rsidR="00C46D88" w:rsidRPr="00FB05E0" w:rsidRDefault="00C46D88" w:rsidP="003814D9">
            <w:pPr>
              <w:pStyle w:val="MarginSubhead"/>
            </w:pPr>
            <w:r w:rsidRPr="00FB05E0">
              <w:t>Benefit</w:t>
            </w:r>
          </w:p>
        </w:tc>
        <w:tc>
          <w:tcPr>
            <w:tcW w:w="7767" w:type="dxa"/>
            <w:gridSpan w:val="2"/>
          </w:tcPr>
          <w:p w14:paraId="1FEF3229" w14:textId="2B3C6042" w:rsidR="00C46D88" w:rsidRPr="00FB05E0" w:rsidRDefault="00C46D88" w:rsidP="00793A84">
            <w:pPr>
              <w:pStyle w:val="Body"/>
            </w:pPr>
            <w:r w:rsidRPr="00FB05E0">
              <w:t>Medical</w:t>
            </w:r>
            <w:r w:rsidR="00793A84">
              <w:t xml:space="preserve">. </w:t>
            </w:r>
            <w:r w:rsidRPr="00FB05E0">
              <w:t>Pharmacy during the measurement year.</w:t>
            </w:r>
          </w:p>
        </w:tc>
      </w:tr>
      <w:tr w:rsidR="00C46D88" w:rsidRPr="005D07B9" w14:paraId="4DB67C49" w14:textId="77777777" w:rsidTr="007527F3">
        <w:tc>
          <w:tcPr>
            <w:tcW w:w="2070" w:type="dxa"/>
          </w:tcPr>
          <w:p w14:paraId="391A2163" w14:textId="77777777" w:rsidR="00C46D88" w:rsidRPr="00FB05E0" w:rsidRDefault="00C46D88" w:rsidP="003814D9">
            <w:pPr>
              <w:pStyle w:val="MarginSubhead"/>
            </w:pPr>
            <w:r w:rsidRPr="00FB05E0">
              <w:t>Event/ diagnosis</w:t>
            </w:r>
          </w:p>
        </w:tc>
        <w:tc>
          <w:tcPr>
            <w:tcW w:w="7767" w:type="dxa"/>
            <w:gridSpan w:val="2"/>
          </w:tcPr>
          <w:p w14:paraId="3A7FA3AA" w14:textId="77777777" w:rsidR="00C46D88" w:rsidRPr="00FB05E0" w:rsidRDefault="00C46D88" w:rsidP="003814D9">
            <w:pPr>
              <w:pStyle w:val="Body"/>
            </w:pPr>
            <w:r w:rsidRPr="00FB05E0">
              <w:t>Follow the steps below to identify the eligible population.</w:t>
            </w:r>
          </w:p>
        </w:tc>
      </w:tr>
      <w:tr w:rsidR="00C46D88" w:rsidRPr="005D07B9" w14:paraId="68BE6D61" w14:textId="77777777" w:rsidTr="007527F3">
        <w:tc>
          <w:tcPr>
            <w:tcW w:w="2070" w:type="dxa"/>
          </w:tcPr>
          <w:p w14:paraId="6CCAD9F4" w14:textId="77777777" w:rsidR="00C46D88" w:rsidRPr="002373BC" w:rsidRDefault="00C46D88" w:rsidP="003814D9">
            <w:pPr>
              <w:pStyle w:val="MarginSubhead"/>
              <w:jc w:val="right"/>
              <w:rPr>
                <w:i/>
              </w:rPr>
            </w:pPr>
            <w:r w:rsidRPr="002373BC">
              <w:rPr>
                <w:i/>
              </w:rPr>
              <w:t>Step 1</w:t>
            </w:r>
          </w:p>
        </w:tc>
        <w:tc>
          <w:tcPr>
            <w:tcW w:w="7767" w:type="dxa"/>
            <w:gridSpan w:val="2"/>
          </w:tcPr>
          <w:p w14:paraId="3D1852E3" w14:textId="77777777" w:rsidR="00C46D88" w:rsidRPr="00F536BE" w:rsidRDefault="00C46D88" w:rsidP="003814D9">
            <w:pPr>
              <w:pStyle w:val="Body"/>
            </w:pPr>
            <w:r w:rsidRPr="00F536BE">
              <w:t>There are two ways to identify members with diabetes: by claim/encounter data and by pharmacy data. The organization must use both methods to identify the eligible population, but a member only needs to be identified by one method to be included in the measure. Members may be identified as having diabetes during the measurement year or the year prior to the measurement year.</w:t>
            </w:r>
          </w:p>
          <w:p w14:paraId="6930A202" w14:textId="77777777" w:rsidR="00C46D88" w:rsidRPr="00F536BE" w:rsidRDefault="00C46D88" w:rsidP="003814D9">
            <w:pPr>
              <w:pStyle w:val="Body"/>
            </w:pPr>
            <w:r w:rsidRPr="00F536BE">
              <w:rPr>
                <w:i/>
                <w:szCs w:val="20"/>
              </w:rPr>
              <w:t>Claim/encounter data.</w:t>
            </w:r>
            <w:r w:rsidRPr="00F536BE">
              <w:rPr>
                <w:szCs w:val="20"/>
              </w:rPr>
              <w:t xml:space="preserve"> </w:t>
            </w:r>
            <w:r w:rsidRPr="00F536BE">
              <w:t>Members who met any of the following criteria during the measurement year or the year prior to the measurement year (count services that occur over both years):</w:t>
            </w:r>
          </w:p>
          <w:p w14:paraId="09C414E0" w14:textId="46459FD7" w:rsidR="00C46D88" w:rsidRPr="00F536BE" w:rsidRDefault="00C46D88" w:rsidP="003814D9">
            <w:pPr>
              <w:pStyle w:val="Bullet"/>
            </w:pPr>
            <w:r w:rsidRPr="00F536BE">
              <w:t>At least two outpatient visits (</w:t>
            </w:r>
            <w:r w:rsidRPr="00F536BE">
              <w:rPr>
                <w:u w:val="single"/>
              </w:rPr>
              <w:t>Outpatient Value Set</w:t>
            </w:r>
            <w:r w:rsidRPr="00F536BE">
              <w:t>), observation visits (</w:t>
            </w:r>
            <w:r w:rsidRPr="00F536BE">
              <w:rPr>
                <w:u w:val="single"/>
              </w:rPr>
              <w:t>Observation Value Set</w:t>
            </w:r>
            <w:r w:rsidRPr="00F536BE">
              <w:t>), ED visits (</w:t>
            </w:r>
            <w:r w:rsidRPr="00F536BE">
              <w:rPr>
                <w:u w:val="single"/>
              </w:rPr>
              <w:t>ED Value Set</w:t>
            </w:r>
            <w:r w:rsidRPr="00F536BE">
              <w:t>) or non</w:t>
            </w:r>
            <w:r>
              <w:t>-</w:t>
            </w:r>
            <w:r w:rsidRPr="00F536BE">
              <w:t>acute inpatient encounters (</w:t>
            </w:r>
            <w:r w:rsidRPr="00F536BE">
              <w:rPr>
                <w:u w:val="single"/>
              </w:rPr>
              <w:t>Nonacute Inpatient Value Set</w:t>
            </w:r>
            <w:r w:rsidRPr="00F536BE">
              <w:t>) on different dates of service, with a diagnosis of diabetes (</w:t>
            </w:r>
            <w:r w:rsidRPr="00F536BE">
              <w:rPr>
                <w:u w:val="single"/>
              </w:rPr>
              <w:t>Diabetes Value Set</w:t>
            </w:r>
            <w:r w:rsidRPr="00F536BE">
              <w:t>). Visit type need not be the same for the two visits.</w:t>
            </w:r>
          </w:p>
          <w:p w14:paraId="4261894D" w14:textId="77777777" w:rsidR="00C46D88" w:rsidRPr="00F536BE" w:rsidRDefault="00C46D88" w:rsidP="003814D9">
            <w:pPr>
              <w:pStyle w:val="Bullet"/>
            </w:pPr>
            <w:r w:rsidRPr="00F536BE">
              <w:t>At least one acute inpatient encounter (</w:t>
            </w:r>
            <w:r w:rsidRPr="00F536BE">
              <w:rPr>
                <w:u w:val="single"/>
              </w:rPr>
              <w:t>Acute Inpatient Value Set</w:t>
            </w:r>
            <w:r w:rsidRPr="00F536BE">
              <w:t>) with a diagnosis of diabetes (</w:t>
            </w:r>
            <w:r w:rsidRPr="00F536BE">
              <w:rPr>
                <w:u w:val="single"/>
              </w:rPr>
              <w:t>Diabetes Value Set</w:t>
            </w:r>
            <w:r w:rsidRPr="00F536BE">
              <w:t>).</w:t>
            </w:r>
          </w:p>
          <w:p w14:paraId="32DD2418" w14:textId="77777777" w:rsidR="00C46D88" w:rsidRPr="005D07B9" w:rsidRDefault="00C46D88" w:rsidP="003814D9">
            <w:pPr>
              <w:pStyle w:val="Body"/>
            </w:pPr>
            <w:r w:rsidRPr="00F536BE">
              <w:rPr>
                <w:i/>
              </w:rPr>
              <w:t>Pharmacy data</w:t>
            </w:r>
            <w:r w:rsidRPr="00F536BE">
              <w:t>. Members who were dispensed insulin or hypoglycemics/ anti</w:t>
            </w:r>
            <w:r>
              <w:t>-</w:t>
            </w:r>
            <w:r w:rsidRPr="00F536BE">
              <w:t xml:space="preserve">hyperglycemics on an ambulatory basis </w:t>
            </w:r>
            <w:r w:rsidRPr="00D25771">
              <w:t>during the measurement year or the year prior to the measurement year</w:t>
            </w:r>
            <w:r w:rsidRPr="00F536BE">
              <w:t xml:space="preserve"> (Table CDC-A).</w:t>
            </w:r>
          </w:p>
        </w:tc>
      </w:tr>
      <w:tr w:rsidR="00C46D88" w:rsidRPr="002D4C6D" w14:paraId="34FBA28F" w14:textId="77777777" w:rsidTr="006A591C">
        <w:trPr>
          <w:gridAfter w:val="1"/>
          <w:wAfter w:w="27" w:type="dxa"/>
        </w:trPr>
        <w:tc>
          <w:tcPr>
            <w:tcW w:w="2052" w:type="dxa"/>
          </w:tcPr>
          <w:p w14:paraId="40D8B1E1" w14:textId="77777777" w:rsidR="00C46D88" w:rsidRPr="006A591C" w:rsidRDefault="00C46D88" w:rsidP="003814D9">
            <w:pPr>
              <w:pStyle w:val="MarginSubhead"/>
              <w:spacing w:before="240"/>
              <w:jc w:val="right"/>
              <w:rPr>
                <w:i/>
              </w:rPr>
            </w:pPr>
            <w:r w:rsidRPr="006A591C">
              <w:rPr>
                <w:i/>
              </w:rPr>
              <w:t xml:space="preserve">Step 2: </w:t>
            </w:r>
            <w:r w:rsidRPr="006A591C">
              <w:rPr>
                <w:i/>
              </w:rPr>
              <w:br/>
              <w:t>Required exclusions</w:t>
            </w:r>
          </w:p>
        </w:tc>
        <w:tc>
          <w:tcPr>
            <w:tcW w:w="7740" w:type="dxa"/>
          </w:tcPr>
          <w:p w14:paraId="542CD80F" w14:textId="77777777" w:rsidR="00C46D88" w:rsidRDefault="00C46D88" w:rsidP="003814D9">
            <w:pPr>
              <w:pStyle w:val="Body"/>
              <w:spacing w:before="240"/>
            </w:pPr>
            <w:r>
              <w:t>Exclude members who meet any of the following criteria:</w:t>
            </w:r>
          </w:p>
          <w:p w14:paraId="576990B0" w14:textId="77777777" w:rsidR="00C46D88" w:rsidRPr="002C2447" w:rsidRDefault="00C46D88" w:rsidP="003814D9">
            <w:pPr>
              <w:pStyle w:val="Bullet"/>
            </w:pPr>
            <w:r w:rsidRPr="002C2447">
              <w:t xml:space="preserve">Members </w:t>
            </w:r>
            <w:r>
              <w:t xml:space="preserve">with cardiovascular disease </w:t>
            </w:r>
            <w:r w:rsidRPr="002C2447">
              <w:t xml:space="preserve">are identified in two ways: by event or by diagnosis. The organization must use </w:t>
            </w:r>
            <w:r w:rsidRPr="002C2447">
              <w:rPr>
                <w:i/>
              </w:rPr>
              <w:t>both</w:t>
            </w:r>
            <w:r w:rsidRPr="002C2447">
              <w:t xml:space="preserve"> methods to identify th</w:t>
            </w:r>
            <w:r>
              <w:t>is</w:t>
            </w:r>
            <w:r w:rsidRPr="002C2447">
              <w:t xml:space="preserve"> population, but a member only needs to be identified by one </w:t>
            </w:r>
            <w:r>
              <w:t xml:space="preserve">method </w:t>
            </w:r>
            <w:r w:rsidRPr="002C2447">
              <w:t xml:space="preserve">to be </w:t>
            </w:r>
            <w:r>
              <w:t>ex</w:t>
            </w:r>
            <w:r w:rsidRPr="002C2447">
              <w:t xml:space="preserve">cluded </w:t>
            </w:r>
            <w:r>
              <w:t>from</w:t>
            </w:r>
            <w:r w:rsidRPr="002C2447">
              <w:t xml:space="preserve"> the measure.</w:t>
            </w:r>
          </w:p>
          <w:p w14:paraId="07E09698" w14:textId="77777777" w:rsidR="00C46D88" w:rsidRPr="002C2447" w:rsidRDefault="00C46D88" w:rsidP="003814D9">
            <w:pPr>
              <w:pStyle w:val="Dash"/>
            </w:pPr>
            <w:r w:rsidRPr="002C2447">
              <w:rPr>
                <w:i/>
              </w:rPr>
              <w:t>Event.</w:t>
            </w:r>
            <w:r w:rsidRPr="002C2447">
              <w:t xml:space="preserve"> Any of the following during the year prior to the measurement year meet criteria:</w:t>
            </w:r>
          </w:p>
          <w:p w14:paraId="4E881267" w14:textId="04E68DBC" w:rsidR="003814D9" w:rsidRDefault="00C46D88" w:rsidP="006041E8">
            <w:pPr>
              <w:pStyle w:val="Bullet"/>
              <w:numPr>
                <w:ilvl w:val="0"/>
                <w:numId w:val="46"/>
              </w:numPr>
              <w:spacing w:before="60"/>
              <w:ind w:left="1008"/>
            </w:pPr>
            <w:r w:rsidRPr="00FB05E0">
              <w:t>MI. Discharged from an inpatient setting with an MI (</w:t>
            </w:r>
            <w:r w:rsidRPr="00FB05E0">
              <w:rPr>
                <w:u w:val="single"/>
              </w:rPr>
              <w:t>MI Value Set</w:t>
            </w:r>
            <w:r w:rsidRPr="00FB05E0">
              <w:t>).</w:t>
            </w:r>
            <w:r w:rsidR="0013524C">
              <w:t xml:space="preserve"> </w:t>
            </w:r>
            <w:r w:rsidR="003814D9">
              <w:t>To identify discharges:</w:t>
            </w:r>
          </w:p>
          <w:p w14:paraId="5536DCB2" w14:textId="77777777" w:rsidR="003814D9" w:rsidRDefault="003814D9" w:rsidP="00F44779">
            <w:pPr>
              <w:pStyle w:val="Bullet"/>
              <w:numPr>
                <w:ilvl w:val="0"/>
                <w:numId w:val="26"/>
              </w:numPr>
              <w:spacing w:before="0"/>
              <w:ind w:left="1224"/>
            </w:pPr>
            <w:r>
              <w:t>Identify all acute and nonacute inpatient stays (</w:t>
            </w:r>
            <w:r w:rsidRPr="00EC6947">
              <w:rPr>
                <w:u w:val="single"/>
              </w:rPr>
              <w:t>Inpatient Stay Value Set</w:t>
            </w:r>
            <w:r>
              <w:t>).</w:t>
            </w:r>
          </w:p>
          <w:p w14:paraId="4DFDF2D9" w14:textId="66BE43EA" w:rsidR="00C46D88" w:rsidRPr="00FB05E0" w:rsidRDefault="003814D9" w:rsidP="00F44779">
            <w:pPr>
              <w:pStyle w:val="Bullet"/>
              <w:numPr>
                <w:ilvl w:val="0"/>
                <w:numId w:val="26"/>
              </w:numPr>
              <w:spacing w:before="0"/>
              <w:ind w:left="1224"/>
            </w:pPr>
            <w:r>
              <w:t>Identify the discharge date for the stay.</w:t>
            </w:r>
          </w:p>
          <w:p w14:paraId="28CECF58" w14:textId="038B99F9" w:rsidR="003814D9" w:rsidRDefault="00C46D88" w:rsidP="006041E8">
            <w:pPr>
              <w:pStyle w:val="Bullet"/>
              <w:numPr>
                <w:ilvl w:val="0"/>
                <w:numId w:val="47"/>
              </w:numPr>
              <w:spacing w:before="60"/>
              <w:ind w:left="1008"/>
            </w:pPr>
            <w:r w:rsidRPr="00FB05E0">
              <w:t>CABG. Discharged from an inpatient setting with a CABG (</w:t>
            </w:r>
            <w:r w:rsidRPr="00FB05E0">
              <w:rPr>
                <w:u w:val="single"/>
              </w:rPr>
              <w:t>CABG Value Set</w:t>
            </w:r>
            <w:r w:rsidRPr="00FB05E0">
              <w:t xml:space="preserve">). </w:t>
            </w:r>
            <w:r w:rsidR="003814D9">
              <w:t>To identify discharges:</w:t>
            </w:r>
          </w:p>
          <w:p w14:paraId="20F524D5" w14:textId="77777777" w:rsidR="003814D9" w:rsidRDefault="003814D9" w:rsidP="00F44779">
            <w:pPr>
              <w:pStyle w:val="Dash"/>
              <w:numPr>
                <w:ilvl w:val="0"/>
                <w:numId w:val="31"/>
              </w:numPr>
              <w:spacing w:before="0"/>
              <w:ind w:left="1224"/>
            </w:pPr>
            <w:r>
              <w:t>Identify all acute and nonacute inpatient stays (</w:t>
            </w:r>
            <w:r w:rsidRPr="006A591C">
              <w:rPr>
                <w:u w:val="single"/>
              </w:rPr>
              <w:t>Inpatient Stay Value Set</w:t>
            </w:r>
            <w:r>
              <w:t>).</w:t>
            </w:r>
          </w:p>
          <w:p w14:paraId="31FF94C9" w14:textId="3F401B47" w:rsidR="00C46D88" w:rsidRPr="002D4C6D" w:rsidRDefault="003814D9" w:rsidP="00F44779">
            <w:pPr>
              <w:pStyle w:val="Dash"/>
              <w:numPr>
                <w:ilvl w:val="0"/>
                <w:numId w:val="31"/>
              </w:numPr>
              <w:spacing w:before="0"/>
              <w:ind w:left="1224"/>
            </w:pPr>
            <w:r>
              <w:t>Identify the discharge date for the stay.</w:t>
            </w:r>
          </w:p>
        </w:tc>
      </w:tr>
    </w:tbl>
    <w:p w14:paraId="0F2CF2B8" w14:textId="77777777" w:rsidR="007527F3" w:rsidRDefault="007527F3">
      <w:pPr>
        <w:sectPr w:rsidR="007527F3" w:rsidSect="007527F3">
          <w:pgSz w:w="12240" w:h="15840" w:code="1"/>
          <w:pgMar w:top="1080" w:right="1080" w:bottom="1080" w:left="1440" w:header="720" w:footer="720" w:gutter="0"/>
          <w:cols w:space="720"/>
          <w:docGrid w:linePitch="360"/>
        </w:sectPr>
      </w:pPr>
    </w:p>
    <w:tbl>
      <w:tblPr>
        <w:tblW w:w="9819" w:type="dxa"/>
        <w:tblInd w:w="-72" w:type="dxa"/>
        <w:tblLook w:val="0000" w:firstRow="0" w:lastRow="0" w:firstColumn="0" w:lastColumn="0" w:noHBand="0" w:noVBand="0"/>
      </w:tblPr>
      <w:tblGrid>
        <w:gridCol w:w="2079"/>
        <w:gridCol w:w="7740"/>
      </w:tblGrid>
      <w:tr w:rsidR="007527F3" w:rsidRPr="002D4C6D" w14:paraId="00FE7987" w14:textId="77777777" w:rsidTr="00B26D5D">
        <w:tc>
          <w:tcPr>
            <w:tcW w:w="2079" w:type="dxa"/>
          </w:tcPr>
          <w:p w14:paraId="5DB916F5" w14:textId="77777777" w:rsidR="007527F3" w:rsidRDefault="007527F3" w:rsidP="003814D9">
            <w:pPr>
              <w:pStyle w:val="MarginSubhead"/>
              <w:spacing w:before="240"/>
              <w:jc w:val="right"/>
              <w:rPr>
                <w:rStyle w:val="CommentReference"/>
                <w:b w:val="0"/>
              </w:rPr>
            </w:pPr>
          </w:p>
        </w:tc>
        <w:tc>
          <w:tcPr>
            <w:tcW w:w="7740" w:type="dxa"/>
          </w:tcPr>
          <w:p w14:paraId="791557AE" w14:textId="77777777" w:rsidR="007527F3" w:rsidRDefault="007527F3" w:rsidP="006041E8">
            <w:pPr>
              <w:pStyle w:val="Bullet"/>
              <w:numPr>
                <w:ilvl w:val="0"/>
                <w:numId w:val="48"/>
              </w:numPr>
              <w:spacing w:before="0"/>
              <w:ind w:left="1008"/>
            </w:pPr>
            <w:r w:rsidRPr="00FB05E0">
              <w:t>PCI. Members who had PCI (</w:t>
            </w:r>
            <w:r w:rsidRPr="00FB05E0">
              <w:rPr>
                <w:u w:val="single"/>
              </w:rPr>
              <w:t>PCI Value Set</w:t>
            </w:r>
            <w:r w:rsidRPr="00FB05E0">
              <w:t>) in any setting.</w:t>
            </w:r>
          </w:p>
          <w:p w14:paraId="42D1A9FE" w14:textId="77777777" w:rsidR="007527F3" w:rsidRPr="00FB05E0" w:rsidRDefault="007527F3" w:rsidP="006041E8">
            <w:pPr>
              <w:pStyle w:val="Bullet"/>
              <w:numPr>
                <w:ilvl w:val="0"/>
                <w:numId w:val="48"/>
              </w:numPr>
              <w:spacing w:before="60"/>
              <w:ind w:left="1008"/>
            </w:pPr>
            <w:r>
              <w:t xml:space="preserve">Other revascularization. Members who had any other revascularization procedure </w:t>
            </w:r>
            <w:r w:rsidRPr="00F66A00">
              <w:rPr>
                <w:u w:val="single"/>
              </w:rPr>
              <w:t>(Other Revascularization Value Set)</w:t>
            </w:r>
            <w:r>
              <w:t xml:space="preserve"> in any setting.</w:t>
            </w:r>
          </w:p>
          <w:p w14:paraId="007351D0" w14:textId="77777777" w:rsidR="007527F3" w:rsidRPr="00913363" w:rsidRDefault="007527F3" w:rsidP="007527F3">
            <w:pPr>
              <w:pStyle w:val="Dash"/>
            </w:pPr>
            <w:r w:rsidRPr="00FB05E0">
              <w:rPr>
                <w:i/>
              </w:rPr>
              <w:t>Diagnosis.</w:t>
            </w:r>
            <w:r w:rsidRPr="00E217C6">
              <w:t xml:space="preserve"> </w:t>
            </w:r>
            <w:r w:rsidRPr="00913363">
              <w:t>Identify members as having ischemic vascular disease (IVD) who met at least one of the following criteria during both the measurement year and the year prior to the measurement year. Criteria need not be the same across both years.</w:t>
            </w:r>
          </w:p>
          <w:p w14:paraId="6316588D" w14:textId="77777777" w:rsidR="007527F3" w:rsidRPr="006A591C" w:rsidRDefault="007527F3" w:rsidP="006041E8">
            <w:pPr>
              <w:pStyle w:val="Bullet"/>
              <w:numPr>
                <w:ilvl w:val="0"/>
                <w:numId w:val="49"/>
              </w:numPr>
              <w:spacing w:before="0"/>
              <w:ind w:left="1008"/>
            </w:pPr>
            <w:r w:rsidRPr="00913363">
              <w:t>At least one outpatient visit (</w:t>
            </w:r>
            <w:r w:rsidRPr="00FB05E0">
              <w:rPr>
                <w:u w:val="single"/>
              </w:rPr>
              <w:t>Outpatient Value Set</w:t>
            </w:r>
            <w:r w:rsidRPr="00913363">
              <w:t>) with an IVD diagnosis (</w:t>
            </w:r>
            <w:r w:rsidRPr="00FB05E0">
              <w:rPr>
                <w:u w:val="single"/>
              </w:rPr>
              <w:t>IVD Value Set</w:t>
            </w:r>
            <w:r w:rsidRPr="00913363">
              <w:t xml:space="preserve">), </w:t>
            </w:r>
            <w:r w:rsidRPr="00FB05E0">
              <w:rPr>
                <w:b/>
                <w:i/>
              </w:rPr>
              <w:t>or</w:t>
            </w:r>
          </w:p>
          <w:p w14:paraId="196725DF" w14:textId="77777777" w:rsidR="007527F3" w:rsidRDefault="006A591C" w:rsidP="006041E8">
            <w:pPr>
              <w:pStyle w:val="Bullet"/>
              <w:numPr>
                <w:ilvl w:val="0"/>
                <w:numId w:val="49"/>
              </w:numPr>
              <w:spacing w:before="0"/>
              <w:ind w:left="1008"/>
            </w:pPr>
            <w:r w:rsidRPr="00913363">
              <w:t>At least one acute inpatient encounter (</w:t>
            </w:r>
            <w:r w:rsidRPr="00FB05E0">
              <w:rPr>
                <w:u w:val="single"/>
              </w:rPr>
              <w:t>Acute Inpatient Value Set</w:t>
            </w:r>
            <w:r w:rsidRPr="00913363">
              <w:t>) with an IVD diagnosis (</w:t>
            </w:r>
            <w:r w:rsidRPr="00FB05E0">
              <w:rPr>
                <w:u w:val="single"/>
              </w:rPr>
              <w:t>IVD Value Set</w:t>
            </w:r>
            <w:r w:rsidRPr="00913363">
              <w:t>).</w:t>
            </w:r>
          </w:p>
          <w:p w14:paraId="5CBB3E44" w14:textId="77777777" w:rsidR="006A591C" w:rsidRDefault="006A591C" w:rsidP="006A591C">
            <w:pPr>
              <w:pStyle w:val="Bullet"/>
            </w:pPr>
            <w:r>
              <w:t>Pregnancy (</w:t>
            </w:r>
            <w:r w:rsidRPr="006A591C">
              <w:rPr>
                <w:u w:val="single"/>
              </w:rPr>
              <w:t>Pregnancy Value Set</w:t>
            </w:r>
            <w:r>
              <w:t>) during the measurement year or year prior to the measurement year.</w:t>
            </w:r>
          </w:p>
          <w:p w14:paraId="16509125" w14:textId="77777777" w:rsidR="006A591C" w:rsidRDefault="006A591C" w:rsidP="006A591C">
            <w:pPr>
              <w:pStyle w:val="Bullet"/>
              <w:spacing w:before="60"/>
            </w:pPr>
            <w:r>
              <w:t>In vitro fertilization (</w:t>
            </w:r>
            <w:r w:rsidRPr="00145A66">
              <w:rPr>
                <w:u w:val="single"/>
              </w:rPr>
              <w:t>IV</w:t>
            </w:r>
            <w:r>
              <w:rPr>
                <w:u w:val="single"/>
              </w:rPr>
              <w:t>F</w:t>
            </w:r>
            <w:r w:rsidRPr="00145A66">
              <w:rPr>
                <w:u w:val="single"/>
              </w:rPr>
              <w:t xml:space="preserve"> Value Set</w:t>
            </w:r>
            <w:r>
              <w:t>) in the measurement year or year prior to the measurement year.</w:t>
            </w:r>
          </w:p>
          <w:p w14:paraId="2BDCF523" w14:textId="77777777" w:rsidR="006A591C" w:rsidRDefault="006A591C" w:rsidP="006A591C">
            <w:pPr>
              <w:pStyle w:val="Bullet"/>
              <w:spacing w:before="60"/>
            </w:pPr>
            <w:r>
              <w:t xml:space="preserve">Dispensed at least one prescription for clomiphene (Table SPC-A) during the measurement year or the year prior to the measurement year. </w:t>
            </w:r>
          </w:p>
          <w:p w14:paraId="56B4F823" w14:textId="77777777" w:rsidR="006A591C" w:rsidRDefault="006A591C" w:rsidP="006A591C">
            <w:pPr>
              <w:pStyle w:val="Bullet"/>
              <w:spacing w:before="60"/>
            </w:pPr>
            <w:r>
              <w:t>ESRD (</w:t>
            </w:r>
            <w:r w:rsidRPr="006A591C">
              <w:rPr>
                <w:u w:val="single"/>
              </w:rPr>
              <w:t>ESRD Value Set</w:t>
            </w:r>
            <w:r>
              <w:t>) during the measurement year or the year prior to the measurement year.</w:t>
            </w:r>
          </w:p>
          <w:p w14:paraId="77A027EF" w14:textId="77777777" w:rsidR="006A591C" w:rsidRDefault="006A591C" w:rsidP="006A591C">
            <w:pPr>
              <w:pStyle w:val="Bullet"/>
              <w:spacing w:before="60"/>
            </w:pPr>
            <w:r>
              <w:t>Cirrhosis (</w:t>
            </w:r>
            <w:r w:rsidRPr="006A591C">
              <w:rPr>
                <w:u w:val="single"/>
              </w:rPr>
              <w:t>Cirrhosis Value Set</w:t>
            </w:r>
            <w:r>
              <w:t>) during the measurement year or the year prior to the measurement year.</w:t>
            </w:r>
          </w:p>
          <w:p w14:paraId="20B2A8B2" w14:textId="5628F821" w:rsidR="006A591C" w:rsidRDefault="006A591C" w:rsidP="006A591C">
            <w:pPr>
              <w:pStyle w:val="Bullet"/>
              <w:spacing w:before="60"/>
            </w:pPr>
            <w:r>
              <w:t>Myalgia, myositis, myopathy, or rhabdomyolysis (</w:t>
            </w:r>
            <w:r w:rsidRPr="006A591C">
              <w:rPr>
                <w:u w:val="single"/>
              </w:rPr>
              <w:t>Muscular Pain and Disease Value Set</w:t>
            </w:r>
            <w:r>
              <w:t>) during the measurement year.</w:t>
            </w:r>
          </w:p>
        </w:tc>
      </w:tr>
    </w:tbl>
    <w:p w14:paraId="39AEDBDF" w14:textId="77777777" w:rsidR="00C46D88" w:rsidRPr="002D4C6D" w:rsidRDefault="00C46D88" w:rsidP="00C46D88">
      <w:pPr>
        <w:pStyle w:val="StdHead"/>
      </w:pPr>
      <w:r w:rsidRPr="002D4C6D">
        <w:t>Administrative Specification</w:t>
      </w:r>
      <w:r>
        <w:t xml:space="preserve">: </w:t>
      </w:r>
      <w:r w:rsidRPr="00EC29D4">
        <w:rPr>
          <w:i/>
        </w:rPr>
        <w:t>Rate 1</w:t>
      </w:r>
      <w:r>
        <w:t>—</w:t>
      </w:r>
      <w:r w:rsidRPr="00913363">
        <w:t>Received Statin Therapy</w:t>
      </w:r>
    </w:p>
    <w:tbl>
      <w:tblPr>
        <w:tblW w:w="9791" w:type="dxa"/>
        <w:tblInd w:w="-44" w:type="dxa"/>
        <w:tblLayout w:type="fixed"/>
        <w:tblLook w:val="0000" w:firstRow="0" w:lastRow="0" w:firstColumn="0" w:lastColumn="0" w:noHBand="0" w:noVBand="0"/>
      </w:tblPr>
      <w:tblGrid>
        <w:gridCol w:w="2051"/>
        <w:gridCol w:w="7740"/>
      </w:tblGrid>
      <w:tr w:rsidR="00C46D88" w:rsidRPr="002D4C6D" w14:paraId="6A77B5A4" w14:textId="77777777" w:rsidTr="00B26D5D">
        <w:tc>
          <w:tcPr>
            <w:tcW w:w="2051" w:type="dxa"/>
          </w:tcPr>
          <w:p w14:paraId="0435CC96" w14:textId="77777777" w:rsidR="00C46D88" w:rsidRPr="00B25C56" w:rsidRDefault="00C46D88" w:rsidP="003814D9">
            <w:pPr>
              <w:pStyle w:val="MarginSubhead"/>
            </w:pPr>
            <w:r w:rsidRPr="00B25C56">
              <w:t>Denominator</w:t>
            </w:r>
          </w:p>
        </w:tc>
        <w:tc>
          <w:tcPr>
            <w:tcW w:w="7740" w:type="dxa"/>
          </w:tcPr>
          <w:p w14:paraId="1EF6506A" w14:textId="77777777" w:rsidR="00C46D88" w:rsidRPr="002D4C6D" w:rsidRDefault="00C46D88" w:rsidP="003814D9">
            <w:pPr>
              <w:pStyle w:val="Body"/>
            </w:pPr>
            <w:r w:rsidRPr="002D4C6D">
              <w:t xml:space="preserve">The </w:t>
            </w:r>
            <w:r>
              <w:t>Rate 1 eligible population</w:t>
            </w:r>
            <w:r w:rsidRPr="002D4C6D">
              <w:t>.</w:t>
            </w:r>
          </w:p>
        </w:tc>
      </w:tr>
      <w:tr w:rsidR="00C46D88" w:rsidRPr="002D4C6D" w14:paraId="3431D3E7" w14:textId="77777777" w:rsidTr="00B26D5D">
        <w:tc>
          <w:tcPr>
            <w:tcW w:w="2051" w:type="dxa"/>
          </w:tcPr>
          <w:p w14:paraId="0D804B31" w14:textId="77777777" w:rsidR="00C46D88" w:rsidRPr="00B25C56" w:rsidRDefault="00C46D88" w:rsidP="003814D9">
            <w:pPr>
              <w:pStyle w:val="MarginSubhead"/>
            </w:pPr>
            <w:r w:rsidRPr="00B25C56">
              <w:t>Numerator</w:t>
            </w:r>
          </w:p>
        </w:tc>
        <w:tc>
          <w:tcPr>
            <w:tcW w:w="7740" w:type="dxa"/>
          </w:tcPr>
          <w:p w14:paraId="0DD15EE3" w14:textId="7A23D4F4" w:rsidR="00C46D88" w:rsidRDefault="00C46D88" w:rsidP="00095379">
            <w:pPr>
              <w:pStyle w:val="Body"/>
            </w:pPr>
            <w:r>
              <w:t xml:space="preserve">The number of members who had at least one dispensing </w:t>
            </w:r>
            <w:r w:rsidR="00793A84">
              <w:t>event for a statin medication of any</w:t>
            </w:r>
            <w:r>
              <w:t xml:space="preserve"> intensity (</w:t>
            </w:r>
            <w:r w:rsidRPr="00A510E2">
              <w:t xml:space="preserve">Table </w:t>
            </w:r>
            <w:r w:rsidR="00095379">
              <w:t>S</w:t>
            </w:r>
            <w:r w:rsidR="001D1A06">
              <w:t>PD</w:t>
            </w:r>
            <w:r w:rsidR="00095379">
              <w:t>-</w:t>
            </w:r>
            <w:r w:rsidR="001D1A06">
              <w:t>A</w:t>
            </w:r>
            <w:r>
              <w:t>) during the measurement year.</w:t>
            </w:r>
          </w:p>
        </w:tc>
      </w:tr>
    </w:tbl>
    <w:p w14:paraId="43490F3D" w14:textId="77777777" w:rsidR="004E5025" w:rsidRDefault="004E5025" w:rsidP="00C46D88">
      <w:pPr>
        <w:pStyle w:val="Heading3"/>
        <w:sectPr w:rsidR="004E5025" w:rsidSect="007527F3">
          <w:headerReference w:type="default" r:id="rId30"/>
          <w:pgSz w:w="12240" w:h="15840" w:code="1"/>
          <w:pgMar w:top="1080" w:right="1080" w:bottom="1080" w:left="1440" w:header="720" w:footer="720" w:gutter="0"/>
          <w:cols w:space="720"/>
        </w:sectPr>
      </w:pPr>
    </w:p>
    <w:p w14:paraId="769B098D" w14:textId="4FD897EC" w:rsidR="00C46D88" w:rsidRDefault="00C46D88" w:rsidP="004E5025">
      <w:pPr>
        <w:pStyle w:val="Heading3"/>
        <w:spacing w:before="0"/>
        <w:rPr>
          <w:szCs w:val="22"/>
        </w:rPr>
      </w:pPr>
      <w:r>
        <w:lastRenderedPageBreak/>
        <w:t xml:space="preserve">Table </w:t>
      </w:r>
      <w:r w:rsidR="001D1A06">
        <w:t>SPD-A</w:t>
      </w:r>
      <w:r>
        <w:t>: High, Moderate and Low-Intensity Statin Prescriptions</w:t>
      </w:r>
    </w:p>
    <w:tbl>
      <w:tblPr>
        <w:tblStyle w:val="TableGrid"/>
        <w:tblW w:w="8635" w:type="dxa"/>
        <w:tblLayout w:type="fixed"/>
        <w:tblLook w:val="04A0" w:firstRow="1" w:lastRow="0" w:firstColumn="1" w:lastColumn="0" w:noHBand="0" w:noVBand="1"/>
      </w:tblPr>
      <w:tblGrid>
        <w:gridCol w:w="2786"/>
        <w:gridCol w:w="2879"/>
        <w:gridCol w:w="2970"/>
      </w:tblGrid>
      <w:tr w:rsidR="00C46D88" w14:paraId="23C89BE1" w14:textId="04BFEB4E" w:rsidTr="003814D9">
        <w:tc>
          <w:tcPr>
            <w:tcW w:w="1613" w:type="pct"/>
            <w:tcBorders>
              <w:top w:val="single" w:sz="4" w:space="0" w:color="auto"/>
              <w:left w:val="single" w:sz="4" w:space="0" w:color="auto"/>
              <w:bottom w:val="single" w:sz="4" w:space="0" w:color="auto"/>
              <w:right w:val="single" w:sz="4" w:space="0" w:color="FFFFFF" w:themeColor="background1"/>
            </w:tcBorders>
            <w:shd w:val="clear" w:color="auto" w:fill="000000" w:themeFill="text1"/>
            <w:vAlign w:val="bottom"/>
            <w:hideMark/>
          </w:tcPr>
          <w:p w14:paraId="34CA4EC0" w14:textId="39EB5D02" w:rsidR="00C46D88" w:rsidRDefault="00C46D88" w:rsidP="003814D9">
            <w:pPr>
              <w:pStyle w:val="TableHead"/>
            </w:pPr>
            <w:r>
              <w:t>Description</w:t>
            </w:r>
          </w:p>
        </w:tc>
        <w:tc>
          <w:tcPr>
            <w:tcW w:w="3387" w:type="pct"/>
            <w:gridSpan w:val="2"/>
            <w:tcBorders>
              <w:top w:val="single" w:sz="4" w:space="0" w:color="auto"/>
              <w:left w:val="single" w:sz="4" w:space="0" w:color="FFFFFF" w:themeColor="background1"/>
              <w:bottom w:val="single" w:sz="4" w:space="0" w:color="auto"/>
              <w:right w:val="single" w:sz="4" w:space="0" w:color="auto"/>
            </w:tcBorders>
            <w:shd w:val="clear" w:color="auto" w:fill="000000" w:themeFill="text1"/>
            <w:vAlign w:val="bottom"/>
            <w:hideMark/>
          </w:tcPr>
          <w:p w14:paraId="503BDE36" w14:textId="155BFB2F" w:rsidR="00C46D88" w:rsidRDefault="00C46D88" w:rsidP="003814D9">
            <w:pPr>
              <w:pStyle w:val="TableHead"/>
            </w:pPr>
            <w:r>
              <w:t>Prescription</w:t>
            </w:r>
          </w:p>
        </w:tc>
      </w:tr>
      <w:tr w:rsidR="00C46D88" w14:paraId="1F12B328" w14:textId="7100EFDB" w:rsidTr="004E5025">
        <w:tc>
          <w:tcPr>
            <w:tcW w:w="1613" w:type="pct"/>
            <w:tcBorders>
              <w:top w:val="single" w:sz="4" w:space="0" w:color="auto"/>
              <w:left w:val="single" w:sz="4" w:space="0" w:color="auto"/>
              <w:bottom w:val="single" w:sz="4" w:space="0" w:color="auto"/>
              <w:right w:val="single" w:sz="4" w:space="0" w:color="auto"/>
            </w:tcBorders>
            <w:hideMark/>
          </w:tcPr>
          <w:p w14:paraId="6210CD8B" w14:textId="51B2CFC6" w:rsidR="00C46D88" w:rsidRDefault="00C46D88" w:rsidP="003814D9">
            <w:pPr>
              <w:pStyle w:val="TableText"/>
            </w:pPr>
            <w:r>
              <w:t>High-intensity statin therapy</w:t>
            </w:r>
          </w:p>
        </w:tc>
        <w:tc>
          <w:tcPr>
            <w:tcW w:w="1667" w:type="pct"/>
            <w:tcBorders>
              <w:top w:val="single" w:sz="4" w:space="0" w:color="auto"/>
              <w:left w:val="single" w:sz="4" w:space="0" w:color="auto"/>
              <w:bottom w:val="single" w:sz="4" w:space="0" w:color="auto"/>
              <w:right w:val="nil"/>
            </w:tcBorders>
            <w:hideMark/>
          </w:tcPr>
          <w:p w14:paraId="39AA4049" w14:textId="63C8A145" w:rsidR="00C46D88" w:rsidRDefault="00C46D88" w:rsidP="004E5025">
            <w:pPr>
              <w:pStyle w:val="TableBullet"/>
              <w:numPr>
                <w:ilvl w:val="0"/>
                <w:numId w:val="23"/>
              </w:numPr>
              <w:ind w:left="158" w:hanging="158"/>
            </w:pPr>
            <w:r>
              <w:t>Atorvastatin 40–80 mg</w:t>
            </w:r>
          </w:p>
          <w:p w14:paraId="537114D9" w14:textId="43A2049C" w:rsidR="00C46D88" w:rsidRDefault="00C46D88" w:rsidP="004E5025">
            <w:pPr>
              <w:pStyle w:val="TableBullet"/>
              <w:numPr>
                <w:ilvl w:val="0"/>
                <w:numId w:val="23"/>
              </w:numPr>
              <w:ind w:left="158" w:hanging="158"/>
            </w:pPr>
            <w:r>
              <w:t>Amlodipine-atorvastatin 40</w:t>
            </w:r>
            <w:r w:rsidR="006041E8" w:rsidRPr="006041E8">
              <w:t>–</w:t>
            </w:r>
            <w:r>
              <w:t>80 mg</w:t>
            </w:r>
          </w:p>
          <w:p w14:paraId="3439AAFD" w14:textId="0797489A" w:rsidR="00C46D88" w:rsidRDefault="00C46D88" w:rsidP="004E5025">
            <w:pPr>
              <w:pStyle w:val="TableBullet"/>
              <w:numPr>
                <w:ilvl w:val="0"/>
                <w:numId w:val="23"/>
              </w:numPr>
              <w:ind w:left="158" w:hanging="158"/>
            </w:pPr>
            <w:r>
              <w:t>Ezetimibe-atorvastatin 40</w:t>
            </w:r>
            <w:r w:rsidR="006041E8" w:rsidRPr="006041E8">
              <w:t>–</w:t>
            </w:r>
            <w:r>
              <w:t>80 mg</w:t>
            </w:r>
          </w:p>
        </w:tc>
        <w:tc>
          <w:tcPr>
            <w:tcW w:w="1720" w:type="pct"/>
            <w:tcBorders>
              <w:top w:val="single" w:sz="4" w:space="0" w:color="auto"/>
              <w:left w:val="nil"/>
              <w:bottom w:val="single" w:sz="4" w:space="0" w:color="auto"/>
              <w:right w:val="single" w:sz="4" w:space="0" w:color="auto"/>
            </w:tcBorders>
          </w:tcPr>
          <w:p w14:paraId="236183CE" w14:textId="2953141D" w:rsidR="00C46D88" w:rsidRDefault="00C46D88" w:rsidP="004E5025">
            <w:pPr>
              <w:pStyle w:val="TableBullet"/>
              <w:numPr>
                <w:ilvl w:val="0"/>
                <w:numId w:val="23"/>
              </w:numPr>
              <w:ind w:left="158" w:hanging="158"/>
            </w:pPr>
            <w:r>
              <w:t>Rosuvastatin 20–</w:t>
            </w:r>
            <w:r>
              <w:rPr>
                <w:iCs/>
              </w:rPr>
              <w:t xml:space="preserve">40 </w:t>
            </w:r>
            <w:r>
              <w:t>mg</w:t>
            </w:r>
          </w:p>
          <w:p w14:paraId="6F0A2BC8" w14:textId="73375E05" w:rsidR="00C46D88" w:rsidRDefault="00C46D88" w:rsidP="004E5025">
            <w:pPr>
              <w:pStyle w:val="TableBullet"/>
              <w:numPr>
                <w:ilvl w:val="0"/>
                <w:numId w:val="23"/>
              </w:numPr>
              <w:ind w:left="158" w:hanging="158"/>
            </w:pPr>
            <w:r>
              <w:t>Simvastatin 80 mg</w:t>
            </w:r>
          </w:p>
          <w:p w14:paraId="743E8F77" w14:textId="2E1EDC94" w:rsidR="00C46D88" w:rsidRDefault="00C46D88" w:rsidP="004E5025">
            <w:pPr>
              <w:pStyle w:val="TableBullet"/>
              <w:numPr>
                <w:ilvl w:val="0"/>
                <w:numId w:val="23"/>
              </w:numPr>
              <w:ind w:left="158" w:hanging="158"/>
            </w:pPr>
            <w:r>
              <w:t>Ezetimibe-simvastatin 80 mg</w:t>
            </w:r>
          </w:p>
        </w:tc>
      </w:tr>
      <w:tr w:rsidR="00C46D88" w14:paraId="33859B44" w14:textId="0012FE56" w:rsidTr="004E5025">
        <w:tc>
          <w:tcPr>
            <w:tcW w:w="161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6FC0CD" w14:textId="4BFE9972" w:rsidR="00C46D88" w:rsidRDefault="00C46D88" w:rsidP="003814D9">
            <w:pPr>
              <w:pStyle w:val="TableText"/>
            </w:pPr>
            <w:r>
              <w:t>Moderate-intensity statin therapy</w:t>
            </w:r>
          </w:p>
        </w:tc>
        <w:tc>
          <w:tcPr>
            <w:tcW w:w="1667" w:type="pct"/>
            <w:tcBorders>
              <w:top w:val="single" w:sz="4" w:space="0" w:color="auto"/>
              <w:left w:val="single" w:sz="4" w:space="0" w:color="auto"/>
              <w:bottom w:val="single" w:sz="4" w:space="0" w:color="auto"/>
              <w:right w:val="nil"/>
            </w:tcBorders>
            <w:shd w:val="clear" w:color="auto" w:fill="D9D9D9" w:themeFill="background1" w:themeFillShade="D9"/>
            <w:hideMark/>
          </w:tcPr>
          <w:p w14:paraId="794445F2" w14:textId="41947CCB" w:rsidR="00C46D88" w:rsidRDefault="00C46D88" w:rsidP="004E5025">
            <w:pPr>
              <w:pStyle w:val="TableBullet"/>
              <w:numPr>
                <w:ilvl w:val="0"/>
                <w:numId w:val="23"/>
              </w:numPr>
              <w:ind w:left="158" w:hanging="158"/>
            </w:pPr>
            <w:r>
              <w:t>Atorvastatin 10–</w:t>
            </w:r>
            <w:r>
              <w:rPr>
                <w:iCs/>
              </w:rPr>
              <w:t xml:space="preserve">20 </w:t>
            </w:r>
            <w:r>
              <w:t>mg</w:t>
            </w:r>
          </w:p>
          <w:p w14:paraId="4B3C4E13" w14:textId="0B9737AA" w:rsidR="00C46D88" w:rsidRDefault="00C46D88" w:rsidP="004E5025">
            <w:pPr>
              <w:pStyle w:val="TableBullet"/>
              <w:numPr>
                <w:ilvl w:val="0"/>
                <w:numId w:val="23"/>
              </w:numPr>
              <w:ind w:left="158" w:hanging="158"/>
            </w:pPr>
            <w:r>
              <w:t>Amlodipine-atorvastatin 10</w:t>
            </w:r>
            <w:r w:rsidR="006041E8" w:rsidRPr="006041E8">
              <w:t>–</w:t>
            </w:r>
            <w:r>
              <w:t>20 mg</w:t>
            </w:r>
          </w:p>
          <w:p w14:paraId="638BFDCD" w14:textId="5D38A51D" w:rsidR="00C46D88" w:rsidRDefault="00C46D88" w:rsidP="004E5025">
            <w:pPr>
              <w:pStyle w:val="TableBullet"/>
              <w:numPr>
                <w:ilvl w:val="0"/>
                <w:numId w:val="23"/>
              </w:numPr>
              <w:ind w:left="158" w:hanging="158"/>
            </w:pPr>
            <w:r>
              <w:t>Ezetimibe-atorvastatin 10</w:t>
            </w:r>
            <w:r w:rsidR="006041E8" w:rsidRPr="006041E8">
              <w:t>–</w:t>
            </w:r>
            <w:r>
              <w:t>20 mg</w:t>
            </w:r>
          </w:p>
          <w:p w14:paraId="0C948595" w14:textId="52DD5276" w:rsidR="00C46D88" w:rsidRDefault="00C46D88" w:rsidP="004E5025">
            <w:pPr>
              <w:pStyle w:val="TableBullet"/>
              <w:numPr>
                <w:ilvl w:val="0"/>
                <w:numId w:val="23"/>
              </w:numPr>
              <w:ind w:left="158" w:hanging="158"/>
            </w:pPr>
            <w:r>
              <w:t xml:space="preserve">Rosuvastatin </w:t>
            </w:r>
            <w:r>
              <w:rPr>
                <w:iCs/>
              </w:rPr>
              <w:t>5–</w:t>
            </w:r>
            <w:r>
              <w:t>10 mg</w:t>
            </w:r>
          </w:p>
          <w:p w14:paraId="38D54C04" w14:textId="0FB14B08" w:rsidR="00C46D88" w:rsidRDefault="00C46D88" w:rsidP="004E5025">
            <w:pPr>
              <w:pStyle w:val="TableBullet"/>
              <w:numPr>
                <w:ilvl w:val="0"/>
                <w:numId w:val="23"/>
              </w:numPr>
              <w:ind w:left="158" w:hanging="158"/>
            </w:pPr>
            <w:r>
              <w:t>Simvastatin 20–40 mg</w:t>
            </w:r>
          </w:p>
          <w:p w14:paraId="69D219B4" w14:textId="1415C389" w:rsidR="00C46D88" w:rsidRDefault="00C46D88" w:rsidP="004E5025">
            <w:pPr>
              <w:pStyle w:val="TableBullet"/>
              <w:numPr>
                <w:ilvl w:val="0"/>
                <w:numId w:val="23"/>
              </w:numPr>
              <w:ind w:left="158" w:hanging="158"/>
            </w:pPr>
            <w:r>
              <w:t>Ezetimibe-simvastatin 20</w:t>
            </w:r>
            <w:r w:rsidR="006041E8">
              <w:t>–</w:t>
            </w:r>
            <w:r>
              <w:t>40 mg</w:t>
            </w:r>
          </w:p>
          <w:p w14:paraId="3C310FF1" w14:textId="37487473" w:rsidR="00C46D88" w:rsidRDefault="00C46D88" w:rsidP="004E5025">
            <w:pPr>
              <w:pStyle w:val="TableBullet"/>
              <w:numPr>
                <w:ilvl w:val="0"/>
                <w:numId w:val="23"/>
              </w:numPr>
              <w:ind w:left="158" w:hanging="158"/>
            </w:pPr>
            <w:r>
              <w:t>Niacin-simvastatin 20</w:t>
            </w:r>
            <w:r w:rsidR="006041E8">
              <w:t>–</w:t>
            </w:r>
            <w:r>
              <w:t>40 mg</w:t>
            </w:r>
          </w:p>
          <w:p w14:paraId="413D6C90" w14:textId="5B13B276" w:rsidR="00C46D88" w:rsidRDefault="00C46D88" w:rsidP="006041E8">
            <w:pPr>
              <w:pStyle w:val="TableBullet"/>
              <w:numPr>
                <w:ilvl w:val="0"/>
                <w:numId w:val="23"/>
              </w:numPr>
              <w:ind w:left="158" w:hanging="158"/>
            </w:pPr>
            <w:r>
              <w:t>Sitagliptin-simvastatin 20</w:t>
            </w:r>
            <w:r w:rsidR="006041E8">
              <w:t>–</w:t>
            </w:r>
            <w:r>
              <w:t>40 mg</w:t>
            </w:r>
          </w:p>
        </w:tc>
        <w:tc>
          <w:tcPr>
            <w:tcW w:w="1720" w:type="pct"/>
            <w:tcBorders>
              <w:top w:val="single" w:sz="4" w:space="0" w:color="auto"/>
              <w:left w:val="nil"/>
              <w:bottom w:val="single" w:sz="4" w:space="0" w:color="auto"/>
              <w:right w:val="single" w:sz="4" w:space="0" w:color="auto"/>
            </w:tcBorders>
            <w:shd w:val="clear" w:color="auto" w:fill="D9D9D9" w:themeFill="background1" w:themeFillShade="D9"/>
          </w:tcPr>
          <w:p w14:paraId="6C7AAC3F" w14:textId="57C73D6A" w:rsidR="00C46D88" w:rsidRDefault="00C46D88" w:rsidP="004E5025">
            <w:pPr>
              <w:pStyle w:val="TableBullet"/>
              <w:numPr>
                <w:ilvl w:val="0"/>
                <w:numId w:val="23"/>
              </w:numPr>
              <w:ind w:left="158" w:hanging="158"/>
            </w:pPr>
            <w:r>
              <w:t>Pravastatin 40–</w:t>
            </w:r>
            <w:r>
              <w:rPr>
                <w:iCs/>
              </w:rPr>
              <w:t xml:space="preserve">80 </w:t>
            </w:r>
            <w:r>
              <w:t>mg</w:t>
            </w:r>
          </w:p>
          <w:p w14:paraId="392EE838" w14:textId="59A90BE8" w:rsidR="00C46D88" w:rsidRDefault="00C46D88" w:rsidP="004E5025">
            <w:pPr>
              <w:pStyle w:val="TableBullet"/>
              <w:numPr>
                <w:ilvl w:val="0"/>
                <w:numId w:val="23"/>
              </w:numPr>
              <w:ind w:left="158" w:hanging="158"/>
            </w:pPr>
            <w:r>
              <w:t>Aspirin-pravastatin 40</w:t>
            </w:r>
            <w:r w:rsidR="006041E8">
              <w:t>–</w:t>
            </w:r>
            <w:r>
              <w:t>80 mg</w:t>
            </w:r>
          </w:p>
          <w:p w14:paraId="578F8595" w14:textId="3DE7A4A5" w:rsidR="00C46D88" w:rsidRDefault="00C46D88" w:rsidP="004E5025">
            <w:pPr>
              <w:pStyle w:val="TableBullet"/>
              <w:numPr>
                <w:ilvl w:val="0"/>
                <w:numId w:val="23"/>
              </w:numPr>
              <w:ind w:left="158" w:hanging="158"/>
            </w:pPr>
            <w:r>
              <w:t>Lovastatin 40 mg</w:t>
            </w:r>
          </w:p>
          <w:p w14:paraId="38048BC8" w14:textId="7AA41A97" w:rsidR="00C46D88" w:rsidRDefault="00C46D88" w:rsidP="004E5025">
            <w:pPr>
              <w:pStyle w:val="TableBullet"/>
              <w:numPr>
                <w:ilvl w:val="0"/>
                <w:numId w:val="23"/>
              </w:numPr>
              <w:ind w:left="158" w:hanging="158"/>
            </w:pPr>
            <w:r>
              <w:t>Niacin-lovastatin 40 mg</w:t>
            </w:r>
          </w:p>
          <w:p w14:paraId="21734BA7" w14:textId="049D0C18" w:rsidR="00C46D88" w:rsidRDefault="00C46D88" w:rsidP="004E5025">
            <w:pPr>
              <w:pStyle w:val="TableBullet"/>
              <w:numPr>
                <w:ilvl w:val="0"/>
                <w:numId w:val="23"/>
              </w:numPr>
              <w:ind w:left="158" w:hanging="158"/>
              <w:rPr>
                <w:iCs/>
              </w:rPr>
            </w:pPr>
            <w:r>
              <w:rPr>
                <w:iCs/>
              </w:rPr>
              <w:t>Fluvastatin XL 80 mg</w:t>
            </w:r>
          </w:p>
          <w:p w14:paraId="5F2A10E5" w14:textId="5FDCDE8F" w:rsidR="00C46D88" w:rsidRDefault="00C46D88" w:rsidP="004E5025">
            <w:pPr>
              <w:pStyle w:val="TableBullet"/>
              <w:numPr>
                <w:ilvl w:val="0"/>
                <w:numId w:val="23"/>
              </w:numPr>
              <w:ind w:left="158" w:hanging="158"/>
            </w:pPr>
            <w:r>
              <w:t>Fluvastatin 40 mg bid</w:t>
            </w:r>
          </w:p>
          <w:p w14:paraId="6BD7091D" w14:textId="06C64A09" w:rsidR="00C46D88" w:rsidRDefault="00C46D88" w:rsidP="004E5025">
            <w:pPr>
              <w:pStyle w:val="TableBullet"/>
              <w:numPr>
                <w:ilvl w:val="0"/>
                <w:numId w:val="23"/>
              </w:numPr>
              <w:ind w:left="158" w:hanging="158"/>
            </w:pPr>
            <w:r>
              <w:rPr>
                <w:iCs/>
              </w:rPr>
              <w:t>Pitavastatin 2–4 mg</w:t>
            </w:r>
          </w:p>
        </w:tc>
      </w:tr>
      <w:tr w:rsidR="00C46D88" w14:paraId="1C4B101E" w14:textId="4171DB13" w:rsidTr="004E5025">
        <w:tc>
          <w:tcPr>
            <w:tcW w:w="1613" w:type="pct"/>
            <w:tcBorders>
              <w:top w:val="single" w:sz="4" w:space="0" w:color="auto"/>
              <w:left w:val="single" w:sz="4" w:space="0" w:color="auto"/>
              <w:bottom w:val="single" w:sz="4" w:space="0" w:color="auto"/>
              <w:right w:val="single" w:sz="4" w:space="0" w:color="auto"/>
            </w:tcBorders>
            <w:shd w:val="clear" w:color="auto" w:fill="auto"/>
          </w:tcPr>
          <w:p w14:paraId="27A251C0" w14:textId="73B3CC28" w:rsidR="00C46D88" w:rsidRDefault="00C46D88" w:rsidP="003814D9">
            <w:pPr>
              <w:pStyle w:val="TableText"/>
            </w:pPr>
            <w:r>
              <w:t>Low-intensity statin therapy</w:t>
            </w:r>
          </w:p>
        </w:tc>
        <w:tc>
          <w:tcPr>
            <w:tcW w:w="1667" w:type="pct"/>
            <w:tcBorders>
              <w:top w:val="single" w:sz="4" w:space="0" w:color="auto"/>
              <w:left w:val="single" w:sz="4" w:space="0" w:color="auto"/>
              <w:bottom w:val="single" w:sz="4" w:space="0" w:color="auto"/>
              <w:right w:val="nil"/>
            </w:tcBorders>
            <w:shd w:val="clear" w:color="auto" w:fill="auto"/>
          </w:tcPr>
          <w:p w14:paraId="1927089F" w14:textId="0A7F5539" w:rsidR="00C46D88" w:rsidRDefault="00C46D88" w:rsidP="004E5025">
            <w:pPr>
              <w:pStyle w:val="TableBullet"/>
            </w:pPr>
            <w:r w:rsidRPr="00F1604B">
              <w:t xml:space="preserve">Simvastatin 10 mg </w:t>
            </w:r>
          </w:p>
          <w:p w14:paraId="09827563" w14:textId="51F516B7" w:rsidR="00C46D88" w:rsidRDefault="00C46D88" w:rsidP="004E5025">
            <w:pPr>
              <w:pStyle w:val="TableBullet"/>
            </w:pPr>
            <w:r>
              <w:t>Ezetimibe-simvastatin 10 mg</w:t>
            </w:r>
          </w:p>
          <w:p w14:paraId="6CDDFE3A" w14:textId="42754E5C" w:rsidR="00C46D88" w:rsidRDefault="00C46D88" w:rsidP="004E5025">
            <w:pPr>
              <w:pStyle w:val="TableBullet"/>
            </w:pPr>
            <w:r>
              <w:t>Sitagliptin-simvastatin 10 mg</w:t>
            </w:r>
          </w:p>
          <w:p w14:paraId="1B6ED7CE" w14:textId="6361289B" w:rsidR="00C46D88" w:rsidRDefault="00C46D88" w:rsidP="004E5025">
            <w:pPr>
              <w:pStyle w:val="TableBullet"/>
            </w:pPr>
            <w:r w:rsidRPr="00F1604B">
              <w:t xml:space="preserve">Pravastatin 10–20 mg </w:t>
            </w:r>
          </w:p>
          <w:p w14:paraId="0659C07F" w14:textId="215F9C60" w:rsidR="00C46D88" w:rsidRDefault="00C46D88" w:rsidP="004E5025">
            <w:pPr>
              <w:pStyle w:val="TableBullet"/>
            </w:pPr>
            <w:r>
              <w:t>Aspirin-pravastatin 20 mg</w:t>
            </w:r>
          </w:p>
        </w:tc>
        <w:tc>
          <w:tcPr>
            <w:tcW w:w="1720" w:type="pct"/>
            <w:tcBorders>
              <w:top w:val="single" w:sz="4" w:space="0" w:color="auto"/>
              <w:left w:val="nil"/>
              <w:bottom w:val="single" w:sz="4" w:space="0" w:color="auto"/>
              <w:right w:val="single" w:sz="4" w:space="0" w:color="auto"/>
            </w:tcBorders>
            <w:shd w:val="clear" w:color="auto" w:fill="auto"/>
          </w:tcPr>
          <w:p w14:paraId="3C3A86A1" w14:textId="295B7262" w:rsidR="00C46D88" w:rsidRDefault="00C46D88" w:rsidP="004E5025">
            <w:pPr>
              <w:pStyle w:val="TableBullet"/>
            </w:pPr>
            <w:r w:rsidRPr="00F1604B">
              <w:t xml:space="preserve">Lovastatin 20 mg </w:t>
            </w:r>
          </w:p>
          <w:p w14:paraId="2C4B94B3" w14:textId="1A9234E8" w:rsidR="00C46D88" w:rsidRDefault="00C46D88" w:rsidP="004E5025">
            <w:pPr>
              <w:pStyle w:val="TableBullet"/>
            </w:pPr>
            <w:r>
              <w:t>Niacin-lovastatin 20 mg</w:t>
            </w:r>
            <w:r w:rsidRPr="00F1604B">
              <w:t xml:space="preserve"> </w:t>
            </w:r>
          </w:p>
          <w:p w14:paraId="6A945212" w14:textId="2226BD4B" w:rsidR="00C46D88" w:rsidRDefault="00C46D88" w:rsidP="004E5025">
            <w:pPr>
              <w:pStyle w:val="TableBullet"/>
            </w:pPr>
            <w:r w:rsidRPr="00F1604B">
              <w:t xml:space="preserve">Fluvastatin 20–40 mg </w:t>
            </w:r>
          </w:p>
          <w:p w14:paraId="571D5B79" w14:textId="1282DD56" w:rsidR="00C46D88" w:rsidRDefault="00C46D88" w:rsidP="004E5025">
            <w:pPr>
              <w:pStyle w:val="TableBullet"/>
            </w:pPr>
            <w:r w:rsidRPr="00F1604B">
              <w:t>Pitavastatin 1 mg</w:t>
            </w:r>
          </w:p>
        </w:tc>
      </w:tr>
    </w:tbl>
    <w:p w14:paraId="13740149" w14:textId="6AC3F49B" w:rsidR="00C46D88" w:rsidRPr="00B25C56" w:rsidRDefault="00C46D88" w:rsidP="00180316">
      <w:pPr>
        <w:pStyle w:val="StdHead"/>
      </w:pPr>
      <w:r w:rsidRPr="00B25C56">
        <w:t>Eligible Population</w:t>
      </w:r>
      <w:r>
        <w:t>:</w:t>
      </w:r>
      <w:r w:rsidRPr="00B25C56">
        <w:t xml:space="preserve"> </w:t>
      </w:r>
      <w:r w:rsidRPr="00EC29D4">
        <w:rPr>
          <w:i/>
        </w:rPr>
        <w:t>Rate 2</w:t>
      </w:r>
      <w:r>
        <w:t>—Statin Adherence 80</w:t>
      </w:r>
      <w:r w:rsidR="00793A84">
        <w:t>%</w:t>
      </w:r>
    </w:p>
    <w:tbl>
      <w:tblPr>
        <w:tblW w:w="9792" w:type="dxa"/>
        <w:tblInd w:w="-72" w:type="dxa"/>
        <w:tblLayout w:type="fixed"/>
        <w:tblLook w:val="0000" w:firstRow="0" w:lastRow="0" w:firstColumn="0" w:lastColumn="0" w:noHBand="0" w:noVBand="0"/>
      </w:tblPr>
      <w:tblGrid>
        <w:gridCol w:w="2052"/>
        <w:gridCol w:w="7740"/>
      </w:tblGrid>
      <w:tr w:rsidR="00C46D88" w:rsidRPr="002D4C6D" w14:paraId="61C75238" w14:textId="77777777" w:rsidTr="006740AA">
        <w:trPr>
          <w:trHeight w:val="333"/>
        </w:trPr>
        <w:tc>
          <w:tcPr>
            <w:tcW w:w="2052" w:type="dxa"/>
          </w:tcPr>
          <w:p w14:paraId="64620FFB" w14:textId="77777777" w:rsidR="00C46D88" w:rsidRPr="002D4C6D" w:rsidRDefault="00C46D88" w:rsidP="003814D9">
            <w:pPr>
              <w:pStyle w:val="MarginSubhead"/>
            </w:pPr>
            <w:r w:rsidRPr="005D07B9">
              <w:t>Product lines</w:t>
            </w:r>
          </w:p>
        </w:tc>
        <w:tc>
          <w:tcPr>
            <w:tcW w:w="7740" w:type="dxa"/>
          </w:tcPr>
          <w:p w14:paraId="210BEE72" w14:textId="77777777" w:rsidR="00C46D88" w:rsidRPr="002D4C6D" w:rsidRDefault="00C46D88" w:rsidP="003814D9">
            <w:pPr>
              <w:pStyle w:val="Body"/>
              <w:rPr>
                <w:i/>
                <w:szCs w:val="20"/>
              </w:rPr>
            </w:pPr>
            <w:r w:rsidRPr="005D07B9">
              <w:t>Commercial, Medicaid, Medicare (report each product line separately).</w:t>
            </w:r>
          </w:p>
        </w:tc>
      </w:tr>
      <w:tr w:rsidR="00C46D88" w:rsidRPr="002D4C6D" w14:paraId="41086A5E" w14:textId="77777777" w:rsidTr="006740AA">
        <w:tc>
          <w:tcPr>
            <w:tcW w:w="2052" w:type="dxa"/>
          </w:tcPr>
          <w:p w14:paraId="36AA2123" w14:textId="77777777" w:rsidR="00C46D88" w:rsidRPr="002D4C6D" w:rsidRDefault="00C46D88" w:rsidP="003814D9">
            <w:pPr>
              <w:pStyle w:val="MarginSubhead"/>
            </w:pPr>
            <w:r w:rsidRPr="005D07B9">
              <w:t>Age</w:t>
            </w:r>
          </w:p>
        </w:tc>
        <w:tc>
          <w:tcPr>
            <w:tcW w:w="7740" w:type="dxa"/>
          </w:tcPr>
          <w:p w14:paraId="37C5F9AE" w14:textId="77777777" w:rsidR="00C46D88" w:rsidRPr="002D4C6D" w:rsidRDefault="00C46D88" w:rsidP="003814D9">
            <w:pPr>
              <w:pStyle w:val="Body"/>
              <w:spacing w:before="120"/>
            </w:pPr>
            <w:r>
              <w:t>40</w:t>
            </w:r>
            <w:r w:rsidRPr="005D07B9">
              <w:t>–75 years as of December 31 of the measurement year.</w:t>
            </w:r>
          </w:p>
        </w:tc>
      </w:tr>
      <w:tr w:rsidR="00C46D88" w:rsidRPr="002D4C6D" w14:paraId="02BF145D" w14:textId="77777777" w:rsidTr="006740AA">
        <w:tc>
          <w:tcPr>
            <w:tcW w:w="2052" w:type="dxa"/>
          </w:tcPr>
          <w:p w14:paraId="7AE57009" w14:textId="77777777" w:rsidR="00C46D88" w:rsidRPr="002D4C6D" w:rsidRDefault="00C46D88" w:rsidP="003814D9">
            <w:pPr>
              <w:pStyle w:val="MarginSubhead"/>
            </w:pPr>
            <w:r w:rsidRPr="005D07B9">
              <w:t>Continuous enrollment</w:t>
            </w:r>
          </w:p>
        </w:tc>
        <w:tc>
          <w:tcPr>
            <w:tcW w:w="7740" w:type="dxa"/>
          </w:tcPr>
          <w:p w14:paraId="4F080BF2" w14:textId="77777777" w:rsidR="00C46D88" w:rsidRPr="002D4C6D" w:rsidRDefault="00C46D88" w:rsidP="003814D9">
            <w:pPr>
              <w:pStyle w:val="Body"/>
            </w:pPr>
            <w:r w:rsidRPr="002D4C6D">
              <w:t>The measurement year</w:t>
            </w:r>
            <w:r>
              <w:t xml:space="preserve"> and the year prior to the measurement year</w:t>
            </w:r>
            <w:r w:rsidRPr="002D4C6D">
              <w:t>.</w:t>
            </w:r>
            <w:r w:rsidRPr="005D07B9">
              <w:t xml:space="preserve"> </w:t>
            </w:r>
          </w:p>
        </w:tc>
      </w:tr>
      <w:tr w:rsidR="00C46D88" w:rsidRPr="002D4C6D" w14:paraId="000F93AB" w14:textId="77777777" w:rsidTr="006740AA">
        <w:tc>
          <w:tcPr>
            <w:tcW w:w="2052" w:type="dxa"/>
          </w:tcPr>
          <w:p w14:paraId="777CF844" w14:textId="77777777" w:rsidR="00C46D88" w:rsidRPr="002D4C6D" w:rsidRDefault="00C46D88" w:rsidP="003814D9">
            <w:pPr>
              <w:pStyle w:val="MarginSubhead"/>
            </w:pPr>
            <w:r w:rsidRPr="005D07B9">
              <w:t>Allowable gap</w:t>
            </w:r>
          </w:p>
        </w:tc>
        <w:tc>
          <w:tcPr>
            <w:tcW w:w="7740" w:type="dxa"/>
          </w:tcPr>
          <w:p w14:paraId="104D49A9" w14:textId="77777777" w:rsidR="00C46D88" w:rsidRPr="002D4C6D" w:rsidRDefault="00C46D88" w:rsidP="003814D9">
            <w:pPr>
              <w:pStyle w:val="Body"/>
            </w:pPr>
            <w:r w:rsidRPr="005D07B9">
              <w:t xml:space="preserve">No more than one gap in enrollment of up to 45 days during the measurement year. To determine continuous enrollment for a Medicaid beneficiary for whom enrollment is verified monthly, the member may not have more than a 1-month gap in coverage (i.e., a member whose coverage lapses for 2 months [60 days] is not considered continuously enrolled). </w:t>
            </w:r>
          </w:p>
        </w:tc>
      </w:tr>
      <w:tr w:rsidR="00C46D88" w:rsidRPr="002D4C6D" w14:paraId="0F8ED1C2" w14:textId="77777777" w:rsidTr="006740AA">
        <w:tc>
          <w:tcPr>
            <w:tcW w:w="2052" w:type="dxa"/>
          </w:tcPr>
          <w:p w14:paraId="70A0AE3B" w14:textId="77777777" w:rsidR="00C46D88" w:rsidRPr="002D4C6D" w:rsidRDefault="00C46D88" w:rsidP="003814D9">
            <w:pPr>
              <w:pStyle w:val="MarginSubhead"/>
            </w:pPr>
            <w:r w:rsidRPr="005D07B9">
              <w:t>Anchor date</w:t>
            </w:r>
          </w:p>
        </w:tc>
        <w:tc>
          <w:tcPr>
            <w:tcW w:w="7740" w:type="dxa"/>
          </w:tcPr>
          <w:p w14:paraId="5F490698" w14:textId="77777777" w:rsidR="00C46D88" w:rsidRPr="002D4C6D" w:rsidRDefault="00C46D88" w:rsidP="003814D9">
            <w:pPr>
              <w:pStyle w:val="Body"/>
            </w:pPr>
            <w:r w:rsidRPr="005D07B9">
              <w:t>Decem</w:t>
            </w:r>
            <w:r>
              <w:t>ber 31 of the measurement year.</w:t>
            </w:r>
          </w:p>
        </w:tc>
      </w:tr>
      <w:tr w:rsidR="00C46D88" w:rsidRPr="002D4C6D" w14:paraId="09D34645" w14:textId="77777777" w:rsidTr="006740AA">
        <w:tc>
          <w:tcPr>
            <w:tcW w:w="2052" w:type="dxa"/>
          </w:tcPr>
          <w:p w14:paraId="7511BF76" w14:textId="77777777" w:rsidR="00C46D88" w:rsidRPr="002D4C6D" w:rsidRDefault="00C46D88" w:rsidP="003814D9">
            <w:pPr>
              <w:pStyle w:val="MarginSubhead"/>
            </w:pPr>
            <w:r w:rsidRPr="005D07B9">
              <w:t>Benefit</w:t>
            </w:r>
          </w:p>
        </w:tc>
        <w:tc>
          <w:tcPr>
            <w:tcW w:w="7740" w:type="dxa"/>
          </w:tcPr>
          <w:p w14:paraId="44EB16B7" w14:textId="77777777" w:rsidR="00C46D88" w:rsidRPr="002D4C6D" w:rsidRDefault="00C46D88" w:rsidP="003814D9">
            <w:pPr>
              <w:pStyle w:val="Body"/>
            </w:pPr>
            <w:r w:rsidRPr="00936C29">
              <w:t>Medical during the measurement year and the year prior. Pharmacy during the measurement year.</w:t>
            </w:r>
          </w:p>
        </w:tc>
      </w:tr>
      <w:tr w:rsidR="00C46D88" w:rsidRPr="002D4C6D" w14:paraId="1203C67A" w14:textId="77777777" w:rsidTr="006740AA">
        <w:tc>
          <w:tcPr>
            <w:tcW w:w="2052" w:type="dxa"/>
          </w:tcPr>
          <w:p w14:paraId="093B8C1A" w14:textId="3654384B" w:rsidR="00C46D88" w:rsidRDefault="00105DB3" w:rsidP="003814D9">
            <w:pPr>
              <w:pStyle w:val="MarginSubhead"/>
            </w:pPr>
            <w:r>
              <w:t>Event/d</w:t>
            </w:r>
            <w:r w:rsidR="00C46D88" w:rsidRPr="00F71F3B">
              <w:t>iagnosis</w:t>
            </w:r>
          </w:p>
        </w:tc>
        <w:tc>
          <w:tcPr>
            <w:tcW w:w="7740" w:type="dxa"/>
          </w:tcPr>
          <w:p w14:paraId="4C7A7C6A" w14:textId="77777777" w:rsidR="00C46D88" w:rsidRPr="002C2447" w:rsidRDefault="00C46D88" w:rsidP="003814D9">
            <w:pPr>
              <w:pStyle w:val="Body"/>
            </w:pPr>
            <w:r>
              <w:t>A</w:t>
            </w:r>
            <w:r w:rsidRPr="00757F21">
              <w:t>ll members who meet the numerator criteria for Rate 1.</w:t>
            </w:r>
          </w:p>
        </w:tc>
      </w:tr>
    </w:tbl>
    <w:p w14:paraId="35E1F33D" w14:textId="19B086CF" w:rsidR="00C46D88" w:rsidRPr="00B25C56" w:rsidRDefault="00C46D88" w:rsidP="00C46D88">
      <w:pPr>
        <w:pStyle w:val="StdHead"/>
      </w:pPr>
      <w:r w:rsidRPr="00B25C56">
        <w:t>Administrative Specification</w:t>
      </w:r>
      <w:r>
        <w:t>:</w:t>
      </w:r>
      <w:r w:rsidRPr="00B25C56">
        <w:t xml:space="preserve"> </w:t>
      </w:r>
      <w:r w:rsidRPr="00EC29D4">
        <w:rPr>
          <w:i/>
        </w:rPr>
        <w:t>Rate 2</w:t>
      </w:r>
      <w:r>
        <w:t>—Statin Adherence 80</w:t>
      </w:r>
      <w:r w:rsidR="00793A84">
        <w:t>%</w:t>
      </w:r>
    </w:p>
    <w:tbl>
      <w:tblPr>
        <w:tblW w:w="5044" w:type="pct"/>
        <w:tblInd w:w="-90" w:type="dxa"/>
        <w:tblLook w:val="0000" w:firstRow="0" w:lastRow="0" w:firstColumn="0" w:lastColumn="0" w:noHBand="0" w:noVBand="0"/>
      </w:tblPr>
      <w:tblGrid>
        <w:gridCol w:w="2069"/>
        <w:gridCol w:w="7737"/>
      </w:tblGrid>
      <w:tr w:rsidR="00C46D88" w:rsidRPr="002D4C6D" w14:paraId="44F1A622" w14:textId="77777777" w:rsidTr="00E25FF8">
        <w:tc>
          <w:tcPr>
            <w:tcW w:w="1055" w:type="pct"/>
          </w:tcPr>
          <w:p w14:paraId="383D387D" w14:textId="77777777" w:rsidR="00C46D88" w:rsidRPr="002D4C6D" w:rsidRDefault="00C46D88" w:rsidP="003814D9">
            <w:pPr>
              <w:pStyle w:val="MarginSubhead"/>
            </w:pPr>
            <w:r w:rsidRPr="002D4C6D">
              <w:t>Denominator</w:t>
            </w:r>
          </w:p>
        </w:tc>
        <w:tc>
          <w:tcPr>
            <w:tcW w:w="3945" w:type="pct"/>
          </w:tcPr>
          <w:p w14:paraId="1FACD846" w14:textId="77777777" w:rsidR="00C46D88" w:rsidRPr="002D4C6D" w:rsidRDefault="00C46D88" w:rsidP="003814D9">
            <w:pPr>
              <w:pStyle w:val="Body"/>
            </w:pPr>
            <w:r w:rsidRPr="002D4C6D">
              <w:t xml:space="preserve">The </w:t>
            </w:r>
            <w:r>
              <w:t xml:space="preserve">Rate 2 </w:t>
            </w:r>
            <w:r w:rsidRPr="002D4C6D">
              <w:t>eligible population.</w:t>
            </w:r>
          </w:p>
        </w:tc>
      </w:tr>
      <w:tr w:rsidR="00C46D88" w:rsidRPr="002D4C6D" w14:paraId="180B30A2" w14:textId="77777777" w:rsidTr="00E25FF8">
        <w:tc>
          <w:tcPr>
            <w:tcW w:w="1055" w:type="pct"/>
          </w:tcPr>
          <w:p w14:paraId="057F42BE" w14:textId="77777777" w:rsidR="00C46D88" w:rsidRPr="002D4C6D" w:rsidRDefault="00C46D88" w:rsidP="003814D9">
            <w:pPr>
              <w:pStyle w:val="MarginSubhead"/>
            </w:pPr>
            <w:r w:rsidRPr="002D4C6D">
              <w:t>Numerator</w:t>
            </w:r>
          </w:p>
        </w:tc>
        <w:tc>
          <w:tcPr>
            <w:tcW w:w="3945" w:type="pct"/>
          </w:tcPr>
          <w:p w14:paraId="7E302512" w14:textId="77777777" w:rsidR="00C46D88" w:rsidRPr="00E40963" w:rsidRDefault="00C46D88" w:rsidP="003814D9">
            <w:pPr>
              <w:pStyle w:val="Body"/>
              <w:rPr>
                <w:rFonts w:cs="Arial"/>
              </w:rPr>
            </w:pPr>
            <w:r w:rsidRPr="00E40963">
              <w:rPr>
                <w:rFonts w:cs="Arial"/>
              </w:rPr>
              <w:t>The number of members who achieved a PDC of at least 80</w:t>
            </w:r>
            <w:r>
              <w:rPr>
                <w:rFonts w:cs="Arial"/>
              </w:rPr>
              <w:t>%</w:t>
            </w:r>
            <w:r w:rsidRPr="00E40963">
              <w:rPr>
                <w:rFonts w:cs="Arial"/>
              </w:rPr>
              <w:t xml:space="preserve"> during the treatment period.</w:t>
            </w:r>
          </w:p>
        </w:tc>
      </w:tr>
      <w:tr w:rsidR="00C46D88" w:rsidRPr="009A5F3B" w14:paraId="0577AB15" w14:textId="77777777" w:rsidTr="00E25FF8">
        <w:trPr>
          <w:cantSplit/>
        </w:trPr>
        <w:tc>
          <w:tcPr>
            <w:tcW w:w="1055" w:type="pct"/>
          </w:tcPr>
          <w:p w14:paraId="00556B88" w14:textId="77777777" w:rsidR="00C46D88" w:rsidRPr="00982FFC" w:rsidRDefault="00C46D88" w:rsidP="003814D9">
            <w:pPr>
              <w:pStyle w:val="MarginSubhead"/>
              <w:ind w:left="0"/>
              <w:jc w:val="right"/>
              <w:rPr>
                <w:i/>
              </w:rPr>
            </w:pPr>
          </w:p>
        </w:tc>
        <w:tc>
          <w:tcPr>
            <w:tcW w:w="3945" w:type="pct"/>
          </w:tcPr>
          <w:p w14:paraId="680AE81E" w14:textId="77777777" w:rsidR="00C46D88" w:rsidRPr="00E40963" w:rsidRDefault="00C46D88" w:rsidP="003814D9">
            <w:pPr>
              <w:pStyle w:val="Body"/>
              <w:rPr>
                <w:rFonts w:cs="Arial"/>
              </w:rPr>
            </w:pPr>
            <w:r w:rsidRPr="00E40963">
              <w:rPr>
                <w:rFonts w:cs="Arial"/>
              </w:rPr>
              <w:t>Follow the steps below to identify numerator compliance.</w:t>
            </w:r>
          </w:p>
        </w:tc>
      </w:tr>
      <w:tr w:rsidR="00C46D88" w:rsidRPr="00982FFC" w14:paraId="3AD0AE48" w14:textId="77777777" w:rsidTr="00E25FF8">
        <w:trPr>
          <w:cantSplit/>
        </w:trPr>
        <w:tc>
          <w:tcPr>
            <w:tcW w:w="1055" w:type="pct"/>
          </w:tcPr>
          <w:p w14:paraId="5AEB00DF" w14:textId="77777777" w:rsidR="00C46D88" w:rsidRPr="00B25C56" w:rsidRDefault="00C46D88" w:rsidP="003814D9">
            <w:pPr>
              <w:pStyle w:val="MarginSubhead"/>
              <w:jc w:val="right"/>
              <w:rPr>
                <w:i/>
              </w:rPr>
            </w:pPr>
            <w:r w:rsidRPr="00B25C56">
              <w:rPr>
                <w:i/>
              </w:rPr>
              <w:t>Step 1</w:t>
            </w:r>
          </w:p>
        </w:tc>
        <w:tc>
          <w:tcPr>
            <w:tcW w:w="3945" w:type="pct"/>
          </w:tcPr>
          <w:p w14:paraId="048D465A" w14:textId="409C81D4" w:rsidR="00C46D88" w:rsidRPr="00E40963" w:rsidRDefault="00C46D88" w:rsidP="00C711EA">
            <w:pPr>
              <w:pStyle w:val="Body"/>
              <w:rPr>
                <w:rFonts w:cs="Arial"/>
              </w:rPr>
            </w:pPr>
            <w:r w:rsidRPr="00E40963">
              <w:rPr>
                <w:rFonts w:cs="Arial"/>
              </w:rPr>
              <w:t xml:space="preserve">Identify the IPSD. The IPSD is the earliest dispensing event for any </w:t>
            </w:r>
            <w:r w:rsidR="00095379">
              <w:t xml:space="preserve">intensity statin </w:t>
            </w:r>
            <w:r w:rsidRPr="00E40963">
              <w:rPr>
                <w:rFonts w:cs="Arial"/>
              </w:rPr>
              <w:t xml:space="preserve">medication </w:t>
            </w:r>
            <w:r w:rsidR="00095379">
              <w:rPr>
                <w:rFonts w:cs="Arial"/>
              </w:rPr>
              <w:t>(</w:t>
            </w:r>
            <w:r w:rsidRPr="00A510E2">
              <w:rPr>
                <w:rFonts w:cs="Arial"/>
              </w:rPr>
              <w:t xml:space="preserve">Table </w:t>
            </w:r>
            <w:r w:rsidR="00095379">
              <w:rPr>
                <w:rFonts w:cs="Arial"/>
              </w:rPr>
              <w:t>S</w:t>
            </w:r>
            <w:r w:rsidR="001D1A06">
              <w:rPr>
                <w:rFonts w:cs="Arial"/>
              </w:rPr>
              <w:t>PD-A</w:t>
            </w:r>
            <w:r w:rsidR="00095379">
              <w:rPr>
                <w:rFonts w:cs="Arial"/>
              </w:rPr>
              <w:t>)</w:t>
            </w:r>
            <w:r w:rsidRPr="00E40963">
              <w:rPr>
                <w:rFonts w:cs="Arial"/>
              </w:rPr>
              <w:t xml:space="preserve"> during the measurement year.</w:t>
            </w:r>
          </w:p>
        </w:tc>
      </w:tr>
    </w:tbl>
    <w:p w14:paraId="5C0FC66E" w14:textId="77777777" w:rsidR="004E5025" w:rsidRDefault="004E5025">
      <w:pPr>
        <w:sectPr w:rsidR="004E5025" w:rsidSect="007527F3">
          <w:pgSz w:w="12240" w:h="15840" w:code="1"/>
          <w:pgMar w:top="1080" w:right="1080" w:bottom="1080" w:left="1440" w:header="720" w:footer="720" w:gutter="0"/>
          <w:cols w:space="720"/>
        </w:sectPr>
      </w:pPr>
    </w:p>
    <w:tbl>
      <w:tblPr>
        <w:tblW w:w="5044" w:type="pct"/>
        <w:tblInd w:w="-90" w:type="dxa"/>
        <w:tblLook w:val="0000" w:firstRow="0" w:lastRow="0" w:firstColumn="0" w:lastColumn="0" w:noHBand="0" w:noVBand="0"/>
      </w:tblPr>
      <w:tblGrid>
        <w:gridCol w:w="1081"/>
        <w:gridCol w:w="8725"/>
      </w:tblGrid>
      <w:tr w:rsidR="00C46D88" w:rsidRPr="00982FFC" w14:paraId="2B2E0E0E" w14:textId="77777777" w:rsidTr="00E25FF8">
        <w:trPr>
          <w:cantSplit/>
        </w:trPr>
        <w:tc>
          <w:tcPr>
            <w:tcW w:w="551" w:type="pct"/>
          </w:tcPr>
          <w:p w14:paraId="72BAD3D9" w14:textId="77777777" w:rsidR="00C46D88" w:rsidRPr="00B25C56" w:rsidRDefault="00C46D88" w:rsidP="004E5025">
            <w:pPr>
              <w:pStyle w:val="MarginSubhead"/>
              <w:spacing w:before="0"/>
              <w:jc w:val="right"/>
              <w:rPr>
                <w:i/>
              </w:rPr>
            </w:pPr>
            <w:r w:rsidRPr="00B25C56">
              <w:rPr>
                <w:i/>
              </w:rPr>
              <w:lastRenderedPageBreak/>
              <w:t>Step 2</w:t>
            </w:r>
          </w:p>
        </w:tc>
        <w:tc>
          <w:tcPr>
            <w:tcW w:w="4449" w:type="pct"/>
          </w:tcPr>
          <w:p w14:paraId="045E27EB" w14:textId="77777777" w:rsidR="00C46D88" w:rsidRPr="00E40963" w:rsidRDefault="00C46D88" w:rsidP="004E5025">
            <w:pPr>
              <w:pStyle w:val="Body"/>
              <w:spacing w:before="0"/>
              <w:rPr>
                <w:rFonts w:cs="Arial"/>
              </w:rPr>
            </w:pPr>
            <w:r w:rsidRPr="00E40963">
              <w:rPr>
                <w:rFonts w:cs="Arial"/>
              </w:rPr>
              <w:t xml:space="preserve">To determine the treatment period, calculate the number of days from the IPSD (inclusive) to the end of the measurement year. </w:t>
            </w:r>
          </w:p>
        </w:tc>
      </w:tr>
      <w:tr w:rsidR="00C46D88" w:rsidRPr="00982FFC" w14:paraId="05FF9BC1" w14:textId="77777777" w:rsidTr="00E25FF8">
        <w:trPr>
          <w:cantSplit/>
        </w:trPr>
        <w:tc>
          <w:tcPr>
            <w:tcW w:w="551" w:type="pct"/>
          </w:tcPr>
          <w:p w14:paraId="20DE04F5" w14:textId="77777777" w:rsidR="00C46D88" w:rsidRPr="00B25C56" w:rsidRDefault="00C46D88" w:rsidP="003814D9">
            <w:pPr>
              <w:pStyle w:val="MarginSubhead"/>
              <w:jc w:val="right"/>
              <w:rPr>
                <w:i/>
              </w:rPr>
            </w:pPr>
            <w:r w:rsidRPr="00B25C56">
              <w:rPr>
                <w:i/>
              </w:rPr>
              <w:t>Step 3</w:t>
            </w:r>
          </w:p>
        </w:tc>
        <w:tc>
          <w:tcPr>
            <w:tcW w:w="4449" w:type="pct"/>
          </w:tcPr>
          <w:p w14:paraId="0070E4A1" w14:textId="77777777" w:rsidR="00C46D88" w:rsidRPr="00913363" w:rsidRDefault="00C46D88" w:rsidP="003814D9">
            <w:pPr>
              <w:pStyle w:val="Body"/>
              <w:rPr>
                <w:rFonts w:cs="Arial"/>
              </w:rPr>
            </w:pPr>
            <w:r w:rsidRPr="00913363">
              <w:rPr>
                <w:rFonts w:cs="Arial"/>
              </w:rPr>
              <w:t>Count the days covered by at least one prescription for statin medication during the treatment period. To ensure the measure does not give credit for supply that extends beyond the measurement year, subtract any days supply that extends beyond December 31 of the measurement year.</w:t>
            </w:r>
          </w:p>
        </w:tc>
      </w:tr>
      <w:tr w:rsidR="00C46D88" w:rsidRPr="00BD3118" w14:paraId="66AC9220" w14:textId="77777777" w:rsidTr="00E25FF8">
        <w:trPr>
          <w:cantSplit/>
        </w:trPr>
        <w:tc>
          <w:tcPr>
            <w:tcW w:w="551" w:type="pct"/>
          </w:tcPr>
          <w:p w14:paraId="3A06F57C" w14:textId="77777777" w:rsidR="00C46D88" w:rsidRPr="00B25C56" w:rsidRDefault="00C46D88" w:rsidP="003814D9">
            <w:pPr>
              <w:pStyle w:val="MarginSubhead"/>
              <w:jc w:val="right"/>
              <w:rPr>
                <w:i/>
              </w:rPr>
            </w:pPr>
            <w:r w:rsidRPr="00B25C56">
              <w:rPr>
                <w:i/>
              </w:rPr>
              <w:t>Step 4</w:t>
            </w:r>
          </w:p>
        </w:tc>
        <w:tc>
          <w:tcPr>
            <w:tcW w:w="4449" w:type="pct"/>
          </w:tcPr>
          <w:p w14:paraId="38046820" w14:textId="77777777" w:rsidR="00C46D88" w:rsidRPr="00E40963" w:rsidRDefault="00C46D88" w:rsidP="003814D9">
            <w:pPr>
              <w:pStyle w:val="Body"/>
              <w:rPr>
                <w:rFonts w:cs="Arial"/>
                <w:szCs w:val="20"/>
              </w:rPr>
            </w:pPr>
            <w:r w:rsidRPr="00E40963">
              <w:rPr>
                <w:rFonts w:cs="Arial"/>
                <w:szCs w:val="20"/>
              </w:rPr>
              <w:t>Calculate the member’s PDC using the following equation.</w:t>
            </w:r>
            <m:oMath>
              <m:r>
                <m:rPr>
                  <m:sty m:val="p"/>
                </m:rPr>
                <w:rPr>
                  <w:rFonts w:ascii="Cambria Math" w:hAnsi="Cambria Math" w:cs="Arial"/>
                  <w:szCs w:val="20"/>
                </w:rPr>
                <m:t xml:space="preserve"> </m:t>
              </m:r>
            </m:oMath>
            <w:r w:rsidRPr="00E40963">
              <w:rPr>
                <w:rFonts w:cs="Arial"/>
                <w:szCs w:val="20"/>
              </w:rPr>
              <w:t>Round (using the .5 rule) to two decimal places.</w:t>
            </w:r>
          </w:p>
          <w:p w14:paraId="1C1B788E" w14:textId="77777777" w:rsidR="00C46D88" w:rsidRPr="00E40963" w:rsidRDefault="00C46D88" w:rsidP="003814D9">
            <w:pPr>
              <w:pStyle w:val="Body"/>
              <w:pBdr>
                <w:bottom w:val="single" w:sz="6" w:space="1" w:color="auto"/>
              </w:pBdr>
              <w:spacing w:before="120"/>
              <w:jc w:val="center"/>
              <w:rPr>
                <w:rFonts w:cs="Arial"/>
                <w:szCs w:val="20"/>
              </w:rPr>
            </w:pPr>
            <w:r w:rsidRPr="00E40963">
              <w:rPr>
                <w:rFonts w:cs="Arial"/>
                <w:szCs w:val="20"/>
              </w:rPr>
              <w:t>T</w:t>
            </w:r>
            <w:r w:rsidRPr="00E40963">
              <w:rPr>
                <w:rFonts w:cs="Arial"/>
                <w:szCs w:val="20"/>
                <w:bdr w:val="single" w:sz="6" w:space="0" w:color="FFFFFF"/>
              </w:rPr>
              <w:t>otal Days Covered by a Statin Medication in the Treatment Period (step 3)</w:t>
            </w:r>
          </w:p>
          <w:p w14:paraId="64ECACC3" w14:textId="77777777" w:rsidR="00C46D88" w:rsidRPr="00E40963" w:rsidRDefault="00C46D88" w:rsidP="003814D9">
            <w:pPr>
              <w:pStyle w:val="Body"/>
              <w:spacing w:before="60"/>
              <w:jc w:val="center"/>
              <w:rPr>
                <w:rFonts w:cs="Arial"/>
                <w:i/>
                <w:szCs w:val="20"/>
              </w:rPr>
            </w:pPr>
            <w:r w:rsidRPr="00E40963">
              <w:rPr>
                <w:rFonts w:cs="Arial"/>
                <w:szCs w:val="20"/>
              </w:rPr>
              <w:t>Total Days in Treatment Period (step 2)</w:t>
            </w:r>
          </w:p>
        </w:tc>
      </w:tr>
      <w:tr w:rsidR="00C46D88" w:rsidRPr="002D4C6D" w14:paraId="00245E54" w14:textId="77777777" w:rsidTr="00E25FF8">
        <w:tc>
          <w:tcPr>
            <w:tcW w:w="551" w:type="pct"/>
          </w:tcPr>
          <w:p w14:paraId="056EB4F0" w14:textId="77777777" w:rsidR="00C46D88" w:rsidRPr="00B25C56" w:rsidRDefault="00C46D88" w:rsidP="003814D9">
            <w:pPr>
              <w:pStyle w:val="MarginSubhead"/>
              <w:jc w:val="right"/>
              <w:rPr>
                <w:i/>
              </w:rPr>
            </w:pPr>
            <w:r w:rsidRPr="00B25C56">
              <w:rPr>
                <w:i/>
              </w:rPr>
              <w:t>Step 5</w:t>
            </w:r>
          </w:p>
        </w:tc>
        <w:tc>
          <w:tcPr>
            <w:tcW w:w="4449" w:type="pct"/>
          </w:tcPr>
          <w:p w14:paraId="03201077" w14:textId="77777777" w:rsidR="00C46D88" w:rsidRDefault="00C46D88" w:rsidP="003814D9">
            <w:pPr>
              <w:pStyle w:val="Body"/>
            </w:pPr>
            <w:r w:rsidRPr="000B7655">
              <w:t>Sum the number of members whose PDC is ≥</w:t>
            </w:r>
            <w:r>
              <w:t>8</w:t>
            </w:r>
            <w:r w:rsidRPr="000B7655">
              <w:t>0% for the treatment period</w:t>
            </w:r>
            <w:r>
              <w:t>.</w:t>
            </w:r>
          </w:p>
        </w:tc>
      </w:tr>
    </w:tbl>
    <w:p w14:paraId="4E87F0C9" w14:textId="77777777" w:rsidR="00C46D88" w:rsidRPr="00762071" w:rsidRDefault="00C46D88" w:rsidP="00B26D5D">
      <w:pPr>
        <w:pStyle w:val="SubHead"/>
        <w:pBdr>
          <w:bottom w:val="single" w:sz="6" w:space="0" w:color="auto"/>
        </w:pBdr>
        <w:spacing w:before="240"/>
        <w:rPr>
          <w:i/>
        </w:rPr>
      </w:pPr>
      <w:r>
        <w:t>E</w:t>
      </w:r>
      <w:r w:rsidRPr="00762071">
        <w:t xml:space="preserve">xclusion </w:t>
      </w:r>
      <w:r w:rsidRPr="00762071">
        <w:rPr>
          <w:i/>
        </w:rPr>
        <w:t>(optional)</w:t>
      </w:r>
    </w:p>
    <w:p w14:paraId="0C72120B" w14:textId="77777777" w:rsidR="00C711EA" w:rsidRPr="00463667" w:rsidRDefault="00C711EA" w:rsidP="00C711EA">
      <w:pPr>
        <w:pStyle w:val="Body"/>
        <w:tabs>
          <w:tab w:val="left" w:pos="2005"/>
        </w:tabs>
        <w:ind w:left="25"/>
      </w:pPr>
      <w:r>
        <w:t>M</w:t>
      </w:r>
      <w:r w:rsidRPr="00463667">
        <w:t>embers who do not have a diagnosis of diabetes (</w:t>
      </w:r>
      <w:r w:rsidRPr="00463667">
        <w:rPr>
          <w:u w:val="single"/>
        </w:rPr>
        <w:t>Diabetes Value Set</w:t>
      </w:r>
      <w:r w:rsidRPr="00463667">
        <w:t xml:space="preserve">), in any setting, during the measurement year or </w:t>
      </w:r>
      <w:r>
        <w:t xml:space="preserve">the </w:t>
      </w:r>
      <w:r w:rsidRPr="00463667">
        <w:t>year prior to the measurement year</w:t>
      </w:r>
      <w:r w:rsidRPr="00756D29">
        <w:rPr>
          <w:i/>
        </w:rPr>
        <w:t xml:space="preserve"> </w:t>
      </w:r>
      <w:r w:rsidRPr="00756D29">
        <w:rPr>
          <w:b/>
          <w:i/>
        </w:rPr>
        <w:t>and</w:t>
      </w:r>
      <w:r w:rsidRPr="00463667">
        <w:t xml:space="preserve"> who</w:t>
      </w:r>
      <w:r>
        <w:t xml:space="preserve"> had a diagnosis of </w:t>
      </w:r>
      <w:r w:rsidRPr="00463667">
        <w:t>gestational diabetes or steroid-induced diabetes (</w:t>
      </w:r>
      <w:r w:rsidRPr="00463667">
        <w:rPr>
          <w:u w:val="single"/>
        </w:rPr>
        <w:t>Diabetes Exclusions Value Set</w:t>
      </w:r>
      <w:r w:rsidRPr="00463667">
        <w:t>), in any setting, during the measurement year or the year prior to the measurement year.</w:t>
      </w:r>
    </w:p>
    <w:p w14:paraId="7C204238" w14:textId="77777777" w:rsidR="00C711EA" w:rsidRPr="00463667" w:rsidRDefault="00C711EA" w:rsidP="00C711EA">
      <w:pPr>
        <w:pStyle w:val="Body"/>
      </w:pPr>
      <w:r w:rsidRPr="00966FEF">
        <w:t>If the member was included in the measure based on claim or encounter data, as described in the event/</w:t>
      </w:r>
      <w:r>
        <w:t xml:space="preserve"> </w:t>
      </w:r>
      <w:r w:rsidRPr="00966FEF">
        <w:t>diagnosis criteria, the optional exclusions do not apply because the member had a diagnosis of diabetes.</w:t>
      </w:r>
    </w:p>
    <w:p w14:paraId="773AC086" w14:textId="77777777" w:rsidR="00965143" w:rsidRPr="00463667" w:rsidRDefault="00965143" w:rsidP="00965143">
      <w:pPr>
        <w:pStyle w:val="ReverseHead"/>
      </w:pPr>
      <w:r w:rsidRPr="00463667">
        <w:t xml:space="preserve">Data Elements for Reporting </w:t>
      </w:r>
    </w:p>
    <w:p w14:paraId="23F8C3CD" w14:textId="77777777" w:rsidR="00965143" w:rsidRDefault="00965143" w:rsidP="00965143">
      <w:pPr>
        <w:pStyle w:val="Body"/>
      </w:pPr>
      <w:r w:rsidRPr="00463667">
        <w:t>Organizations that submit HEDIS data to NCQA must provide the following data elements.</w:t>
      </w:r>
    </w:p>
    <w:p w14:paraId="197C5156" w14:textId="2DD6DF52" w:rsidR="00965143" w:rsidRPr="00463667" w:rsidRDefault="00965143" w:rsidP="00965143">
      <w:pPr>
        <w:pStyle w:val="TableHeadNotCondensed"/>
      </w:pPr>
      <w:r>
        <w:t>Table SPD</w:t>
      </w:r>
      <w:r w:rsidRPr="00463667">
        <w:t>-1/2</w:t>
      </w:r>
      <w:r>
        <w:t>/3</w:t>
      </w:r>
      <w:r w:rsidRPr="00463667">
        <w:t xml:space="preserve">: Data Elements for </w:t>
      </w:r>
      <w:r>
        <w:rPr>
          <w:lang w:val="pt-BR"/>
        </w:rPr>
        <w:t>Statin Therapy for Patients With Diabetes</w:t>
      </w:r>
    </w:p>
    <w:tbl>
      <w:tblPr>
        <w:tblW w:w="7317"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716"/>
        <w:gridCol w:w="3601"/>
      </w:tblGrid>
      <w:tr w:rsidR="00965143" w:rsidRPr="00463667" w14:paraId="756D8946" w14:textId="77777777" w:rsidTr="00965143">
        <w:tc>
          <w:tcPr>
            <w:tcW w:w="3716" w:type="dxa"/>
            <w:tcBorders>
              <w:bottom w:val="single" w:sz="6" w:space="0" w:color="auto"/>
              <w:right w:val="nil"/>
            </w:tcBorders>
            <w:shd w:val="clear" w:color="auto" w:fill="000000"/>
          </w:tcPr>
          <w:p w14:paraId="51491D1E" w14:textId="77777777" w:rsidR="00965143" w:rsidRPr="00463667" w:rsidRDefault="00965143" w:rsidP="00232457">
            <w:pPr>
              <w:pStyle w:val="TableHead"/>
              <w:rPr>
                <w:color w:val="auto"/>
              </w:rPr>
            </w:pPr>
            <w:r w:rsidRPr="00463667">
              <w:rPr>
                <w:color w:val="auto"/>
              </w:rPr>
              <w:t>Data Elements</w:t>
            </w:r>
          </w:p>
        </w:tc>
        <w:tc>
          <w:tcPr>
            <w:tcW w:w="3601" w:type="dxa"/>
            <w:tcBorders>
              <w:left w:val="single" w:sz="6" w:space="0" w:color="FFFFFF"/>
              <w:bottom w:val="single" w:sz="6" w:space="0" w:color="auto"/>
              <w:right w:val="single" w:sz="4" w:space="0" w:color="auto"/>
            </w:tcBorders>
            <w:shd w:val="clear" w:color="auto" w:fill="000000"/>
          </w:tcPr>
          <w:p w14:paraId="7CEEEFAC" w14:textId="77777777" w:rsidR="00965143" w:rsidRPr="00463667" w:rsidRDefault="00965143" w:rsidP="00232457">
            <w:pPr>
              <w:pStyle w:val="TableHead"/>
              <w:rPr>
                <w:color w:val="auto"/>
              </w:rPr>
            </w:pPr>
            <w:r w:rsidRPr="00463667">
              <w:rPr>
                <w:color w:val="auto"/>
              </w:rPr>
              <w:t>Administrative</w:t>
            </w:r>
          </w:p>
        </w:tc>
      </w:tr>
      <w:tr w:rsidR="00965143" w:rsidRPr="00463667" w14:paraId="5B2CFF80" w14:textId="77777777" w:rsidTr="00965143">
        <w:tc>
          <w:tcPr>
            <w:tcW w:w="3716" w:type="dxa"/>
            <w:tcBorders>
              <w:bottom w:val="single" w:sz="6" w:space="0" w:color="auto"/>
            </w:tcBorders>
            <w:vAlign w:val="center"/>
          </w:tcPr>
          <w:p w14:paraId="063842F0" w14:textId="77777777" w:rsidR="00965143" w:rsidRPr="00463667" w:rsidRDefault="00965143" w:rsidP="00232457">
            <w:pPr>
              <w:pStyle w:val="TableText"/>
            </w:pPr>
            <w:r w:rsidRPr="00463667">
              <w:t>Measurement year</w:t>
            </w:r>
          </w:p>
        </w:tc>
        <w:tc>
          <w:tcPr>
            <w:tcW w:w="3601" w:type="dxa"/>
            <w:tcBorders>
              <w:bottom w:val="single" w:sz="6" w:space="0" w:color="auto"/>
            </w:tcBorders>
            <w:vAlign w:val="center"/>
          </w:tcPr>
          <w:p w14:paraId="376C9215" w14:textId="77777777" w:rsidR="00965143" w:rsidRPr="00463667" w:rsidRDefault="00965143" w:rsidP="00232457">
            <w:pPr>
              <w:pStyle w:val="TableText"/>
              <w:jc w:val="center"/>
              <w:rPr>
                <w:sz w:val="24"/>
                <w:szCs w:val="24"/>
              </w:rPr>
            </w:pPr>
            <w:r w:rsidRPr="00463667">
              <w:rPr>
                <w:sz w:val="24"/>
                <w:szCs w:val="24"/>
              </w:rPr>
              <w:sym w:font="Wingdings" w:char="F0FC"/>
            </w:r>
          </w:p>
        </w:tc>
      </w:tr>
      <w:tr w:rsidR="00965143" w:rsidRPr="00463667" w14:paraId="04B67FFB" w14:textId="77777777" w:rsidTr="00965143">
        <w:trPr>
          <w:trHeight w:val="318"/>
        </w:trPr>
        <w:tc>
          <w:tcPr>
            <w:tcW w:w="3716" w:type="dxa"/>
            <w:shd w:val="clear" w:color="auto" w:fill="D9D9D9"/>
            <w:vAlign w:val="center"/>
          </w:tcPr>
          <w:p w14:paraId="6852C377" w14:textId="77777777" w:rsidR="00965143" w:rsidRPr="00463667" w:rsidRDefault="00965143" w:rsidP="00232457">
            <w:pPr>
              <w:pStyle w:val="TableText"/>
            </w:pPr>
            <w:r w:rsidRPr="00463667">
              <w:t>Data collection methodology (Administrative)</w:t>
            </w:r>
          </w:p>
        </w:tc>
        <w:tc>
          <w:tcPr>
            <w:tcW w:w="3601" w:type="dxa"/>
            <w:shd w:val="clear" w:color="auto" w:fill="D9D9D9"/>
            <w:vAlign w:val="center"/>
          </w:tcPr>
          <w:p w14:paraId="4A2190A2" w14:textId="77777777" w:rsidR="00965143" w:rsidRPr="00463667" w:rsidRDefault="00965143" w:rsidP="00232457">
            <w:pPr>
              <w:pStyle w:val="TableText"/>
              <w:jc w:val="center"/>
              <w:rPr>
                <w:sz w:val="24"/>
                <w:szCs w:val="24"/>
              </w:rPr>
            </w:pPr>
            <w:r w:rsidRPr="00463667">
              <w:rPr>
                <w:sz w:val="24"/>
                <w:szCs w:val="24"/>
              </w:rPr>
              <w:sym w:font="Wingdings" w:char="F0FC"/>
            </w:r>
          </w:p>
        </w:tc>
      </w:tr>
      <w:tr w:rsidR="00965143" w:rsidRPr="00463667" w14:paraId="447AA06C" w14:textId="77777777" w:rsidTr="00965143">
        <w:tc>
          <w:tcPr>
            <w:tcW w:w="3716" w:type="dxa"/>
            <w:shd w:val="clear" w:color="auto" w:fill="auto"/>
            <w:vAlign w:val="center"/>
          </w:tcPr>
          <w:p w14:paraId="68586D97" w14:textId="77777777" w:rsidR="00965143" w:rsidRPr="00463667" w:rsidRDefault="00965143" w:rsidP="00232457">
            <w:pPr>
              <w:pStyle w:val="TableText"/>
            </w:pPr>
            <w:r w:rsidRPr="00463667">
              <w:t>Eligible population</w:t>
            </w:r>
          </w:p>
        </w:tc>
        <w:tc>
          <w:tcPr>
            <w:tcW w:w="3601" w:type="dxa"/>
            <w:shd w:val="clear" w:color="auto" w:fill="auto"/>
          </w:tcPr>
          <w:p w14:paraId="2371168B" w14:textId="272E9CF4" w:rsidR="00965143" w:rsidRPr="00463667" w:rsidRDefault="00965143" w:rsidP="00965143">
            <w:pPr>
              <w:pStyle w:val="TableText"/>
              <w:jc w:val="center"/>
              <w:rPr>
                <w:i/>
              </w:rPr>
            </w:pPr>
            <w:r>
              <w:rPr>
                <w:i/>
              </w:rPr>
              <w:t>E</w:t>
            </w:r>
            <w:r w:rsidRPr="00463667">
              <w:rPr>
                <w:i/>
              </w:rPr>
              <w:t>ach</w:t>
            </w:r>
            <w:r>
              <w:rPr>
                <w:i/>
              </w:rPr>
              <w:t xml:space="preserve"> of the 2</w:t>
            </w:r>
            <w:r w:rsidRPr="00463667">
              <w:rPr>
                <w:i/>
              </w:rPr>
              <w:t xml:space="preserve"> rate</w:t>
            </w:r>
            <w:r>
              <w:rPr>
                <w:i/>
              </w:rPr>
              <w:t>s</w:t>
            </w:r>
          </w:p>
        </w:tc>
      </w:tr>
      <w:tr w:rsidR="00965143" w:rsidRPr="00463667" w14:paraId="09B1F90B" w14:textId="77777777" w:rsidTr="00965143">
        <w:tc>
          <w:tcPr>
            <w:tcW w:w="3716" w:type="dxa"/>
            <w:shd w:val="clear" w:color="auto" w:fill="D9D9D9"/>
            <w:vAlign w:val="center"/>
          </w:tcPr>
          <w:p w14:paraId="2F69257A" w14:textId="77777777" w:rsidR="00965143" w:rsidRPr="00463667" w:rsidRDefault="00965143" w:rsidP="00232457">
            <w:pPr>
              <w:pStyle w:val="TableText"/>
            </w:pPr>
            <w:r w:rsidRPr="00463667">
              <w:t>Number of required exclusions</w:t>
            </w:r>
          </w:p>
        </w:tc>
        <w:tc>
          <w:tcPr>
            <w:tcW w:w="3601" w:type="dxa"/>
            <w:shd w:val="clear" w:color="auto" w:fill="D9D9D9"/>
          </w:tcPr>
          <w:p w14:paraId="6FCF95C7" w14:textId="11B5D418" w:rsidR="00965143" w:rsidRPr="00463667" w:rsidRDefault="00913F6E" w:rsidP="00232457">
            <w:pPr>
              <w:pStyle w:val="TableText"/>
              <w:jc w:val="center"/>
            </w:pPr>
            <w:r>
              <w:rPr>
                <w:i/>
              </w:rPr>
              <w:t>Rate 1</w:t>
            </w:r>
          </w:p>
        </w:tc>
      </w:tr>
      <w:tr w:rsidR="00965143" w:rsidRPr="00463667" w14:paraId="14E4CDFB" w14:textId="77777777" w:rsidTr="00965143">
        <w:tc>
          <w:tcPr>
            <w:tcW w:w="3716" w:type="dxa"/>
            <w:shd w:val="clear" w:color="auto" w:fill="auto"/>
            <w:vAlign w:val="center"/>
          </w:tcPr>
          <w:p w14:paraId="0BABD751" w14:textId="77777777" w:rsidR="00965143" w:rsidRPr="00463667" w:rsidRDefault="00965143" w:rsidP="00232457">
            <w:pPr>
              <w:pStyle w:val="TableText"/>
            </w:pPr>
            <w:r w:rsidRPr="00463667">
              <w:t>Numerator events by administrative data</w:t>
            </w:r>
          </w:p>
        </w:tc>
        <w:tc>
          <w:tcPr>
            <w:tcW w:w="3601" w:type="dxa"/>
            <w:shd w:val="clear" w:color="auto" w:fill="auto"/>
          </w:tcPr>
          <w:p w14:paraId="5A6FFA5E" w14:textId="2E0483DB" w:rsidR="00965143" w:rsidRPr="00463667" w:rsidRDefault="00965143" w:rsidP="00232457">
            <w:pPr>
              <w:pStyle w:val="TableText"/>
              <w:jc w:val="center"/>
            </w:pPr>
            <w:r>
              <w:rPr>
                <w:i/>
              </w:rPr>
              <w:t>E</w:t>
            </w:r>
            <w:r w:rsidRPr="00463667">
              <w:rPr>
                <w:i/>
              </w:rPr>
              <w:t>ach</w:t>
            </w:r>
            <w:r>
              <w:rPr>
                <w:i/>
              </w:rPr>
              <w:t xml:space="preserve"> of the 2</w:t>
            </w:r>
            <w:r w:rsidRPr="00463667">
              <w:rPr>
                <w:i/>
              </w:rPr>
              <w:t xml:space="preserve"> rate</w:t>
            </w:r>
            <w:r>
              <w:rPr>
                <w:i/>
              </w:rPr>
              <w:t>s</w:t>
            </w:r>
          </w:p>
        </w:tc>
      </w:tr>
      <w:tr w:rsidR="00965143" w:rsidRPr="00463667" w14:paraId="456BCDFC" w14:textId="77777777" w:rsidTr="00965143">
        <w:tc>
          <w:tcPr>
            <w:tcW w:w="3716" w:type="dxa"/>
            <w:shd w:val="clear" w:color="auto" w:fill="D9D9D9" w:themeFill="background1" w:themeFillShade="D9"/>
            <w:vAlign w:val="center"/>
          </w:tcPr>
          <w:p w14:paraId="28BEC3E4" w14:textId="77777777" w:rsidR="00965143" w:rsidRPr="00463667" w:rsidRDefault="00965143" w:rsidP="00232457">
            <w:pPr>
              <w:pStyle w:val="TableText"/>
            </w:pPr>
            <w:r w:rsidRPr="00F17A01">
              <w:t>Numerator events by supplemental data</w:t>
            </w:r>
          </w:p>
        </w:tc>
        <w:tc>
          <w:tcPr>
            <w:tcW w:w="3601" w:type="dxa"/>
            <w:shd w:val="clear" w:color="auto" w:fill="D9D9D9" w:themeFill="background1" w:themeFillShade="D9"/>
          </w:tcPr>
          <w:p w14:paraId="396DD406" w14:textId="7E43246C" w:rsidR="00965143" w:rsidRPr="00463667" w:rsidRDefault="00965143" w:rsidP="00232457">
            <w:pPr>
              <w:pStyle w:val="TableText"/>
              <w:jc w:val="center"/>
              <w:rPr>
                <w:i/>
              </w:rPr>
            </w:pPr>
            <w:r>
              <w:rPr>
                <w:i/>
              </w:rPr>
              <w:t>E</w:t>
            </w:r>
            <w:r w:rsidRPr="00463667">
              <w:rPr>
                <w:i/>
              </w:rPr>
              <w:t>ach</w:t>
            </w:r>
            <w:r>
              <w:rPr>
                <w:i/>
              </w:rPr>
              <w:t xml:space="preserve"> of the 2</w:t>
            </w:r>
            <w:r w:rsidRPr="00463667">
              <w:rPr>
                <w:i/>
              </w:rPr>
              <w:t xml:space="preserve"> rate</w:t>
            </w:r>
            <w:r>
              <w:rPr>
                <w:i/>
              </w:rPr>
              <w:t>s</w:t>
            </w:r>
          </w:p>
        </w:tc>
      </w:tr>
      <w:tr w:rsidR="00965143" w:rsidRPr="00463667" w14:paraId="6530A2AA" w14:textId="77777777" w:rsidTr="00965143">
        <w:tc>
          <w:tcPr>
            <w:tcW w:w="3716" w:type="dxa"/>
            <w:shd w:val="clear" w:color="auto" w:fill="FFFFFF" w:themeFill="background1"/>
            <w:vAlign w:val="center"/>
          </w:tcPr>
          <w:p w14:paraId="53CA1449" w14:textId="77777777" w:rsidR="00965143" w:rsidRPr="00463667" w:rsidRDefault="00965143" w:rsidP="00232457">
            <w:pPr>
              <w:pStyle w:val="TableText"/>
            </w:pPr>
            <w:r w:rsidRPr="00463667">
              <w:t>Reported rate</w:t>
            </w:r>
          </w:p>
        </w:tc>
        <w:tc>
          <w:tcPr>
            <w:tcW w:w="3601" w:type="dxa"/>
            <w:shd w:val="clear" w:color="auto" w:fill="FFFFFF" w:themeFill="background1"/>
          </w:tcPr>
          <w:p w14:paraId="0A792943" w14:textId="70D94874" w:rsidR="00965143" w:rsidRPr="00463667" w:rsidRDefault="00965143" w:rsidP="00232457">
            <w:pPr>
              <w:pStyle w:val="TableText"/>
              <w:jc w:val="center"/>
            </w:pPr>
            <w:r>
              <w:rPr>
                <w:i/>
              </w:rPr>
              <w:t>E</w:t>
            </w:r>
            <w:r w:rsidRPr="00463667">
              <w:rPr>
                <w:i/>
              </w:rPr>
              <w:t>ach</w:t>
            </w:r>
            <w:r>
              <w:rPr>
                <w:i/>
              </w:rPr>
              <w:t xml:space="preserve"> of the 2</w:t>
            </w:r>
            <w:r w:rsidRPr="00463667">
              <w:rPr>
                <w:i/>
              </w:rPr>
              <w:t xml:space="preserve"> rate</w:t>
            </w:r>
            <w:r>
              <w:rPr>
                <w:i/>
              </w:rPr>
              <w:t>s</w:t>
            </w:r>
          </w:p>
        </w:tc>
      </w:tr>
      <w:tr w:rsidR="00965143" w:rsidRPr="00463667" w14:paraId="46FE1147" w14:textId="77777777" w:rsidTr="00965143">
        <w:tc>
          <w:tcPr>
            <w:tcW w:w="3716" w:type="dxa"/>
            <w:tcBorders>
              <w:bottom w:val="single" w:sz="6" w:space="0" w:color="auto"/>
            </w:tcBorders>
            <w:shd w:val="clear" w:color="auto" w:fill="D9D9D9" w:themeFill="background1" w:themeFillShade="D9"/>
            <w:vAlign w:val="center"/>
          </w:tcPr>
          <w:p w14:paraId="15DD3DDC" w14:textId="77777777" w:rsidR="00965143" w:rsidRPr="00463667" w:rsidRDefault="00965143" w:rsidP="00232457">
            <w:pPr>
              <w:pStyle w:val="TableText"/>
            </w:pPr>
            <w:r w:rsidRPr="00463667">
              <w:t>Lower 95% confidence interval</w:t>
            </w:r>
          </w:p>
        </w:tc>
        <w:tc>
          <w:tcPr>
            <w:tcW w:w="3601" w:type="dxa"/>
            <w:tcBorders>
              <w:bottom w:val="single" w:sz="6" w:space="0" w:color="auto"/>
            </w:tcBorders>
            <w:shd w:val="clear" w:color="auto" w:fill="D9D9D9" w:themeFill="background1" w:themeFillShade="D9"/>
          </w:tcPr>
          <w:p w14:paraId="639ADC30" w14:textId="5ABD88D8" w:rsidR="00965143" w:rsidRPr="00463667" w:rsidRDefault="00965143" w:rsidP="00232457">
            <w:pPr>
              <w:pStyle w:val="TableText"/>
              <w:jc w:val="center"/>
            </w:pPr>
            <w:r>
              <w:rPr>
                <w:i/>
              </w:rPr>
              <w:t>E</w:t>
            </w:r>
            <w:r w:rsidRPr="00463667">
              <w:rPr>
                <w:i/>
              </w:rPr>
              <w:t>ach</w:t>
            </w:r>
            <w:r>
              <w:rPr>
                <w:i/>
              </w:rPr>
              <w:t xml:space="preserve"> of the 2</w:t>
            </w:r>
            <w:r w:rsidRPr="00463667">
              <w:rPr>
                <w:i/>
              </w:rPr>
              <w:t xml:space="preserve"> rate</w:t>
            </w:r>
            <w:r>
              <w:rPr>
                <w:i/>
              </w:rPr>
              <w:t>s</w:t>
            </w:r>
          </w:p>
        </w:tc>
      </w:tr>
      <w:tr w:rsidR="00965143" w:rsidRPr="00463667" w14:paraId="3E483E59" w14:textId="77777777" w:rsidTr="00965143">
        <w:tc>
          <w:tcPr>
            <w:tcW w:w="3716" w:type="dxa"/>
            <w:tcBorders>
              <w:bottom w:val="single" w:sz="6" w:space="0" w:color="auto"/>
            </w:tcBorders>
            <w:shd w:val="clear" w:color="auto" w:fill="FFFFFF" w:themeFill="background1"/>
            <w:vAlign w:val="center"/>
          </w:tcPr>
          <w:p w14:paraId="1BE9A397" w14:textId="77777777" w:rsidR="00965143" w:rsidRPr="00463667" w:rsidRDefault="00965143" w:rsidP="00232457">
            <w:pPr>
              <w:pStyle w:val="TableText"/>
            </w:pPr>
            <w:r w:rsidRPr="00463667">
              <w:t>Upper 95% confidence interval</w:t>
            </w:r>
          </w:p>
        </w:tc>
        <w:tc>
          <w:tcPr>
            <w:tcW w:w="3601" w:type="dxa"/>
            <w:tcBorders>
              <w:bottom w:val="single" w:sz="6" w:space="0" w:color="auto"/>
            </w:tcBorders>
            <w:shd w:val="clear" w:color="auto" w:fill="FFFFFF" w:themeFill="background1"/>
          </w:tcPr>
          <w:p w14:paraId="6D35A6AD" w14:textId="3437A64E" w:rsidR="00965143" w:rsidRPr="00463667" w:rsidRDefault="00965143" w:rsidP="00232457">
            <w:pPr>
              <w:pStyle w:val="TableText"/>
              <w:jc w:val="center"/>
            </w:pPr>
            <w:r>
              <w:rPr>
                <w:i/>
              </w:rPr>
              <w:t>E</w:t>
            </w:r>
            <w:r w:rsidRPr="00463667">
              <w:rPr>
                <w:i/>
              </w:rPr>
              <w:t>ach</w:t>
            </w:r>
            <w:r>
              <w:rPr>
                <w:i/>
              </w:rPr>
              <w:t xml:space="preserve"> of the 2</w:t>
            </w:r>
            <w:r w:rsidRPr="00463667">
              <w:rPr>
                <w:i/>
              </w:rPr>
              <w:t xml:space="preserve"> rate</w:t>
            </w:r>
            <w:r>
              <w:rPr>
                <w:i/>
              </w:rPr>
              <w:t>s</w:t>
            </w:r>
          </w:p>
        </w:tc>
      </w:tr>
    </w:tbl>
    <w:p w14:paraId="25B75416" w14:textId="77777777" w:rsidR="00C46D88" w:rsidRDefault="00C46D88" w:rsidP="00B852BD">
      <w:pPr>
        <w:pStyle w:val="TableText"/>
        <w:spacing w:before="120"/>
        <w:ind w:left="90" w:hanging="90"/>
        <w:sectPr w:rsidR="00C46D88" w:rsidSect="007527F3">
          <w:pgSz w:w="12240" w:h="15840" w:code="1"/>
          <w:pgMar w:top="1080" w:right="1080" w:bottom="1080" w:left="1440" w:header="720" w:footer="720" w:gutter="0"/>
          <w:cols w:space="720"/>
        </w:sectPr>
      </w:pPr>
    </w:p>
    <w:p w14:paraId="17D56013" w14:textId="77777777" w:rsidR="00B852BD" w:rsidRPr="00463667" w:rsidRDefault="00B852BD" w:rsidP="00B852BD">
      <w:pPr>
        <w:pStyle w:val="Breakpage"/>
      </w:pPr>
    </w:p>
    <w:p w14:paraId="6FD37178" w14:textId="77777777" w:rsidR="00B852BD" w:rsidRPr="00463667" w:rsidRDefault="00B852BD" w:rsidP="00B852BD">
      <w:pPr>
        <w:pStyle w:val="Breakpage"/>
      </w:pPr>
    </w:p>
    <w:p w14:paraId="1DB50E1E" w14:textId="77777777" w:rsidR="00B852BD" w:rsidRPr="00463667" w:rsidRDefault="00B852BD" w:rsidP="00B852BD">
      <w:pPr>
        <w:pStyle w:val="Breakpage"/>
      </w:pPr>
    </w:p>
    <w:p w14:paraId="45EB62C0" w14:textId="77777777" w:rsidR="00B852BD" w:rsidRPr="00463667" w:rsidRDefault="00B852BD" w:rsidP="00B852BD">
      <w:pPr>
        <w:pStyle w:val="Breakpage"/>
      </w:pPr>
    </w:p>
    <w:p w14:paraId="72382F05" w14:textId="77777777" w:rsidR="00B852BD" w:rsidRPr="00463667" w:rsidRDefault="00B852BD" w:rsidP="00B852BD">
      <w:pPr>
        <w:pStyle w:val="Breakpage"/>
      </w:pPr>
    </w:p>
    <w:p w14:paraId="7070D9C2" w14:textId="77777777" w:rsidR="00B852BD" w:rsidRPr="00463667" w:rsidRDefault="00B852BD" w:rsidP="00B852BD">
      <w:pPr>
        <w:pStyle w:val="Breakpage"/>
      </w:pPr>
      <w:r w:rsidRPr="00463667">
        <w:t>Musculoskeletal Conditions</w:t>
      </w:r>
    </w:p>
    <w:p w14:paraId="345EECED" w14:textId="77777777" w:rsidR="00B852BD" w:rsidRPr="00463667" w:rsidRDefault="00B852BD" w:rsidP="00B852BD">
      <w:pPr>
        <w:pStyle w:val="Breakpage"/>
      </w:pPr>
    </w:p>
    <w:p w14:paraId="38B406E8" w14:textId="77777777" w:rsidR="00B852BD" w:rsidRPr="00463667" w:rsidRDefault="00B852BD" w:rsidP="00B852BD">
      <w:pPr>
        <w:jc w:val="right"/>
        <w:rPr>
          <w:rFonts w:cs="Arial"/>
          <w:b/>
          <w:sz w:val="48"/>
          <w:szCs w:val="48"/>
        </w:rPr>
        <w:sectPr w:rsidR="00B852BD" w:rsidRPr="00463667" w:rsidSect="007527F3">
          <w:headerReference w:type="even" r:id="rId31"/>
          <w:headerReference w:type="default" r:id="rId32"/>
          <w:footerReference w:type="even" r:id="rId33"/>
          <w:footerReference w:type="default" r:id="rId34"/>
          <w:pgSz w:w="12240" w:h="15840" w:code="1"/>
          <w:pgMar w:top="1080" w:right="1080" w:bottom="1080" w:left="1440" w:header="720" w:footer="720" w:gutter="0"/>
          <w:cols w:space="720"/>
        </w:sectPr>
      </w:pPr>
    </w:p>
    <w:p w14:paraId="6D79BEB5" w14:textId="77777777" w:rsidR="00B852BD" w:rsidRPr="00463667" w:rsidRDefault="00B852BD" w:rsidP="00B852BD">
      <w:pPr>
        <w:pStyle w:val="Heading2"/>
      </w:pPr>
      <w:bookmarkStart w:id="2" w:name="_Toc400546131"/>
      <w:r w:rsidRPr="003F7CDF">
        <w:lastRenderedPageBreak/>
        <w:t>Disease-Modifying Anti-Rheumatic Drug Therapy</w:t>
      </w:r>
      <w:r w:rsidRPr="003F7CDF">
        <w:br/>
        <w:t>for Rheumatoid Arthritis (ART)</w:t>
      </w:r>
      <w:bookmarkEnd w:id="2"/>
    </w:p>
    <w:p w14:paraId="72960A15" w14:textId="3F0CBB98" w:rsidR="00B852BD" w:rsidRPr="00463667" w:rsidRDefault="00B852BD" w:rsidP="00B852BD">
      <w:pPr>
        <w:pStyle w:val="SOC"/>
        <w:rPr>
          <w:i/>
        </w:rPr>
      </w:pPr>
      <w:r w:rsidRPr="00463667">
        <w:t xml:space="preserve">Summary of Changes to HEDIS </w:t>
      </w:r>
      <w:r w:rsidR="00D0464F">
        <w:t>2016</w:t>
      </w:r>
    </w:p>
    <w:p w14:paraId="010DA9DD" w14:textId="77777777" w:rsidR="0068488E" w:rsidRPr="00002D28" w:rsidRDefault="0068488E" w:rsidP="0068488E">
      <w:pPr>
        <w:pStyle w:val="ProcessBullet"/>
        <w:rPr>
          <w:i/>
          <w:iCs/>
        </w:rPr>
      </w:pPr>
      <w:r>
        <w:rPr>
          <w:iCs/>
        </w:rPr>
        <w:t>Added a method and value sets to identify nonacute inpatient discharges for the event/diagnosis.</w:t>
      </w:r>
    </w:p>
    <w:p w14:paraId="043A3BDC" w14:textId="6B4BBFFE" w:rsidR="00EB00B0" w:rsidRPr="00463667" w:rsidRDefault="00EB00B0" w:rsidP="00FC6AE7">
      <w:pPr>
        <w:pStyle w:val="ProcessBullet"/>
        <w:spacing w:before="60"/>
        <w:rPr>
          <w:i/>
          <w:iCs/>
        </w:rPr>
      </w:pPr>
      <w:r>
        <w:t xml:space="preserve">Added </w:t>
      </w:r>
      <w:r w:rsidR="009F0DF0">
        <w:t>“</w:t>
      </w:r>
      <w:r>
        <w:t>Numerator events by supplemental data</w:t>
      </w:r>
      <w:r w:rsidR="009F0DF0">
        <w:t>”</w:t>
      </w:r>
      <w:r>
        <w:t xml:space="preserve"> to the Data Elements for Reporting table to capture the number of members who met numerator criteria using supplemental data. </w:t>
      </w:r>
    </w:p>
    <w:p w14:paraId="49171FB8" w14:textId="77777777" w:rsidR="00B852BD" w:rsidRPr="00463667" w:rsidRDefault="00B852BD" w:rsidP="00B852BD">
      <w:pPr>
        <w:pStyle w:val="ReverseHead"/>
      </w:pPr>
      <w:r w:rsidRPr="00463667">
        <w:t>Description</w:t>
      </w:r>
    </w:p>
    <w:p w14:paraId="1728AF0B" w14:textId="77777777" w:rsidR="00B852BD" w:rsidRPr="00463667" w:rsidRDefault="00B852BD" w:rsidP="00B852BD">
      <w:pPr>
        <w:pStyle w:val="Body"/>
      </w:pPr>
      <w:r w:rsidRPr="00463667">
        <w:t xml:space="preserve">The percentage of members who were diagnosed with rheumatoid arthritis and who were dispensed at least one ambulatory prescription for a disease-modifying anti-rheumatic drug (DMARD). </w:t>
      </w:r>
    </w:p>
    <w:p w14:paraId="0ED00161" w14:textId="77777777" w:rsidR="00B852BD" w:rsidRPr="00463667" w:rsidRDefault="00B852BD" w:rsidP="00B852BD">
      <w:pPr>
        <w:pStyle w:val="ReverseHead"/>
      </w:pPr>
      <w:r w:rsidRPr="00463667">
        <w:t>Eligible Population</w:t>
      </w:r>
    </w:p>
    <w:tbl>
      <w:tblPr>
        <w:tblW w:w="9810" w:type="dxa"/>
        <w:tblInd w:w="18" w:type="dxa"/>
        <w:tblLayout w:type="fixed"/>
        <w:tblLook w:val="0000" w:firstRow="0" w:lastRow="0" w:firstColumn="0" w:lastColumn="0" w:noHBand="0" w:noVBand="0"/>
      </w:tblPr>
      <w:tblGrid>
        <w:gridCol w:w="1710"/>
        <w:gridCol w:w="8100"/>
      </w:tblGrid>
      <w:tr w:rsidR="00B852BD" w:rsidRPr="00463667" w14:paraId="3CE1CA89" w14:textId="77777777" w:rsidTr="00B852BD">
        <w:tc>
          <w:tcPr>
            <w:tcW w:w="1710" w:type="dxa"/>
          </w:tcPr>
          <w:p w14:paraId="5CD1AB8C" w14:textId="77777777" w:rsidR="00B852BD" w:rsidRPr="00463667" w:rsidRDefault="00B852BD" w:rsidP="00F578E0">
            <w:pPr>
              <w:pStyle w:val="MarginSubhead"/>
            </w:pPr>
            <w:r w:rsidRPr="00463667">
              <w:t>Product lines</w:t>
            </w:r>
          </w:p>
        </w:tc>
        <w:tc>
          <w:tcPr>
            <w:tcW w:w="8100" w:type="dxa"/>
          </w:tcPr>
          <w:p w14:paraId="72AEF45F" w14:textId="77777777" w:rsidR="00B852BD" w:rsidRPr="00463667" w:rsidRDefault="00B852BD" w:rsidP="00F578E0">
            <w:pPr>
              <w:pStyle w:val="Body"/>
            </w:pPr>
            <w:r w:rsidRPr="00463667">
              <w:t xml:space="preserve">Commercial, Medicaid, Medicare (report each product line separately). </w:t>
            </w:r>
          </w:p>
        </w:tc>
      </w:tr>
      <w:tr w:rsidR="00B852BD" w:rsidRPr="00463667" w14:paraId="6704450B" w14:textId="77777777" w:rsidTr="00B852BD">
        <w:tc>
          <w:tcPr>
            <w:tcW w:w="1710" w:type="dxa"/>
          </w:tcPr>
          <w:p w14:paraId="3D23C482" w14:textId="77777777" w:rsidR="00B852BD" w:rsidRPr="00463667" w:rsidRDefault="00B852BD" w:rsidP="00F578E0">
            <w:pPr>
              <w:pStyle w:val="MarginSubhead"/>
            </w:pPr>
            <w:r w:rsidRPr="00463667">
              <w:t>Ages</w:t>
            </w:r>
          </w:p>
        </w:tc>
        <w:tc>
          <w:tcPr>
            <w:tcW w:w="8100" w:type="dxa"/>
          </w:tcPr>
          <w:p w14:paraId="203687CB" w14:textId="77777777" w:rsidR="00B852BD" w:rsidRPr="00463667" w:rsidRDefault="00B852BD" w:rsidP="00F578E0">
            <w:pPr>
              <w:pStyle w:val="Body"/>
            </w:pPr>
            <w:r w:rsidRPr="00463667">
              <w:t xml:space="preserve">18 years and older as of December 31 of the measurement year. </w:t>
            </w:r>
          </w:p>
        </w:tc>
      </w:tr>
      <w:tr w:rsidR="00B852BD" w:rsidRPr="00463667" w14:paraId="2FF1BF4E" w14:textId="77777777" w:rsidTr="00B852BD">
        <w:tc>
          <w:tcPr>
            <w:tcW w:w="1710" w:type="dxa"/>
          </w:tcPr>
          <w:p w14:paraId="29D9B015" w14:textId="77777777" w:rsidR="00B852BD" w:rsidRPr="00463667" w:rsidRDefault="00B852BD" w:rsidP="00F578E0">
            <w:pPr>
              <w:pStyle w:val="MarginSubhead"/>
            </w:pPr>
            <w:r w:rsidRPr="00463667">
              <w:t>Continuous enrollment</w:t>
            </w:r>
          </w:p>
        </w:tc>
        <w:tc>
          <w:tcPr>
            <w:tcW w:w="8100" w:type="dxa"/>
          </w:tcPr>
          <w:p w14:paraId="1F44DD7D" w14:textId="77777777" w:rsidR="00B852BD" w:rsidRPr="00463667" w:rsidRDefault="00B852BD" w:rsidP="00F578E0">
            <w:pPr>
              <w:pStyle w:val="Body"/>
            </w:pPr>
            <w:r w:rsidRPr="00463667">
              <w:t xml:space="preserve">The measurement year. </w:t>
            </w:r>
          </w:p>
        </w:tc>
      </w:tr>
      <w:tr w:rsidR="00B852BD" w:rsidRPr="00463667" w14:paraId="182B2F1C" w14:textId="77777777" w:rsidTr="00B852BD">
        <w:tc>
          <w:tcPr>
            <w:tcW w:w="1710" w:type="dxa"/>
          </w:tcPr>
          <w:p w14:paraId="6844E455" w14:textId="77777777" w:rsidR="00B852BD" w:rsidRPr="00463667" w:rsidRDefault="00B852BD" w:rsidP="00F578E0">
            <w:pPr>
              <w:pStyle w:val="MarginSubhead"/>
            </w:pPr>
            <w:r w:rsidRPr="00463667">
              <w:t>Allowable gap</w:t>
            </w:r>
          </w:p>
        </w:tc>
        <w:tc>
          <w:tcPr>
            <w:tcW w:w="8100" w:type="dxa"/>
          </w:tcPr>
          <w:p w14:paraId="35F87848" w14:textId="77777777" w:rsidR="00B852BD" w:rsidRPr="00463667" w:rsidRDefault="00B852BD" w:rsidP="00F578E0">
            <w:pPr>
              <w:pStyle w:val="Body"/>
            </w:pPr>
            <w:r w:rsidRPr="00463667">
              <w:t>No more than one gap in enrollment of up to 45 days. To determine continuous enrollment for a Medicaid beneficiary for whom enrollment is verified monthly, the member may not have more than a 1-month gap in coverage (i.e., a member whose coverage lapses for 2 months [60 days] is not considered continuously enrolled).</w:t>
            </w:r>
          </w:p>
        </w:tc>
      </w:tr>
      <w:tr w:rsidR="00B852BD" w:rsidRPr="00463667" w14:paraId="45CBBCB4" w14:textId="77777777" w:rsidTr="00B852BD">
        <w:tc>
          <w:tcPr>
            <w:tcW w:w="1710" w:type="dxa"/>
          </w:tcPr>
          <w:p w14:paraId="4BBB0D8D" w14:textId="77777777" w:rsidR="00B852BD" w:rsidRPr="00463667" w:rsidRDefault="00B852BD" w:rsidP="00F578E0">
            <w:pPr>
              <w:pStyle w:val="MarginSubhead"/>
            </w:pPr>
            <w:r w:rsidRPr="00463667">
              <w:t>Anchor date</w:t>
            </w:r>
          </w:p>
        </w:tc>
        <w:tc>
          <w:tcPr>
            <w:tcW w:w="8100" w:type="dxa"/>
          </w:tcPr>
          <w:p w14:paraId="6203C5E5" w14:textId="77777777" w:rsidR="00B852BD" w:rsidRPr="00463667" w:rsidRDefault="00B852BD" w:rsidP="00F578E0">
            <w:pPr>
              <w:pStyle w:val="Body"/>
            </w:pPr>
            <w:r w:rsidRPr="00463667">
              <w:t>December 31 of the measurement year.</w:t>
            </w:r>
          </w:p>
        </w:tc>
      </w:tr>
      <w:tr w:rsidR="00B852BD" w:rsidRPr="00463667" w14:paraId="5654F995" w14:textId="77777777" w:rsidTr="00B852BD">
        <w:tc>
          <w:tcPr>
            <w:tcW w:w="1710" w:type="dxa"/>
          </w:tcPr>
          <w:p w14:paraId="34132F6A" w14:textId="77777777" w:rsidR="00B852BD" w:rsidRPr="00463667" w:rsidRDefault="00B852BD" w:rsidP="00F578E0">
            <w:pPr>
              <w:pStyle w:val="MarginSubhead"/>
            </w:pPr>
            <w:r w:rsidRPr="00463667">
              <w:t>Benefits</w:t>
            </w:r>
          </w:p>
        </w:tc>
        <w:tc>
          <w:tcPr>
            <w:tcW w:w="8100" w:type="dxa"/>
          </w:tcPr>
          <w:p w14:paraId="5F0ED02B" w14:textId="77777777" w:rsidR="00B852BD" w:rsidRPr="00463667" w:rsidRDefault="00B852BD" w:rsidP="00F578E0">
            <w:pPr>
              <w:pStyle w:val="Body"/>
            </w:pPr>
            <w:r w:rsidRPr="00463667">
              <w:t xml:space="preserve">Medical and pharmacy. </w:t>
            </w:r>
          </w:p>
        </w:tc>
      </w:tr>
      <w:tr w:rsidR="00B852BD" w:rsidRPr="00463667" w14:paraId="37BFC2F9" w14:textId="77777777" w:rsidTr="00B852BD">
        <w:tc>
          <w:tcPr>
            <w:tcW w:w="1710" w:type="dxa"/>
          </w:tcPr>
          <w:p w14:paraId="14F79B8E" w14:textId="77777777" w:rsidR="00B852BD" w:rsidRPr="00463667" w:rsidRDefault="00B852BD" w:rsidP="00F578E0">
            <w:pPr>
              <w:pStyle w:val="MarginSubhead"/>
            </w:pPr>
            <w:r w:rsidRPr="00463667">
              <w:t>Event/ diagnosis</w:t>
            </w:r>
          </w:p>
        </w:tc>
        <w:tc>
          <w:tcPr>
            <w:tcW w:w="8100" w:type="dxa"/>
          </w:tcPr>
          <w:p w14:paraId="7A174291" w14:textId="77777777" w:rsidR="00B852BD" w:rsidRPr="00463667" w:rsidRDefault="00B852BD" w:rsidP="00F578E0">
            <w:pPr>
              <w:pStyle w:val="Body"/>
              <w:rPr>
                <w:iCs/>
              </w:rPr>
            </w:pPr>
            <w:r w:rsidRPr="00463667">
              <w:rPr>
                <w:iCs/>
              </w:rPr>
              <w:t>Two of the following with different dates of service on or between January 1 and November 30 of the measurement year. Visit type need not be the same for the two visits.</w:t>
            </w:r>
          </w:p>
          <w:p w14:paraId="6961A66A" w14:textId="77777777" w:rsidR="00B852BD" w:rsidRPr="00463667" w:rsidRDefault="00B852BD" w:rsidP="00B852BD">
            <w:pPr>
              <w:pStyle w:val="Bullet"/>
              <w:tabs>
                <w:tab w:val="num" w:pos="432"/>
              </w:tabs>
            </w:pPr>
            <w:r w:rsidRPr="00463667">
              <w:t>Outpatient visit (</w:t>
            </w:r>
            <w:r w:rsidRPr="00463667">
              <w:rPr>
                <w:u w:val="single"/>
              </w:rPr>
              <w:t>Outpatient Value Set</w:t>
            </w:r>
            <w:r w:rsidRPr="00463667">
              <w:t>), with any diagnosis of rheumatoid arthritis (</w:t>
            </w:r>
            <w:r w:rsidRPr="00463667">
              <w:rPr>
                <w:u w:val="single"/>
              </w:rPr>
              <w:t>Rheumatoid Arthritis Value Set</w:t>
            </w:r>
            <w:r w:rsidRPr="00463667">
              <w:t>).</w:t>
            </w:r>
          </w:p>
          <w:p w14:paraId="623A2685" w14:textId="77777777" w:rsidR="003A65CD" w:rsidRDefault="00B852BD" w:rsidP="003A65CD">
            <w:pPr>
              <w:pStyle w:val="Bullet"/>
              <w:tabs>
                <w:tab w:val="num" w:pos="432"/>
              </w:tabs>
            </w:pPr>
            <w:r w:rsidRPr="00463667">
              <w:t>Nonacute inpatient discharge, with any diagnosis of rheumatoid arthritis (</w:t>
            </w:r>
            <w:r w:rsidRPr="00463667">
              <w:rPr>
                <w:u w:val="single"/>
              </w:rPr>
              <w:t>Rheumatoid Arthritis Value Set</w:t>
            </w:r>
            <w:r w:rsidRPr="00463667">
              <w:t>).</w:t>
            </w:r>
            <w:r w:rsidR="00A1031C">
              <w:t xml:space="preserve"> To identify nonacute inpatient discharges</w:t>
            </w:r>
            <w:r w:rsidR="003A65CD">
              <w:t>:</w:t>
            </w:r>
          </w:p>
          <w:p w14:paraId="6BE49960" w14:textId="77777777" w:rsidR="003A65CD" w:rsidRDefault="003A65CD" w:rsidP="00462BA8">
            <w:pPr>
              <w:pStyle w:val="Dash"/>
              <w:numPr>
                <w:ilvl w:val="0"/>
                <w:numId w:val="14"/>
              </w:numPr>
            </w:pPr>
            <w:r>
              <w:t>Identify all acute and nonacute inpatient stays</w:t>
            </w:r>
            <w:r w:rsidR="00A1031C">
              <w:t xml:space="preserve"> (</w:t>
            </w:r>
            <w:r w:rsidR="00A1031C" w:rsidRPr="003A65CD">
              <w:rPr>
                <w:u w:val="single"/>
              </w:rPr>
              <w:t>Inpatient Stay Value Set</w:t>
            </w:r>
            <w:r w:rsidR="00A1031C">
              <w:t>)</w:t>
            </w:r>
            <w:r>
              <w:t>.</w:t>
            </w:r>
          </w:p>
          <w:p w14:paraId="3BDCE8A5" w14:textId="77777777" w:rsidR="00A1031C" w:rsidRDefault="003A65CD" w:rsidP="00462BA8">
            <w:pPr>
              <w:pStyle w:val="Dash"/>
              <w:numPr>
                <w:ilvl w:val="0"/>
                <w:numId w:val="14"/>
              </w:numPr>
            </w:pPr>
            <w:r>
              <w:t>Confirm the stay was for nonacute care</w:t>
            </w:r>
            <w:r w:rsidR="00283F36">
              <w:t xml:space="preserve"> based on the presence of a nonacute code</w:t>
            </w:r>
            <w:r w:rsidR="00A1031C">
              <w:t xml:space="preserve"> (</w:t>
            </w:r>
            <w:r w:rsidR="00A1031C" w:rsidRPr="003A65CD">
              <w:rPr>
                <w:u w:val="single"/>
              </w:rPr>
              <w:t>Nonacute Inpatient Stay Value Set</w:t>
            </w:r>
            <w:r w:rsidR="00A1031C">
              <w:t>)</w:t>
            </w:r>
            <w:r w:rsidR="00283F36">
              <w:t xml:space="preserve"> on the claim</w:t>
            </w:r>
            <w:r>
              <w:t>.</w:t>
            </w:r>
            <w:r w:rsidR="00A1031C" w:rsidRPr="00463667">
              <w:t xml:space="preserve"> </w:t>
            </w:r>
          </w:p>
          <w:p w14:paraId="24D5C3A8" w14:textId="77777777" w:rsidR="003A65CD" w:rsidRPr="00463667" w:rsidRDefault="003A65CD" w:rsidP="00462BA8">
            <w:pPr>
              <w:pStyle w:val="Dash"/>
              <w:numPr>
                <w:ilvl w:val="0"/>
                <w:numId w:val="14"/>
              </w:numPr>
            </w:pPr>
            <w:r>
              <w:t>Identify the discharge date for the stay.</w:t>
            </w:r>
          </w:p>
        </w:tc>
      </w:tr>
    </w:tbl>
    <w:p w14:paraId="52A7941C" w14:textId="77777777" w:rsidR="00B852BD" w:rsidRPr="00463667" w:rsidRDefault="00B852BD" w:rsidP="00B852BD">
      <w:pPr>
        <w:sectPr w:rsidR="00B852BD" w:rsidRPr="00463667" w:rsidSect="007527F3">
          <w:headerReference w:type="even" r:id="rId35"/>
          <w:headerReference w:type="default" r:id="rId36"/>
          <w:footerReference w:type="even" r:id="rId37"/>
          <w:footerReference w:type="default" r:id="rId38"/>
          <w:pgSz w:w="12240" w:h="15840" w:code="1"/>
          <w:pgMar w:top="1080" w:right="1080" w:bottom="1080" w:left="1440" w:header="720" w:footer="720" w:gutter="0"/>
          <w:cols w:space="720"/>
        </w:sectPr>
      </w:pPr>
    </w:p>
    <w:p w14:paraId="01E9E538" w14:textId="77777777" w:rsidR="00B852BD" w:rsidRPr="00463667" w:rsidRDefault="00B852BD" w:rsidP="00B852BD">
      <w:pPr>
        <w:pStyle w:val="ReverseHead"/>
        <w:spacing w:before="0"/>
      </w:pPr>
      <w:r w:rsidRPr="00463667">
        <w:lastRenderedPageBreak/>
        <w:t>Administrative Specification</w:t>
      </w:r>
    </w:p>
    <w:tbl>
      <w:tblPr>
        <w:tblW w:w="9810" w:type="dxa"/>
        <w:tblInd w:w="18" w:type="dxa"/>
        <w:tblLayout w:type="fixed"/>
        <w:tblLook w:val="0000" w:firstRow="0" w:lastRow="0" w:firstColumn="0" w:lastColumn="0" w:noHBand="0" w:noVBand="0"/>
      </w:tblPr>
      <w:tblGrid>
        <w:gridCol w:w="1710"/>
        <w:gridCol w:w="8100"/>
      </w:tblGrid>
      <w:tr w:rsidR="00B852BD" w:rsidRPr="00463667" w14:paraId="46166409" w14:textId="77777777" w:rsidTr="00F578E0">
        <w:tc>
          <w:tcPr>
            <w:tcW w:w="1710" w:type="dxa"/>
          </w:tcPr>
          <w:p w14:paraId="050B502B" w14:textId="77777777" w:rsidR="00B852BD" w:rsidRPr="00463667" w:rsidRDefault="00B852BD" w:rsidP="00F578E0">
            <w:pPr>
              <w:pStyle w:val="MarginSubhead"/>
            </w:pPr>
            <w:r w:rsidRPr="00463667">
              <w:t>Denominator</w:t>
            </w:r>
          </w:p>
        </w:tc>
        <w:tc>
          <w:tcPr>
            <w:tcW w:w="8100" w:type="dxa"/>
          </w:tcPr>
          <w:p w14:paraId="1E0F254B" w14:textId="77777777" w:rsidR="00B852BD" w:rsidRPr="00463667" w:rsidRDefault="00B852BD" w:rsidP="00F578E0">
            <w:pPr>
              <w:pStyle w:val="Body"/>
            </w:pPr>
            <w:r w:rsidRPr="00463667">
              <w:t>The eligible population.</w:t>
            </w:r>
          </w:p>
        </w:tc>
      </w:tr>
      <w:tr w:rsidR="00B852BD" w:rsidRPr="00463667" w14:paraId="4F198DD4" w14:textId="77777777" w:rsidTr="00F578E0">
        <w:tc>
          <w:tcPr>
            <w:tcW w:w="1710" w:type="dxa"/>
          </w:tcPr>
          <w:p w14:paraId="640887E5" w14:textId="77777777" w:rsidR="00B852BD" w:rsidRPr="00463667" w:rsidRDefault="00B852BD" w:rsidP="00F578E0">
            <w:pPr>
              <w:pStyle w:val="MarginSubhead"/>
            </w:pPr>
            <w:r w:rsidRPr="00463667">
              <w:t>Numerator</w:t>
            </w:r>
          </w:p>
        </w:tc>
        <w:tc>
          <w:tcPr>
            <w:tcW w:w="8100" w:type="dxa"/>
          </w:tcPr>
          <w:p w14:paraId="36523D73" w14:textId="77777777" w:rsidR="00B852BD" w:rsidRPr="00463667" w:rsidRDefault="00B852BD" w:rsidP="00F578E0">
            <w:pPr>
              <w:pStyle w:val="Body"/>
            </w:pPr>
            <w:r w:rsidRPr="00463667">
              <w:t>Members who had at least one ambulatory prescription dispensed for a DMARD during the measurement year. There are two ways to identify members who received a DMARD: by claim/encounter data and by pharmacy data. The organization may use both methods to identify the numerator, but a member need only be identified by one method to be included in the numerator.</w:t>
            </w:r>
          </w:p>
          <w:p w14:paraId="0C0C35C7" w14:textId="77777777" w:rsidR="00B852BD" w:rsidRPr="00463667" w:rsidRDefault="00B852BD" w:rsidP="00F578E0">
            <w:pPr>
              <w:pStyle w:val="Body"/>
            </w:pPr>
            <w:r w:rsidRPr="00463667">
              <w:rPr>
                <w:i/>
              </w:rPr>
              <w:t>Claim/encounter data</w:t>
            </w:r>
            <w:r w:rsidRPr="00463667">
              <w:t>. A DMARD prescription (</w:t>
            </w:r>
            <w:r w:rsidRPr="00463667">
              <w:rPr>
                <w:u w:val="single"/>
              </w:rPr>
              <w:t>DMARD Value Set</w:t>
            </w:r>
            <w:r w:rsidRPr="00463667">
              <w:t>) during the measurement year.</w:t>
            </w:r>
          </w:p>
          <w:p w14:paraId="4B77D455" w14:textId="77777777" w:rsidR="00B852BD" w:rsidRPr="00463667" w:rsidRDefault="00B852BD" w:rsidP="00F578E0">
            <w:pPr>
              <w:pStyle w:val="Body"/>
            </w:pPr>
            <w:r w:rsidRPr="00463667">
              <w:rPr>
                <w:i/>
              </w:rPr>
              <w:t>Pharmacy data</w:t>
            </w:r>
            <w:r w:rsidRPr="00463667">
              <w:t>. Members who were dispensed a DMARD during the measurement year on an ambulatory basis (Table ART-C).</w:t>
            </w:r>
          </w:p>
        </w:tc>
      </w:tr>
    </w:tbl>
    <w:p w14:paraId="2262ECC3" w14:textId="77777777" w:rsidR="00B852BD" w:rsidRPr="00463667" w:rsidRDefault="00B852BD" w:rsidP="00B852BD">
      <w:pPr>
        <w:pStyle w:val="TableHeadNotCondensed"/>
      </w:pPr>
      <w:r w:rsidRPr="00463667">
        <w:t>Table ART-C: DMARDs</w:t>
      </w:r>
    </w:p>
    <w:tbl>
      <w:tblPr>
        <w:tblW w:w="0" w:type="auto"/>
        <w:tblInd w:w="-8" w:type="dxa"/>
        <w:tblLayout w:type="fixed"/>
        <w:tblLook w:val="01E0" w:firstRow="1" w:lastRow="1" w:firstColumn="1" w:lastColumn="1" w:noHBand="0" w:noVBand="0"/>
      </w:tblPr>
      <w:tblGrid>
        <w:gridCol w:w="1916"/>
        <w:gridCol w:w="2160"/>
        <w:gridCol w:w="1890"/>
        <w:gridCol w:w="1710"/>
      </w:tblGrid>
      <w:tr w:rsidR="00B852BD" w:rsidRPr="00463667" w14:paraId="006AF374" w14:textId="77777777" w:rsidTr="00BE13D8">
        <w:tc>
          <w:tcPr>
            <w:tcW w:w="1916" w:type="dxa"/>
            <w:tcBorders>
              <w:top w:val="single" w:sz="6" w:space="0" w:color="auto"/>
              <w:left w:val="single" w:sz="6" w:space="0" w:color="auto"/>
              <w:bottom w:val="single" w:sz="6" w:space="0" w:color="auto"/>
              <w:right w:val="single" w:sz="6" w:space="0" w:color="FFFFFF"/>
            </w:tcBorders>
            <w:shd w:val="clear" w:color="auto" w:fill="000000"/>
          </w:tcPr>
          <w:p w14:paraId="4821BA26" w14:textId="77777777" w:rsidR="00B852BD" w:rsidRPr="00463667" w:rsidRDefault="00B852BD" w:rsidP="00F578E0">
            <w:pPr>
              <w:pStyle w:val="TableHead"/>
              <w:rPr>
                <w:color w:val="auto"/>
              </w:rPr>
            </w:pPr>
            <w:r w:rsidRPr="00463667">
              <w:rPr>
                <w:color w:val="auto"/>
              </w:rPr>
              <w:t>Description</w:t>
            </w:r>
          </w:p>
        </w:tc>
        <w:tc>
          <w:tcPr>
            <w:tcW w:w="5760" w:type="dxa"/>
            <w:gridSpan w:val="3"/>
            <w:tcBorders>
              <w:top w:val="single" w:sz="6" w:space="0" w:color="auto"/>
              <w:left w:val="single" w:sz="6" w:space="0" w:color="FFFFFF"/>
              <w:bottom w:val="single" w:sz="6" w:space="0" w:color="auto"/>
              <w:right w:val="single" w:sz="4" w:space="0" w:color="auto"/>
            </w:tcBorders>
            <w:shd w:val="clear" w:color="auto" w:fill="000000"/>
          </w:tcPr>
          <w:p w14:paraId="50EF1E51" w14:textId="77777777" w:rsidR="00B852BD" w:rsidRPr="00463667" w:rsidRDefault="00B852BD" w:rsidP="00F578E0">
            <w:pPr>
              <w:pStyle w:val="TableHead"/>
              <w:rPr>
                <w:color w:val="auto"/>
              </w:rPr>
            </w:pPr>
            <w:r w:rsidRPr="00463667">
              <w:rPr>
                <w:color w:val="auto"/>
              </w:rPr>
              <w:t>Prescription</w:t>
            </w:r>
          </w:p>
        </w:tc>
      </w:tr>
      <w:tr w:rsidR="00B852BD" w:rsidRPr="00463667" w14:paraId="2340833B" w14:textId="77777777" w:rsidTr="00BE13D8">
        <w:tc>
          <w:tcPr>
            <w:tcW w:w="1916" w:type="dxa"/>
            <w:tcBorders>
              <w:top w:val="single" w:sz="6" w:space="0" w:color="auto"/>
              <w:left w:val="single" w:sz="6" w:space="0" w:color="auto"/>
              <w:bottom w:val="single" w:sz="6" w:space="0" w:color="auto"/>
              <w:right w:val="single" w:sz="6" w:space="0" w:color="auto"/>
            </w:tcBorders>
          </w:tcPr>
          <w:p w14:paraId="220A5D71" w14:textId="77777777" w:rsidR="00B852BD" w:rsidRPr="00463667" w:rsidRDefault="00B852BD" w:rsidP="00BE13D8">
            <w:pPr>
              <w:pStyle w:val="TableText"/>
            </w:pPr>
            <w:r w:rsidRPr="00463667">
              <w:t>5-Aminosalicylates</w:t>
            </w:r>
          </w:p>
        </w:tc>
        <w:tc>
          <w:tcPr>
            <w:tcW w:w="5760" w:type="dxa"/>
            <w:gridSpan w:val="3"/>
            <w:tcBorders>
              <w:top w:val="single" w:sz="6" w:space="0" w:color="auto"/>
              <w:left w:val="single" w:sz="6" w:space="0" w:color="auto"/>
              <w:bottom w:val="single" w:sz="6" w:space="0" w:color="auto"/>
              <w:right w:val="single" w:sz="6" w:space="0" w:color="auto"/>
            </w:tcBorders>
          </w:tcPr>
          <w:p w14:paraId="02AF89A7" w14:textId="77777777" w:rsidR="00B852BD" w:rsidRPr="00463667" w:rsidRDefault="00B852BD" w:rsidP="00BE13D8">
            <w:pPr>
              <w:pStyle w:val="TableBullet"/>
            </w:pPr>
            <w:r w:rsidRPr="00463667">
              <w:t>Sulfasalazine</w:t>
            </w:r>
          </w:p>
        </w:tc>
      </w:tr>
      <w:tr w:rsidR="00B852BD" w:rsidRPr="00463667" w14:paraId="68752AC8" w14:textId="77777777" w:rsidTr="00BE13D8">
        <w:tc>
          <w:tcPr>
            <w:tcW w:w="1916" w:type="dxa"/>
            <w:tcBorders>
              <w:top w:val="single" w:sz="6" w:space="0" w:color="auto"/>
              <w:left w:val="single" w:sz="6" w:space="0" w:color="auto"/>
              <w:bottom w:val="single" w:sz="6" w:space="0" w:color="auto"/>
              <w:right w:val="single" w:sz="6" w:space="0" w:color="auto"/>
            </w:tcBorders>
            <w:shd w:val="clear" w:color="auto" w:fill="D9D9D9"/>
          </w:tcPr>
          <w:p w14:paraId="7CF72910" w14:textId="77777777" w:rsidR="00B852BD" w:rsidRPr="00463667" w:rsidRDefault="00B852BD" w:rsidP="00BE13D8">
            <w:pPr>
              <w:pStyle w:val="TableText"/>
            </w:pPr>
            <w:r w:rsidRPr="00463667">
              <w:t>Alkylating agents</w:t>
            </w:r>
          </w:p>
        </w:tc>
        <w:tc>
          <w:tcPr>
            <w:tcW w:w="5760" w:type="dxa"/>
            <w:gridSpan w:val="3"/>
            <w:tcBorders>
              <w:top w:val="single" w:sz="6" w:space="0" w:color="auto"/>
              <w:left w:val="single" w:sz="6" w:space="0" w:color="auto"/>
              <w:bottom w:val="single" w:sz="6" w:space="0" w:color="auto"/>
              <w:right w:val="single" w:sz="6" w:space="0" w:color="auto"/>
            </w:tcBorders>
            <w:shd w:val="clear" w:color="auto" w:fill="D9D9D9"/>
          </w:tcPr>
          <w:p w14:paraId="30EF53F8" w14:textId="77777777" w:rsidR="00B852BD" w:rsidRPr="00463667" w:rsidRDefault="00B852BD" w:rsidP="00BE13D8">
            <w:pPr>
              <w:pStyle w:val="TableBullet"/>
            </w:pPr>
            <w:r w:rsidRPr="00463667">
              <w:t>Cyclophosphamide</w:t>
            </w:r>
          </w:p>
        </w:tc>
      </w:tr>
      <w:tr w:rsidR="00B852BD" w:rsidRPr="00463667" w14:paraId="7A6629EF" w14:textId="77777777" w:rsidTr="00BE13D8">
        <w:tc>
          <w:tcPr>
            <w:tcW w:w="1916" w:type="dxa"/>
            <w:tcBorders>
              <w:top w:val="single" w:sz="6" w:space="0" w:color="auto"/>
              <w:left w:val="single" w:sz="6" w:space="0" w:color="auto"/>
              <w:bottom w:val="single" w:sz="6" w:space="0" w:color="auto"/>
              <w:right w:val="single" w:sz="6" w:space="0" w:color="auto"/>
            </w:tcBorders>
          </w:tcPr>
          <w:p w14:paraId="71F724C1" w14:textId="77777777" w:rsidR="00B852BD" w:rsidRPr="00463667" w:rsidRDefault="00B852BD" w:rsidP="00BE13D8">
            <w:pPr>
              <w:pStyle w:val="TableText"/>
            </w:pPr>
            <w:r w:rsidRPr="00463667">
              <w:t>Aminoquinolines</w:t>
            </w:r>
          </w:p>
        </w:tc>
        <w:tc>
          <w:tcPr>
            <w:tcW w:w="5760" w:type="dxa"/>
            <w:gridSpan w:val="3"/>
            <w:tcBorders>
              <w:top w:val="single" w:sz="6" w:space="0" w:color="auto"/>
              <w:left w:val="single" w:sz="6" w:space="0" w:color="auto"/>
              <w:bottom w:val="single" w:sz="6" w:space="0" w:color="auto"/>
              <w:right w:val="single" w:sz="6" w:space="0" w:color="auto"/>
            </w:tcBorders>
          </w:tcPr>
          <w:p w14:paraId="3149E1BF" w14:textId="77777777" w:rsidR="00B852BD" w:rsidRPr="00463667" w:rsidRDefault="00B852BD" w:rsidP="00BE13D8">
            <w:pPr>
              <w:pStyle w:val="TableBullet"/>
            </w:pPr>
            <w:r w:rsidRPr="00463667">
              <w:t xml:space="preserve">Hydroxychloroquine </w:t>
            </w:r>
          </w:p>
        </w:tc>
      </w:tr>
      <w:tr w:rsidR="00B852BD" w:rsidRPr="00463667" w14:paraId="50D044A9" w14:textId="77777777" w:rsidTr="00BE13D8">
        <w:tc>
          <w:tcPr>
            <w:tcW w:w="1916" w:type="dxa"/>
            <w:tcBorders>
              <w:top w:val="single" w:sz="6" w:space="0" w:color="auto"/>
              <w:left w:val="single" w:sz="6" w:space="0" w:color="auto"/>
              <w:bottom w:val="single" w:sz="6" w:space="0" w:color="auto"/>
              <w:right w:val="single" w:sz="6" w:space="0" w:color="auto"/>
            </w:tcBorders>
            <w:shd w:val="clear" w:color="auto" w:fill="D9D9D9"/>
          </w:tcPr>
          <w:p w14:paraId="3C63B5F4" w14:textId="77777777" w:rsidR="00B852BD" w:rsidRPr="00463667" w:rsidRDefault="00B852BD" w:rsidP="00BE13D8">
            <w:pPr>
              <w:pStyle w:val="TableText"/>
            </w:pPr>
            <w:r w:rsidRPr="00463667">
              <w:t>Anti-rheumatics</w:t>
            </w:r>
          </w:p>
        </w:tc>
        <w:tc>
          <w:tcPr>
            <w:tcW w:w="2160" w:type="dxa"/>
            <w:tcBorders>
              <w:top w:val="single" w:sz="6" w:space="0" w:color="auto"/>
              <w:left w:val="single" w:sz="6" w:space="0" w:color="auto"/>
              <w:bottom w:val="single" w:sz="6" w:space="0" w:color="auto"/>
            </w:tcBorders>
            <w:shd w:val="clear" w:color="auto" w:fill="D9D9D9"/>
          </w:tcPr>
          <w:p w14:paraId="58481C7E" w14:textId="77777777" w:rsidR="00B852BD" w:rsidRPr="00463667" w:rsidRDefault="00B852BD" w:rsidP="00BE13D8">
            <w:pPr>
              <w:pStyle w:val="TableBullet"/>
            </w:pPr>
            <w:r w:rsidRPr="00463667">
              <w:t xml:space="preserve">Auranofin </w:t>
            </w:r>
          </w:p>
          <w:p w14:paraId="6179F938" w14:textId="77777777" w:rsidR="00B852BD" w:rsidRPr="00463667" w:rsidRDefault="00B852BD" w:rsidP="00BE13D8">
            <w:pPr>
              <w:pStyle w:val="TableBullet"/>
            </w:pPr>
            <w:r w:rsidRPr="00463667">
              <w:t>Gold sodium thiomalate</w:t>
            </w:r>
          </w:p>
        </w:tc>
        <w:tc>
          <w:tcPr>
            <w:tcW w:w="1890" w:type="dxa"/>
            <w:tcBorders>
              <w:top w:val="single" w:sz="6" w:space="0" w:color="auto"/>
              <w:bottom w:val="single" w:sz="6" w:space="0" w:color="auto"/>
            </w:tcBorders>
            <w:shd w:val="clear" w:color="auto" w:fill="D9D9D9"/>
          </w:tcPr>
          <w:p w14:paraId="1F5AC551" w14:textId="77777777" w:rsidR="00B852BD" w:rsidRPr="00463667" w:rsidRDefault="00B852BD" w:rsidP="00BE13D8">
            <w:pPr>
              <w:pStyle w:val="TableBullet"/>
            </w:pPr>
            <w:r w:rsidRPr="00463667">
              <w:t>Leflunomide</w:t>
            </w:r>
          </w:p>
          <w:p w14:paraId="78508472" w14:textId="77777777" w:rsidR="00B852BD" w:rsidRPr="00463667" w:rsidRDefault="00B852BD" w:rsidP="00BE13D8">
            <w:pPr>
              <w:pStyle w:val="TableBullet"/>
            </w:pPr>
            <w:r w:rsidRPr="00463667">
              <w:t>Methotrexate</w:t>
            </w:r>
          </w:p>
        </w:tc>
        <w:tc>
          <w:tcPr>
            <w:tcW w:w="1710" w:type="dxa"/>
            <w:tcBorders>
              <w:top w:val="single" w:sz="6" w:space="0" w:color="auto"/>
              <w:bottom w:val="single" w:sz="6" w:space="0" w:color="auto"/>
              <w:right w:val="single" w:sz="6" w:space="0" w:color="auto"/>
            </w:tcBorders>
            <w:shd w:val="clear" w:color="auto" w:fill="D9D9D9"/>
          </w:tcPr>
          <w:p w14:paraId="43F60951" w14:textId="77777777" w:rsidR="00B852BD" w:rsidRPr="00463667" w:rsidRDefault="00B852BD" w:rsidP="00BE13D8">
            <w:pPr>
              <w:pStyle w:val="TableBullet"/>
            </w:pPr>
            <w:r w:rsidRPr="00463667">
              <w:t>Penicillamine</w:t>
            </w:r>
          </w:p>
        </w:tc>
      </w:tr>
      <w:tr w:rsidR="00B852BD" w:rsidRPr="00463667" w14:paraId="5F509C54" w14:textId="77777777" w:rsidTr="00BE13D8">
        <w:tc>
          <w:tcPr>
            <w:tcW w:w="1916" w:type="dxa"/>
            <w:tcBorders>
              <w:top w:val="single" w:sz="6" w:space="0" w:color="auto"/>
              <w:left w:val="single" w:sz="6" w:space="0" w:color="auto"/>
              <w:bottom w:val="single" w:sz="6" w:space="0" w:color="auto"/>
              <w:right w:val="single" w:sz="6" w:space="0" w:color="auto"/>
            </w:tcBorders>
          </w:tcPr>
          <w:p w14:paraId="60E6F83C" w14:textId="77777777" w:rsidR="00B852BD" w:rsidRPr="00463667" w:rsidRDefault="00B852BD" w:rsidP="00BE13D8">
            <w:pPr>
              <w:pStyle w:val="TableText"/>
            </w:pPr>
            <w:r w:rsidRPr="00463667">
              <w:t>Immunomodulators</w:t>
            </w:r>
          </w:p>
        </w:tc>
        <w:tc>
          <w:tcPr>
            <w:tcW w:w="2160" w:type="dxa"/>
            <w:tcBorders>
              <w:top w:val="single" w:sz="6" w:space="0" w:color="auto"/>
              <w:left w:val="single" w:sz="6" w:space="0" w:color="auto"/>
              <w:bottom w:val="single" w:sz="6" w:space="0" w:color="auto"/>
            </w:tcBorders>
          </w:tcPr>
          <w:p w14:paraId="17CE04C5" w14:textId="77777777" w:rsidR="00B852BD" w:rsidRPr="00463667" w:rsidRDefault="00B852BD" w:rsidP="00BE13D8">
            <w:pPr>
              <w:pStyle w:val="TableBullet"/>
            </w:pPr>
            <w:r w:rsidRPr="00463667">
              <w:t>Abatacept</w:t>
            </w:r>
          </w:p>
          <w:p w14:paraId="5599AD6A" w14:textId="77777777" w:rsidR="00B852BD" w:rsidRPr="00463667" w:rsidRDefault="00B852BD" w:rsidP="00BE13D8">
            <w:pPr>
              <w:pStyle w:val="TableBullet"/>
            </w:pPr>
            <w:r w:rsidRPr="00463667">
              <w:t>Adalimumab</w:t>
            </w:r>
          </w:p>
          <w:p w14:paraId="039EB006" w14:textId="77777777" w:rsidR="00B852BD" w:rsidRPr="00463667" w:rsidRDefault="00B852BD" w:rsidP="00BE13D8">
            <w:pPr>
              <w:pStyle w:val="TableBullet"/>
            </w:pPr>
            <w:r w:rsidRPr="00463667">
              <w:t xml:space="preserve">Anakinra </w:t>
            </w:r>
          </w:p>
          <w:p w14:paraId="79D39AF6" w14:textId="77777777" w:rsidR="00B852BD" w:rsidRPr="00463667" w:rsidRDefault="00B852BD" w:rsidP="00BE13D8">
            <w:pPr>
              <w:pStyle w:val="TableBullet"/>
            </w:pPr>
            <w:r w:rsidRPr="00463667">
              <w:t>Certolizumab</w:t>
            </w:r>
          </w:p>
        </w:tc>
        <w:tc>
          <w:tcPr>
            <w:tcW w:w="1890" w:type="dxa"/>
            <w:tcBorders>
              <w:top w:val="single" w:sz="6" w:space="0" w:color="auto"/>
              <w:bottom w:val="single" w:sz="6" w:space="0" w:color="auto"/>
            </w:tcBorders>
          </w:tcPr>
          <w:p w14:paraId="45ECC5D4" w14:textId="77777777" w:rsidR="00B852BD" w:rsidRPr="00463667" w:rsidRDefault="00B852BD" w:rsidP="00BE13D8">
            <w:pPr>
              <w:pStyle w:val="TableBullet"/>
            </w:pPr>
            <w:r w:rsidRPr="00463667">
              <w:t>Certolizumab pegol</w:t>
            </w:r>
          </w:p>
          <w:p w14:paraId="276E369A" w14:textId="77777777" w:rsidR="00B852BD" w:rsidRPr="00463667" w:rsidRDefault="00B852BD" w:rsidP="00BE13D8">
            <w:pPr>
              <w:pStyle w:val="TableBullet"/>
            </w:pPr>
            <w:r w:rsidRPr="00463667">
              <w:t>Etanercept</w:t>
            </w:r>
          </w:p>
          <w:p w14:paraId="303686BB" w14:textId="77777777" w:rsidR="00B852BD" w:rsidRDefault="00B852BD" w:rsidP="00BE13D8">
            <w:pPr>
              <w:pStyle w:val="TableBullet"/>
            </w:pPr>
            <w:r w:rsidRPr="00463667">
              <w:t>Golimumab</w:t>
            </w:r>
          </w:p>
          <w:p w14:paraId="4A316A97" w14:textId="51224B66" w:rsidR="00BE13D8" w:rsidRPr="00463667" w:rsidRDefault="00BE13D8" w:rsidP="00BE13D8">
            <w:pPr>
              <w:pStyle w:val="TableBullet"/>
            </w:pPr>
            <w:r w:rsidRPr="00463667">
              <w:t>Infliximab</w:t>
            </w:r>
          </w:p>
        </w:tc>
        <w:tc>
          <w:tcPr>
            <w:tcW w:w="1710" w:type="dxa"/>
            <w:tcBorders>
              <w:top w:val="single" w:sz="6" w:space="0" w:color="auto"/>
              <w:bottom w:val="single" w:sz="6" w:space="0" w:color="auto"/>
              <w:right w:val="single" w:sz="6" w:space="0" w:color="auto"/>
            </w:tcBorders>
          </w:tcPr>
          <w:p w14:paraId="0F0C7521" w14:textId="77777777" w:rsidR="00B852BD" w:rsidRPr="00463667" w:rsidRDefault="00B852BD" w:rsidP="00BE13D8">
            <w:pPr>
              <w:pStyle w:val="TableBullet"/>
            </w:pPr>
            <w:r w:rsidRPr="00463667">
              <w:t>Rituximab</w:t>
            </w:r>
          </w:p>
          <w:p w14:paraId="6BF634B3" w14:textId="77777777" w:rsidR="00B852BD" w:rsidRPr="00463667" w:rsidRDefault="00B852BD" w:rsidP="00BE13D8">
            <w:pPr>
              <w:pStyle w:val="TableBullet"/>
            </w:pPr>
            <w:r w:rsidRPr="00463667">
              <w:t>Tocilizumab</w:t>
            </w:r>
          </w:p>
        </w:tc>
      </w:tr>
      <w:tr w:rsidR="00B852BD" w:rsidRPr="00463667" w14:paraId="5F59F728" w14:textId="77777777" w:rsidTr="00BE13D8">
        <w:tc>
          <w:tcPr>
            <w:tcW w:w="1916" w:type="dxa"/>
            <w:tcBorders>
              <w:top w:val="single" w:sz="6" w:space="0" w:color="auto"/>
              <w:left w:val="single" w:sz="6" w:space="0" w:color="auto"/>
              <w:bottom w:val="single" w:sz="6" w:space="0" w:color="auto"/>
              <w:right w:val="single" w:sz="6" w:space="0" w:color="auto"/>
            </w:tcBorders>
            <w:shd w:val="clear" w:color="auto" w:fill="D9D9D9"/>
          </w:tcPr>
          <w:p w14:paraId="328A3289" w14:textId="77777777" w:rsidR="00B852BD" w:rsidRPr="00463667" w:rsidRDefault="00B852BD" w:rsidP="00BE13D8">
            <w:pPr>
              <w:pStyle w:val="TableText"/>
            </w:pPr>
            <w:r w:rsidRPr="00463667">
              <w:t>Immunosuppressive agents</w:t>
            </w:r>
          </w:p>
        </w:tc>
        <w:tc>
          <w:tcPr>
            <w:tcW w:w="2160" w:type="dxa"/>
            <w:tcBorders>
              <w:top w:val="single" w:sz="6" w:space="0" w:color="auto"/>
              <w:left w:val="single" w:sz="6" w:space="0" w:color="auto"/>
              <w:bottom w:val="single" w:sz="6" w:space="0" w:color="auto"/>
            </w:tcBorders>
            <w:shd w:val="clear" w:color="auto" w:fill="D9D9D9"/>
          </w:tcPr>
          <w:p w14:paraId="7AC17A72" w14:textId="77777777" w:rsidR="00B852BD" w:rsidRPr="00463667" w:rsidRDefault="00B852BD" w:rsidP="00BE13D8">
            <w:pPr>
              <w:pStyle w:val="TableBullet"/>
            </w:pPr>
            <w:r w:rsidRPr="00463667">
              <w:t>Azathioprine</w:t>
            </w:r>
          </w:p>
        </w:tc>
        <w:tc>
          <w:tcPr>
            <w:tcW w:w="1890" w:type="dxa"/>
            <w:tcBorders>
              <w:top w:val="single" w:sz="6" w:space="0" w:color="auto"/>
              <w:bottom w:val="single" w:sz="6" w:space="0" w:color="auto"/>
            </w:tcBorders>
            <w:shd w:val="clear" w:color="auto" w:fill="D9D9D9"/>
          </w:tcPr>
          <w:p w14:paraId="6B836EF5" w14:textId="77777777" w:rsidR="00B852BD" w:rsidRPr="00463667" w:rsidRDefault="00B852BD" w:rsidP="00BE13D8">
            <w:pPr>
              <w:pStyle w:val="TableBullet"/>
            </w:pPr>
            <w:r w:rsidRPr="00463667">
              <w:t xml:space="preserve">Cyclosporine </w:t>
            </w:r>
          </w:p>
        </w:tc>
        <w:tc>
          <w:tcPr>
            <w:tcW w:w="1710" w:type="dxa"/>
            <w:tcBorders>
              <w:top w:val="single" w:sz="6" w:space="0" w:color="auto"/>
              <w:bottom w:val="single" w:sz="6" w:space="0" w:color="auto"/>
              <w:right w:val="single" w:sz="6" w:space="0" w:color="auto"/>
            </w:tcBorders>
            <w:shd w:val="clear" w:color="auto" w:fill="D9D9D9"/>
          </w:tcPr>
          <w:p w14:paraId="2C449D79" w14:textId="77777777" w:rsidR="00B852BD" w:rsidRPr="00463667" w:rsidRDefault="00B852BD" w:rsidP="00BE13D8">
            <w:pPr>
              <w:pStyle w:val="TableBullet"/>
            </w:pPr>
            <w:r w:rsidRPr="00463667">
              <w:t>Mycophenolate</w:t>
            </w:r>
          </w:p>
        </w:tc>
      </w:tr>
      <w:tr w:rsidR="00B852BD" w:rsidRPr="00463667" w14:paraId="3291AEAF" w14:textId="77777777" w:rsidTr="00BE13D8">
        <w:tc>
          <w:tcPr>
            <w:tcW w:w="1916" w:type="dxa"/>
            <w:tcBorders>
              <w:top w:val="single" w:sz="6" w:space="0" w:color="auto"/>
              <w:left w:val="single" w:sz="6" w:space="0" w:color="auto"/>
              <w:bottom w:val="single" w:sz="6" w:space="0" w:color="auto"/>
              <w:right w:val="single" w:sz="6" w:space="0" w:color="auto"/>
            </w:tcBorders>
          </w:tcPr>
          <w:p w14:paraId="196BAF52" w14:textId="77777777" w:rsidR="00B852BD" w:rsidRPr="00463667" w:rsidRDefault="00B852BD" w:rsidP="00BE13D8">
            <w:pPr>
              <w:pStyle w:val="TableText"/>
            </w:pPr>
            <w:r w:rsidRPr="00463667">
              <w:t>Janus kinase (JAK) inhibitor</w:t>
            </w:r>
          </w:p>
        </w:tc>
        <w:tc>
          <w:tcPr>
            <w:tcW w:w="5760" w:type="dxa"/>
            <w:gridSpan w:val="3"/>
            <w:tcBorders>
              <w:top w:val="single" w:sz="6" w:space="0" w:color="auto"/>
              <w:left w:val="single" w:sz="6" w:space="0" w:color="auto"/>
              <w:bottom w:val="single" w:sz="6" w:space="0" w:color="auto"/>
              <w:right w:val="single" w:sz="6" w:space="0" w:color="auto"/>
            </w:tcBorders>
          </w:tcPr>
          <w:p w14:paraId="5331A4F2" w14:textId="77777777" w:rsidR="00B852BD" w:rsidRPr="00463667" w:rsidRDefault="00B852BD" w:rsidP="00BE13D8">
            <w:pPr>
              <w:pStyle w:val="TableBullet"/>
            </w:pPr>
            <w:r w:rsidRPr="00463667">
              <w:t>Tofacitinib</w:t>
            </w:r>
          </w:p>
        </w:tc>
      </w:tr>
      <w:tr w:rsidR="00B852BD" w:rsidRPr="00463667" w14:paraId="2CBEA40F" w14:textId="77777777" w:rsidTr="00BE13D8">
        <w:tc>
          <w:tcPr>
            <w:tcW w:w="191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9E73017" w14:textId="77777777" w:rsidR="00B852BD" w:rsidRPr="00463667" w:rsidRDefault="00B852BD" w:rsidP="00BE13D8">
            <w:pPr>
              <w:pStyle w:val="TableText"/>
            </w:pPr>
            <w:r w:rsidRPr="00463667">
              <w:t>Tetracyclines</w:t>
            </w:r>
          </w:p>
        </w:tc>
        <w:tc>
          <w:tcPr>
            <w:tcW w:w="5760"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52CA4E4" w14:textId="77777777" w:rsidR="00B852BD" w:rsidRPr="00463667" w:rsidRDefault="00B852BD" w:rsidP="00BE13D8">
            <w:pPr>
              <w:pStyle w:val="TableBullet"/>
            </w:pPr>
            <w:r w:rsidRPr="00463667">
              <w:t>Minocycline</w:t>
            </w:r>
          </w:p>
        </w:tc>
      </w:tr>
    </w:tbl>
    <w:p w14:paraId="28A89623" w14:textId="6228FF65" w:rsidR="00B852BD" w:rsidRPr="00463667" w:rsidRDefault="00B852BD" w:rsidP="00B852BD">
      <w:pPr>
        <w:pStyle w:val="Note"/>
      </w:pPr>
      <w:r w:rsidRPr="00463667">
        <w:rPr>
          <w:b/>
        </w:rPr>
        <w:t>Note:</w:t>
      </w:r>
      <w:r w:rsidRPr="00463667">
        <w:t xml:space="preserve"> NCQA will post a comprehensive list of medications and NDC codes to www.ncqa.org </w:t>
      </w:r>
      <w:r w:rsidRPr="00463667">
        <w:br/>
        <w:t xml:space="preserve">by November </w:t>
      </w:r>
      <w:r w:rsidR="00D0464F">
        <w:t>2</w:t>
      </w:r>
      <w:r w:rsidRPr="00463667">
        <w:t xml:space="preserve">, </w:t>
      </w:r>
      <w:r w:rsidR="00D0464F">
        <w:t>2015</w:t>
      </w:r>
      <w:r w:rsidRPr="00463667">
        <w:t>.</w:t>
      </w:r>
    </w:p>
    <w:p w14:paraId="66948984" w14:textId="77777777" w:rsidR="00B852BD" w:rsidRPr="00463667" w:rsidRDefault="00B852BD" w:rsidP="00B852BD">
      <w:pPr>
        <w:pStyle w:val="SubHead20"/>
        <w:rPr>
          <w:i/>
        </w:rPr>
      </w:pPr>
      <w:r w:rsidRPr="00463667">
        <w:t xml:space="preserve">Exclusions </w:t>
      </w:r>
      <w:r w:rsidRPr="00463667">
        <w:rPr>
          <w:i/>
        </w:rPr>
        <w:t>(optional)</w:t>
      </w:r>
    </w:p>
    <w:p w14:paraId="6B6C6DC2" w14:textId="77777777" w:rsidR="00B852BD" w:rsidRPr="00463667" w:rsidRDefault="00B852BD" w:rsidP="00B852BD">
      <w:pPr>
        <w:pStyle w:val="ProcessBullet"/>
      </w:pPr>
      <w:r w:rsidRPr="00463667">
        <w:t>A diagnosis of HIV (</w:t>
      </w:r>
      <w:r w:rsidRPr="00463667">
        <w:rPr>
          <w:u w:val="single"/>
        </w:rPr>
        <w:t>HIV Value Set</w:t>
      </w:r>
      <w:r w:rsidRPr="00463667">
        <w:t>) any time during the member</w:t>
      </w:r>
      <w:r w:rsidR="009F0DF0">
        <w:t>’</w:t>
      </w:r>
      <w:r w:rsidRPr="00463667">
        <w:t>s history through December 31 of the measurement year.</w:t>
      </w:r>
    </w:p>
    <w:p w14:paraId="39BB9F64" w14:textId="77777777" w:rsidR="00B852BD" w:rsidRPr="00463667" w:rsidRDefault="00B852BD" w:rsidP="00B852BD">
      <w:pPr>
        <w:pStyle w:val="ProcessBullet"/>
      </w:pPr>
      <w:r w:rsidRPr="00463667">
        <w:t>A diagnosis of pregnancy (</w:t>
      </w:r>
      <w:r w:rsidRPr="00463667">
        <w:rPr>
          <w:u w:val="single"/>
        </w:rPr>
        <w:t>Pregnancy Value Set</w:t>
      </w:r>
      <w:r w:rsidRPr="00463667">
        <w:t>) any time during the measurement year.</w:t>
      </w:r>
    </w:p>
    <w:p w14:paraId="6DDE992A" w14:textId="77777777" w:rsidR="00B852BD" w:rsidRPr="00463667" w:rsidRDefault="00B852BD" w:rsidP="00B852BD">
      <w:pPr>
        <w:pStyle w:val="ProcessBullet"/>
        <w:numPr>
          <w:ilvl w:val="0"/>
          <w:numId w:val="0"/>
        </w:numPr>
        <w:ind w:left="216" w:hanging="216"/>
        <w:sectPr w:rsidR="00B852BD" w:rsidRPr="00463667" w:rsidSect="007527F3">
          <w:headerReference w:type="default" r:id="rId39"/>
          <w:pgSz w:w="12240" w:h="15840" w:code="1"/>
          <w:pgMar w:top="1080" w:right="1080" w:bottom="1080" w:left="1440" w:header="720" w:footer="720" w:gutter="0"/>
          <w:cols w:space="720"/>
        </w:sectPr>
      </w:pPr>
    </w:p>
    <w:p w14:paraId="0FA6D84C" w14:textId="77777777" w:rsidR="00B852BD" w:rsidRPr="00463667" w:rsidRDefault="00B852BD" w:rsidP="00B852BD">
      <w:pPr>
        <w:pStyle w:val="ReverseHead"/>
        <w:spacing w:before="0"/>
      </w:pPr>
      <w:r w:rsidRPr="00463667">
        <w:lastRenderedPageBreak/>
        <w:t xml:space="preserve">Data Elements for Reporting </w:t>
      </w:r>
    </w:p>
    <w:p w14:paraId="0EC48ECA" w14:textId="77777777" w:rsidR="00B852BD" w:rsidRPr="00463667" w:rsidRDefault="00B852BD" w:rsidP="00B852BD">
      <w:pPr>
        <w:pStyle w:val="Body"/>
        <w:rPr>
          <w:sz w:val="24"/>
        </w:rPr>
      </w:pPr>
      <w:r w:rsidRPr="00463667">
        <w:t>Organizations that submit HEDIS data to NCQA must provide the following data elements</w:t>
      </w:r>
      <w:r w:rsidRPr="00463667">
        <w:rPr>
          <w:sz w:val="24"/>
        </w:rPr>
        <w:t>.</w:t>
      </w:r>
    </w:p>
    <w:p w14:paraId="25A6912F" w14:textId="77777777" w:rsidR="00B852BD" w:rsidRPr="00463667" w:rsidRDefault="00B852BD" w:rsidP="00B852BD">
      <w:pPr>
        <w:pStyle w:val="TableHeadNotCondensed"/>
      </w:pPr>
      <w:r w:rsidRPr="00463667">
        <w:t>Table ART-1/2/3: Data Elements for DMARD Therapy for Rheumatoid Arthritis</w:t>
      </w:r>
    </w:p>
    <w:tbl>
      <w:tblPr>
        <w:tblW w:w="6215" w:type="dxa"/>
        <w:tblInd w:w="-5" w:type="dxa"/>
        <w:tblLayout w:type="fixed"/>
        <w:tblLook w:val="0000" w:firstRow="0" w:lastRow="0" w:firstColumn="0" w:lastColumn="0" w:noHBand="0" w:noVBand="0"/>
      </w:tblPr>
      <w:tblGrid>
        <w:gridCol w:w="4235"/>
        <w:gridCol w:w="1980"/>
      </w:tblGrid>
      <w:tr w:rsidR="00B852BD" w:rsidRPr="00463667" w14:paraId="279B9C30" w14:textId="77777777" w:rsidTr="00821476">
        <w:tc>
          <w:tcPr>
            <w:tcW w:w="4235" w:type="dxa"/>
            <w:tcBorders>
              <w:top w:val="single" w:sz="4" w:space="0" w:color="auto"/>
              <w:left w:val="single" w:sz="4" w:space="0" w:color="auto"/>
              <w:bottom w:val="single" w:sz="4" w:space="0" w:color="auto"/>
              <w:right w:val="single" w:sz="6" w:space="0" w:color="FFFFFF"/>
            </w:tcBorders>
            <w:shd w:val="clear" w:color="auto" w:fill="000000"/>
          </w:tcPr>
          <w:p w14:paraId="021C7B97" w14:textId="77777777" w:rsidR="00B852BD" w:rsidRPr="00463667" w:rsidRDefault="00B852BD" w:rsidP="00BE13D8">
            <w:pPr>
              <w:pStyle w:val="TableHead"/>
              <w:rPr>
                <w:color w:val="auto"/>
              </w:rPr>
            </w:pPr>
          </w:p>
        </w:tc>
        <w:tc>
          <w:tcPr>
            <w:tcW w:w="1980" w:type="dxa"/>
            <w:tcBorders>
              <w:top w:val="single" w:sz="4" w:space="0" w:color="auto"/>
              <w:left w:val="single" w:sz="6" w:space="0" w:color="FFFFFF"/>
              <w:bottom w:val="single" w:sz="4" w:space="0" w:color="auto"/>
              <w:right w:val="single" w:sz="6" w:space="0" w:color="auto"/>
            </w:tcBorders>
            <w:shd w:val="clear" w:color="auto" w:fill="000000"/>
          </w:tcPr>
          <w:p w14:paraId="19BDF639" w14:textId="77777777" w:rsidR="00B852BD" w:rsidRPr="00463667" w:rsidRDefault="00B852BD" w:rsidP="00BE13D8">
            <w:pPr>
              <w:pStyle w:val="TableHead"/>
              <w:rPr>
                <w:color w:val="auto"/>
              </w:rPr>
            </w:pPr>
            <w:r w:rsidRPr="00463667">
              <w:rPr>
                <w:color w:val="auto"/>
              </w:rPr>
              <w:t>Administrative</w:t>
            </w:r>
          </w:p>
        </w:tc>
      </w:tr>
      <w:tr w:rsidR="00B852BD" w:rsidRPr="00463667" w14:paraId="5B69FCF3" w14:textId="77777777" w:rsidTr="00821476">
        <w:tc>
          <w:tcPr>
            <w:tcW w:w="4235" w:type="dxa"/>
            <w:tcBorders>
              <w:top w:val="single" w:sz="4" w:space="0" w:color="auto"/>
              <w:left w:val="single" w:sz="4" w:space="0" w:color="auto"/>
              <w:bottom w:val="single" w:sz="4" w:space="0" w:color="auto"/>
              <w:right w:val="single" w:sz="4" w:space="0" w:color="auto"/>
            </w:tcBorders>
            <w:shd w:val="clear" w:color="auto" w:fill="FFFFFF" w:themeFill="background1"/>
          </w:tcPr>
          <w:p w14:paraId="17C39FC0" w14:textId="77777777" w:rsidR="00B852BD" w:rsidRPr="00463667" w:rsidRDefault="00B852BD" w:rsidP="00BE13D8">
            <w:pPr>
              <w:pStyle w:val="TableText"/>
            </w:pPr>
            <w:r w:rsidRPr="00463667">
              <w:t>Measurement year</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D45913" w14:textId="77777777" w:rsidR="00B852BD" w:rsidRPr="00463667" w:rsidRDefault="00B852BD" w:rsidP="00BE13D8">
            <w:pPr>
              <w:pStyle w:val="TableText"/>
              <w:jc w:val="center"/>
              <w:rPr>
                <w:sz w:val="24"/>
              </w:rPr>
            </w:pPr>
            <w:r w:rsidRPr="00463667">
              <w:rPr>
                <w:sz w:val="24"/>
              </w:rPr>
              <w:sym w:font="Wingdings" w:char="F0FC"/>
            </w:r>
          </w:p>
        </w:tc>
      </w:tr>
      <w:tr w:rsidR="00B852BD" w:rsidRPr="00463667" w14:paraId="63F8B51C" w14:textId="77777777" w:rsidTr="00821476">
        <w:tc>
          <w:tcPr>
            <w:tcW w:w="4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19E852" w14:textId="77777777" w:rsidR="00B852BD" w:rsidRPr="00463667" w:rsidRDefault="00B852BD" w:rsidP="00BE13D8">
            <w:pPr>
              <w:pStyle w:val="TableText"/>
            </w:pPr>
            <w:r w:rsidRPr="00463667">
              <w:t>Data collection methodology (Administrative)</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F256CC" w14:textId="77777777" w:rsidR="00B852BD" w:rsidRPr="00463667" w:rsidRDefault="00B852BD" w:rsidP="00BE13D8">
            <w:pPr>
              <w:pStyle w:val="TableText"/>
              <w:jc w:val="center"/>
              <w:rPr>
                <w:sz w:val="24"/>
              </w:rPr>
            </w:pPr>
            <w:r w:rsidRPr="00463667">
              <w:rPr>
                <w:sz w:val="24"/>
              </w:rPr>
              <w:sym w:font="Wingdings" w:char="F0FC"/>
            </w:r>
          </w:p>
        </w:tc>
      </w:tr>
      <w:tr w:rsidR="00B852BD" w:rsidRPr="00463667" w14:paraId="7182138E" w14:textId="77777777" w:rsidTr="00821476">
        <w:tc>
          <w:tcPr>
            <w:tcW w:w="4235" w:type="dxa"/>
            <w:tcBorders>
              <w:top w:val="single" w:sz="4" w:space="0" w:color="auto"/>
              <w:left w:val="single" w:sz="4" w:space="0" w:color="auto"/>
              <w:bottom w:val="single" w:sz="4" w:space="0" w:color="auto"/>
              <w:right w:val="single" w:sz="4" w:space="0" w:color="auto"/>
            </w:tcBorders>
            <w:shd w:val="clear" w:color="auto" w:fill="FFFFFF" w:themeFill="background1"/>
          </w:tcPr>
          <w:p w14:paraId="5748EDAE" w14:textId="77777777" w:rsidR="00B852BD" w:rsidRPr="00463667" w:rsidRDefault="00B852BD" w:rsidP="00BE13D8">
            <w:pPr>
              <w:pStyle w:val="TableText"/>
            </w:pPr>
            <w:r w:rsidRPr="00463667">
              <w:t xml:space="preserve">Eligible population </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D30561" w14:textId="77777777" w:rsidR="00B852BD" w:rsidRPr="00463667" w:rsidRDefault="00B852BD" w:rsidP="00BE13D8">
            <w:pPr>
              <w:pStyle w:val="TableText"/>
              <w:jc w:val="center"/>
              <w:rPr>
                <w:sz w:val="24"/>
              </w:rPr>
            </w:pPr>
            <w:r w:rsidRPr="00463667">
              <w:rPr>
                <w:sz w:val="24"/>
              </w:rPr>
              <w:sym w:font="Wingdings" w:char="F0FC"/>
            </w:r>
          </w:p>
        </w:tc>
      </w:tr>
      <w:tr w:rsidR="00B852BD" w:rsidRPr="00463667" w14:paraId="0B83E7FE" w14:textId="77777777" w:rsidTr="00821476">
        <w:tc>
          <w:tcPr>
            <w:tcW w:w="4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352D11" w14:textId="77777777" w:rsidR="00B852BD" w:rsidRPr="00463667" w:rsidRDefault="00B852BD" w:rsidP="00BE13D8">
            <w:pPr>
              <w:pStyle w:val="TableText"/>
            </w:pPr>
            <w:r w:rsidRPr="00463667">
              <w:t>Number of optional exclusions</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0EB007" w14:textId="77777777" w:rsidR="00B852BD" w:rsidRPr="00463667" w:rsidRDefault="00B852BD" w:rsidP="00BE13D8">
            <w:pPr>
              <w:pStyle w:val="TableText"/>
              <w:jc w:val="center"/>
              <w:rPr>
                <w:sz w:val="24"/>
              </w:rPr>
            </w:pPr>
            <w:r w:rsidRPr="00463667">
              <w:rPr>
                <w:sz w:val="24"/>
              </w:rPr>
              <w:sym w:font="Wingdings" w:char="F0FC"/>
            </w:r>
          </w:p>
        </w:tc>
      </w:tr>
      <w:tr w:rsidR="00B852BD" w:rsidRPr="00463667" w14:paraId="61109B2A" w14:textId="77777777" w:rsidTr="00821476">
        <w:tc>
          <w:tcPr>
            <w:tcW w:w="4235" w:type="dxa"/>
            <w:tcBorders>
              <w:top w:val="single" w:sz="4" w:space="0" w:color="auto"/>
              <w:left w:val="single" w:sz="4" w:space="0" w:color="auto"/>
              <w:bottom w:val="single" w:sz="4" w:space="0" w:color="auto"/>
              <w:right w:val="single" w:sz="4" w:space="0" w:color="auto"/>
            </w:tcBorders>
            <w:shd w:val="clear" w:color="auto" w:fill="FFFFFF" w:themeFill="background1"/>
          </w:tcPr>
          <w:p w14:paraId="5E67C0E1" w14:textId="394086D5" w:rsidR="00B852BD" w:rsidRPr="00463667" w:rsidRDefault="00EB00B0" w:rsidP="00BE13D8">
            <w:pPr>
              <w:pStyle w:val="TableText"/>
            </w:pPr>
            <w:r>
              <w:t>N</w:t>
            </w:r>
            <w:r w:rsidR="00B852BD" w:rsidRPr="00463667">
              <w:t>umerator events by administrative data</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5F6E20" w14:textId="77777777" w:rsidR="00B852BD" w:rsidRPr="00463667" w:rsidRDefault="00B852BD" w:rsidP="00BE13D8">
            <w:pPr>
              <w:pStyle w:val="TableText"/>
              <w:jc w:val="center"/>
              <w:rPr>
                <w:sz w:val="24"/>
              </w:rPr>
            </w:pPr>
            <w:r w:rsidRPr="00463667">
              <w:rPr>
                <w:sz w:val="24"/>
              </w:rPr>
              <w:sym w:font="Wingdings" w:char="F0FC"/>
            </w:r>
          </w:p>
        </w:tc>
      </w:tr>
      <w:tr w:rsidR="00EB00B0" w:rsidRPr="00463667" w14:paraId="5ED8FC1D" w14:textId="77777777" w:rsidTr="00821476">
        <w:tc>
          <w:tcPr>
            <w:tcW w:w="4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1D766B" w14:textId="77777777" w:rsidR="00EB00B0" w:rsidRPr="00463667" w:rsidRDefault="00EB00B0" w:rsidP="00BE13D8">
            <w:pPr>
              <w:pStyle w:val="TableText"/>
            </w:pPr>
            <w:r w:rsidRPr="00EB00B0">
              <w:t>Numerator events by supplemental data</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54D0BE" w14:textId="5AF83007" w:rsidR="00EB00B0" w:rsidRPr="00463667" w:rsidRDefault="00302D25" w:rsidP="00BE13D8">
            <w:pPr>
              <w:pStyle w:val="TableText"/>
              <w:jc w:val="center"/>
              <w:rPr>
                <w:sz w:val="24"/>
              </w:rPr>
            </w:pPr>
            <w:r w:rsidRPr="00463667">
              <w:rPr>
                <w:sz w:val="24"/>
              </w:rPr>
              <w:sym w:font="Wingdings" w:char="F0FC"/>
            </w:r>
          </w:p>
        </w:tc>
      </w:tr>
      <w:tr w:rsidR="00B852BD" w:rsidRPr="00463667" w14:paraId="5142E640" w14:textId="77777777" w:rsidTr="00821476">
        <w:tc>
          <w:tcPr>
            <w:tcW w:w="4235" w:type="dxa"/>
            <w:tcBorders>
              <w:top w:val="single" w:sz="4" w:space="0" w:color="auto"/>
              <w:left w:val="single" w:sz="4" w:space="0" w:color="auto"/>
              <w:bottom w:val="single" w:sz="4" w:space="0" w:color="auto"/>
              <w:right w:val="single" w:sz="4" w:space="0" w:color="auto"/>
            </w:tcBorders>
            <w:shd w:val="clear" w:color="auto" w:fill="FFFFFF" w:themeFill="background1"/>
          </w:tcPr>
          <w:p w14:paraId="454CBE60" w14:textId="77777777" w:rsidR="00B852BD" w:rsidRPr="00463667" w:rsidRDefault="00B852BD" w:rsidP="00BE13D8">
            <w:pPr>
              <w:pStyle w:val="TableText"/>
            </w:pPr>
            <w:r w:rsidRPr="00463667">
              <w:t>Reported rate</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303A8C" w14:textId="77777777" w:rsidR="00B852BD" w:rsidRPr="00463667" w:rsidRDefault="00B852BD" w:rsidP="00BE13D8">
            <w:pPr>
              <w:pStyle w:val="TableText"/>
              <w:jc w:val="center"/>
              <w:rPr>
                <w:sz w:val="24"/>
              </w:rPr>
            </w:pPr>
            <w:r w:rsidRPr="00463667">
              <w:rPr>
                <w:sz w:val="24"/>
              </w:rPr>
              <w:sym w:font="Wingdings" w:char="F0FC"/>
            </w:r>
          </w:p>
        </w:tc>
      </w:tr>
      <w:tr w:rsidR="00B852BD" w:rsidRPr="00463667" w14:paraId="2676B3E2" w14:textId="77777777" w:rsidTr="00821476">
        <w:tc>
          <w:tcPr>
            <w:tcW w:w="4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87F37A" w14:textId="77777777" w:rsidR="00B852BD" w:rsidRPr="00463667" w:rsidRDefault="00B852BD" w:rsidP="00BE13D8">
            <w:pPr>
              <w:pStyle w:val="TableText"/>
            </w:pPr>
            <w:r w:rsidRPr="00463667">
              <w:t>Lower 95% confidence interval</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945B13" w14:textId="77777777" w:rsidR="00B852BD" w:rsidRPr="00463667" w:rsidRDefault="00B852BD" w:rsidP="00BE13D8">
            <w:pPr>
              <w:pStyle w:val="TableText"/>
              <w:jc w:val="center"/>
              <w:rPr>
                <w:sz w:val="24"/>
              </w:rPr>
            </w:pPr>
            <w:r w:rsidRPr="00463667">
              <w:rPr>
                <w:sz w:val="24"/>
              </w:rPr>
              <w:sym w:font="Wingdings" w:char="F0FC"/>
            </w:r>
          </w:p>
        </w:tc>
      </w:tr>
      <w:tr w:rsidR="00B852BD" w:rsidRPr="00463667" w14:paraId="134F7ECD" w14:textId="77777777" w:rsidTr="00821476">
        <w:tc>
          <w:tcPr>
            <w:tcW w:w="4235" w:type="dxa"/>
            <w:tcBorders>
              <w:top w:val="single" w:sz="4" w:space="0" w:color="auto"/>
              <w:left w:val="single" w:sz="4" w:space="0" w:color="auto"/>
              <w:bottom w:val="single" w:sz="4" w:space="0" w:color="auto"/>
              <w:right w:val="single" w:sz="4" w:space="0" w:color="auto"/>
            </w:tcBorders>
            <w:shd w:val="clear" w:color="auto" w:fill="FFFFFF" w:themeFill="background1"/>
          </w:tcPr>
          <w:p w14:paraId="32DF9F9F" w14:textId="77777777" w:rsidR="00B852BD" w:rsidRPr="00463667" w:rsidRDefault="00B852BD" w:rsidP="00BE13D8">
            <w:pPr>
              <w:pStyle w:val="TableText"/>
            </w:pPr>
            <w:r w:rsidRPr="00463667">
              <w:t>Upper 95% confidence interval</w:t>
            </w:r>
          </w:p>
        </w:tc>
        <w:tc>
          <w:tcPr>
            <w:tcW w:w="198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FB6B48" w14:textId="77777777" w:rsidR="00B852BD" w:rsidRPr="00463667" w:rsidRDefault="00B852BD" w:rsidP="00BE13D8">
            <w:pPr>
              <w:pStyle w:val="TableText"/>
              <w:jc w:val="center"/>
              <w:rPr>
                <w:sz w:val="24"/>
              </w:rPr>
            </w:pPr>
            <w:r w:rsidRPr="00463667">
              <w:rPr>
                <w:sz w:val="24"/>
              </w:rPr>
              <w:sym w:font="Wingdings" w:char="F0FC"/>
            </w:r>
          </w:p>
        </w:tc>
      </w:tr>
    </w:tbl>
    <w:p w14:paraId="6BC0498C" w14:textId="77777777" w:rsidR="00B852BD" w:rsidRPr="00463667" w:rsidRDefault="00B852BD" w:rsidP="00B852BD">
      <w:pPr>
        <w:sectPr w:rsidR="00B852BD" w:rsidRPr="00463667" w:rsidSect="007527F3">
          <w:pgSz w:w="12240" w:h="15840" w:code="1"/>
          <w:pgMar w:top="1080" w:right="1080" w:bottom="1080" w:left="1440" w:header="720" w:footer="720" w:gutter="0"/>
          <w:cols w:space="720"/>
        </w:sectPr>
      </w:pPr>
    </w:p>
    <w:p w14:paraId="4AD28036" w14:textId="77777777" w:rsidR="00B852BD" w:rsidRPr="00463667" w:rsidRDefault="00B852BD" w:rsidP="00B852BD">
      <w:pPr>
        <w:pStyle w:val="Heading2"/>
      </w:pPr>
      <w:bookmarkStart w:id="3" w:name="_Toc400546132"/>
      <w:r w:rsidRPr="003F7CDF">
        <w:lastRenderedPageBreak/>
        <w:t>Osteoporosis Management in Women Who Had a Fracture (OMW)</w:t>
      </w:r>
      <w:bookmarkEnd w:id="3"/>
    </w:p>
    <w:p w14:paraId="088D774E" w14:textId="66858E2F" w:rsidR="00B852BD" w:rsidRPr="00463667" w:rsidRDefault="00B852BD" w:rsidP="00B852BD">
      <w:pPr>
        <w:pStyle w:val="SOC"/>
        <w:rPr>
          <w:i/>
        </w:rPr>
      </w:pPr>
      <w:r w:rsidRPr="00463667">
        <w:t xml:space="preserve">Summary of Changes to HEDIS </w:t>
      </w:r>
      <w:r w:rsidR="00D0464F">
        <w:t>2016</w:t>
      </w:r>
    </w:p>
    <w:p w14:paraId="36269D17" w14:textId="08C0EC65" w:rsidR="00181FCD" w:rsidRPr="00573857" w:rsidRDefault="00A0563D" w:rsidP="00EB00B0">
      <w:pPr>
        <w:pStyle w:val="ProcessBullet"/>
        <w:rPr>
          <w:i/>
          <w:iCs/>
        </w:rPr>
      </w:pPr>
      <w:r>
        <w:rPr>
          <w:iCs/>
        </w:rPr>
        <w:t>Defined</w:t>
      </w:r>
      <w:r w:rsidR="00181FCD">
        <w:rPr>
          <w:iCs/>
        </w:rPr>
        <w:t xml:space="preserve"> </w:t>
      </w:r>
      <w:r>
        <w:rPr>
          <w:iCs/>
        </w:rPr>
        <w:t>“</w:t>
      </w:r>
      <w:r w:rsidR="00181FCD">
        <w:rPr>
          <w:iCs/>
        </w:rPr>
        <w:t>active prescription.</w:t>
      </w:r>
      <w:r>
        <w:rPr>
          <w:iCs/>
        </w:rPr>
        <w:t>”</w:t>
      </w:r>
      <w:r w:rsidR="00181FCD">
        <w:rPr>
          <w:iCs/>
        </w:rPr>
        <w:t xml:space="preserve"> </w:t>
      </w:r>
    </w:p>
    <w:p w14:paraId="02654637" w14:textId="77777777" w:rsidR="00573857" w:rsidRPr="00002D28" w:rsidRDefault="00573857" w:rsidP="009D1E8A">
      <w:pPr>
        <w:pStyle w:val="ProcessBullet"/>
        <w:spacing w:before="60"/>
        <w:rPr>
          <w:i/>
          <w:iCs/>
        </w:rPr>
      </w:pPr>
      <w:r>
        <w:rPr>
          <w:iCs/>
        </w:rPr>
        <w:t xml:space="preserve">Revised the method and value sets to identify acute </w:t>
      </w:r>
      <w:r w:rsidR="00EA1AC3">
        <w:rPr>
          <w:iCs/>
        </w:rPr>
        <w:t xml:space="preserve">and nonacute </w:t>
      </w:r>
      <w:r>
        <w:rPr>
          <w:iCs/>
        </w:rPr>
        <w:t>inpatient events for steps 1 and 2 of the event/diagnosis.</w:t>
      </w:r>
    </w:p>
    <w:p w14:paraId="02434AB5" w14:textId="77777777" w:rsidR="00573857" w:rsidRPr="00EE0F3A" w:rsidRDefault="00573857" w:rsidP="009D1E8A">
      <w:pPr>
        <w:pStyle w:val="ProcessBullet"/>
        <w:spacing w:before="60"/>
        <w:rPr>
          <w:i/>
          <w:iCs/>
        </w:rPr>
      </w:pPr>
      <w:r>
        <w:rPr>
          <w:iCs/>
        </w:rPr>
        <w:t xml:space="preserve">Clarified when to use admission or discharge dates when determining Negative Diagnosis History. </w:t>
      </w:r>
    </w:p>
    <w:p w14:paraId="4BDC1248" w14:textId="4F7EEF63" w:rsidR="00EE0F3A" w:rsidRPr="00BF5068" w:rsidRDefault="00EE0F3A" w:rsidP="009D1E8A">
      <w:pPr>
        <w:pStyle w:val="ProcessBullet"/>
        <w:spacing w:before="60"/>
        <w:rPr>
          <w:i/>
          <w:iCs/>
        </w:rPr>
      </w:pPr>
      <w:r>
        <w:rPr>
          <w:iCs/>
        </w:rPr>
        <w:t xml:space="preserve">Clarified that bone mineral density tests that occur in an inpatient setting (either during an inpatient IESD or during the </w:t>
      </w:r>
      <w:r w:rsidRPr="00463667">
        <w:t xml:space="preserve">180-day (6-month) period after the </w:t>
      </w:r>
      <w:r w:rsidRPr="00463667">
        <w:rPr>
          <w:iCs/>
        </w:rPr>
        <w:t>IESD</w:t>
      </w:r>
      <w:r>
        <w:rPr>
          <w:iCs/>
        </w:rPr>
        <w:t xml:space="preserve">) meet numerator criteria. </w:t>
      </w:r>
    </w:p>
    <w:p w14:paraId="6A95A100" w14:textId="77777777" w:rsidR="00BF5068" w:rsidRPr="00573857" w:rsidRDefault="00BF5068" w:rsidP="009D1E8A">
      <w:pPr>
        <w:pStyle w:val="ProcessBullet"/>
        <w:spacing w:before="60"/>
        <w:rPr>
          <w:i/>
          <w:iCs/>
        </w:rPr>
      </w:pPr>
      <w:r>
        <w:rPr>
          <w:iCs/>
        </w:rPr>
        <w:t>Added long-acting osteoporosis therapy administered during an inpatient IESD to the numerator.</w:t>
      </w:r>
    </w:p>
    <w:p w14:paraId="094E6406" w14:textId="582053D4" w:rsidR="00EB00B0" w:rsidRPr="00463667" w:rsidRDefault="00EB00B0" w:rsidP="009D1E8A">
      <w:pPr>
        <w:pStyle w:val="ProcessBullet"/>
        <w:spacing w:before="60"/>
        <w:rPr>
          <w:i/>
          <w:iCs/>
        </w:rPr>
      </w:pPr>
      <w:r>
        <w:t xml:space="preserve">Added </w:t>
      </w:r>
      <w:r w:rsidR="009F0DF0">
        <w:t>“</w:t>
      </w:r>
      <w:r>
        <w:t>Numerator events by supplemental data</w:t>
      </w:r>
      <w:r w:rsidR="009F0DF0">
        <w:t>”</w:t>
      </w:r>
      <w:r>
        <w:t xml:space="preserve"> to the Data Elements for Reporting table to capture the number of members who met numerator criteria using supplemental data. </w:t>
      </w:r>
    </w:p>
    <w:p w14:paraId="1F600303" w14:textId="77777777" w:rsidR="00B852BD" w:rsidRPr="00463667" w:rsidRDefault="00B852BD" w:rsidP="00B852BD">
      <w:pPr>
        <w:pStyle w:val="ReverseHead"/>
      </w:pPr>
      <w:r w:rsidRPr="00463667">
        <w:t>Description</w:t>
      </w:r>
    </w:p>
    <w:p w14:paraId="416052D8" w14:textId="77777777" w:rsidR="00B852BD" w:rsidRPr="00463667" w:rsidRDefault="00B852BD" w:rsidP="00B852BD">
      <w:pPr>
        <w:pStyle w:val="Body"/>
      </w:pPr>
      <w:r w:rsidRPr="00463667">
        <w:t xml:space="preserve">The percentage of women 67–85 years of age who suffered a fracture and who had either a bone mineral density (BMD) test or prescription for a drug to treat osteoporosis in the six months after the fracture. </w:t>
      </w:r>
    </w:p>
    <w:p w14:paraId="2757109F" w14:textId="77777777" w:rsidR="00B852BD" w:rsidRPr="00463667" w:rsidRDefault="00B852BD" w:rsidP="00B852BD">
      <w:pPr>
        <w:pStyle w:val="ReverseHead"/>
      </w:pPr>
      <w:r w:rsidRPr="00463667">
        <w:t>Definitions</w:t>
      </w:r>
    </w:p>
    <w:tbl>
      <w:tblPr>
        <w:tblW w:w="0" w:type="auto"/>
        <w:tblInd w:w="18" w:type="dxa"/>
        <w:tblLayout w:type="fixed"/>
        <w:tblLook w:val="0000" w:firstRow="0" w:lastRow="0" w:firstColumn="0" w:lastColumn="0" w:noHBand="0" w:noVBand="0"/>
      </w:tblPr>
      <w:tblGrid>
        <w:gridCol w:w="1890"/>
        <w:gridCol w:w="7812"/>
      </w:tblGrid>
      <w:tr w:rsidR="00B852BD" w:rsidRPr="00463667" w14:paraId="25BAD5E0" w14:textId="77777777" w:rsidTr="00F578E0">
        <w:tc>
          <w:tcPr>
            <w:tcW w:w="1890" w:type="dxa"/>
          </w:tcPr>
          <w:p w14:paraId="522569AB" w14:textId="77777777" w:rsidR="00B852BD" w:rsidRPr="00463667" w:rsidDel="00D762D8" w:rsidRDefault="00B852BD" w:rsidP="00F578E0">
            <w:pPr>
              <w:pStyle w:val="MarginSubhead"/>
            </w:pPr>
            <w:r w:rsidRPr="00463667">
              <w:t>Intake Period</w:t>
            </w:r>
          </w:p>
        </w:tc>
        <w:tc>
          <w:tcPr>
            <w:tcW w:w="7812" w:type="dxa"/>
          </w:tcPr>
          <w:p w14:paraId="0053B106" w14:textId="77777777" w:rsidR="00B852BD" w:rsidRPr="00463667" w:rsidDel="0080044A" w:rsidRDefault="00B852BD" w:rsidP="00F578E0">
            <w:pPr>
              <w:pStyle w:val="Body"/>
            </w:pPr>
            <w:r w:rsidRPr="00463667">
              <w:t>A 12-month (1 year) window that begins on July 1 of the year prior to the measurement year and ends on June 30 of the measurement year. The Intake Period is used to capture the first fracture.</w:t>
            </w:r>
          </w:p>
        </w:tc>
      </w:tr>
      <w:tr w:rsidR="00B852BD" w:rsidRPr="00463667" w14:paraId="323D730D" w14:textId="77777777" w:rsidTr="00F578E0">
        <w:tc>
          <w:tcPr>
            <w:tcW w:w="1890" w:type="dxa"/>
          </w:tcPr>
          <w:p w14:paraId="0BABA9AD" w14:textId="77777777" w:rsidR="00B852BD" w:rsidRPr="00463667" w:rsidRDefault="00B852BD" w:rsidP="00F578E0">
            <w:pPr>
              <w:pStyle w:val="MarginSubhead"/>
            </w:pPr>
            <w:r w:rsidRPr="00463667">
              <w:t>IESD</w:t>
            </w:r>
          </w:p>
        </w:tc>
        <w:tc>
          <w:tcPr>
            <w:tcW w:w="7812" w:type="dxa"/>
          </w:tcPr>
          <w:p w14:paraId="539915A8" w14:textId="77777777" w:rsidR="00B852BD" w:rsidRPr="00463667" w:rsidRDefault="00B852BD" w:rsidP="00F578E0">
            <w:pPr>
              <w:pStyle w:val="Body"/>
            </w:pPr>
            <w:r w:rsidRPr="00463667">
              <w:t xml:space="preserve">Index Episode Start Date. The earliest date of service for any encounter during the Intake Period with a diagnosis of fracture. </w:t>
            </w:r>
          </w:p>
          <w:p w14:paraId="32E0B6A2" w14:textId="77777777" w:rsidR="00B852BD" w:rsidRPr="00463667" w:rsidRDefault="00B852BD" w:rsidP="00F578E0">
            <w:pPr>
              <w:pStyle w:val="Body"/>
              <w:spacing w:before="120"/>
            </w:pPr>
            <w:r w:rsidRPr="00463667">
              <w:rPr>
                <w:i/>
              </w:rPr>
              <w:t xml:space="preserve">For an outpatient or ED visit, </w:t>
            </w:r>
            <w:r w:rsidRPr="00463667">
              <w:t>the IESD is date of service.</w:t>
            </w:r>
          </w:p>
          <w:p w14:paraId="71CB2E34" w14:textId="77777777" w:rsidR="00B852BD" w:rsidRPr="00463667" w:rsidRDefault="00B852BD" w:rsidP="00F578E0">
            <w:pPr>
              <w:pStyle w:val="Body"/>
              <w:spacing w:before="120"/>
            </w:pPr>
            <w:r w:rsidRPr="00463667">
              <w:rPr>
                <w:i/>
              </w:rPr>
              <w:t xml:space="preserve">For an inpatient encounter, </w:t>
            </w:r>
            <w:r w:rsidRPr="00463667">
              <w:t xml:space="preserve">the IESD is the date of discharge. </w:t>
            </w:r>
          </w:p>
          <w:p w14:paraId="1AB87A6D" w14:textId="07965538" w:rsidR="00B852BD" w:rsidRPr="00463667" w:rsidRDefault="00B852BD" w:rsidP="00FF465C">
            <w:pPr>
              <w:pStyle w:val="Body"/>
              <w:spacing w:before="120"/>
            </w:pPr>
            <w:r w:rsidRPr="00463667">
              <w:rPr>
                <w:i/>
              </w:rPr>
              <w:t>For direct transfers,</w:t>
            </w:r>
            <w:r w:rsidRPr="00463667">
              <w:t xml:space="preserve"> the IESD is the discharge date from the </w:t>
            </w:r>
            <w:r w:rsidR="00FF465C">
              <w:t>last</w:t>
            </w:r>
            <w:r w:rsidR="00FF465C" w:rsidRPr="00463667">
              <w:t xml:space="preserve"> </w:t>
            </w:r>
            <w:r w:rsidRPr="00463667">
              <w:t>admission.</w:t>
            </w:r>
          </w:p>
        </w:tc>
      </w:tr>
      <w:tr w:rsidR="00B852BD" w:rsidRPr="00463667" w14:paraId="170F458D" w14:textId="77777777" w:rsidTr="00F578E0">
        <w:tc>
          <w:tcPr>
            <w:tcW w:w="1890" w:type="dxa"/>
          </w:tcPr>
          <w:p w14:paraId="7A739030" w14:textId="77777777" w:rsidR="00B852BD" w:rsidRPr="00463667" w:rsidRDefault="00B852BD" w:rsidP="00F578E0">
            <w:pPr>
              <w:pStyle w:val="MarginSubhead"/>
            </w:pPr>
            <w:r w:rsidRPr="00463667">
              <w:t>Negative Diagnosis History</w:t>
            </w:r>
          </w:p>
        </w:tc>
        <w:tc>
          <w:tcPr>
            <w:tcW w:w="7812" w:type="dxa"/>
          </w:tcPr>
          <w:p w14:paraId="3E6F72CE" w14:textId="77777777" w:rsidR="00B852BD" w:rsidRPr="00463667" w:rsidRDefault="00B852BD" w:rsidP="00F578E0">
            <w:pPr>
              <w:pStyle w:val="Body"/>
            </w:pPr>
            <w:r w:rsidRPr="00463667">
              <w:t>A period of 60 days (2 months) prior to the IESD when the member had no diagnosis of fracture.</w:t>
            </w:r>
          </w:p>
          <w:p w14:paraId="54941BEE" w14:textId="77777777" w:rsidR="00B852BD" w:rsidRPr="00463667" w:rsidRDefault="00B852BD" w:rsidP="002214EE">
            <w:pPr>
              <w:pStyle w:val="Body"/>
              <w:spacing w:before="120"/>
            </w:pPr>
            <w:r w:rsidRPr="00463667">
              <w:rPr>
                <w:i/>
              </w:rPr>
              <w:t>For fractures requiring an inpatient stay,</w:t>
            </w:r>
            <w:r w:rsidRPr="00463667">
              <w:t xml:space="preserve"> use the date of admission to determine Negative Diagnosis History. </w:t>
            </w:r>
          </w:p>
          <w:p w14:paraId="51006428" w14:textId="77777777" w:rsidR="00B852BD" w:rsidRPr="00463667" w:rsidRDefault="00B852BD" w:rsidP="002214EE">
            <w:pPr>
              <w:pStyle w:val="Body"/>
              <w:spacing w:before="120"/>
            </w:pPr>
            <w:r w:rsidRPr="00463667">
              <w:rPr>
                <w:i/>
              </w:rPr>
              <w:t>For direct transfers,</w:t>
            </w:r>
            <w:r w:rsidRPr="00463667">
              <w:t xml:space="preserve"> use the first admission to determine the Negative Diagnosis History.</w:t>
            </w:r>
          </w:p>
        </w:tc>
      </w:tr>
      <w:tr w:rsidR="00181FCD" w:rsidRPr="00463667" w14:paraId="7E999595" w14:textId="77777777" w:rsidTr="00F578E0">
        <w:tc>
          <w:tcPr>
            <w:tcW w:w="1890" w:type="dxa"/>
          </w:tcPr>
          <w:p w14:paraId="3FEBDEBB" w14:textId="77777777" w:rsidR="00181FCD" w:rsidRPr="00463667" w:rsidRDefault="00181FCD" w:rsidP="00181FCD">
            <w:pPr>
              <w:pStyle w:val="MarginSubhead"/>
            </w:pPr>
            <w:r w:rsidRPr="00463667">
              <w:t>Active prescription</w:t>
            </w:r>
          </w:p>
        </w:tc>
        <w:tc>
          <w:tcPr>
            <w:tcW w:w="7812" w:type="dxa"/>
          </w:tcPr>
          <w:p w14:paraId="56CC81BA" w14:textId="77777777" w:rsidR="00181FCD" w:rsidRPr="00181FCD" w:rsidRDefault="00181FCD" w:rsidP="00181FCD">
            <w:pPr>
              <w:pStyle w:val="Body"/>
              <w:rPr>
                <w:strike/>
              </w:rPr>
            </w:pPr>
            <w:r w:rsidRPr="00463667">
              <w:t xml:space="preserve">A prescription is considered </w:t>
            </w:r>
            <w:r w:rsidRPr="00B3044A">
              <w:t>active</w:t>
            </w:r>
            <w:r w:rsidRPr="00463667">
              <w:t xml:space="preserve"> if the </w:t>
            </w:r>
            <w:r w:rsidR="009F0DF0">
              <w:t>“</w:t>
            </w:r>
            <w:r w:rsidRPr="00463667">
              <w:t>days supply</w:t>
            </w:r>
            <w:r w:rsidR="009F0DF0">
              <w:t>”</w:t>
            </w:r>
            <w:r w:rsidRPr="00463667">
              <w:t xml:space="preserve"> indicated on the date the member filled the prescription is the number of days or more between that date and the relevant </w:t>
            </w:r>
            <w:r>
              <w:t xml:space="preserve">service </w:t>
            </w:r>
            <w:r w:rsidRPr="00463667">
              <w:t>date.</w:t>
            </w:r>
          </w:p>
        </w:tc>
      </w:tr>
    </w:tbl>
    <w:p w14:paraId="650C6D3D" w14:textId="77777777" w:rsidR="00B852BD" w:rsidRPr="00463667" w:rsidRDefault="00B852BD" w:rsidP="00B852BD">
      <w:pPr>
        <w:sectPr w:rsidR="00B852BD" w:rsidRPr="00463667" w:rsidSect="007527F3">
          <w:headerReference w:type="even" r:id="rId40"/>
          <w:headerReference w:type="default" r:id="rId41"/>
          <w:pgSz w:w="12240" w:h="15840" w:code="1"/>
          <w:pgMar w:top="1080" w:right="1080" w:bottom="1080" w:left="1440" w:header="720" w:footer="720" w:gutter="0"/>
          <w:cols w:space="720"/>
        </w:sectPr>
      </w:pPr>
    </w:p>
    <w:p w14:paraId="28C79D98" w14:textId="77777777" w:rsidR="00B852BD" w:rsidRPr="00463667" w:rsidRDefault="00B852BD" w:rsidP="00B852BD">
      <w:pPr>
        <w:pStyle w:val="ReverseHead"/>
        <w:spacing w:before="0"/>
      </w:pPr>
      <w:r w:rsidRPr="00463667">
        <w:lastRenderedPageBreak/>
        <w:t>Eligible Population</w:t>
      </w:r>
    </w:p>
    <w:tbl>
      <w:tblPr>
        <w:tblW w:w="9792" w:type="dxa"/>
        <w:tblInd w:w="18" w:type="dxa"/>
        <w:tblLayout w:type="fixed"/>
        <w:tblLook w:val="0000" w:firstRow="0" w:lastRow="0" w:firstColumn="0" w:lastColumn="0" w:noHBand="0" w:noVBand="0"/>
      </w:tblPr>
      <w:tblGrid>
        <w:gridCol w:w="1872"/>
        <w:gridCol w:w="7920"/>
      </w:tblGrid>
      <w:tr w:rsidR="00B852BD" w:rsidRPr="00463667" w14:paraId="2746C072" w14:textId="77777777" w:rsidTr="008E7299">
        <w:tc>
          <w:tcPr>
            <w:tcW w:w="1872" w:type="dxa"/>
          </w:tcPr>
          <w:p w14:paraId="0CF5A14B" w14:textId="77777777" w:rsidR="00B852BD" w:rsidRPr="00463667" w:rsidRDefault="00B852BD" w:rsidP="00F578E0">
            <w:pPr>
              <w:pStyle w:val="MarginSubhead"/>
            </w:pPr>
            <w:r w:rsidRPr="00463667">
              <w:t>Product line</w:t>
            </w:r>
          </w:p>
        </w:tc>
        <w:tc>
          <w:tcPr>
            <w:tcW w:w="7920" w:type="dxa"/>
          </w:tcPr>
          <w:p w14:paraId="46398241" w14:textId="77777777" w:rsidR="00B852BD" w:rsidRPr="00463667" w:rsidRDefault="00B852BD" w:rsidP="00F578E0">
            <w:pPr>
              <w:pStyle w:val="Body"/>
            </w:pPr>
            <w:r w:rsidRPr="00463667">
              <w:t>Medicare.</w:t>
            </w:r>
          </w:p>
        </w:tc>
      </w:tr>
      <w:tr w:rsidR="00B852BD" w:rsidRPr="00463667" w14:paraId="1422D4D7" w14:textId="77777777" w:rsidTr="008E7299">
        <w:tc>
          <w:tcPr>
            <w:tcW w:w="1872" w:type="dxa"/>
          </w:tcPr>
          <w:p w14:paraId="60519E2B" w14:textId="77777777" w:rsidR="00B852BD" w:rsidRPr="00463667" w:rsidRDefault="00B852BD" w:rsidP="00F578E0">
            <w:pPr>
              <w:pStyle w:val="MarginSubhead"/>
            </w:pPr>
            <w:r w:rsidRPr="00463667">
              <w:t>Age</w:t>
            </w:r>
          </w:p>
        </w:tc>
        <w:tc>
          <w:tcPr>
            <w:tcW w:w="7920" w:type="dxa"/>
          </w:tcPr>
          <w:p w14:paraId="362DBFC6" w14:textId="77777777" w:rsidR="00B852BD" w:rsidRPr="00463667" w:rsidRDefault="00B852BD" w:rsidP="00F578E0">
            <w:pPr>
              <w:pStyle w:val="Body"/>
            </w:pPr>
            <w:r w:rsidRPr="00463667">
              <w:t xml:space="preserve">Women 67–85 years as of December 31 of the measurement year. </w:t>
            </w:r>
          </w:p>
        </w:tc>
      </w:tr>
      <w:tr w:rsidR="00B852BD" w:rsidRPr="00463667" w14:paraId="29C95983" w14:textId="77777777" w:rsidTr="008E7299">
        <w:tc>
          <w:tcPr>
            <w:tcW w:w="1872" w:type="dxa"/>
          </w:tcPr>
          <w:p w14:paraId="174C01A4" w14:textId="77777777" w:rsidR="00B852BD" w:rsidRPr="00463667" w:rsidRDefault="00B852BD" w:rsidP="00F578E0">
            <w:pPr>
              <w:pStyle w:val="MarginSubhead"/>
            </w:pPr>
            <w:r w:rsidRPr="00463667">
              <w:t>Continuous enrollment</w:t>
            </w:r>
          </w:p>
        </w:tc>
        <w:tc>
          <w:tcPr>
            <w:tcW w:w="7920" w:type="dxa"/>
          </w:tcPr>
          <w:p w14:paraId="59E7B9A2" w14:textId="77777777" w:rsidR="00B852BD" w:rsidRPr="00463667" w:rsidRDefault="00B852BD" w:rsidP="00F578E0">
            <w:pPr>
              <w:pStyle w:val="Body"/>
            </w:pPr>
            <w:r w:rsidRPr="00463667">
              <w:t>12 months (1 year) before the IESD through 180 days (6 months) after the IESD.</w:t>
            </w:r>
          </w:p>
        </w:tc>
      </w:tr>
      <w:tr w:rsidR="00B852BD" w:rsidRPr="00463667" w14:paraId="07252A67" w14:textId="77777777" w:rsidTr="008E7299">
        <w:tc>
          <w:tcPr>
            <w:tcW w:w="1872" w:type="dxa"/>
          </w:tcPr>
          <w:p w14:paraId="2C7BD261" w14:textId="77777777" w:rsidR="00B852BD" w:rsidRPr="00463667" w:rsidRDefault="00B852BD" w:rsidP="00F578E0">
            <w:pPr>
              <w:pStyle w:val="MarginSubhead"/>
            </w:pPr>
            <w:r w:rsidRPr="00463667">
              <w:t>Allowable gap</w:t>
            </w:r>
          </w:p>
        </w:tc>
        <w:tc>
          <w:tcPr>
            <w:tcW w:w="7920" w:type="dxa"/>
          </w:tcPr>
          <w:p w14:paraId="25429A46" w14:textId="77777777" w:rsidR="00B852BD" w:rsidRPr="00463667" w:rsidRDefault="00B852BD" w:rsidP="00F578E0">
            <w:pPr>
              <w:pStyle w:val="Body"/>
            </w:pPr>
            <w:r w:rsidRPr="00463667">
              <w:t>No more than one gap in enrollment of up to 45 days during the continuous enrollment period.</w:t>
            </w:r>
          </w:p>
        </w:tc>
      </w:tr>
      <w:tr w:rsidR="00B852BD" w:rsidRPr="00463667" w14:paraId="6C337E68" w14:textId="77777777" w:rsidTr="008E7299">
        <w:tc>
          <w:tcPr>
            <w:tcW w:w="1872" w:type="dxa"/>
          </w:tcPr>
          <w:p w14:paraId="37D86305" w14:textId="77777777" w:rsidR="00B852BD" w:rsidRPr="00463667" w:rsidRDefault="00B852BD" w:rsidP="00F578E0">
            <w:pPr>
              <w:pStyle w:val="MarginSubhead"/>
            </w:pPr>
            <w:r w:rsidRPr="00463667">
              <w:t>Anchor date</w:t>
            </w:r>
          </w:p>
        </w:tc>
        <w:tc>
          <w:tcPr>
            <w:tcW w:w="7920" w:type="dxa"/>
          </w:tcPr>
          <w:p w14:paraId="035B9A1A" w14:textId="77777777" w:rsidR="00B852BD" w:rsidRPr="00463667" w:rsidRDefault="00B852BD" w:rsidP="00F578E0">
            <w:pPr>
              <w:pStyle w:val="Body"/>
            </w:pPr>
            <w:r w:rsidRPr="00463667">
              <w:t>IESD.</w:t>
            </w:r>
          </w:p>
        </w:tc>
      </w:tr>
      <w:tr w:rsidR="00B852BD" w:rsidRPr="00463667" w14:paraId="2175E038" w14:textId="77777777" w:rsidTr="008E7299">
        <w:tc>
          <w:tcPr>
            <w:tcW w:w="1872" w:type="dxa"/>
          </w:tcPr>
          <w:p w14:paraId="0E854702" w14:textId="77777777" w:rsidR="00B852BD" w:rsidRPr="00463667" w:rsidRDefault="00B852BD" w:rsidP="00F578E0">
            <w:pPr>
              <w:pStyle w:val="MarginSubhead"/>
            </w:pPr>
            <w:r w:rsidRPr="00463667">
              <w:t>Benefits</w:t>
            </w:r>
          </w:p>
        </w:tc>
        <w:tc>
          <w:tcPr>
            <w:tcW w:w="7920" w:type="dxa"/>
          </w:tcPr>
          <w:p w14:paraId="2A01C882" w14:textId="77777777" w:rsidR="00B852BD" w:rsidRPr="00463667" w:rsidRDefault="00B852BD" w:rsidP="00F578E0">
            <w:pPr>
              <w:pStyle w:val="Body"/>
            </w:pPr>
            <w:r w:rsidRPr="00463667">
              <w:t xml:space="preserve">Medical and pharmacy. </w:t>
            </w:r>
          </w:p>
        </w:tc>
      </w:tr>
      <w:tr w:rsidR="00B852BD" w:rsidRPr="00463667" w14:paraId="3535DB84" w14:textId="77777777" w:rsidTr="008E7299">
        <w:tc>
          <w:tcPr>
            <w:tcW w:w="1872" w:type="dxa"/>
          </w:tcPr>
          <w:p w14:paraId="422798A3" w14:textId="77777777" w:rsidR="00B852BD" w:rsidRPr="00463667" w:rsidRDefault="00B852BD" w:rsidP="00F578E0">
            <w:pPr>
              <w:pStyle w:val="MarginSubhead"/>
            </w:pPr>
            <w:r w:rsidRPr="00463667">
              <w:t>Event/ diagnosis</w:t>
            </w:r>
          </w:p>
        </w:tc>
        <w:tc>
          <w:tcPr>
            <w:tcW w:w="7920" w:type="dxa"/>
          </w:tcPr>
          <w:p w14:paraId="04178C52" w14:textId="77777777" w:rsidR="00B852BD" w:rsidRPr="00463667" w:rsidRDefault="00B852BD" w:rsidP="00F578E0">
            <w:pPr>
              <w:pStyle w:val="Body"/>
            </w:pPr>
            <w:r w:rsidRPr="00463667">
              <w:t xml:space="preserve">The earliest fracture during the Intake Period. </w:t>
            </w:r>
          </w:p>
          <w:p w14:paraId="166ED6DF" w14:textId="77777777" w:rsidR="00B852BD" w:rsidRPr="00463667" w:rsidRDefault="00B852BD" w:rsidP="00F578E0">
            <w:pPr>
              <w:pStyle w:val="Body"/>
            </w:pPr>
            <w:r w:rsidRPr="00463667">
              <w:t>Follow the steps below to identify the eligible population.</w:t>
            </w:r>
          </w:p>
        </w:tc>
      </w:tr>
      <w:tr w:rsidR="00B852BD" w:rsidRPr="00463667" w14:paraId="52F7A58E" w14:textId="77777777" w:rsidTr="008E7299">
        <w:tc>
          <w:tcPr>
            <w:tcW w:w="1872" w:type="dxa"/>
          </w:tcPr>
          <w:p w14:paraId="6E331AC3" w14:textId="77777777" w:rsidR="00B852BD" w:rsidRPr="00463667" w:rsidRDefault="00B852BD" w:rsidP="00F578E0">
            <w:pPr>
              <w:pStyle w:val="MarginSubhead"/>
              <w:jc w:val="right"/>
              <w:rPr>
                <w:i/>
              </w:rPr>
            </w:pPr>
            <w:r w:rsidRPr="00463667">
              <w:rPr>
                <w:i/>
              </w:rPr>
              <w:t>Step 1</w:t>
            </w:r>
          </w:p>
        </w:tc>
        <w:tc>
          <w:tcPr>
            <w:tcW w:w="7920" w:type="dxa"/>
          </w:tcPr>
          <w:p w14:paraId="39969371" w14:textId="77777777" w:rsidR="008705DC" w:rsidRDefault="00B852BD" w:rsidP="00F578E0">
            <w:pPr>
              <w:pStyle w:val="Body"/>
              <w:rPr>
                <w:bCs/>
              </w:rPr>
            </w:pPr>
            <w:r w:rsidRPr="00463667">
              <w:rPr>
                <w:bCs/>
              </w:rPr>
              <w:t xml:space="preserve">Identify all members who had </w:t>
            </w:r>
            <w:r w:rsidR="008705DC">
              <w:rPr>
                <w:bCs/>
              </w:rPr>
              <w:t>either of the following during the Intake Period.</w:t>
            </w:r>
          </w:p>
          <w:p w14:paraId="60A31F67" w14:textId="6E23CD08" w:rsidR="000C0AE7" w:rsidRDefault="008705DC" w:rsidP="009D1E8A">
            <w:pPr>
              <w:pStyle w:val="Bullet"/>
            </w:pPr>
            <w:r>
              <w:t>A</w:t>
            </w:r>
            <w:r w:rsidR="00B852BD" w:rsidRPr="00463667">
              <w:t>n outpatient visit (</w:t>
            </w:r>
            <w:r w:rsidR="00B852BD" w:rsidRPr="00463667">
              <w:rPr>
                <w:u w:val="single"/>
              </w:rPr>
              <w:t>Outpatient Value Set</w:t>
            </w:r>
            <w:r w:rsidR="00B852BD" w:rsidRPr="00463667">
              <w:t>), an observation visit (</w:t>
            </w:r>
            <w:r w:rsidR="00B852BD" w:rsidRPr="00463667">
              <w:rPr>
                <w:u w:val="single"/>
              </w:rPr>
              <w:t>Observation Value Set</w:t>
            </w:r>
            <w:r w:rsidR="00B852BD" w:rsidRPr="00463667">
              <w:t>)</w:t>
            </w:r>
            <w:r>
              <w:t xml:space="preserve"> or</w:t>
            </w:r>
            <w:r w:rsidR="00B852BD" w:rsidRPr="00463667">
              <w:t xml:space="preserve"> an ED visit (</w:t>
            </w:r>
            <w:r w:rsidR="00B852BD" w:rsidRPr="00463667">
              <w:rPr>
                <w:u w:val="single"/>
              </w:rPr>
              <w:t>ED Value Set</w:t>
            </w:r>
            <w:r w:rsidR="00B852BD" w:rsidRPr="00463667">
              <w:t>), for a fracture (</w:t>
            </w:r>
            <w:r w:rsidR="00B852BD" w:rsidRPr="00463667">
              <w:rPr>
                <w:u w:val="single"/>
              </w:rPr>
              <w:t>Fractures Value Set</w:t>
            </w:r>
            <w:r w:rsidR="00B852BD" w:rsidRPr="00463667">
              <w:t xml:space="preserve">). </w:t>
            </w:r>
          </w:p>
          <w:p w14:paraId="6CF8ABF3" w14:textId="2AFAC1BB" w:rsidR="000C0AE7" w:rsidRDefault="008705DC" w:rsidP="009D1E8A">
            <w:pPr>
              <w:pStyle w:val="Bullet"/>
            </w:pPr>
            <w:r>
              <w:t xml:space="preserve">An acute or nonacute inpatient discharge </w:t>
            </w:r>
            <w:r w:rsidRPr="00463667">
              <w:t>for a fracture (</w:t>
            </w:r>
            <w:r w:rsidRPr="00463667">
              <w:rPr>
                <w:u w:val="single"/>
              </w:rPr>
              <w:t>Fractures Value Set</w:t>
            </w:r>
            <w:r w:rsidRPr="00463667">
              <w:t>)</w:t>
            </w:r>
            <w:r>
              <w:t>.</w:t>
            </w:r>
            <w:r w:rsidR="000C0AE7">
              <w:t xml:space="preserve"> </w:t>
            </w:r>
            <w:r w:rsidR="002214EE">
              <w:br/>
            </w:r>
            <w:r w:rsidR="000C0AE7">
              <w:t>To identify acute and nonacute inpatient discharges:</w:t>
            </w:r>
          </w:p>
          <w:p w14:paraId="1AE97AF2" w14:textId="77777777" w:rsidR="000C0AE7" w:rsidRDefault="000C0AE7" w:rsidP="00462BA8">
            <w:pPr>
              <w:pStyle w:val="Dash"/>
              <w:numPr>
                <w:ilvl w:val="0"/>
                <w:numId w:val="15"/>
              </w:numPr>
            </w:pPr>
            <w:r>
              <w:t>Identify all acute and nonacute inpatient stays (</w:t>
            </w:r>
            <w:r w:rsidRPr="005340F5">
              <w:rPr>
                <w:u w:val="single"/>
              </w:rPr>
              <w:t>Inpatient Stay Value Set</w:t>
            </w:r>
            <w:r>
              <w:t>).</w:t>
            </w:r>
          </w:p>
          <w:p w14:paraId="0A1E5E86" w14:textId="77777777" w:rsidR="008705DC" w:rsidRPr="000C0AE7" w:rsidRDefault="000C0AE7" w:rsidP="00462BA8">
            <w:pPr>
              <w:pStyle w:val="Dash"/>
              <w:numPr>
                <w:ilvl w:val="0"/>
                <w:numId w:val="15"/>
              </w:numPr>
            </w:pPr>
            <w:r>
              <w:t>Identify the discharge date for the stay.</w:t>
            </w:r>
          </w:p>
          <w:p w14:paraId="4A1CEE88" w14:textId="77777777" w:rsidR="00B852BD" w:rsidRPr="00463667" w:rsidRDefault="00B852BD" w:rsidP="008705DC">
            <w:pPr>
              <w:pStyle w:val="Body"/>
              <w:rPr>
                <w:bCs/>
              </w:rPr>
            </w:pPr>
            <w:r w:rsidRPr="00463667">
              <w:rPr>
                <w:bCs/>
              </w:rPr>
              <w:t xml:space="preserve">If the member had more than one fracture, include only the first fracture. </w:t>
            </w:r>
          </w:p>
        </w:tc>
      </w:tr>
      <w:tr w:rsidR="00B852BD" w:rsidRPr="00463667" w14:paraId="1E7E59B9" w14:textId="77777777" w:rsidTr="008E7299">
        <w:tc>
          <w:tcPr>
            <w:tcW w:w="1872" w:type="dxa"/>
          </w:tcPr>
          <w:p w14:paraId="019723BD" w14:textId="77777777" w:rsidR="00B852BD" w:rsidRPr="00463667" w:rsidRDefault="00B852BD" w:rsidP="00F578E0">
            <w:pPr>
              <w:pStyle w:val="MarginSubhead"/>
              <w:jc w:val="right"/>
              <w:rPr>
                <w:i/>
              </w:rPr>
            </w:pPr>
            <w:r w:rsidRPr="00463667">
              <w:rPr>
                <w:i/>
              </w:rPr>
              <w:t>Step 2</w:t>
            </w:r>
          </w:p>
        </w:tc>
        <w:tc>
          <w:tcPr>
            <w:tcW w:w="7920" w:type="dxa"/>
          </w:tcPr>
          <w:p w14:paraId="1E42B366" w14:textId="2914352D" w:rsidR="00573857" w:rsidRDefault="00B852BD" w:rsidP="00F578E0">
            <w:pPr>
              <w:pStyle w:val="Body"/>
              <w:rPr>
                <w:bCs/>
              </w:rPr>
            </w:pPr>
            <w:r w:rsidRPr="00463667">
              <w:rPr>
                <w:bCs/>
              </w:rPr>
              <w:t xml:space="preserve">Test for Negative Diagnosis History. Exclude members </w:t>
            </w:r>
            <w:r w:rsidR="00573857">
              <w:rPr>
                <w:bCs/>
              </w:rPr>
              <w:t>who had either of the following during the 60-day</w:t>
            </w:r>
            <w:r w:rsidR="00567AEE">
              <w:rPr>
                <w:bCs/>
              </w:rPr>
              <w:t xml:space="preserve"> (2 months)</w:t>
            </w:r>
            <w:r w:rsidR="00573857">
              <w:rPr>
                <w:bCs/>
              </w:rPr>
              <w:t xml:space="preserve"> period</w:t>
            </w:r>
            <w:r w:rsidR="001B2A35">
              <w:rPr>
                <w:bCs/>
              </w:rPr>
              <w:t xml:space="preserve"> prior to the IESD</w:t>
            </w:r>
            <w:r w:rsidR="00573857">
              <w:rPr>
                <w:bCs/>
              </w:rPr>
              <w:t xml:space="preserve">. </w:t>
            </w:r>
          </w:p>
          <w:p w14:paraId="7FE90A32" w14:textId="070C2873" w:rsidR="00B852BD" w:rsidRDefault="005340F5" w:rsidP="009D1E8A">
            <w:pPr>
              <w:pStyle w:val="Bullet"/>
            </w:pPr>
            <w:r>
              <w:t>A</w:t>
            </w:r>
            <w:r w:rsidR="00B852BD" w:rsidRPr="00463667">
              <w:t>n outpatient visit (</w:t>
            </w:r>
            <w:r w:rsidR="00B852BD" w:rsidRPr="00463667">
              <w:rPr>
                <w:u w:val="single"/>
              </w:rPr>
              <w:t>Outpatient Value Set</w:t>
            </w:r>
            <w:r w:rsidR="00B852BD" w:rsidRPr="00463667">
              <w:t>), an observation visit (</w:t>
            </w:r>
            <w:r w:rsidR="00B852BD" w:rsidRPr="00463667">
              <w:rPr>
                <w:u w:val="single"/>
              </w:rPr>
              <w:t>Observation Value Set</w:t>
            </w:r>
            <w:r w:rsidR="00B852BD" w:rsidRPr="00463667">
              <w:t>)</w:t>
            </w:r>
            <w:r>
              <w:t xml:space="preserve"> or</w:t>
            </w:r>
            <w:r w:rsidR="00B852BD" w:rsidRPr="00463667">
              <w:t xml:space="preserve"> an ED visit (</w:t>
            </w:r>
            <w:r w:rsidR="00B852BD" w:rsidRPr="00463667">
              <w:rPr>
                <w:u w:val="single"/>
              </w:rPr>
              <w:t>ED Value Set</w:t>
            </w:r>
            <w:r w:rsidR="00B852BD" w:rsidRPr="00463667">
              <w:t>) for a fracture (</w:t>
            </w:r>
            <w:r w:rsidR="00B852BD" w:rsidRPr="00463667">
              <w:rPr>
                <w:u w:val="single"/>
              </w:rPr>
              <w:t>Fractures Value Set</w:t>
            </w:r>
            <w:r w:rsidR="00B852BD" w:rsidRPr="00463667">
              <w:t>)</w:t>
            </w:r>
            <w:r w:rsidR="00567AEE">
              <w:t>.</w:t>
            </w:r>
            <w:r w:rsidR="00B852BD" w:rsidRPr="00463667">
              <w:t xml:space="preserve"> </w:t>
            </w:r>
          </w:p>
          <w:p w14:paraId="2A392A12" w14:textId="77777777" w:rsidR="005905FC" w:rsidRDefault="005905FC" w:rsidP="009D1E8A">
            <w:pPr>
              <w:pStyle w:val="Bullet"/>
            </w:pPr>
            <w:r>
              <w:t xml:space="preserve">An acute or nonacute inpatient discharge </w:t>
            </w:r>
            <w:r w:rsidRPr="00463667">
              <w:t>for a fracture (</w:t>
            </w:r>
            <w:r w:rsidRPr="00463667">
              <w:rPr>
                <w:u w:val="single"/>
              </w:rPr>
              <w:t>Fractures Value Set</w:t>
            </w:r>
            <w:r w:rsidRPr="00463667">
              <w:t>)</w:t>
            </w:r>
            <w:r>
              <w:t>. To identify acute and nonacute inpatient discharges:</w:t>
            </w:r>
          </w:p>
          <w:p w14:paraId="6E0FC72F" w14:textId="77777777" w:rsidR="005905FC" w:rsidRDefault="005905FC" w:rsidP="00462BA8">
            <w:pPr>
              <w:pStyle w:val="Dash"/>
              <w:numPr>
                <w:ilvl w:val="0"/>
                <w:numId w:val="16"/>
              </w:numPr>
            </w:pPr>
            <w:r>
              <w:t>Identify all acute and nonacute inpatient stays (</w:t>
            </w:r>
            <w:r w:rsidRPr="005340F5">
              <w:rPr>
                <w:u w:val="single"/>
              </w:rPr>
              <w:t>Inpatient Stay Value Set</w:t>
            </w:r>
            <w:r>
              <w:t>).</w:t>
            </w:r>
          </w:p>
          <w:p w14:paraId="6E593D53" w14:textId="77777777" w:rsidR="005905FC" w:rsidRPr="000C0AE7" w:rsidRDefault="005905FC" w:rsidP="00462BA8">
            <w:pPr>
              <w:pStyle w:val="Dash"/>
              <w:numPr>
                <w:ilvl w:val="0"/>
                <w:numId w:val="16"/>
              </w:numPr>
            </w:pPr>
            <w:r>
              <w:t>Identify the discharge date for the stay.</w:t>
            </w:r>
          </w:p>
          <w:p w14:paraId="70927EAD" w14:textId="02680F53" w:rsidR="008614B8" w:rsidRDefault="008614B8" w:rsidP="00297F0E">
            <w:pPr>
              <w:pStyle w:val="Body"/>
            </w:pPr>
            <w:r>
              <w:rPr>
                <w:i/>
              </w:rPr>
              <w:t xml:space="preserve">For an acute or nonacute inpatient IESD, </w:t>
            </w:r>
            <w:r w:rsidRPr="008614B8">
              <w:t>use the IESD date of admission to determine the 60-day period</w:t>
            </w:r>
            <w:r w:rsidR="00402B45">
              <w:t>.</w:t>
            </w:r>
            <w:r w:rsidRPr="008614B8">
              <w:t xml:space="preserve"> </w:t>
            </w:r>
          </w:p>
          <w:p w14:paraId="130413F5" w14:textId="77777777" w:rsidR="00B852BD" w:rsidRPr="00463667" w:rsidRDefault="00B852BD" w:rsidP="002214EE">
            <w:pPr>
              <w:pStyle w:val="Body"/>
              <w:spacing w:before="120"/>
              <w:rPr>
                <w:bCs/>
              </w:rPr>
            </w:pPr>
            <w:r w:rsidRPr="00463667">
              <w:rPr>
                <w:i/>
              </w:rPr>
              <w:t xml:space="preserve">For direct transfers, </w:t>
            </w:r>
            <w:r w:rsidRPr="00463667">
              <w:t>use the first admission to determine the Negative Diagnosis History.</w:t>
            </w:r>
            <w:r w:rsidRPr="00463667" w:rsidDel="00261861">
              <w:t xml:space="preserve"> </w:t>
            </w:r>
          </w:p>
        </w:tc>
      </w:tr>
      <w:tr w:rsidR="00B852BD" w:rsidRPr="00463667" w14:paraId="75786161" w14:textId="77777777" w:rsidTr="008E7299">
        <w:tc>
          <w:tcPr>
            <w:tcW w:w="1872" w:type="dxa"/>
          </w:tcPr>
          <w:p w14:paraId="7044DF21" w14:textId="77777777" w:rsidR="00B852BD" w:rsidRPr="00463667" w:rsidRDefault="00B852BD" w:rsidP="00F578E0">
            <w:pPr>
              <w:pStyle w:val="MarginSubhead"/>
              <w:jc w:val="right"/>
              <w:rPr>
                <w:i/>
              </w:rPr>
            </w:pPr>
            <w:r w:rsidRPr="00463667">
              <w:rPr>
                <w:i/>
              </w:rPr>
              <w:t>Step 3</w:t>
            </w:r>
          </w:p>
        </w:tc>
        <w:tc>
          <w:tcPr>
            <w:tcW w:w="7920" w:type="dxa"/>
          </w:tcPr>
          <w:p w14:paraId="1D30D56C" w14:textId="77777777" w:rsidR="00B852BD" w:rsidRPr="00463667" w:rsidRDefault="00B852BD" w:rsidP="00F578E0">
            <w:pPr>
              <w:pStyle w:val="Body"/>
              <w:rPr>
                <w:bCs/>
              </w:rPr>
            </w:pPr>
            <w:r w:rsidRPr="00463667">
              <w:rPr>
                <w:bCs/>
              </w:rPr>
              <w:t>Calculate continuous enrollment. Members must be continuously enrolled during the 12 months prior to the fracture through 180 days (6 months) post-fracture.</w:t>
            </w:r>
          </w:p>
        </w:tc>
      </w:tr>
    </w:tbl>
    <w:p w14:paraId="263CBB94" w14:textId="77777777" w:rsidR="009D1E8A" w:rsidRDefault="009D1E8A">
      <w:pPr>
        <w:sectPr w:rsidR="009D1E8A" w:rsidSect="007527F3">
          <w:headerReference w:type="even" r:id="rId42"/>
          <w:headerReference w:type="default" r:id="rId43"/>
          <w:pgSz w:w="12240" w:h="15840" w:code="1"/>
          <w:pgMar w:top="1080" w:right="1080" w:bottom="1080" w:left="1440" w:header="720" w:footer="720" w:gutter="0"/>
          <w:cols w:space="720"/>
        </w:sectPr>
      </w:pPr>
    </w:p>
    <w:tbl>
      <w:tblPr>
        <w:tblW w:w="9792" w:type="dxa"/>
        <w:tblInd w:w="18" w:type="dxa"/>
        <w:tblLayout w:type="fixed"/>
        <w:tblLook w:val="0000" w:firstRow="0" w:lastRow="0" w:firstColumn="0" w:lastColumn="0" w:noHBand="0" w:noVBand="0"/>
      </w:tblPr>
      <w:tblGrid>
        <w:gridCol w:w="1872"/>
        <w:gridCol w:w="7920"/>
      </w:tblGrid>
      <w:tr w:rsidR="00B852BD" w:rsidRPr="00463667" w14:paraId="7CB21EA5" w14:textId="77777777" w:rsidTr="00F578E0">
        <w:tc>
          <w:tcPr>
            <w:tcW w:w="1872" w:type="dxa"/>
          </w:tcPr>
          <w:p w14:paraId="02F4E1A1" w14:textId="77777777" w:rsidR="00B852BD" w:rsidRPr="00463667" w:rsidRDefault="00B852BD" w:rsidP="009D1E8A">
            <w:pPr>
              <w:pStyle w:val="MarginSubhead"/>
              <w:spacing w:before="0"/>
              <w:jc w:val="right"/>
              <w:rPr>
                <w:i/>
              </w:rPr>
            </w:pPr>
            <w:r w:rsidRPr="00463667">
              <w:rPr>
                <w:i/>
              </w:rPr>
              <w:lastRenderedPageBreak/>
              <w:t>Step 4: Required exclusions</w:t>
            </w:r>
          </w:p>
        </w:tc>
        <w:tc>
          <w:tcPr>
            <w:tcW w:w="7920" w:type="dxa"/>
          </w:tcPr>
          <w:p w14:paraId="07808E32" w14:textId="77777777" w:rsidR="00B852BD" w:rsidRPr="00463667" w:rsidRDefault="00B852BD" w:rsidP="009D1E8A">
            <w:pPr>
              <w:pStyle w:val="Body"/>
              <w:spacing w:before="0"/>
            </w:pPr>
            <w:r w:rsidRPr="00463667">
              <w:t>Exclude members who met any of the following criteria:</w:t>
            </w:r>
          </w:p>
          <w:p w14:paraId="69DBCA30" w14:textId="77777777" w:rsidR="00B852BD" w:rsidRPr="00463667" w:rsidRDefault="00B852BD" w:rsidP="00B852BD">
            <w:pPr>
              <w:pStyle w:val="Bullet"/>
              <w:rPr>
                <w:szCs w:val="20"/>
              </w:rPr>
            </w:pPr>
            <w:r w:rsidRPr="00463667">
              <w:rPr>
                <w:szCs w:val="20"/>
              </w:rPr>
              <w:t>Members who had a BMD test (</w:t>
            </w:r>
            <w:r w:rsidRPr="00463667">
              <w:rPr>
                <w:szCs w:val="20"/>
                <w:u w:val="single"/>
              </w:rPr>
              <w:t>Bone Mineral Density Tests Value Set</w:t>
            </w:r>
            <w:r w:rsidRPr="00463667">
              <w:rPr>
                <w:szCs w:val="20"/>
              </w:rPr>
              <w:t xml:space="preserve">) during </w:t>
            </w:r>
            <w:r w:rsidRPr="00463667">
              <w:rPr>
                <w:rFonts w:cs="Arial"/>
                <w:szCs w:val="20"/>
              </w:rPr>
              <w:t>the 730 days (24 months) prior to the IESD.</w:t>
            </w:r>
            <w:r w:rsidRPr="00463667">
              <w:rPr>
                <w:szCs w:val="20"/>
              </w:rPr>
              <w:t xml:space="preserve"> </w:t>
            </w:r>
          </w:p>
          <w:p w14:paraId="2FE882D9" w14:textId="77777777" w:rsidR="00B852BD" w:rsidRPr="00463667" w:rsidRDefault="00B852BD" w:rsidP="00B852BD">
            <w:pPr>
              <w:pStyle w:val="Bullet"/>
            </w:pPr>
            <w:r w:rsidRPr="00463667">
              <w:t>Members who had a claim/encounter for osteoporosis therapy (</w:t>
            </w:r>
            <w:r w:rsidRPr="00463667">
              <w:rPr>
                <w:u w:val="single"/>
              </w:rPr>
              <w:t>Osteoporosis Medications Value Set</w:t>
            </w:r>
            <w:r w:rsidRPr="00463667">
              <w:t>) during the 365 days (12 months) prior to the IESD.</w:t>
            </w:r>
          </w:p>
          <w:p w14:paraId="05F08D36" w14:textId="77777777" w:rsidR="00B852BD" w:rsidRPr="00463667" w:rsidRDefault="00B852BD" w:rsidP="00B852BD">
            <w:pPr>
              <w:pStyle w:val="Bullet"/>
            </w:pPr>
            <w:r w:rsidRPr="00463667">
              <w:t xml:space="preserve">Members who received a dispensed prescription or had an active prescription to treat osteoporosis (Table OMW-C) during the 365 days (12 months) prior to the IESD. </w:t>
            </w:r>
          </w:p>
          <w:p w14:paraId="786603F1" w14:textId="00B0F3F9" w:rsidR="00B852BD" w:rsidRPr="00463667" w:rsidRDefault="00B852BD" w:rsidP="00402B45">
            <w:pPr>
              <w:pStyle w:val="Body"/>
              <w:spacing w:before="120"/>
              <w:rPr>
                <w:bCs/>
              </w:rPr>
            </w:pPr>
            <w:r w:rsidRPr="00463667">
              <w:rPr>
                <w:bCs/>
                <w:i/>
              </w:rPr>
              <w:t xml:space="preserve">For an </w:t>
            </w:r>
            <w:r w:rsidR="00FD16AE">
              <w:rPr>
                <w:bCs/>
                <w:i/>
              </w:rPr>
              <w:t>acute or nonacute inpatient IESD</w:t>
            </w:r>
            <w:r w:rsidRPr="00463667">
              <w:rPr>
                <w:bCs/>
                <w:i/>
              </w:rPr>
              <w:t>,</w:t>
            </w:r>
            <w:r w:rsidRPr="00463667">
              <w:rPr>
                <w:bCs/>
              </w:rPr>
              <w:t xml:space="preserve"> use the </w:t>
            </w:r>
            <w:r w:rsidR="00402B45">
              <w:rPr>
                <w:bCs/>
              </w:rPr>
              <w:t xml:space="preserve">IESD date of </w:t>
            </w:r>
            <w:r w:rsidRPr="00463667">
              <w:rPr>
                <w:bCs/>
              </w:rPr>
              <w:t>admission to determine the</w:t>
            </w:r>
            <w:r w:rsidR="00402B45">
              <w:rPr>
                <w:bCs/>
              </w:rPr>
              <w:t xml:space="preserve"> number of</w:t>
            </w:r>
            <w:r w:rsidRPr="00463667">
              <w:rPr>
                <w:bCs/>
              </w:rPr>
              <w:t xml:space="preserve"> days prior to the IESD. </w:t>
            </w:r>
          </w:p>
        </w:tc>
      </w:tr>
    </w:tbl>
    <w:p w14:paraId="584EA7EF" w14:textId="77777777" w:rsidR="00B852BD" w:rsidRPr="00463667" w:rsidRDefault="00B852BD" w:rsidP="009D1E8A">
      <w:pPr>
        <w:pStyle w:val="ReverseHead"/>
      </w:pPr>
      <w:r w:rsidRPr="00463667">
        <w:t>Administrative Specification</w:t>
      </w:r>
    </w:p>
    <w:tbl>
      <w:tblPr>
        <w:tblW w:w="0" w:type="auto"/>
        <w:tblLayout w:type="fixed"/>
        <w:tblLook w:val="0000" w:firstRow="0" w:lastRow="0" w:firstColumn="0" w:lastColumn="0" w:noHBand="0" w:noVBand="0"/>
      </w:tblPr>
      <w:tblGrid>
        <w:gridCol w:w="1890"/>
        <w:gridCol w:w="7938"/>
      </w:tblGrid>
      <w:tr w:rsidR="00B852BD" w:rsidRPr="00463667" w14:paraId="7C99434C" w14:textId="77777777" w:rsidTr="00F578E0">
        <w:tc>
          <w:tcPr>
            <w:tcW w:w="1890" w:type="dxa"/>
          </w:tcPr>
          <w:p w14:paraId="5C8D6FBD" w14:textId="77777777" w:rsidR="00B852BD" w:rsidRPr="00463667" w:rsidRDefault="00B852BD" w:rsidP="00F578E0">
            <w:pPr>
              <w:pStyle w:val="MarginSubhead"/>
            </w:pPr>
            <w:r w:rsidRPr="00463667">
              <w:t>Denominator</w:t>
            </w:r>
          </w:p>
        </w:tc>
        <w:tc>
          <w:tcPr>
            <w:tcW w:w="7938" w:type="dxa"/>
          </w:tcPr>
          <w:p w14:paraId="39047F6D" w14:textId="77777777" w:rsidR="00B852BD" w:rsidRPr="00463667" w:rsidRDefault="00B852BD" w:rsidP="00F578E0">
            <w:pPr>
              <w:pStyle w:val="Body"/>
            </w:pPr>
            <w:r w:rsidRPr="00463667">
              <w:t>The eligible population.</w:t>
            </w:r>
          </w:p>
        </w:tc>
      </w:tr>
      <w:tr w:rsidR="00B852BD" w:rsidRPr="00463667" w14:paraId="27A8C9B4" w14:textId="77777777" w:rsidTr="00F578E0">
        <w:tc>
          <w:tcPr>
            <w:tcW w:w="1890" w:type="dxa"/>
          </w:tcPr>
          <w:p w14:paraId="1EB7BE7C" w14:textId="77777777" w:rsidR="00B852BD" w:rsidRPr="00463667" w:rsidRDefault="00B852BD" w:rsidP="00F578E0">
            <w:pPr>
              <w:pStyle w:val="MarginSubhead"/>
            </w:pPr>
            <w:r w:rsidRPr="00463667">
              <w:t>Numerator</w:t>
            </w:r>
          </w:p>
        </w:tc>
        <w:tc>
          <w:tcPr>
            <w:tcW w:w="7938" w:type="dxa"/>
          </w:tcPr>
          <w:p w14:paraId="0A1368E7" w14:textId="77777777" w:rsidR="00B852BD" w:rsidRPr="00463667" w:rsidRDefault="00B852BD" w:rsidP="00F578E0">
            <w:pPr>
              <w:pStyle w:val="Body"/>
            </w:pPr>
            <w:r w:rsidRPr="00463667">
              <w:t>Appropriate testing or treatment for osteoporosis after the fracture defined by any of the following criteria:</w:t>
            </w:r>
          </w:p>
          <w:p w14:paraId="25AC0ED5" w14:textId="77777777" w:rsidR="00B852BD" w:rsidRPr="00463667" w:rsidRDefault="00B852BD" w:rsidP="00B852BD">
            <w:pPr>
              <w:pStyle w:val="Bullet"/>
            </w:pPr>
            <w:r w:rsidRPr="00463667">
              <w:t>A BMD test (</w:t>
            </w:r>
            <w:r w:rsidRPr="00463667">
              <w:rPr>
                <w:u w:val="single"/>
              </w:rPr>
              <w:t>Bone Mineral Density Tests Value Set</w:t>
            </w:r>
            <w:r w:rsidRPr="00463667">
              <w:t>)</w:t>
            </w:r>
            <w:r w:rsidR="00306B95">
              <w:t>, in any setting,</w:t>
            </w:r>
            <w:r w:rsidRPr="00463667">
              <w:t xml:space="preserve"> on the IESD or in the 180-day (6-month) period after the </w:t>
            </w:r>
            <w:r w:rsidRPr="00463667">
              <w:rPr>
                <w:iCs/>
              </w:rPr>
              <w:t>IESD.</w:t>
            </w:r>
            <w:r w:rsidR="009E6CEE">
              <w:rPr>
                <w:iCs/>
              </w:rPr>
              <w:t xml:space="preserve"> </w:t>
            </w:r>
          </w:p>
          <w:p w14:paraId="54C1BB99" w14:textId="3E58E630" w:rsidR="00B852BD" w:rsidRPr="00463667" w:rsidRDefault="00306B95" w:rsidP="00B852BD">
            <w:pPr>
              <w:pStyle w:val="Bullet"/>
            </w:pPr>
            <w:r>
              <w:t>If the IESD was an inpatient stay, a</w:t>
            </w:r>
            <w:r w:rsidR="00B852BD" w:rsidRPr="00463667">
              <w:t xml:space="preserve"> BMD test (</w:t>
            </w:r>
            <w:r w:rsidR="00B852BD" w:rsidRPr="00463667">
              <w:rPr>
                <w:u w:val="single"/>
              </w:rPr>
              <w:t>Bone Mineral Density Tests Value Set</w:t>
            </w:r>
            <w:r w:rsidR="00B852BD" w:rsidRPr="00463667">
              <w:t>) during the inpatient stay</w:t>
            </w:r>
            <w:r>
              <w:t xml:space="preserve">. </w:t>
            </w:r>
          </w:p>
          <w:p w14:paraId="2746BB98" w14:textId="77777777" w:rsidR="00B852BD" w:rsidRDefault="00B852BD" w:rsidP="00B852BD">
            <w:pPr>
              <w:pStyle w:val="Bullet"/>
            </w:pPr>
            <w:r w:rsidRPr="00463667">
              <w:t>Osteoporosis therapy (</w:t>
            </w:r>
            <w:r w:rsidRPr="00463667">
              <w:rPr>
                <w:u w:val="single"/>
              </w:rPr>
              <w:t>Osteoporosis Medications Value Set</w:t>
            </w:r>
            <w:r w:rsidRPr="00463667">
              <w:t>) on the IESD or in the 180-day (6-month) period after the IESD.</w:t>
            </w:r>
          </w:p>
          <w:p w14:paraId="5F9775FB" w14:textId="27FA8BF4" w:rsidR="00BF5068" w:rsidRPr="00463667" w:rsidRDefault="00BF5068" w:rsidP="00B852BD">
            <w:pPr>
              <w:pStyle w:val="Bullet"/>
            </w:pPr>
            <w:r>
              <w:t>If the IESD was an inpatient stay, long-acting osteoporosis therapy (</w:t>
            </w:r>
            <w:r w:rsidRPr="00B44B50">
              <w:rPr>
                <w:u w:val="single"/>
              </w:rPr>
              <w:t>Long-Acting Osteoporosis Medications</w:t>
            </w:r>
            <w:r w:rsidR="00B44B50">
              <w:rPr>
                <w:u w:val="single"/>
              </w:rPr>
              <w:t xml:space="preserve"> Value Set</w:t>
            </w:r>
            <w:r>
              <w:t>) during the inpatient stay.</w:t>
            </w:r>
          </w:p>
          <w:p w14:paraId="50960E20" w14:textId="77777777" w:rsidR="00B852BD" w:rsidRPr="00463667" w:rsidRDefault="00B852BD" w:rsidP="00B852BD">
            <w:pPr>
              <w:pStyle w:val="Bullet"/>
            </w:pPr>
            <w:r w:rsidRPr="00463667">
              <w:t xml:space="preserve">A dispensed prescription to treat osteoporosis (Table OMW-C) on the IESD or in the 180-day (6-month) period after the </w:t>
            </w:r>
            <w:r w:rsidRPr="00463667">
              <w:rPr>
                <w:iCs/>
              </w:rPr>
              <w:t>IESD.</w:t>
            </w:r>
          </w:p>
        </w:tc>
      </w:tr>
    </w:tbl>
    <w:p w14:paraId="114EBD55" w14:textId="77777777" w:rsidR="00B852BD" w:rsidRPr="00463667" w:rsidRDefault="00B852BD" w:rsidP="00B852BD">
      <w:pPr>
        <w:pStyle w:val="TableHeadNotCondensed"/>
      </w:pPr>
      <w:r w:rsidRPr="00463667">
        <w:t xml:space="preserve">Table OMW-C: Osteoporosis Therapies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4"/>
        <w:gridCol w:w="2785"/>
        <w:gridCol w:w="2184"/>
      </w:tblGrid>
      <w:tr w:rsidR="00B852BD" w:rsidRPr="00463667" w14:paraId="224213F6" w14:textId="77777777" w:rsidTr="006740AA">
        <w:trPr>
          <w:trHeight w:val="118"/>
        </w:trPr>
        <w:tc>
          <w:tcPr>
            <w:tcW w:w="1714" w:type="dxa"/>
            <w:tcBorders>
              <w:right w:val="single" w:sz="4" w:space="0" w:color="FFFFFF" w:themeColor="background1"/>
            </w:tcBorders>
            <w:shd w:val="clear" w:color="auto" w:fill="000000" w:themeFill="text1"/>
          </w:tcPr>
          <w:p w14:paraId="14C22F89" w14:textId="77777777" w:rsidR="00B852BD" w:rsidRPr="00463667" w:rsidRDefault="00B852BD" w:rsidP="00F578E0">
            <w:pPr>
              <w:pStyle w:val="TableHead"/>
              <w:rPr>
                <w:color w:val="auto"/>
              </w:rPr>
            </w:pPr>
            <w:r w:rsidRPr="00463667">
              <w:rPr>
                <w:color w:val="auto"/>
              </w:rPr>
              <w:t>Description</w:t>
            </w:r>
          </w:p>
        </w:tc>
        <w:tc>
          <w:tcPr>
            <w:tcW w:w="4969" w:type="dxa"/>
            <w:gridSpan w:val="2"/>
            <w:tcBorders>
              <w:left w:val="single" w:sz="4" w:space="0" w:color="FFFFFF" w:themeColor="background1"/>
              <w:bottom w:val="single" w:sz="4" w:space="0" w:color="auto"/>
            </w:tcBorders>
            <w:shd w:val="clear" w:color="auto" w:fill="000000" w:themeFill="text1"/>
          </w:tcPr>
          <w:p w14:paraId="78A66372" w14:textId="77777777" w:rsidR="00B852BD" w:rsidRPr="00463667" w:rsidRDefault="00B852BD" w:rsidP="00F578E0">
            <w:pPr>
              <w:pStyle w:val="TableHead"/>
              <w:rPr>
                <w:color w:val="auto"/>
              </w:rPr>
            </w:pPr>
            <w:r w:rsidRPr="00463667">
              <w:rPr>
                <w:color w:val="auto"/>
              </w:rPr>
              <w:t>Prescription</w:t>
            </w:r>
          </w:p>
        </w:tc>
      </w:tr>
      <w:tr w:rsidR="00B852BD" w:rsidRPr="00463667" w14:paraId="5F57CADB" w14:textId="77777777" w:rsidTr="006740AA">
        <w:trPr>
          <w:trHeight w:val="118"/>
        </w:trPr>
        <w:tc>
          <w:tcPr>
            <w:tcW w:w="1714" w:type="dxa"/>
            <w:tcBorders>
              <w:right w:val="single" w:sz="6" w:space="0" w:color="auto"/>
            </w:tcBorders>
            <w:shd w:val="clear" w:color="auto" w:fill="FFFFFF" w:themeFill="background1"/>
          </w:tcPr>
          <w:p w14:paraId="5C048E78" w14:textId="77777777" w:rsidR="00B852BD" w:rsidRPr="00463667" w:rsidRDefault="00B852BD" w:rsidP="00F578E0">
            <w:pPr>
              <w:pStyle w:val="TableText"/>
            </w:pPr>
            <w:r w:rsidRPr="00463667">
              <w:t>Biphosphonates</w:t>
            </w:r>
          </w:p>
        </w:tc>
        <w:tc>
          <w:tcPr>
            <w:tcW w:w="2785" w:type="dxa"/>
            <w:tcBorders>
              <w:left w:val="single" w:sz="6" w:space="0" w:color="auto"/>
              <w:right w:val="nil"/>
            </w:tcBorders>
            <w:shd w:val="clear" w:color="auto" w:fill="FFFFFF" w:themeFill="background1"/>
          </w:tcPr>
          <w:p w14:paraId="35DA8416" w14:textId="77777777" w:rsidR="00B852BD" w:rsidRPr="009D1E8A" w:rsidRDefault="00B852BD" w:rsidP="009D1E8A">
            <w:pPr>
              <w:pStyle w:val="TableBullet"/>
            </w:pPr>
            <w:r w:rsidRPr="009D1E8A">
              <w:t xml:space="preserve">Alendronate </w:t>
            </w:r>
          </w:p>
          <w:p w14:paraId="1B0A0873" w14:textId="77777777" w:rsidR="00B852BD" w:rsidRPr="009D1E8A" w:rsidRDefault="00B852BD" w:rsidP="009D1E8A">
            <w:pPr>
              <w:pStyle w:val="TableBullet"/>
            </w:pPr>
            <w:r w:rsidRPr="009D1E8A">
              <w:t>Alendronate-cholecalciferol</w:t>
            </w:r>
          </w:p>
          <w:p w14:paraId="6AF2F00D" w14:textId="77777777" w:rsidR="00B852BD" w:rsidRPr="009D1E8A" w:rsidRDefault="009D1E8A" w:rsidP="009D1E8A">
            <w:pPr>
              <w:pStyle w:val="TableBullet"/>
            </w:pPr>
            <w:r w:rsidRPr="009D1E8A">
              <w:t xml:space="preserve">Ibandronate </w:t>
            </w:r>
          </w:p>
        </w:tc>
        <w:tc>
          <w:tcPr>
            <w:tcW w:w="2184" w:type="dxa"/>
            <w:tcBorders>
              <w:left w:val="nil"/>
            </w:tcBorders>
            <w:shd w:val="clear" w:color="auto" w:fill="FFFFFF" w:themeFill="background1"/>
          </w:tcPr>
          <w:p w14:paraId="04F01F7B" w14:textId="77777777" w:rsidR="00B852BD" w:rsidRPr="00463667" w:rsidRDefault="00B852BD" w:rsidP="00B852BD">
            <w:pPr>
              <w:pStyle w:val="TableBullet"/>
            </w:pPr>
            <w:r w:rsidRPr="00463667">
              <w:t>Risedronate</w:t>
            </w:r>
          </w:p>
          <w:p w14:paraId="0AF475CC" w14:textId="77777777" w:rsidR="00B852BD" w:rsidRPr="00463667" w:rsidRDefault="00B852BD" w:rsidP="00B852BD">
            <w:pPr>
              <w:pStyle w:val="TableBullet"/>
            </w:pPr>
            <w:r w:rsidRPr="00463667">
              <w:t>Zoledronic acid</w:t>
            </w:r>
          </w:p>
        </w:tc>
      </w:tr>
      <w:tr w:rsidR="00B852BD" w:rsidRPr="00463667" w14:paraId="684C15C5" w14:textId="77777777" w:rsidTr="006740AA">
        <w:trPr>
          <w:trHeight w:val="118"/>
        </w:trPr>
        <w:tc>
          <w:tcPr>
            <w:tcW w:w="1714" w:type="dxa"/>
            <w:tcBorders>
              <w:right w:val="single" w:sz="6" w:space="0" w:color="auto"/>
            </w:tcBorders>
            <w:shd w:val="clear" w:color="auto" w:fill="auto"/>
          </w:tcPr>
          <w:p w14:paraId="460E12CB" w14:textId="77777777" w:rsidR="00B852BD" w:rsidRPr="00463667" w:rsidRDefault="00B852BD" w:rsidP="00F578E0">
            <w:pPr>
              <w:pStyle w:val="TableText"/>
            </w:pPr>
            <w:r w:rsidRPr="00463667">
              <w:t>Other agents</w:t>
            </w:r>
          </w:p>
        </w:tc>
        <w:tc>
          <w:tcPr>
            <w:tcW w:w="2785" w:type="dxa"/>
            <w:tcBorders>
              <w:left w:val="single" w:sz="6" w:space="0" w:color="auto"/>
              <w:right w:val="nil"/>
            </w:tcBorders>
            <w:shd w:val="clear" w:color="auto" w:fill="auto"/>
          </w:tcPr>
          <w:p w14:paraId="24F3CA6B" w14:textId="77777777" w:rsidR="00B852BD" w:rsidRPr="00463667" w:rsidRDefault="00B852BD" w:rsidP="00B852BD">
            <w:pPr>
              <w:pStyle w:val="TableBullet"/>
            </w:pPr>
            <w:r w:rsidRPr="00463667">
              <w:t>Calcitonin</w:t>
            </w:r>
          </w:p>
          <w:p w14:paraId="37A92817" w14:textId="77777777" w:rsidR="00B852BD" w:rsidRPr="00463667" w:rsidRDefault="00B852BD" w:rsidP="00B852BD">
            <w:pPr>
              <w:pStyle w:val="TableBullet"/>
            </w:pPr>
            <w:r w:rsidRPr="00463667">
              <w:t>Denosumab</w:t>
            </w:r>
          </w:p>
        </w:tc>
        <w:tc>
          <w:tcPr>
            <w:tcW w:w="2184" w:type="dxa"/>
            <w:tcBorders>
              <w:left w:val="nil"/>
            </w:tcBorders>
            <w:shd w:val="clear" w:color="auto" w:fill="auto"/>
          </w:tcPr>
          <w:p w14:paraId="6F73BD30" w14:textId="77777777" w:rsidR="00B852BD" w:rsidRPr="00463667" w:rsidRDefault="00B852BD" w:rsidP="00B852BD">
            <w:pPr>
              <w:pStyle w:val="TableBullet"/>
              <w:spacing w:before="30" w:after="30"/>
            </w:pPr>
            <w:r w:rsidRPr="00463667">
              <w:t>Raloxifene</w:t>
            </w:r>
          </w:p>
          <w:p w14:paraId="462DDB8A" w14:textId="77777777" w:rsidR="00B852BD" w:rsidRPr="00463667" w:rsidRDefault="00B852BD" w:rsidP="00B852BD">
            <w:pPr>
              <w:pStyle w:val="TableBullet"/>
              <w:spacing w:before="30" w:after="30"/>
            </w:pPr>
            <w:r w:rsidRPr="00463667">
              <w:t>Teriparatide</w:t>
            </w:r>
          </w:p>
        </w:tc>
      </w:tr>
    </w:tbl>
    <w:p w14:paraId="49EC2233" w14:textId="3AC15582" w:rsidR="00B852BD" w:rsidRPr="00463667" w:rsidRDefault="00B852BD" w:rsidP="00B852BD">
      <w:pPr>
        <w:pStyle w:val="Note"/>
      </w:pPr>
      <w:r w:rsidRPr="00463667">
        <w:rPr>
          <w:rFonts w:cs="Arial"/>
          <w:b/>
          <w:bCs/>
        </w:rPr>
        <w:t xml:space="preserve">Note: </w:t>
      </w:r>
      <w:r w:rsidRPr="00463667">
        <w:t xml:space="preserve">NCQA will post a comprehensive list of medications and NDC codes </w:t>
      </w:r>
      <w:r w:rsidRPr="00463667">
        <w:br/>
        <w:t xml:space="preserve">to www.ncqa.org by November </w:t>
      </w:r>
      <w:r w:rsidR="00D0464F">
        <w:t>2</w:t>
      </w:r>
      <w:r w:rsidRPr="00463667">
        <w:t xml:space="preserve">, </w:t>
      </w:r>
      <w:r w:rsidR="00D0464F">
        <w:t>2015</w:t>
      </w:r>
      <w:r w:rsidRPr="00463667">
        <w:t xml:space="preserve">. </w:t>
      </w:r>
    </w:p>
    <w:p w14:paraId="02E8CD22" w14:textId="77777777" w:rsidR="00B852BD" w:rsidRPr="00463667" w:rsidRDefault="00B852BD" w:rsidP="00B852BD">
      <w:pPr>
        <w:pStyle w:val="SubHead20"/>
        <w:rPr>
          <w:i/>
        </w:rPr>
      </w:pPr>
      <w:r w:rsidRPr="00463667">
        <w:rPr>
          <w:i/>
        </w:rPr>
        <w:t xml:space="preserve">Note </w:t>
      </w:r>
    </w:p>
    <w:p w14:paraId="38123338" w14:textId="77777777" w:rsidR="009D1E8A" w:rsidRDefault="00B852BD" w:rsidP="00B852BD">
      <w:pPr>
        <w:pStyle w:val="ProcessBullet"/>
        <w:rPr>
          <w:i/>
        </w:rPr>
        <w:sectPr w:rsidR="009D1E8A" w:rsidSect="007527F3">
          <w:headerReference w:type="default" r:id="rId44"/>
          <w:pgSz w:w="12240" w:h="15840" w:code="1"/>
          <w:pgMar w:top="1080" w:right="1080" w:bottom="1080" w:left="1440" w:header="720" w:footer="720" w:gutter="0"/>
          <w:cols w:space="720"/>
        </w:sectPr>
      </w:pPr>
      <w:r w:rsidRPr="00463667">
        <w:rPr>
          <w:i/>
        </w:rPr>
        <w:t>Fractures of finger, toe, face and skull are not included in this measure.</w:t>
      </w:r>
    </w:p>
    <w:p w14:paraId="2D43C915" w14:textId="77777777" w:rsidR="00B852BD" w:rsidRPr="00463667" w:rsidRDefault="00B852BD" w:rsidP="009D1E8A">
      <w:pPr>
        <w:pStyle w:val="ReverseHead"/>
        <w:spacing w:before="0"/>
      </w:pPr>
      <w:r w:rsidRPr="00463667">
        <w:lastRenderedPageBreak/>
        <w:t xml:space="preserve">Data Elements for Reporting </w:t>
      </w:r>
    </w:p>
    <w:p w14:paraId="1C85FE07" w14:textId="77777777" w:rsidR="00B852BD" w:rsidRPr="00463667" w:rsidRDefault="00B852BD" w:rsidP="00B852BD">
      <w:pPr>
        <w:pStyle w:val="Body"/>
      </w:pPr>
      <w:r w:rsidRPr="00463667">
        <w:t>Organizations that submit HEDIS data to NCQA must provide the following data elements.</w:t>
      </w:r>
    </w:p>
    <w:p w14:paraId="5B6F0C63" w14:textId="77777777" w:rsidR="00B852BD" w:rsidRPr="00463667" w:rsidRDefault="00B852BD" w:rsidP="00B852BD">
      <w:pPr>
        <w:pStyle w:val="TableHeadNotCondensed"/>
        <w:ind w:left="1530" w:hanging="1530"/>
      </w:pPr>
      <w:r w:rsidRPr="00463667">
        <w:t xml:space="preserve">Table OMW-3: Data Elements for Osteoporosis Management </w:t>
      </w:r>
      <w:r w:rsidRPr="00463667">
        <w:br/>
        <w:t>in Women Who Had a Fracture</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2250"/>
      </w:tblGrid>
      <w:tr w:rsidR="00B852BD" w:rsidRPr="00463667" w14:paraId="2681E2EF" w14:textId="77777777" w:rsidTr="006740AA">
        <w:tc>
          <w:tcPr>
            <w:tcW w:w="4140" w:type="dxa"/>
            <w:tcBorders>
              <w:bottom w:val="single" w:sz="6" w:space="0" w:color="auto"/>
              <w:right w:val="single" w:sz="6" w:space="0" w:color="FFFFFF"/>
            </w:tcBorders>
            <w:shd w:val="clear" w:color="auto" w:fill="000000"/>
          </w:tcPr>
          <w:p w14:paraId="4E3B147F" w14:textId="77777777" w:rsidR="00B852BD" w:rsidRPr="00463667" w:rsidRDefault="00B852BD" w:rsidP="00F578E0">
            <w:pPr>
              <w:pStyle w:val="TableHead"/>
              <w:rPr>
                <w:color w:val="auto"/>
              </w:rPr>
            </w:pPr>
          </w:p>
        </w:tc>
        <w:tc>
          <w:tcPr>
            <w:tcW w:w="2250" w:type="dxa"/>
            <w:tcBorders>
              <w:left w:val="single" w:sz="6" w:space="0" w:color="FFFFFF"/>
              <w:bottom w:val="single" w:sz="6" w:space="0" w:color="auto"/>
              <w:right w:val="single" w:sz="4" w:space="0" w:color="auto"/>
            </w:tcBorders>
            <w:shd w:val="clear" w:color="auto" w:fill="000000"/>
          </w:tcPr>
          <w:p w14:paraId="4B8E2081" w14:textId="77777777" w:rsidR="00B852BD" w:rsidRPr="00463667" w:rsidRDefault="00B852BD" w:rsidP="00F578E0">
            <w:pPr>
              <w:pStyle w:val="TableHead"/>
              <w:rPr>
                <w:color w:val="auto"/>
              </w:rPr>
            </w:pPr>
            <w:r w:rsidRPr="00463667">
              <w:rPr>
                <w:color w:val="auto"/>
              </w:rPr>
              <w:t>Administrative</w:t>
            </w:r>
          </w:p>
        </w:tc>
      </w:tr>
      <w:tr w:rsidR="00B852BD" w:rsidRPr="00463667" w14:paraId="490B7BDD" w14:textId="77777777" w:rsidTr="006740AA">
        <w:tc>
          <w:tcPr>
            <w:tcW w:w="4140" w:type="dxa"/>
            <w:tcBorders>
              <w:bottom w:val="single" w:sz="6" w:space="0" w:color="auto"/>
            </w:tcBorders>
          </w:tcPr>
          <w:p w14:paraId="5FEBBE25" w14:textId="77777777" w:rsidR="00B852BD" w:rsidRPr="00463667" w:rsidRDefault="00B852BD" w:rsidP="00F578E0">
            <w:pPr>
              <w:pStyle w:val="TableText"/>
            </w:pPr>
            <w:r w:rsidRPr="00463667">
              <w:t>Measurement year</w:t>
            </w:r>
          </w:p>
        </w:tc>
        <w:tc>
          <w:tcPr>
            <w:tcW w:w="2250" w:type="dxa"/>
            <w:tcBorders>
              <w:bottom w:val="single" w:sz="6" w:space="0" w:color="auto"/>
            </w:tcBorders>
            <w:vAlign w:val="center"/>
          </w:tcPr>
          <w:p w14:paraId="71EA6AAE" w14:textId="77777777" w:rsidR="00B852BD" w:rsidRPr="00463667" w:rsidRDefault="00B852BD" w:rsidP="00F578E0">
            <w:pPr>
              <w:pStyle w:val="TableText"/>
              <w:jc w:val="center"/>
              <w:rPr>
                <w:sz w:val="24"/>
                <w:szCs w:val="24"/>
              </w:rPr>
            </w:pPr>
            <w:r w:rsidRPr="00463667">
              <w:rPr>
                <w:sz w:val="24"/>
                <w:szCs w:val="24"/>
              </w:rPr>
              <w:sym w:font="Wingdings" w:char="F0FC"/>
            </w:r>
          </w:p>
        </w:tc>
      </w:tr>
      <w:tr w:rsidR="00B852BD" w:rsidRPr="00463667" w14:paraId="6665F54E" w14:textId="77777777" w:rsidTr="006740AA">
        <w:tc>
          <w:tcPr>
            <w:tcW w:w="4140" w:type="dxa"/>
            <w:shd w:val="clear" w:color="auto" w:fill="D9D9D9"/>
          </w:tcPr>
          <w:p w14:paraId="589BA16E" w14:textId="77777777" w:rsidR="00B852BD" w:rsidRPr="00463667" w:rsidRDefault="00B852BD" w:rsidP="00F578E0">
            <w:pPr>
              <w:pStyle w:val="TableText"/>
            </w:pPr>
            <w:r w:rsidRPr="00463667">
              <w:t>Data collection methodology (Administrative)</w:t>
            </w:r>
          </w:p>
        </w:tc>
        <w:tc>
          <w:tcPr>
            <w:tcW w:w="2250" w:type="dxa"/>
            <w:shd w:val="clear" w:color="auto" w:fill="D9D9D9"/>
            <w:vAlign w:val="center"/>
          </w:tcPr>
          <w:p w14:paraId="658CD220" w14:textId="77777777" w:rsidR="00B852BD" w:rsidRPr="00463667" w:rsidRDefault="00B852BD" w:rsidP="00F578E0">
            <w:pPr>
              <w:pStyle w:val="TableText"/>
              <w:jc w:val="center"/>
              <w:rPr>
                <w:sz w:val="24"/>
                <w:szCs w:val="24"/>
              </w:rPr>
            </w:pPr>
            <w:r w:rsidRPr="00463667">
              <w:rPr>
                <w:sz w:val="24"/>
                <w:szCs w:val="24"/>
              </w:rPr>
              <w:sym w:font="Wingdings" w:char="F0FC"/>
            </w:r>
          </w:p>
        </w:tc>
      </w:tr>
      <w:tr w:rsidR="00B852BD" w:rsidRPr="00463667" w14:paraId="6D9550D0" w14:textId="77777777" w:rsidTr="006740AA">
        <w:tc>
          <w:tcPr>
            <w:tcW w:w="4140" w:type="dxa"/>
          </w:tcPr>
          <w:p w14:paraId="7080AFD0" w14:textId="77777777" w:rsidR="00B852BD" w:rsidRPr="00463667" w:rsidRDefault="00B852BD" w:rsidP="00F578E0">
            <w:pPr>
              <w:pStyle w:val="TableText"/>
            </w:pPr>
            <w:r w:rsidRPr="00463667">
              <w:t xml:space="preserve">Eligible population </w:t>
            </w:r>
          </w:p>
        </w:tc>
        <w:tc>
          <w:tcPr>
            <w:tcW w:w="2250" w:type="dxa"/>
            <w:vAlign w:val="center"/>
          </w:tcPr>
          <w:p w14:paraId="13E5AFC8" w14:textId="77777777" w:rsidR="00B852BD" w:rsidRPr="00463667" w:rsidRDefault="00B852BD" w:rsidP="00F578E0">
            <w:pPr>
              <w:pStyle w:val="TableText"/>
              <w:jc w:val="center"/>
              <w:rPr>
                <w:sz w:val="24"/>
                <w:szCs w:val="24"/>
              </w:rPr>
            </w:pPr>
            <w:r w:rsidRPr="00463667">
              <w:rPr>
                <w:sz w:val="24"/>
                <w:szCs w:val="24"/>
              </w:rPr>
              <w:sym w:font="Wingdings" w:char="F0FC"/>
            </w:r>
          </w:p>
        </w:tc>
      </w:tr>
      <w:tr w:rsidR="00B852BD" w:rsidRPr="00463667" w14:paraId="3ECFB6DC" w14:textId="77777777" w:rsidTr="006740AA">
        <w:tc>
          <w:tcPr>
            <w:tcW w:w="4140" w:type="dxa"/>
            <w:shd w:val="clear" w:color="auto" w:fill="D9D9D9" w:themeFill="background1" w:themeFillShade="D9"/>
          </w:tcPr>
          <w:p w14:paraId="144A2E81" w14:textId="77777777" w:rsidR="00B852BD" w:rsidRPr="00463667" w:rsidRDefault="00B852BD" w:rsidP="00F578E0">
            <w:pPr>
              <w:pStyle w:val="TableText"/>
            </w:pPr>
            <w:r w:rsidRPr="00463667">
              <w:t>Number of required exclusions</w:t>
            </w:r>
          </w:p>
        </w:tc>
        <w:tc>
          <w:tcPr>
            <w:tcW w:w="2250" w:type="dxa"/>
            <w:shd w:val="clear" w:color="auto" w:fill="D9D9D9" w:themeFill="background1" w:themeFillShade="D9"/>
            <w:vAlign w:val="center"/>
          </w:tcPr>
          <w:p w14:paraId="7CE6D6E9" w14:textId="77777777" w:rsidR="00B852BD" w:rsidRPr="00463667" w:rsidRDefault="00B852BD" w:rsidP="00F578E0">
            <w:pPr>
              <w:pStyle w:val="TableText"/>
              <w:jc w:val="center"/>
              <w:rPr>
                <w:sz w:val="24"/>
                <w:szCs w:val="24"/>
              </w:rPr>
            </w:pPr>
            <w:r w:rsidRPr="00463667">
              <w:rPr>
                <w:sz w:val="24"/>
                <w:szCs w:val="24"/>
              </w:rPr>
              <w:sym w:font="Wingdings" w:char="F0FC"/>
            </w:r>
          </w:p>
        </w:tc>
      </w:tr>
      <w:tr w:rsidR="00B852BD" w:rsidRPr="00463667" w14:paraId="684B7989" w14:textId="77777777" w:rsidTr="006740AA">
        <w:tc>
          <w:tcPr>
            <w:tcW w:w="4140" w:type="dxa"/>
            <w:shd w:val="clear" w:color="auto" w:fill="auto"/>
          </w:tcPr>
          <w:p w14:paraId="41A6E678" w14:textId="77777777" w:rsidR="00B852BD" w:rsidRPr="00463667" w:rsidRDefault="00B852BD" w:rsidP="00F578E0">
            <w:pPr>
              <w:pStyle w:val="TableText"/>
            </w:pPr>
            <w:r w:rsidRPr="00463667">
              <w:t>Numerator events by administrative data</w:t>
            </w:r>
          </w:p>
        </w:tc>
        <w:tc>
          <w:tcPr>
            <w:tcW w:w="2250" w:type="dxa"/>
            <w:shd w:val="clear" w:color="auto" w:fill="auto"/>
            <w:vAlign w:val="center"/>
          </w:tcPr>
          <w:p w14:paraId="3AE46D8C" w14:textId="77777777" w:rsidR="00B852BD" w:rsidRPr="00463667" w:rsidRDefault="00B852BD" w:rsidP="00F578E0">
            <w:pPr>
              <w:pStyle w:val="TableText"/>
              <w:jc w:val="center"/>
              <w:rPr>
                <w:sz w:val="24"/>
                <w:szCs w:val="24"/>
              </w:rPr>
            </w:pPr>
            <w:r w:rsidRPr="00463667">
              <w:rPr>
                <w:sz w:val="24"/>
                <w:szCs w:val="24"/>
              </w:rPr>
              <w:sym w:font="Wingdings" w:char="F0FC"/>
            </w:r>
          </w:p>
        </w:tc>
      </w:tr>
      <w:tr w:rsidR="00EB00B0" w:rsidRPr="00463667" w14:paraId="24FCB823" w14:textId="77777777" w:rsidTr="006740AA">
        <w:tc>
          <w:tcPr>
            <w:tcW w:w="4140" w:type="dxa"/>
            <w:shd w:val="clear" w:color="auto" w:fill="D9D9D9" w:themeFill="background1" w:themeFillShade="D9"/>
          </w:tcPr>
          <w:p w14:paraId="32826944" w14:textId="77777777" w:rsidR="00EB00B0" w:rsidRPr="00463667" w:rsidRDefault="00EB00B0" w:rsidP="00F578E0">
            <w:pPr>
              <w:pStyle w:val="TableText"/>
            </w:pPr>
            <w:r w:rsidRPr="00EB00B0">
              <w:t>Numerator events by supplemental data</w:t>
            </w:r>
          </w:p>
        </w:tc>
        <w:tc>
          <w:tcPr>
            <w:tcW w:w="2250" w:type="dxa"/>
            <w:shd w:val="clear" w:color="auto" w:fill="D9D9D9" w:themeFill="background1" w:themeFillShade="D9"/>
            <w:vAlign w:val="center"/>
          </w:tcPr>
          <w:p w14:paraId="500D3024" w14:textId="77777777" w:rsidR="00EB00B0" w:rsidRPr="00463667" w:rsidRDefault="00EB00B0" w:rsidP="00F578E0">
            <w:pPr>
              <w:pStyle w:val="TableText"/>
              <w:jc w:val="center"/>
              <w:rPr>
                <w:sz w:val="24"/>
                <w:szCs w:val="24"/>
              </w:rPr>
            </w:pPr>
            <w:r w:rsidRPr="00463667">
              <w:rPr>
                <w:sz w:val="24"/>
                <w:szCs w:val="24"/>
              </w:rPr>
              <w:sym w:font="Wingdings" w:char="F0FC"/>
            </w:r>
          </w:p>
        </w:tc>
      </w:tr>
      <w:tr w:rsidR="00B852BD" w:rsidRPr="00463667" w14:paraId="3D1FC721" w14:textId="77777777" w:rsidTr="006740AA">
        <w:tc>
          <w:tcPr>
            <w:tcW w:w="4140" w:type="dxa"/>
            <w:shd w:val="clear" w:color="auto" w:fill="FFFFFF" w:themeFill="background1"/>
          </w:tcPr>
          <w:p w14:paraId="0E30CF24" w14:textId="77777777" w:rsidR="00B852BD" w:rsidRPr="00463667" w:rsidRDefault="00B852BD" w:rsidP="00F578E0">
            <w:pPr>
              <w:pStyle w:val="TableText"/>
            </w:pPr>
            <w:r w:rsidRPr="00463667">
              <w:t>Reported rate</w:t>
            </w:r>
          </w:p>
        </w:tc>
        <w:tc>
          <w:tcPr>
            <w:tcW w:w="2250" w:type="dxa"/>
            <w:shd w:val="clear" w:color="auto" w:fill="FFFFFF" w:themeFill="background1"/>
            <w:vAlign w:val="center"/>
          </w:tcPr>
          <w:p w14:paraId="018742F1" w14:textId="77777777" w:rsidR="00B852BD" w:rsidRPr="00463667" w:rsidRDefault="00B852BD" w:rsidP="00F578E0">
            <w:pPr>
              <w:pStyle w:val="TableText"/>
              <w:jc w:val="center"/>
              <w:rPr>
                <w:sz w:val="24"/>
                <w:szCs w:val="24"/>
              </w:rPr>
            </w:pPr>
            <w:r w:rsidRPr="00463667">
              <w:rPr>
                <w:sz w:val="24"/>
                <w:szCs w:val="24"/>
              </w:rPr>
              <w:sym w:font="Wingdings" w:char="F0FC"/>
            </w:r>
          </w:p>
        </w:tc>
      </w:tr>
      <w:tr w:rsidR="00B852BD" w:rsidRPr="00463667" w14:paraId="5F662C68" w14:textId="77777777" w:rsidTr="006740AA">
        <w:tc>
          <w:tcPr>
            <w:tcW w:w="4140" w:type="dxa"/>
            <w:tcBorders>
              <w:bottom w:val="single" w:sz="6" w:space="0" w:color="auto"/>
            </w:tcBorders>
            <w:shd w:val="clear" w:color="auto" w:fill="D9D9D9" w:themeFill="background1" w:themeFillShade="D9"/>
          </w:tcPr>
          <w:p w14:paraId="072723F2" w14:textId="77777777" w:rsidR="00B852BD" w:rsidRPr="00463667" w:rsidRDefault="00B852BD" w:rsidP="00F578E0">
            <w:pPr>
              <w:pStyle w:val="TableText"/>
            </w:pPr>
            <w:r w:rsidRPr="00463667">
              <w:t>Lower 95% confidence interval</w:t>
            </w:r>
          </w:p>
        </w:tc>
        <w:tc>
          <w:tcPr>
            <w:tcW w:w="2250" w:type="dxa"/>
            <w:tcBorders>
              <w:bottom w:val="single" w:sz="6" w:space="0" w:color="auto"/>
            </w:tcBorders>
            <w:shd w:val="clear" w:color="auto" w:fill="D9D9D9" w:themeFill="background1" w:themeFillShade="D9"/>
            <w:vAlign w:val="center"/>
          </w:tcPr>
          <w:p w14:paraId="039AA986" w14:textId="77777777" w:rsidR="00B852BD" w:rsidRPr="00463667" w:rsidRDefault="00B852BD" w:rsidP="00F578E0">
            <w:pPr>
              <w:pStyle w:val="TableText"/>
              <w:jc w:val="center"/>
              <w:rPr>
                <w:sz w:val="24"/>
                <w:szCs w:val="24"/>
              </w:rPr>
            </w:pPr>
            <w:r w:rsidRPr="00463667">
              <w:rPr>
                <w:sz w:val="24"/>
                <w:szCs w:val="24"/>
              </w:rPr>
              <w:sym w:font="Wingdings" w:char="F0FC"/>
            </w:r>
          </w:p>
        </w:tc>
      </w:tr>
      <w:tr w:rsidR="00B852BD" w:rsidRPr="00463667" w14:paraId="7D703B6D" w14:textId="77777777" w:rsidTr="006740AA">
        <w:tc>
          <w:tcPr>
            <w:tcW w:w="4140" w:type="dxa"/>
            <w:tcBorders>
              <w:bottom w:val="single" w:sz="6" w:space="0" w:color="auto"/>
            </w:tcBorders>
            <w:shd w:val="clear" w:color="auto" w:fill="FFFFFF" w:themeFill="background1"/>
          </w:tcPr>
          <w:p w14:paraId="6DC26A7E" w14:textId="77777777" w:rsidR="00B852BD" w:rsidRPr="00463667" w:rsidRDefault="00B852BD" w:rsidP="00F578E0">
            <w:pPr>
              <w:pStyle w:val="TableText"/>
            </w:pPr>
            <w:r w:rsidRPr="00463667">
              <w:t>Upper 95% confidence interval</w:t>
            </w:r>
          </w:p>
        </w:tc>
        <w:tc>
          <w:tcPr>
            <w:tcW w:w="2250" w:type="dxa"/>
            <w:tcBorders>
              <w:bottom w:val="single" w:sz="6" w:space="0" w:color="auto"/>
            </w:tcBorders>
            <w:shd w:val="clear" w:color="auto" w:fill="FFFFFF" w:themeFill="background1"/>
            <w:vAlign w:val="center"/>
          </w:tcPr>
          <w:p w14:paraId="567C665F" w14:textId="77777777" w:rsidR="00B852BD" w:rsidRPr="00463667" w:rsidRDefault="00B852BD" w:rsidP="00F578E0">
            <w:pPr>
              <w:pStyle w:val="TableText"/>
              <w:jc w:val="center"/>
              <w:rPr>
                <w:sz w:val="24"/>
                <w:szCs w:val="24"/>
              </w:rPr>
            </w:pPr>
            <w:r w:rsidRPr="00463667">
              <w:rPr>
                <w:sz w:val="24"/>
                <w:szCs w:val="24"/>
              </w:rPr>
              <w:sym w:font="Wingdings" w:char="F0FC"/>
            </w:r>
          </w:p>
        </w:tc>
      </w:tr>
    </w:tbl>
    <w:p w14:paraId="48C5A5D8" w14:textId="77777777" w:rsidR="00B852BD" w:rsidRPr="00463667" w:rsidRDefault="00B852BD" w:rsidP="00B852BD">
      <w:pPr>
        <w:pStyle w:val="Body"/>
        <w:sectPr w:rsidR="00B852BD" w:rsidRPr="00463667" w:rsidSect="007527F3">
          <w:headerReference w:type="default" r:id="rId45"/>
          <w:pgSz w:w="12240" w:h="15840" w:code="1"/>
          <w:pgMar w:top="1080" w:right="1080" w:bottom="1080" w:left="1440" w:header="720" w:footer="720" w:gutter="0"/>
          <w:cols w:space="720"/>
        </w:sectPr>
      </w:pPr>
    </w:p>
    <w:p w14:paraId="61783226" w14:textId="77777777" w:rsidR="00B852BD" w:rsidRPr="00463667" w:rsidRDefault="00B852BD" w:rsidP="00B852BD">
      <w:pPr>
        <w:pStyle w:val="Breakpage"/>
      </w:pPr>
    </w:p>
    <w:p w14:paraId="5B28BE1C" w14:textId="77777777" w:rsidR="00B852BD" w:rsidRPr="00463667" w:rsidRDefault="00B852BD" w:rsidP="00B852BD">
      <w:pPr>
        <w:pStyle w:val="Breakpage"/>
      </w:pPr>
    </w:p>
    <w:p w14:paraId="45121E00" w14:textId="77777777" w:rsidR="00B852BD" w:rsidRPr="00463667" w:rsidRDefault="00B852BD" w:rsidP="00B852BD">
      <w:pPr>
        <w:pStyle w:val="Breakpage"/>
      </w:pPr>
    </w:p>
    <w:p w14:paraId="6315BA11" w14:textId="77777777" w:rsidR="00B852BD" w:rsidRPr="00463667" w:rsidRDefault="00B852BD" w:rsidP="00B852BD">
      <w:pPr>
        <w:pStyle w:val="Breakpage"/>
      </w:pPr>
    </w:p>
    <w:p w14:paraId="539016BC" w14:textId="77777777" w:rsidR="00B852BD" w:rsidRPr="00463667" w:rsidRDefault="00B852BD" w:rsidP="00B852BD">
      <w:pPr>
        <w:pStyle w:val="Breakpage"/>
      </w:pPr>
    </w:p>
    <w:p w14:paraId="59C50E1A" w14:textId="77777777" w:rsidR="00B852BD" w:rsidRPr="00463667" w:rsidRDefault="00B852BD" w:rsidP="00B852BD">
      <w:pPr>
        <w:pStyle w:val="Breakpage"/>
      </w:pPr>
      <w:r w:rsidRPr="00463667">
        <w:t>Behavioral Health</w:t>
      </w:r>
    </w:p>
    <w:p w14:paraId="77BAD32F" w14:textId="77777777" w:rsidR="00B852BD" w:rsidRPr="00463667" w:rsidRDefault="00B852BD" w:rsidP="00B852BD">
      <w:pPr>
        <w:pStyle w:val="Breakpage"/>
      </w:pPr>
    </w:p>
    <w:p w14:paraId="5544A6D0" w14:textId="77777777" w:rsidR="00B852BD" w:rsidRPr="00463667" w:rsidRDefault="00B852BD" w:rsidP="00B852BD">
      <w:pPr>
        <w:pStyle w:val="Breakpage"/>
        <w:sectPr w:rsidR="00B852BD" w:rsidRPr="00463667" w:rsidSect="007527F3">
          <w:headerReference w:type="default" r:id="rId46"/>
          <w:footerReference w:type="default" r:id="rId47"/>
          <w:pgSz w:w="12240" w:h="15840" w:code="1"/>
          <w:pgMar w:top="1080" w:right="1080" w:bottom="1080" w:left="1440" w:header="720" w:footer="720" w:gutter="0"/>
          <w:cols w:space="720"/>
        </w:sectPr>
      </w:pPr>
    </w:p>
    <w:p w14:paraId="45C05367" w14:textId="77777777" w:rsidR="00B852BD" w:rsidRPr="00463667" w:rsidRDefault="00B852BD" w:rsidP="00B852BD">
      <w:pPr>
        <w:pStyle w:val="Heading2"/>
      </w:pPr>
      <w:bookmarkStart w:id="4" w:name="_Toc400546135"/>
      <w:r w:rsidRPr="003F7CDF">
        <w:lastRenderedPageBreak/>
        <w:t>Antidepressant Medication Management (AMM)</w:t>
      </w:r>
      <w:bookmarkEnd w:id="4"/>
    </w:p>
    <w:p w14:paraId="7E4C6816" w14:textId="2CAC845B" w:rsidR="00B852BD" w:rsidRPr="00463667" w:rsidRDefault="00B852BD" w:rsidP="00B852BD">
      <w:pPr>
        <w:pStyle w:val="SOC"/>
        <w:rPr>
          <w:i/>
        </w:rPr>
      </w:pPr>
      <w:r w:rsidRPr="00463667">
        <w:t xml:space="preserve">Summary of Changes to HEDIS </w:t>
      </w:r>
      <w:r w:rsidR="00D0464F">
        <w:t>2016</w:t>
      </w:r>
    </w:p>
    <w:p w14:paraId="544213BE" w14:textId="51D7CA29" w:rsidR="00AC7373" w:rsidRPr="009F1193" w:rsidRDefault="00AC7373" w:rsidP="00AC7373">
      <w:pPr>
        <w:pStyle w:val="ProcessBullet"/>
        <w:rPr>
          <w:i/>
          <w:iCs/>
        </w:rPr>
      </w:pPr>
      <w:r>
        <w:rPr>
          <w:iCs/>
        </w:rPr>
        <w:t>Added a method and value sets to identify acute and nonacute inpatient discharges for required exclusions (step 2).</w:t>
      </w:r>
    </w:p>
    <w:p w14:paraId="746BF8F7" w14:textId="066CA9DE" w:rsidR="009F1193" w:rsidRPr="009F1193" w:rsidRDefault="0013524C" w:rsidP="0013524C">
      <w:pPr>
        <w:pStyle w:val="ProcessBullet"/>
        <w:spacing w:before="60"/>
        <w:rPr>
          <w:i/>
          <w:iCs/>
        </w:rPr>
      </w:pPr>
      <w:r>
        <w:rPr>
          <w:iCs/>
        </w:rPr>
        <w:t>Changed</w:t>
      </w:r>
      <w:r w:rsidR="009F1193">
        <w:rPr>
          <w:iCs/>
        </w:rPr>
        <w:t xml:space="preserve"> the description</w:t>
      </w:r>
      <w:r>
        <w:rPr>
          <w:iCs/>
        </w:rPr>
        <w:t xml:space="preserve"> of</w:t>
      </w:r>
      <w:r w:rsidR="009F1193">
        <w:rPr>
          <w:iCs/>
        </w:rPr>
        <w:t xml:space="preserve"> “</w:t>
      </w:r>
      <w:r w:rsidR="009F1193">
        <w:t>SS</w:t>
      </w:r>
      <w:r w:rsidR="009F1193" w:rsidRPr="00463667">
        <w:t>NRI antidepressants</w:t>
      </w:r>
      <w:r w:rsidR="009F1193">
        <w:t xml:space="preserve">” to “SNRI </w:t>
      </w:r>
      <w:r w:rsidR="009F1193" w:rsidRPr="00463667">
        <w:t>antidepressants</w:t>
      </w:r>
      <w:r w:rsidR="009F1193">
        <w:t>” in Table AMM-C.</w:t>
      </w:r>
    </w:p>
    <w:p w14:paraId="7E238B10" w14:textId="482E39C5" w:rsidR="009F1193" w:rsidRPr="009F1193" w:rsidRDefault="009F1193" w:rsidP="0013524C">
      <w:pPr>
        <w:pStyle w:val="ProcessBullet"/>
        <w:spacing w:before="60"/>
        <w:rPr>
          <w:rFonts w:cs="Arial"/>
          <w:szCs w:val="20"/>
        </w:rPr>
      </w:pPr>
      <w:r w:rsidRPr="009F1193">
        <w:rPr>
          <w:rFonts w:cs="Arial"/>
          <w:szCs w:val="20"/>
        </w:rPr>
        <w:t xml:space="preserve">Added </w:t>
      </w:r>
      <w:r>
        <w:rPr>
          <w:rFonts w:cs="Arial"/>
          <w:szCs w:val="20"/>
        </w:rPr>
        <w:t>l</w:t>
      </w:r>
      <w:r w:rsidRPr="009F1193">
        <w:rPr>
          <w:rFonts w:cs="Arial"/>
          <w:szCs w:val="20"/>
        </w:rPr>
        <w:t>evomilnacipran</w:t>
      </w:r>
      <w:r>
        <w:rPr>
          <w:rFonts w:cs="Arial"/>
          <w:szCs w:val="20"/>
        </w:rPr>
        <w:t xml:space="preserve"> </w:t>
      </w:r>
      <w:r w:rsidRPr="009F1193">
        <w:rPr>
          <w:rFonts w:cs="Arial"/>
          <w:szCs w:val="20"/>
        </w:rPr>
        <w:t>to the description of “</w:t>
      </w:r>
      <w:r>
        <w:t xml:space="preserve">SNRI </w:t>
      </w:r>
      <w:r w:rsidRPr="00463667">
        <w:t>antidepressants</w:t>
      </w:r>
      <w:r w:rsidRPr="009F1193">
        <w:rPr>
          <w:rFonts w:cs="Arial"/>
          <w:szCs w:val="20"/>
        </w:rPr>
        <w:t>” in Table</w:t>
      </w:r>
      <w:r w:rsidRPr="009F1193">
        <w:rPr>
          <w:i/>
          <w:iCs/>
        </w:rPr>
        <w:t xml:space="preserve"> </w:t>
      </w:r>
      <w:r>
        <w:rPr>
          <w:rFonts w:cs="Arial"/>
          <w:szCs w:val="20"/>
        </w:rPr>
        <w:t>AMM-C</w:t>
      </w:r>
      <w:r w:rsidRPr="009F1193">
        <w:rPr>
          <w:rFonts w:cs="Arial"/>
          <w:szCs w:val="20"/>
        </w:rPr>
        <w:t>.</w:t>
      </w:r>
    </w:p>
    <w:p w14:paraId="05FC54B1" w14:textId="4249D713" w:rsidR="00EB00B0" w:rsidRPr="00463667" w:rsidRDefault="00EB00B0" w:rsidP="0013524C">
      <w:pPr>
        <w:pStyle w:val="ProcessBullet"/>
        <w:spacing w:before="60"/>
        <w:rPr>
          <w:i/>
          <w:iCs/>
        </w:rPr>
      </w:pPr>
      <w:r>
        <w:t xml:space="preserve">Added </w:t>
      </w:r>
      <w:r w:rsidR="009F0DF0">
        <w:t>“</w:t>
      </w:r>
      <w:r>
        <w:t>Numerator events by supplemental data</w:t>
      </w:r>
      <w:r w:rsidR="009F0DF0">
        <w:t>”</w:t>
      </w:r>
      <w:r>
        <w:t xml:space="preserve"> to the Data Elements for Reporting table to capture the number of members who met numerator criteria using supplemental data. </w:t>
      </w:r>
    </w:p>
    <w:p w14:paraId="3C49B6A9" w14:textId="77777777" w:rsidR="00B852BD" w:rsidRPr="00463667" w:rsidRDefault="00B852BD" w:rsidP="00B852BD">
      <w:pPr>
        <w:pStyle w:val="ReverseHead"/>
      </w:pPr>
      <w:r w:rsidRPr="00463667">
        <w:t>Description</w:t>
      </w:r>
    </w:p>
    <w:p w14:paraId="72F1393F" w14:textId="77777777" w:rsidR="00B852BD" w:rsidRPr="00463667" w:rsidRDefault="00B852BD" w:rsidP="00B852BD">
      <w:pPr>
        <w:pStyle w:val="Body"/>
      </w:pPr>
      <w:r w:rsidRPr="00463667">
        <w:t>The percentage of members 18 years of age and older who were treated with antidepressant medication, had a diagnosis of major depression and who remained on an antidepressant medication treatment. Two rates are reported.</w:t>
      </w:r>
    </w:p>
    <w:p w14:paraId="2B2E2D82" w14:textId="77777777" w:rsidR="00B852BD" w:rsidRPr="00463667" w:rsidRDefault="00B852BD" w:rsidP="00BE13D8">
      <w:pPr>
        <w:pStyle w:val="Bullet"/>
        <w:numPr>
          <w:ilvl w:val="0"/>
          <w:numId w:val="32"/>
        </w:numPr>
        <w:tabs>
          <w:tab w:val="clear" w:pos="576"/>
        </w:tabs>
        <w:ind w:left="648" w:hanging="288"/>
      </w:pPr>
      <w:r w:rsidRPr="00463667">
        <w:rPr>
          <w:i/>
        </w:rPr>
        <w:t xml:space="preserve">Effective Acute Phase Treatment. </w:t>
      </w:r>
      <w:r w:rsidRPr="00463667">
        <w:t xml:space="preserve">The percentage of members who remained on an antidepressant medication for at least 84 days (12 weeks). </w:t>
      </w:r>
    </w:p>
    <w:p w14:paraId="2594A560" w14:textId="77777777" w:rsidR="00B852BD" w:rsidRPr="006740AA" w:rsidRDefault="00B852BD" w:rsidP="00BE13D8">
      <w:pPr>
        <w:pStyle w:val="Bullet"/>
        <w:numPr>
          <w:ilvl w:val="0"/>
          <w:numId w:val="32"/>
        </w:numPr>
        <w:tabs>
          <w:tab w:val="clear" w:pos="576"/>
        </w:tabs>
        <w:ind w:left="648" w:hanging="288"/>
      </w:pPr>
      <w:r w:rsidRPr="00463667">
        <w:rPr>
          <w:i/>
        </w:rPr>
        <w:t xml:space="preserve">Effective Continuation Phase Treatment. </w:t>
      </w:r>
      <w:r w:rsidRPr="00463667">
        <w:t>The percentage of members who remained on an antidepressant medication for at least 180 days (6 months).</w:t>
      </w:r>
    </w:p>
    <w:p w14:paraId="529922D9" w14:textId="77777777" w:rsidR="00B852BD" w:rsidRPr="00463667" w:rsidRDefault="00B852BD" w:rsidP="00B852BD">
      <w:pPr>
        <w:pStyle w:val="ReverseHead"/>
      </w:pPr>
      <w:r w:rsidRPr="00463667">
        <w:t>Definitions</w:t>
      </w:r>
    </w:p>
    <w:tbl>
      <w:tblPr>
        <w:tblW w:w="0" w:type="auto"/>
        <w:tblInd w:w="-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1800"/>
        <w:gridCol w:w="8125"/>
      </w:tblGrid>
      <w:tr w:rsidR="00B852BD" w:rsidRPr="00463667" w14:paraId="027DAAC7" w14:textId="77777777" w:rsidTr="00F578E0">
        <w:tc>
          <w:tcPr>
            <w:tcW w:w="1800" w:type="dxa"/>
            <w:tcBorders>
              <w:top w:val="nil"/>
              <w:left w:val="nil"/>
              <w:bottom w:val="nil"/>
              <w:right w:val="nil"/>
            </w:tcBorders>
            <w:tcMar>
              <w:left w:w="115" w:type="dxa"/>
              <w:right w:w="115" w:type="dxa"/>
            </w:tcMar>
          </w:tcPr>
          <w:p w14:paraId="57DAC9E7" w14:textId="77777777" w:rsidR="00B852BD" w:rsidRPr="00463667" w:rsidRDefault="00B852BD" w:rsidP="00F578E0">
            <w:pPr>
              <w:pStyle w:val="MarginSubhead"/>
            </w:pPr>
            <w:r w:rsidRPr="00463667">
              <w:t>Intake Period</w:t>
            </w:r>
          </w:p>
        </w:tc>
        <w:tc>
          <w:tcPr>
            <w:tcW w:w="8125" w:type="dxa"/>
            <w:tcBorders>
              <w:top w:val="nil"/>
              <w:left w:val="nil"/>
              <w:bottom w:val="nil"/>
              <w:right w:val="nil"/>
            </w:tcBorders>
            <w:tcMar>
              <w:left w:w="115" w:type="dxa"/>
              <w:right w:w="115" w:type="dxa"/>
            </w:tcMar>
          </w:tcPr>
          <w:p w14:paraId="7F809268" w14:textId="77777777" w:rsidR="00B852BD" w:rsidRPr="00463667" w:rsidRDefault="00B852BD" w:rsidP="00F578E0">
            <w:pPr>
              <w:pStyle w:val="Body"/>
            </w:pPr>
            <w:r w:rsidRPr="00463667">
              <w:t xml:space="preserve">The 12-month window starting on May 1 of the year prior to the measurement year and ending on April 30 of the measurement year. </w:t>
            </w:r>
          </w:p>
        </w:tc>
      </w:tr>
      <w:tr w:rsidR="00B852BD" w:rsidRPr="00463667" w14:paraId="7D85D99C" w14:textId="77777777" w:rsidTr="00F578E0">
        <w:tc>
          <w:tcPr>
            <w:tcW w:w="1800" w:type="dxa"/>
            <w:tcBorders>
              <w:top w:val="nil"/>
              <w:left w:val="nil"/>
              <w:bottom w:val="nil"/>
              <w:right w:val="nil"/>
            </w:tcBorders>
            <w:tcMar>
              <w:left w:w="115" w:type="dxa"/>
              <w:right w:w="115" w:type="dxa"/>
            </w:tcMar>
          </w:tcPr>
          <w:p w14:paraId="2A0D45AC" w14:textId="77777777" w:rsidR="00B852BD" w:rsidRPr="00463667" w:rsidRDefault="00B852BD" w:rsidP="00F578E0">
            <w:pPr>
              <w:pStyle w:val="MarginSubhead"/>
            </w:pPr>
            <w:r w:rsidRPr="00463667">
              <w:t>IPSD</w:t>
            </w:r>
          </w:p>
        </w:tc>
        <w:tc>
          <w:tcPr>
            <w:tcW w:w="8125" w:type="dxa"/>
            <w:tcBorders>
              <w:top w:val="nil"/>
              <w:left w:val="nil"/>
              <w:bottom w:val="nil"/>
              <w:right w:val="nil"/>
            </w:tcBorders>
            <w:tcMar>
              <w:left w:w="115" w:type="dxa"/>
              <w:right w:w="115" w:type="dxa"/>
            </w:tcMar>
          </w:tcPr>
          <w:p w14:paraId="5A36A5DC" w14:textId="77777777" w:rsidR="00B852BD" w:rsidRPr="00463667" w:rsidRDefault="00B852BD" w:rsidP="00F578E0">
            <w:pPr>
              <w:pStyle w:val="Body"/>
            </w:pPr>
            <w:r w:rsidRPr="00463667">
              <w:t>Index Prescription Start Date. The earliest prescription dispensing date for an antidepressant medication during the Intake Period.</w:t>
            </w:r>
          </w:p>
        </w:tc>
      </w:tr>
      <w:tr w:rsidR="00B852BD" w:rsidRPr="00463667" w14:paraId="6299CF1F" w14:textId="77777777" w:rsidTr="00F578E0">
        <w:tc>
          <w:tcPr>
            <w:tcW w:w="1800" w:type="dxa"/>
            <w:tcBorders>
              <w:top w:val="nil"/>
              <w:left w:val="nil"/>
              <w:bottom w:val="nil"/>
              <w:right w:val="nil"/>
            </w:tcBorders>
            <w:tcMar>
              <w:left w:w="115" w:type="dxa"/>
              <w:right w:w="115" w:type="dxa"/>
            </w:tcMar>
          </w:tcPr>
          <w:p w14:paraId="12FA3D12" w14:textId="77777777" w:rsidR="00B852BD" w:rsidRPr="00463667" w:rsidRDefault="00B852BD" w:rsidP="00F578E0">
            <w:pPr>
              <w:pStyle w:val="MarginSubhead"/>
            </w:pPr>
            <w:r w:rsidRPr="00463667">
              <w:t>Negative Medication History</w:t>
            </w:r>
          </w:p>
        </w:tc>
        <w:tc>
          <w:tcPr>
            <w:tcW w:w="8125" w:type="dxa"/>
            <w:tcBorders>
              <w:top w:val="nil"/>
              <w:left w:val="nil"/>
              <w:bottom w:val="nil"/>
              <w:right w:val="nil"/>
            </w:tcBorders>
            <w:tcMar>
              <w:left w:w="115" w:type="dxa"/>
              <w:right w:w="115" w:type="dxa"/>
            </w:tcMar>
          </w:tcPr>
          <w:p w14:paraId="250597B5" w14:textId="77777777" w:rsidR="00B852BD" w:rsidRPr="00463667" w:rsidRDefault="00B852BD" w:rsidP="00F578E0">
            <w:pPr>
              <w:pStyle w:val="Body"/>
            </w:pPr>
            <w:r w:rsidRPr="00463667">
              <w:t>A period of 105 days prior to the IPSD when the member had no pharmacy claims for either new or refill prescriptions for an antidepressant medication.</w:t>
            </w:r>
          </w:p>
        </w:tc>
      </w:tr>
      <w:tr w:rsidR="00B852BD" w:rsidRPr="00463667" w14:paraId="59CA43C4" w14:textId="77777777" w:rsidTr="00F578E0">
        <w:tc>
          <w:tcPr>
            <w:tcW w:w="1800" w:type="dxa"/>
            <w:tcBorders>
              <w:top w:val="nil"/>
              <w:left w:val="nil"/>
              <w:bottom w:val="nil"/>
              <w:right w:val="nil"/>
            </w:tcBorders>
            <w:tcMar>
              <w:left w:w="115" w:type="dxa"/>
              <w:right w:w="115" w:type="dxa"/>
            </w:tcMar>
          </w:tcPr>
          <w:p w14:paraId="41ABC655" w14:textId="77777777" w:rsidR="00B852BD" w:rsidRPr="00463667" w:rsidRDefault="00B852BD" w:rsidP="00F578E0">
            <w:pPr>
              <w:pStyle w:val="MarginSubhead"/>
            </w:pPr>
            <w:r w:rsidRPr="00463667">
              <w:t>Treatment days</w:t>
            </w:r>
          </w:p>
        </w:tc>
        <w:tc>
          <w:tcPr>
            <w:tcW w:w="8125" w:type="dxa"/>
            <w:tcBorders>
              <w:top w:val="nil"/>
              <w:left w:val="nil"/>
              <w:bottom w:val="nil"/>
              <w:right w:val="nil"/>
            </w:tcBorders>
            <w:tcMar>
              <w:left w:w="115" w:type="dxa"/>
              <w:right w:w="115" w:type="dxa"/>
            </w:tcMar>
          </w:tcPr>
          <w:p w14:paraId="75E47E32" w14:textId="77777777" w:rsidR="00B852BD" w:rsidRPr="00463667" w:rsidRDefault="00B852BD" w:rsidP="00F578E0">
            <w:pPr>
              <w:pStyle w:val="Body"/>
            </w:pPr>
            <w:r w:rsidRPr="00463667">
              <w:t>The actual number of calendar days covered with prescriptions within the specified 180-day (6-month) measurement interval. For Effective Continuation Phase Treatment, a prescription of 90 days (3 months) supply dispensed on the 151st day will have 80 days counted in the 231-day interval.</w:t>
            </w:r>
          </w:p>
        </w:tc>
      </w:tr>
    </w:tbl>
    <w:p w14:paraId="3F969CEE" w14:textId="77777777" w:rsidR="00B852BD" w:rsidRPr="00463667" w:rsidRDefault="00B852BD" w:rsidP="00B852BD">
      <w:pPr>
        <w:pStyle w:val="ReverseHead"/>
      </w:pPr>
      <w:r w:rsidRPr="00463667">
        <w:t>Eligible Population</w:t>
      </w:r>
    </w:p>
    <w:tbl>
      <w:tblPr>
        <w:tblW w:w="9900" w:type="dxa"/>
        <w:tblInd w:w="-72" w:type="dxa"/>
        <w:tblLayout w:type="fixed"/>
        <w:tblLook w:val="0000" w:firstRow="0" w:lastRow="0" w:firstColumn="0" w:lastColumn="0" w:noHBand="0" w:noVBand="0"/>
      </w:tblPr>
      <w:tblGrid>
        <w:gridCol w:w="1782"/>
        <w:gridCol w:w="8118"/>
      </w:tblGrid>
      <w:tr w:rsidR="00B852BD" w:rsidRPr="00463667" w14:paraId="28FD86B1" w14:textId="77777777" w:rsidTr="00F578E0">
        <w:tc>
          <w:tcPr>
            <w:tcW w:w="1782" w:type="dxa"/>
          </w:tcPr>
          <w:p w14:paraId="100F316D" w14:textId="77777777" w:rsidR="00B852BD" w:rsidRPr="00463667" w:rsidRDefault="00B852BD" w:rsidP="00F578E0">
            <w:pPr>
              <w:pStyle w:val="MarginSubhead"/>
            </w:pPr>
            <w:r w:rsidRPr="00463667">
              <w:t>Product lines</w:t>
            </w:r>
          </w:p>
        </w:tc>
        <w:tc>
          <w:tcPr>
            <w:tcW w:w="8118" w:type="dxa"/>
          </w:tcPr>
          <w:p w14:paraId="31E7E9B5" w14:textId="77777777" w:rsidR="00B852BD" w:rsidRPr="00463667" w:rsidRDefault="00B852BD" w:rsidP="00F578E0">
            <w:pPr>
              <w:pStyle w:val="Body"/>
            </w:pPr>
            <w:r w:rsidRPr="00463667">
              <w:rPr>
                <w:iCs/>
              </w:rPr>
              <w:t>Commercial, Medicaid, Medicare</w:t>
            </w:r>
            <w:r w:rsidRPr="00463667">
              <w:t xml:space="preserve"> (report each product line separately).</w:t>
            </w:r>
          </w:p>
        </w:tc>
      </w:tr>
      <w:tr w:rsidR="00B852BD" w:rsidRPr="00463667" w14:paraId="023823E4" w14:textId="77777777" w:rsidTr="00F578E0">
        <w:tc>
          <w:tcPr>
            <w:tcW w:w="1782" w:type="dxa"/>
          </w:tcPr>
          <w:p w14:paraId="21250826" w14:textId="77777777" w:rsidR="00B852BD" w:rsidRPr="00463667" w:rsidRDefault="00B852BD" w:rsidP="00F578E0">
            <w:pPr>
              <w:pStyle w:val="MarginSubhead"/>
            </w:pPr>
            <w:r w:rsidRPr="00463667">
              <w:t>Ages</w:t>
            </w:r>
          </w:p>
        </w:tc>
        <w:tc>
          <w:tcPr>
            <w:tcW w:w="8118" w:type="dxa"/>
          </w:tcPr>
          <w:p w14:paraId="24B65719" w14:textId="77777777" w:rsidR="00B852BD" w:rsidRPr="00463667" w:rsidRDefault="00B852BD" w:rsidP="00F578E0">
            <w:pPr>
              <w:pStyle w:val="Body"/>
            </w:pPr>
            <w:r w:rsidRPr="00463667">
              <w:t>18 years and older as of April 30 of the measurement year.</w:t>
            </w:r>
          </w:p>
        </w:tc>
      </w:tr>
      <w:tr w:rsidR="00B852BD" w:rsidRPr="00463667" w14:paraId="638FAAD2" w14:textId="77777777" w:rsidTr="00F578E0">
        <w:tc>
          <w:tcPr>
            <w:tcW w:w="1782" w:type="dxa"/>
          </w:tcPr>
          <w:p w14:paraId="3EC59215" w14:textId="77777777" w:rsidR="00B852BD" w:rsidRPr="00463667" w:rsidRDefault="00B852BD" w:rsidP="00F578E0">
            <w:pPr>
              <w:pStyle w:val="MarginSubhead"/>
            </w:pPr>
            <w:r w:rsidRPr="00463667">
              <w:t>Continuous enrollment</w:t>
            </w:r>
          </w:p>
        </w:tc>
        <w:tc>
          <w:tcPr>
            <w:tcW w:w="8118" w:type="dxa"/>
          </w:tcPr>
          <w:p w14:paraId="3C820892" w14:textId="77777777" w:rsidR="00B852BD" w:rsidRPr="00463667" w:rsidRDefault="00B852BD" w:rsidP="00F578E0">
            <w:pPr>
              <w:pStyle w:val="Body"/>
            </w:pPr>
            <w:r w:rsidRPr="00463667">
              <w:t xml:space="preserve">105 days prior to the IPSD through 231 days after the IPSD. </w:t>
            </w:r>
          </w:p>
        </w:tc>
      </w:tr>
      <w:tr w:rsidR="00B852BD" w:rsidRPr="00463667" w14:paraId="2847677D" w14:textId="77777777" w:rsidTr="00F578E0">
        <w:tc>
          <w:tcPr>
            <w:tcW w:w="1782" w:type="dxa"/>
          </w:tcPr>
          <w:p w14:paraId="199915B4" w14:textId="77777777" w:rsidR="00B852BD" w:rsidRPr="00463667" w:rsidRDefault="00B852BD" w:rsidP="00F578E0">
            <w:pPr>
              <w:pStyle w:val="MarginSubhead"/>
            </w:pPr>
            <w:r w:rsidRPr="00463667">
              <w:t>Allowable gap</w:t>
            </w:r>
          </w:p>
        </w:tc>
        <w:tc>
          <w:tcPr>
            <w:tcW w:w="8118" w:type="dxa"/>
          </w:tcPr>
          <w:p w14:paraId="20E264F2" w14:textId="0889ED1C" w:rsidR="00B852BD" w:rsidRPr="00463667" w:rsidRDefault="00B852BD" w:rsidP="00F578E0">
            <w:pPr>
              <w:pStyle w:val="Body"/>
            </w:pPr>
            <w:r w:rsidRPr="00463667">
              <w:t xml:space="preserve">One gap in enrollment of up to 45 days. To determine continuous enrollment for a Medicaid beneficiary for whom enrollment is verified monthly, the member may not </w:t>
            </w:r>
            <w:r w:rsidR="00413A7D">
              <w:br/>
            </w:r>
            <w:r w:rsidRPr="00463667">
              <w:t>have more than a 1-month gap in coverage (i.e., a member whose coverage lapses for 2 months [60 days] is not considered continuously enrolled).</w:t>
            </w:r>
          </w:p>
        </w:tc>
      </w:tr>
    </w:tbl>
    <w:p w14:paraId="5659FC80" w14:textId="77777777" w:rsidR="00B852BD" w:rsidRPr="00463667" w:rsidRDefault="00B852BD" w:rsidP="00B852BD">
      <w:pPr>
        <w:sectPr w:rsidR="00B852BD" w:rsidRPr="00463667" w:rsidSect="007527F3">
          <w:headerReference w:type="even" r:id="rId48"/>
          <w:headerReference w:type="default" r:id="rId49"/>
          <w:pgSz w:w="12240" w:h="15840" w:code="1"/>
          <w:pgMar w:top="1080" w:right="1080" w:bottom="1080" w:left="1440" w:header="720" w:footer="720" w:gutter="0"/>
          <w:cols w:space="720"/>
        </w:sectPr>
      </w:pPr>
    </w:p>
    <w:tbl>
      <w:tblPr>
        <w:tblW w:w="9900" w:type="dxa"/>
        <w:tblInd w:w="-72" w:type="dxa"/>
        <w:tblLayout w:type="fixed"/>
        <w:tblLook w:val="0000" w:firstRow="0" w:lastRow="0" w:firstColumn="0" w:lastColumn="0" w:noHBand="0" w:noVBand="0"/>
      </w:tblPr>
      <w:tblGrid>
        <w:gridCol w:w="2142"/>
        <w:gridCol w:w="7758"/>
      </w:tblGrid>
      <w:tr w:rsidR="00B852BD" w:rsidRPr="00463667" w14:paraId="65F992B6" w14:textId="77777777" w:rsidTr="00B852BD">
        <w:tc>
          <w:tcPr>
            <w:tcW w:w="2142" w:type="dxa"/>
          </w:tcPr>
          <w:p w14:paraId="5538AF63" w14:textId="77777777" w:rsidR="00B852BD" w:rsidRPr="00463667" w:rsidRDefault="00B852BD" w:rsidP="00B852BD">
            <w:pPr>
              <w:rPr>
                <w:b/>
              </w:rPr>
            </w:pPr>
            <w:r w:rsidRPr="00463667">
              <w:rPr>
                <w:b/>
              </w:rPr>
              <w:lastRenderedPageBreak/>
              <w:t>Anchor date</w:t>
            </w:r>
          </w:p>
        </w:tc>
        <w:tc>
          <w:tcPr>
            <w:tcW w:w="7758" w:type="dxa"/>
          </w:tcPr>
          <w:p w14:paraId="7AAD5096" w14:textId="77777777" w:rsidR="00B852BD" w:rsidRPr="00463667" w:rsidRDefault="00B852BD" w:rsidP="00B852BD">
            <w:r w:rsidRPr="00463667">
              <w:t>IPSD.</w:t>
            </w:r>
          </w:p>
        </w:tc>
      </w:tr>
      <w:tr w:rsidR="00B852BD" w:rsidRPr="00463667" w14:paraId="2E905A8E" w14:textId="77777777" w:rsidTr="00B852BD">
        <w:tc>
          <w:tcPr>
            <w:tcW w:w="2142" w:type="dxa"/>
          </w:tcPr>
          <w:p w14:paraId="327E32A6" w14:textId="77777777" w:rsidR="00B852BD" w:rsidRPr="00463667" w:rsidRDefault="00B852BD" w:rsidP="00B852BD">
            <w:pPr>
              <w:spacing w:before="180"/>
              <w:rPr>
                <w:b/>
              </w:rPr>
            </w:pPr>
            <w:r w:rsidRPr="00463667">
              <w:rPr>
                <w:b/>
              </w:rPr>
              <w:t>Benefits</w:t>
            </w:r>
          </w:p>
        </w:tc>
        <w:tc>
          <w:tcPr>
            <w:tcW w:w="7758" w:type="dxa"/>
          </w:tcPr>
          <w:p w14:paraId="2E69DEAD" w14:textId="77777777" w:rsidR="00B852BD" w:rsidRPr="00463667" w:rsidRDefault="00B852BD" w:rsidP="00B852BD">
            <w:pPr>
              <w:spacing w:before="180"/>
            </w:pPr>
            <w:r w:rsidRPr="00463667">
              <w:t xml:space="preserve">Medical and pharmacy. </w:t>
            </w:r>
          </w:p>
        </w:tc>
      </w:tr>
      <w:tr w:rsidR="00B852BD" w:rsidRPr="00463667" w14:paraId="4AD50A0B" w14:textId="77777777" w:rsidTr="00F578E0">
        <w:tc>
          <w:tcPr>
            <w:tcW w:w="2142" w:type="dxa"/>
          </w:tcPr>
          <w:p w14:paraId="72EECCE7" w14:textId="77777777" w:rsidR="00B852BD" w:rsidRPr="00463667" w:rsidRDefault="00B852BD" w:rsidP="00B852BD">
            <w:pPr>
              <w:pStyle w:val="MarginSubhead"/>
            </w:pPr>
            <w:r w:rsidRPr="00463667">
              <w:t>Event/diagnosis</w:t>
            </w:r>
          </w:p>
        </w:tc>
        <w:tc>
          <w:tcPr>
            <w:tcW w:w="7758" w:type="dxa"/>
          </w:tcPr>
          <w:p w14:paraId="4E37B985" w14:textId="77777777" w:rsidR="00B852BD" w:rsidRPr="00463667" w:rsidRDefault="00B852BD" w:rsidP="00B852BD">
            <w:pPr>
              <w:pStyle w:val="Body"/>
            </w:pPr>
            <w:r w:rsidRPr="00463667">
              <w:t>Follow the steps below to identify the eligible population, which is used for both rates.</w:t>
            </w:r>
          </w:p>
        </w:tc>
      </w:tr>
      <w:tr w:rsidR="00B852BD" w:rsidRPr="00463667" w14:paraId="715B5041" w14:textId="77777777" w:rsidTr="00F578E0">
        <w:tc>
          <w:tcPr>
            <w:tcW w:w="2142" w:type="dxa"/>
          </w:tcPr>
          <w:p w14:paraId="69EF22F5" w14:textId="77777777" w:rsidR="00B852BD" w:rsidRPr="00463667" w:rsidRDefault="00B852BD" w:rsidP="00B852BD">
            <w:pPr>
              <w:pStyle w:val="MarginSubhead"/>
              <w:spacing w:before="120"/>
              <w:jc w:val="right"/>
              <w:rPr>
                <w:i/>
              </w:rPr>
            </w:pPr>
            <w:r w:rsidRPr="00463667">
              <w:rPr>
                <w:i/>
              </w:rPr>
              <w:t>Step 1</w:t>
            </w:r>
          </w:p>
        </w:tc>
        <w:tc>
          <w:tcPr>
            <w:tcW w:w="7758" w:type="dxa"/>
          </w:tcPr>
          <w:p w14:paraId="161CFE7A" w14:textId="77777777" w:rsidR="00B852BD" w:rsidRPr="00463667" w:rsidRDefault="00B852BD" w:rsidP="00B852BD">
            <w:pPr>
              <w:pStyle w:val="Body"/>
              <w:spacing w:before="120"/>
            </w:pPr>
            <w:r w:rsidRPr="00463667">
              <w:t>Determine the IPSD. Identify the date of the earliest dispensing event for an antidepressant medication (Table AMM-C) during the Intake Period.</w:t>
            </w:r>
          </w:p>
        </w:tc>
      </w:tr>
      <w:tr w:rsidR="00B852BD" w:rsidRPr="00463667" w14:paraId="7C5403C2" w14:textId="77777777" w:rsidTr="00F578E0">
        <w:tc>
          <w:tcPr>
            <w:tcW w:w="2142" w:type="dxa"/>
          </w:tcPr>
          <w:p w14:paraId="5722C7D2" w14:textId="77777777" w:rsidR="00B852BD" w:rsidRPr="00463667" w:rsidRDefault="00B852BD" w:rsidP="00F578E0">
            <w:pPr>
              <w:pStyle w:val="MarginSubhead"/>
              <w:jc w:val="right"/>
              <w:rPr>
                <w:i/>
              </w:rPr>
            </w:pPr>
            <w:r w:rsidRPr="00463667">
              <w:rPr>
                <w:i/>
              </w:rPr>
              <w:t>Step 2: Required exclusion</w:t>
            </w:r>
          </w:p>
        </w:tc>
        <w:tc>
          <w:tcPr>
            <w:tcW w:w="7758" w:type="dxa"/>
          </w:tcPr>
          <w:p w14:paraId="6C58A704" w14:textId="4CD01061" w:rsidR="00B852BD" w:rsidRPr="00463667" w:rsidRDefault="00B852BD" w:rsidP="00F578E0">
            <w:pPr>
              <w:pStyle w:val="Body"/>
            </w:pPr>
            <w:r w:rsidRPr="00463667">
              <w:t>Exclude members who did not have a diagnosis of major depression in an inpatient, outpatient, ED, intensive outpatient or partial hospitalization setting during the 121-day period from 60 days prior to the IPSD, through the IPSD and the 60 days after the IPSD. Members who meet any of the following criteria remain in the eligible population:</w:t>
            </w:r>
          </w:p>
          <w:p w14:paraId="200C3B97" w14:textId="77777777" w:rsidR="00B852BD" w:rsidRPr="00463667" w:rsidRDefault="00B852BD" w:rsidP="00B852BD">
            <w:pPr>
              <w:pStyle w:val="Bullet"/>
            </w:pPr>
            <w:r w:rsidRPr="00463667">
              <w:t>An outpatient visit, intensive outpatient encounter or partial hospitalization with any diagnosis of major depression. Either of the following code combinations meets criteria:</w:t>
            </w:r>
          </w:p>
          <w:p w14:paraId="1056E281" w14:textId="77777777" w:rsidR="00B852BD" w:rsidRPr="00463667" w:rsidRDefault="00B852BD" w:rsidP="00F578E0">
            <w:pPr>
              <w:pStyle w:val="Dash"/>
            </w:pPr>
            <w:r w:rsidRPr="00463667">
              <w:rPr>
                <w:u w:val="single"/>
              </w:rPr>
              <w:t>AMM Stand Alone Visits Value Set</w:t>
            </w:r>
            <w:r w:rsidRPr="00463667">
              <w:t xml:space="preserve"> </w:t>
            </w:r>
            <w:r w:rsidRPr="00463667">
              <w:rPr>
                <w:b/>
                <w:i/>
              </w:rPr>
              <w:t>with</w:t>
            </w:r>
            <w:r w:rsidRPr="00463667">
              <w:t xml:space="preserve"> </w:t>
            </w:r>
            <w:r w:rsidRPr="00463667">
              <w:rPr>
                <w:u w:val="single"/>
              </w:rPr>
              <w:t>Major Depression Value Set</w:t>
            </w:r>
            <w:r w:rsidRPr="00463667">
              <w:t>.</w:t>
            </w:r>
          </w:p>
          <w:p w14:paraId="703C2FC0" w14:textId="77777777" w:rsidR="00B852BD" w:rsidRPr="00463667" w:rsidRDefault="00B852BD" w:rsidP="00F578E0">
            <w:pPr>
              <w:pStyle w:val="Dash"/>
            </w:pPr>
            <w:r w:rsidRPr="00463667">
              <w:rPr>
                <w:u w:val="single"/>
              </w:rPr>
              <w:t>AMM Visits Value Set</w:t>
            </w:r>
            <w:r w:rsidRPr="00463667">
              <w:t xml:space="preserve"> </w:t>
            </w:r>
            <w:r w:rsidRPr="00463667">
              <w:rPr>
                <w:b/>
                <w:i/>
              </w:rPr>
              <w:t>with</w:t>
            </w:r>
            <w:r w:rsidRPr="00463667">
              <w:t xml:space="preserve"> </w:t>
            </w:r>
            <w:r w:rsidRPr="00463667">
              <w:rPr>
                <w:u w:val="single"/>
              </w:rPr>
              <w:t>AMM POS Value Set</w:t>
            </w:r>
            <w:r w:rsidRPr="00463667">
              <w:t xml:space="preserve"> </w:t>
            </w:r>
            <w:r w:rsidRPr="00463667">
              <w:rPr>
                <w:b/>
                <w:i/>
              </w:rPr>
              <w:t>and</w:t>
            </w:r>
            <w:r w:rsidRPr="00463667">
              <w:t xml:space="preserve"> </w:t>
            </w:r>
            <w:r w:rsidRPr="00463667">
              <w:rPr>
                <w:u w:val="single"/>
              </w:rPr>
              <w:t>Major Depression Value Set</w:t>
            </w:r>
            <w:r w:rsidRPr="00463667">
              <w:t>.</w:t>
            </w:r>
          </w:p>
          <w:p w14:paraId="5000BE21" w14:textId="77777777" w:rsidR="00B852BD" w:rsidRPr="00463667" w:rsidRDefault="00B852BD" w:rsidP="00B852BD">
            <w:pPr>
              <w:pStyle w:val="Bullet"/>
            </w:pPr>
            <w:r w:rsidRPr="00463667">
              <w:t>An ED visit (</w:t>
            </w:r>
            <w:r w:rsidRPr="00463667">
              <w:rPr>
                <w:u w:val="single"/>
              </w:rPr>
              <w:t>ED Value Set</w:t>
            </w:r>
            <w:r w:rsidRPr="00463667">
              <w:t>) with any diagnosis of major depression (</w:t>
            </w:r>
            <w:r w:rsidRPr="00463667">
              <w:rPr>
                <w:u w:val="single"/>
              </w:rPr>
              <w:t>Major Depression Value Set</w:t>
            </w:r>
            <w:r w:rsidRPr="00463667">
              <w:t>).</w:t>
            </w:r>
          </w:p>
          <w:p w14:paraId="478AC8B0" w14:textId="70A4E4A3" w:rsidR="00B852BD" w:rsidRDefault="00B852BD" w:rsidP="00B852BD">
            <w:pPr>
              <w:pStyle w:val="Bullet"/>
            </w:pPr>
            <w:r w:rsidRPr="00463667">
              <w:t xml:space="preserve">An </w:t>
            </w:r>
            <w:r w:rsidR="00AC7373">
              <w:t xml:space="preserve">acute or nonacute </w:t>
            </w:r>
            <w:r w:rsidRPr="00463667">
              <w:t xml:space="preserve">inpatient </w:t>
            </w:r>
            <w:r w:rsidR="00AC7373">
              <w:t>discharge</w:t>
            </w:r>
            <w:r w:rsidR="00D37B3D">
              <w:rPr>
                <w:rStyle w:val="CommentReference"/>
              </w:rPr>
              <w:t xml:space="preserve"> </w:t>
            </w:r>
            <w:r w:rsidRPr="00463667">
              <w:t>with any diagnosis of major depression (</w:t>
            </w:r>
            <w:r w:rsidRPr="00463667">
              <w:rPr>
                <w:u w:val="single"/>
              </w:rPr>
              <w:t>Major Depression Value Set</w:t>
            </w:r>
            <w:r w:rsidRPr="00463667">
              <w:t>).</w:t>
            </w:r>
            <w:r w:rsidR="00AC7373">
              <w:t xml:space="preserve"> To identify acute and nonacute inpatient discharges:</w:t>
            </w:r>
          </w:p>
          <w:p w14:paraId="3241D377" w14:textId="77777777" w:rsidR="00AC7373" w:rsidRDefault="00AC7373" w:rsidP="00462BA8">
            <w:pPr>
              <w:pStyle w:val="Dash"/>
              <w:numPr>
                <w:ilvl w:val="0"/>
                <w:numId w:val="17"/>
              </w:numPr>
            </w:pPr>
            <w:r>
              <w:t>Identify all acute and nonacute inpatient stays (</w:t>
            </w:r>
            <w:r w:rsidRPr="00AC7373">
              <w:rPr>
                <w:u w:val="single"/>
              </w:rPr>
              <w:t>Inpatient Stay Value Set</w:t>
            </w:r>
            <w:r>
              <w:t>).</w:t>
            </w:r>
          </w:p>
          <w:p w14:paraId="225A59AB" w14:textId="77777777" w:rsidR="00AC7373" w:rsidRPr="00463667" w:rsidRDefault="00AC7373" w:rsidP="00462BA8">
            <w:pPr>
              <w:pStyle w:val="Dash"/>
              <w:numPr>
                <w:ilvl w:val="0"/>
                <w:numId w:val="17"/>
              </w:numPr>
            </w:pPr>
            <w:r>
              <w:t>Identify the discharge date for the stay.</w:t>
            </w:r>
          </w:p>
          <w:p w14:paraId="3EEF45C2" w14:textId="16A0044C" w:rsidR="00B852BD" w:rsidRPr="00463667" w:rsidRDefault="00B852BD" w:rsidP="00C360ED">
            <w:pPr>
              <w:pStyle w:val="Body"/>
            </w:pPr>
            <w:r w:rsidRPr="00463667">
              <w:rPr>
                <w:i/>
              </w:rPr>
              <w:t>For a direct transfer</w:t>
            </w:r>
            <w:r w:rsidRPr="00463667">
              <w:t xml:space="preserve">, use the discharge date from the </w:t>
            </w:r>
            <w:r w:rsidR="00C360ED">
              <w:t>last discharge</w:t>
            </w:r>
            <w:r w:rsidRPr="00463667">
              <w:t>.</w:t>
            </w:r>
          </w:p>
        </w:tc>
      </w:tr>
      <w:tr w:rsidR="00B852BD" w:rsidRPr="00463667" w14:paraId="131E67A0" w14:textId="77777777" w:rsidTr="00F578E0">
        <w:tc>
          <w:tcPr>
            <w:tcW w:w="2142" w:type="dxa"/>
          </w:tcPr>
          <w:p w14:paraId="3E2112FA" w14:textId="77777777" w:rsidR="00B852BD" w:rsidRPr="00463667" w:rsidRDefault="00B852BD" w:rsidP="00F578E0">
            <w:pPr>
              <w:pStyle w:val="MarginSubhead"/>
              <w:jc w:val="right"/>
              <w:rPr>
                <w:i/>
              </w:rPr>
            </w:pPr>
            <w:r w:rsidRPr="00463667">
              <w:rPr>
                <w:i/>
              </w:rPr>
              <w:t>Step</w:t>
            </w:r>
            <w:r w:rsidRPr="00463667">
              <w:rPr>
                <w:b w:val="0"/>
              </w:rPr>
              <w:t xml:space="preserve"> </w:t>
            </w:r>
            <w:r w:rsidRPr="00463667">
              <w:rPr>
                <w:i/>
              </w:rPr>
              <w:t>3</w:t>
            </w:r>
          </w:p>
        </w:tc>
        <w:tc>
          <w:tcPr>
            <w:tcW w:w="7758" w:type="dxa"/>
          </w:tcPr>
          <w:p w14:paraId="15E1D112" w14:textId="77777777" w:rsidR="00B852BD" w:rsidRPr="00463667" w:rsidRDefault="00B852BD" w:rsidP="00F578E0">
            <w:pPr>
              <w:pStyle w:val="Body"/>
            </w:pPr>
            <w:r w:rsidRPr="00463667">
              <w:t xml:space="preserve">Test for Negative Medication History. Exclude members who filled a prescription for an antidepressant medication 105 days prior to the IPSD. </w:t>
            </w:r>
          </w:p>
        </w:tc>
      </w:tr>
      <w:tr w:rsidR="00B852BD" w:rsidRPr="00463667" w14:paraId="0DE62271" w14:textId="77777777" w:rsidTr="00F578E0">
        <w:tc>
          <w:tcPr>
            <w:tcW w:w="2142" w:type="dxa"/>
          </w:tcPr>
          <w:p w14:paraId="107A0E90" w14:textId="77777777" w:rsidR="00B852BD" w:rsidRPr="00463667" w:rsidRDefault="00B852BD" w:rsidP="00F578E0">
            <w:pPr>
              <w:pStyle w:val="MarginSubhead"/>
              <w:jc w:val="right"/>
              <w:rPr>
                <w:i/>
              </w:rPr>
            </w:pPr>
            <w:r w:rsidRPr="00463667">
              <w:rPr>
                <w:i/>
              </w:rPr>
              <w:t>Step</w:t>
            </w:r>
            <w:r w:rsidRPr="00463667">
              <w:t xml:space="preserve"> 4</w:t>
            </w:r>
          </w:p>
        </w:tc>
        <w:tc>
          <w:tcPr>
            <w:tcW w:w="7758" w:type="dxa"/>
          </w:tcPr>
          <w:p w14:paraId="358D6EF3" w14:textId="77777777" w:rsidR="00B852BD" w:rsidRPr="00463667" w:rsidRDefault="00B852BD" w:rsidP="00F578E0">
            <w:pPr>
              <w:pStyle w:val="Body"/>
            </w:pPr>
            <w:r w:rsidRPr="00463667">
              <w:t xml:space="preserve">Calculate continuous enrollment. Members must be continuously enrolled for 105 days prior to the IPSD to 231 days after the IPSD. </w:t>
            </w:r>
          </w:p>
        </w:tc>
      </w:tr>
    </w:tbl>
    <w:p w14:paraId="50C40B70" w14:textId="77777777" w:rsidR="00B852BD" w:rsidRPr="00463667" w:rsidRDefault="00B852BD" w:rsidP="00B852BD">
      <w:pPr>
        <w:pStyle w:val="ReverseHead"/>
      </w:pPr>
      <w:r w:rsidRPr="00463667">
        <w:t>Administrative Specification</w:t>
      </w:r>
    </w:p>
    <w:tbl>
      <w:tblPr>
        <w:tblW w:w="9918" w:type="dxa"/>
        <w:tblInd w:w="-90" w:type="dxa"/>
        <w:tblLayout w:type="fixed"/>
        <w:tblLook w:val="0000" w:firstRow="0" w:lastRow="0" w:firstColumn="0" w:lastColumn="0" w:noHBand="0" w:noVBand="0"/>
      </w:tblPr>
      <w:tblGrid>
        <w:gridCol w:w="2178"/>
        <w:gridCol w:w="7740"/>
      </w:tblGrid>
      <w:tr w:rsidR="00B852BD" w:rsidRPr="00463667" w14:paraId="0EE1FA97" w14:textId="77777777" w:rsidTr="00F578E0">
        <w:tc>
          <w:tcPr>
            <w:tcW w:w="2178" w:type="dxa"/>
          </w:tcPr>
          <w:p w14:paraId="0BF79EFC" w14:textId="77777777" w:rsidR="00B852BD" w:rsidRPr="00463667" w:rsidRDefault="00B852BD" w:rsidP="00F578E0">
            <w:pPr>
              <w:pStyle w:val="MarginSubhead"/>
            </w:pPr>
            <w:r w:rsidRPr="00463667">
              <w:t>Denominator</w:t>
            </w:r>
          </w:p>
        </w:tc>
        <w:tc>
          <w:tcPr>
            <w:tcW w:w="7740" w:type="dxa"/>
          </w:tcPr>
          <w:p w14:paraId="359ACE1D" w14:textId="77777777" w:rsidR="00B852BD" w:rsidRPr="00463667" w:rsidRDefault="00B852BD" w:rsidP="00F578E0">
            <w:pPr>
              <w:pStyle w:val="Body"/>
            </w:pPr>
            <w:r w:rsidRPr="00463667">
              <w:t>The eligible population.</w:t>
            </w:r>
          </w:p>
        </w:tc>
      </w:tr>
      <w:tr w:rsidR="00B852BD" w:rsidRPr="00463667" w14:paraId="3F68C02B" w14:textId="77777777" w:rsidTr="00F578E0">
        <w:tc>
          <w:tcPr>
            <w:tcW w:w="2178" w:type="dxa"/>
          </w:tcPr>
          <w:p w14:paraId="0E573459" w14:textId="77777777" w:rsidR="00B852BD" w:rsidRPr="00463667" w:rsidRDefault="00B852BD" w:rsidP="00F578E0">
            <w:pPr>
              <w:pStyle w:val="MarginSubhead"/>
            </w:pPr>
            <w:r w:rsidRPr="00463667">
              <w:t>Numerators</w:t>
            </w:r>
          </w:p>
        </w:tc>
        <w:tc>
          <w:tcPr>
            <w:tcW w:w="7740" w:type="dxa"/>
          </w:tcPr>
          <w:p w14:paraId="427FE45E" w14:textId="77777777" w:rsidR="00B852BD" w:rsidRPr="00463667" w:rsidRDefault="00B852BD" w:rsidP="00F578E0">
            <w:pPr>
              <w:pStyle w:val="Body"/>
            </w:pPr>
          </w:p>
        </w:tc>
      </w:tr>
      <w:tr w:rsidR="00B852BD" w:rsidRPr="00463667" w14:paraId="6FCC336D" w14:textId="77777777" w:rsidTr="00F578E0">
        <w:tc>
          <w:tcPr>
            <w:tcW w:w="2178" w:type="dxa"/>
          </w:tcPr>
          <w:p w14:paraId="30A0F92E" w14:textId="77777777" w:rsidR="00B852BD" w:rsidRPr="00463667" w:rsidRDefault="00B852BD" w:rsidP="00F578E0">
            <w:pPr>
              <w:pStyle w:val="MarginSubhead"/>
              <w:spacing w:before="120"/>
              <w:jc w:val="right"/>
              <w:rPr>
                <w:i/>
              </w:rPr>
            </w:pPr>
            <w:r w:rsidRPr="00463667">
              <w:rPr>
                <w:i/>
              </w:rPr>
              <w:t>Effective Acute Phase Treatment</w:t>
            </w:r>
          </w:p>
        </w:tc>
        <w:tc>
          <w:tcPr>
            <w:tcW w:w="7740" w:type="dxa"/>
          </w:tcPr>
          <w:p w14:paraId="2A841F19" w14:textId="3A75D040" w:rsidR="00B852BD" w:rsidRPr="00463667" w:rsidRDefault="00B852BD" w:rsidP="00F578E0">
            <w:pPr>
              <w:pStyle w:val="Body"/>
              <w:spacing w:before="120"/>
            </w:pPr>
            <w:r w:rsidRPr="00463667">
              <w:t xml:space="preserve">At least 84 days (12 weeks) of continuous treatment with antidepressant medication (Table AMM-C) </w:t>
            </w:r>
            <w:r w:rsidR="005A0673">
              <w:t>beginning on the IPSD through</w:t>
            </w:r>
            <w:r w:rsidRPr="00463667">
              <w:t xml:space="preserve"> 114</w:t>
            </w:r>
            <w:r w:rsidR="00D37B3D">
              <w:t xml:space="preserve"> </w:t>
            </w:r>
            <w:r w:rsidRPr="00463667">
              <w:t>day</w:t>
            </w:r>
            <w:r w:rsidR="005A0673">
              <w:t>s</w:t>
            </w:r>
            <w:r w:rsidRPr="00463667">
              <w:t xml:space="preserve"> </w:t>
            </w:r>
            <w:r w:rsidR="005A0673">
              <w:t>after</w:t>
            </w:r>
            <w:r w:rsidRPr="00463667">
              <w:t xml:space="preserve"> the IPSD (</w:t>
            </w:r>
            <w:r w:rsidR="005A0673">
              <w:t xml:space="preserve">115 </w:t>
            </w:r>
            <w:r w:rsidR="00575A7E">
              <w:t xml:space="preserve">total </w:t>
            </w:r>
            <w:r w:rsidR="005A0673">
              <w:t>days</w:t>
            </w:r>
            <w:r w:rsidRPr="00463667">
              <w:t xml:space="preserve">). </w:t>
            </w:r>
            <w:r w:rsidR="00D37B3D">
              <w:t>C</w:t>
            </w:r>
            <w:r w:rsidRPr="00463667">
              <w:t xml:space="preserve">ontinuous treatment allows gaps in medication treatment up to a total of </w:t>
            </w:r>
            <w:r w:rsidR="00D37B3D">
              <w:br/>
            </w:r>
            <w:r w:rsidRPr="00463667">
              <w:t>30 days during the 11</w:t>
            </w:r>
            <w:r w:rsidR="006E328D">
              <w:t>5</w:t>
            </w:r>
            <w:r w:rsidRPr="00463667">
              <w:t>-day period. Gaps can include either washout period gaps to change medication or treatment gaps to refill the same medication.</w:t>
            </w:r>
          </w:p>
          <w:p w14:paraId="29A9BD34" w14:textId="77777777" w:rsidR="00B852BD" w:rsidRPr="00463667" w:rsidRDefault="00B852BD" w:rsidP="00F578E0">
            <w:pPr>
              <w:pStyle w:val="Body"/>
            </w:pPr>
            <w:r w:rsidRPr="00463667">
              <w:t xml:space="preserve">Regardless of the number of gaps, there may be no more than 30 gap days. Count any combination of gaps (e.g., two washout gaps of 15 days each, or two washout gaps of 10 days each and one treatment gap of 10 days). </w:t>
            </w:r>
          </w:p>
        </w:tc>
      </w:tr>
    </w:tbl>
    <w:p w14:paraId="07DDDE01" w14:textId="77777777" w:rsidR="00B852BD" w:rsidRPr="00463667" w:rsidRDefault="00B852BD" w:rsidP="00B852BD">
      <w:pPr>
        <w:pStyle w:val="Heading3"/>
        <w:sectPr w:rsidR="00B852BD" w:rsidRPr="00463667" w:rsidSect="007527F3">
          <w:headerReference w:type="default" r:id="rId50"/>
          <w:footerReference w:type="default" r:id="rId51"/>
          <w:pgSz w:w="12240" w:h="15840" w:code="1"/>
          <w:pgMar w:top="1080" w:right="1080" w:bottom="1080" w:left="1440" w:header="720" w:footer="720" w:gutter="0"/>
          <w:cols w:space="720"/>
        </w:sectPr>
      </w:pPr>
    </w:p>
    <w:p w14:paraId="659A7426" w14:textId="77777777" w:rsidR="00B852BD" w:rsidRPr="00463667" w:rsidRDefault="00B852BD" w:rsidP="00B852BD">
      <w:pPr>
        <w:pStyle w:val="TableHeadNotCondensed"/>
        <w:spacing w:before="0"/>
      </w:pPr>
      <w:r w:rsidRPr="00463667">
        <w:lastRenderedPageBreak/>
        <w:t>Table AMM-C: Antidepressant Medications</w:t>
      </w:r>
    </w:p>
    <w:tbl>
      <w:tblPr>
        <w:tblW w:w="7091" w:type="dxa"/>
        <w:tblInd w:w="19" w:type="dxa"/>
        <w:tblLook w:val="01E0" w:firstRow="1" w:lastRow="1" w:firstColumn="1" w:lastColumn="1" w:noHBand="0" w:noVBand="0"/>
      </w:tblPr>
      <w:tblGrid>
        <w:gridCol w:w="2056"/>
        <w:gridCol w:w="1644"/>
        <w:gridCol w:w="1763"/>
        <w:gridCol w:w="1628"/>
      </w:tblGrid>
      <w:tr w:rsidR="00B852BD" w:rsidRPr="00463667" w14:paraId="75C5D33D" w14:textId="77777777" w:rsidTr="00BE13D8">
        <w:tc>
          <w:tcPr>
            <w:tcW w:w="2056" w:type="dxa"/>
            <w:tcBorders>
              <w:top w:val="single" w:sz="6" w:space="0" w:color="auto"/>
              <w:left w:val="single" w:sz="6" w:space="0" w:color="auto"/>
              <w:bottom w:val="single" w:sz="6" w:space="0" w:color="auto"/>
              <w:right w:val="single" w:sz="6" w:space="0" w:color="FFFFFF"/>
            </w:tcBorders>
            <w:shd w:val="clear" w:color="auto" w:fill="000000"/>
          </w:tcPr>
          <w:p w14:paraId="7166C0F3" w14:textId="77777777" w:rsidR="00B852BD" w:rsidRPr="00463667" w:rsidRDefault="00B852BD" w:rsidP="00F578E0">
            <w:pPr>
              <w:pStyle w:val="TableHead"/>
              <w:rPr>
                <w:color w:val="auto"/>
              </w:rPr>
            </w:pPr>
            <w:r w:rsidRPr="00463667">
              <w:rPr>
                <w:color w:val="auto"/>
              </w:rPr>
              <w:t>Description</w:t>
            </w:r>
          </w:p>
        </w:tc>
        <w:tc>
          <w:tcPr>
            <w:tcW w:w="5035" w:type="dxa"/>
            <w:gridSpan w:val="3"/>
            <w:tcBorders>
              <w:top w:val="single" w:sz="6" w:space="0" w:color="auto"/>
              <w:left w:val="single" w:sz="6" w:space="0" w:color="FFFFFF"/>
              <w:bottom w:val="single" w:sz="4" w:space="0" w:color="auto"/>
              <w:right w:val="single" w:sz="6" w:space="0" w:color="auto"/>
            </w:tcBorders>
            <w:shd w:val="clear" w:color="auto" w:fill="000000"/>
          </w:tcPr>
          <w:p w14:paraId="0E0520BE" w14:textId="77777777" w:rsidR="00B852BD" w:rsidRPr="00463667" w:rsidRDefault="00B852BD" w:rsidP="00F578E0">
            <w:pPr>
              <w:pStyle w:val="TableHead"/>
              <w:rPr>
                <w:color w:val="auto"/>
              </w:rPr>
            </w:pPr>
            <w:r w:rsidRPr="00463667">
              <w:rPr>
                <w:color w:val="auto"/>
              </w:rPr>
              <w:t>Prescription</w:t>
            </w:r>
          </w:p>
        </w:tc>
      </w:tr>
      <w:tr w:rsidR="00EA1D55" w:rsidRPr="00463667" w14:paraId="1A9BCD16" w14:textId="77777777" w:rsidTr="00EB11D9">
        <w:tc>
          <w:tcPr>
            <w:tcW w:w="2056" w:type="dxa"/>
            <w:tcBorders>
              <w:top w:val="single" w:sz="6" w:space="0" w:color="auto"/>
              <w:left w:val="single" w:sz="6" w:space="0" w:color="auto"/>
              <w:bottom w:val="single" w:sz="6" w:space="0" w:color="auto"/>
              <w:right w:val="single" w:sz="6" w:space="0" w:color="auto"/>
            </w:tcBorders>
            <w:shd w:val="clear" w:color="auto" w:fill="auto"/>
          </w:tcPr>
          <w:p w14:paraId="4145D088" w14:textId="77777777" w:rsidR="00EA1D55" w:rsidRPr="00463667" w:rsidRDefault="00EA1D55" w:rsidP="00F578E0">
            <w:pPr>
              <w:pStyle w:val="TableText"/>
            </w:pPr>
            <w:r w:rsidRPr="00463667">
              <w:t>Miscellaneous antidepressants</w:t>
            </w:r>
          </w:p>
        </w:tc>
        <w:tc>
          <w:tcPr>
            <w:tcW w:w="1644" w:type="dxa"/>
            <w:tcBorders>
              <w:top w:val="single" w:sz="4" w:space="0" w:color="auto"/>
              <w:left w:val="single" w:sz="6" w:space="0" w:color="auto"/>
              <w:bottom w:val="single" w:sz="8" w:space="0" w:color="auto"/>
            </w:tcBorders>
          </w:tcPr>
          <w:p w14:paraId="2E5DD789" w14:textId="77777777" w:rsidR="00EA1D55" w:rsidRPr="00463667" w:rsidRDefault="00EA1D55" w:rsidP="00B852BD">
            <w:pPr>
              <w:pStyle w:val="TableBullet"/>
            </w:pPr>
            <w:r w:rsidRPr="00463667">
              <w:t>Bupropion</w:t>
            </w:r>
          </w:p>
        </w:tc>
        <w:tc>
          <w:tcPr>
            <w:tcW w:w="1763" w:type="dxa"/>
            <w:tcBorders>
              <w:top w:val="single" w:sz="4" w:space="0" w:color="auto"/>
              <w:bottom w:val="single" w:sz="8" w:space="0" w:color="auto"/>
            </w:tcBorders>
          </w:tcPr>
          <w:p w14:paraId="61226C59" w14:textId="77777777" w:rsidR="00EA1D55" w:rsidRPr="00C2000A" w:rsidRDefault="00EA1D55" w:rsidP="00B852BD">
            <w:pPr>
              <w:pStyle w:val="TableBullet"/>
            </w:pPr>
            <w:r w:rsidRPr="00C2000A">
              <w:t>Vilazodone</w:t>
            </w:r>
          </w:p>
        </w:tc>
        <w:tc>
          <w:tcPr>
            <w:tcW w:w="1628" w:type="dxa"/>
            <w:tcBorders>
              <w:right w:val="single" w:sz="4" w:space="0" w:color="auto"/>
            </w:tcBorders>
          </w:tcPr>
          <w:p w14:paraId="00A37A69" w14:textId="77777777" w:rsidR="00EA1D55" w:rsidRPr="00C2000A" w:rsidRDefault="00EA1D55" w:rsidP="00B852BD">
            <w:pPr>
              <w:pStyle w:val="TableBullet"/>
            </w:pPr>
            <w:r w:rsidRPr="00C2000A">
              <w:rPr>
                <w:rFonts w:cs="Calibri"/>
                <w:szCs w:val="20"/>
              </w:rPr>
              <w:t>Vortioxetine</w:t>
            </w:r>
          </w:p>
        </w:tc>
      </w:tr>
      <w:tr w:rsidR="00B852BD" w:rsidRPr="00463667" w14:paraId="6526F371" w14:textId="77777777" w:rsidTr="00BE13D8">
        <w:tc>
          <w:tcPr>
            <w:tcW w:w="2056" w:type="dxa"/>
            <w:tcBorders>
              <w:top w:val="single" w:sz="6" w:space="0" w:color="auto"/>
              <w:left w:val="single" w:sz="6" w:space="0" w:color="auto"/>
              <w:bottom w:val="single" w:sz="6" w:space="0" w:color="auto"/>
              <w:right w:val="single" w:sz="6" w:space="0" w:color="auto"/>
            </w:tcBorders>
            <w:shd w:val="clear" w:color="auto" w:fill="D9D9D9"/>
          </w:tcPr>
          <w:p w14:paraId="66178EA5" w14:textId="77777777" w:rsidR="00B852BD" w:rsidRPr="00463667" w:rsidRDefault="00B852BD" w:rsidP="00F578E0">
            <w:pPr>
              <w:pStyle w:val="TableText"/>
            </w:pPr>
            <w:r w:rsidRPr="00463667">
              <w:t>Monoamine oxidase inhibitors</w:t>
            </w:r>
          </w:p>
        </w:tc>
        <w:tc>
          <w:tcPr>
            <w:tcW w:w="1644" w:type="dxa"/>
            <w:tcBorders>
              <w:top w:val="single" w:sz="8" w:space="0" w:color="auto"/>
              <w:left w:val="single" w:sz="6" w:space="0" w:color="auto"/>
              <w:bottom w:val="single" w:sz="6" w:space="0" w:color="auto"/>
              <w:right w:val="nil"/>
            </w:tcBorders>
            <w:shd w:val="clear" w:color="auto" w:fill="D9D9D9"/>
          </w:tcPr>
          <w:p w14:paraId="30C84A7D" w14:textId="77777777" w:rsidR="00B852BD" w:rsidRPr="00463667" w:rsidRDefault="00B852BD" w:rsidP="00B852BD">
            <w:pPr>
              <w:pStyle w:val="TableBullet"/>
            </w:pPr>
            <w:r w:rsidRPr="00463667">
              <w:t>Isocarboxazid</w:t>
            </w:r>
          </w:p>
          <w:p w14:paraId="0EDE66D8" w14:textId="77777777" w:rsidR="00B852BD" w:rsidRPr="00463667" w:rsidRDefault="00B852BD" w:rsidP="00B852BD">
            <w:pPr>
              <w:pStyle w:val="TableBullet"/>
            </w:pPr>
            <w:r w:rsidRPr="00463667">
              <w:t xml:space="preserve">Phenelzine </w:t>
            </w:r>
          </w:p>
        </w:tc>
        <w:tc>
          <w:tcPr>
            <w:tcW w:w="3391" w:type="dxa"/>
            <w:gridSpan w:val="2"/>
            <w:tcBorders>
              <w:top w:val="single" w:sz="8" w:space="0" w:color="auto"/>
              <w:left w:val="nil"/>
              <w:bottom w:val="single" w:sz="6" w:space="0" w:color="auto"/>
              <w:right w:val="single" w:sz="6" w:space="0" w:color="auto"/>
            </w:tcBorders>
            <w:shd w:val="clear" w:color="auto" w:fill="D9D9D9"/>
          </w:tcPr>
          <w:p w14:paraId="051C2040" w14:textId="77777777" w:rsidR="00B852BD" w:rsidRPr="00463667" w:rsidRDefault="00B852BD" w:rsidP="00B852BD">
            <w:pPr>
              <w:pStyle w:val="TableBullet"/>
            </w:pPr>
            <w:r w:rsidRPr="00463667">
              <w:t xml:space="preserve">Selegiline </w:t>
            </w:r>
          </w:p>
          <w:p w14:paraId="230DD812" w14:textId="77777777" w:rsidR="00B852BD" w:rsidRPr="00463667" w:rsidRDefault="00B852BD" w:rsidP="00B852BD">
            <w:pPr>
              <w:pStyle w:val="TableBullet"/>
            </w:pPr>
            <w:r w:rsidRPr="00463667">
              <w:t>Tranylcypromine</w:t>
            </w:r>
          </w:p>
        </w:tc>
      </w:tr>
      <w:tr w:rsidR="00B852BD" w:rsidRPr="00463667" w14:paraId="6293C77F" w14:textId="77777777" w:rsidTr="00BE13D8">
        <w:tc>
          <w:tcPr>
            <w:tcW w:w="2056" w:type="dxa"/>
            <w:tcBorders>
              <w:top w:val="single" w:sz="6" w:space="0" w:color="auto"/>
              <w:left w:val="single" w:sz="6" w:space="0" w:color="auto"/>
              <w:bottom w:val="single" w:sz="6" w:space="0" w:color="auto"/>
              <w:right w:val="single" w:sz="6" w:space="0" w:color="auto"/>
            </w:tcBorders>
          </w:tcPr>
          <w:p w14:paraId="22562C24" w14:textId="77777777" w:rsidR="00B852BD" w:rsidRPr="00463667" w:rsidRDefault="00B852BD" w:rsidP="00F578E0">
            <w:pPr>
              <w:pStyle w:val="TableText"/>
            </w:pPr>
            <w:r w:rsidRPr="00463667">
              <w:t>Phenylpiperazine antidepressants</w:t>
            </w:r>
          </w:p>
        </w:tc>
        <w:tc>
          <w:tcPr>
            <w:tcW w:w="1644" w:type="dxa"/>
            <w:tcBorders>
              <w:top w:val="single" w:sz="6" w:space="0" w:color="auto"/>
              <w:left w:val="single" w:sz="6" w:space="0" w:color="auto"/>
              <w:bottom w:val="single" w:sz="6" w:space="0" w:color="auto"/>
              <w:right w:val="nil"/>
            </w:tcBorders>
          </w:tcPr>
          <w:p w14:paraId="5EE81EBE" w14:textId="77777777" w:rsidR="00B852BD" w:rsidRPr="00463667" w:rsidRDefault="00B852BD" w:rsidP="00B852BD">
            <w:pPr>
              <w:pStyle w:val="TableBullet"/>
            </w:pPr>
            <w:r w:rsidRPr="00463667">
              <w:t xml:space="preserve">Nefazodone </w:t>
            </w:r>
          </w:p>
        </w:tc>
        <w:tc>
          <w:tcPr>
            <w:tcW w:w="3391" w:type="dxa"/>
            <w:gridSpan w:val="2"/>
            <w:tcBorders>
              <w:top w:val="single" w:sz="6" w:space="0" w:color="auto"/>
              <w:left w:val="nil"/>
              <w:bottom w:val="single" w:sz="6" w:space="0" w:color="auto"/>
              <w:right w:val="single" w:sz="6" w:space="0" w:color="auto"/>
            </w:tcBorders>
          </w:tcPr>
          <w:p w14:paraId="09F04BAC" w14:textId="77777777" w:rsidR="00B852BD" w:rsidRPr="00463667" w:rsidRDefault="00B852BD" w:rsidP="00B852BD">
            <w:pPr>
              <w:pStyle w:val="TableBullet"/>
            </w:pPr>
            <w:r w:rsidRPr="00463667">
              <w:t>Trazodone</w:t>
            </w:r>
          </w:p>
        </w:tc>
      </w:tr>
      <w:tr w:rsidR="00B852BD" w:rsidRPr="00463667" w14:paraId="26A58C99" w14:textId="77777777" w:rsidTr="00EB11D9">
        <w:tc>
          <w:tcPr>
            <w:tcW w:w="2056" w:type="dxa"/>
            <w:tcBorders>
              <w:top w:val="single" w:sz="6" w:space="0" w:color="auto"/>
              <w:left w:val="single" w:sz="6" w:space="0" w:color="auto"/>
              <w:bottom w:val="single" w:sz="6" w:space="0" w:color="auto"/>
              <w:right w:val="single" w:sz="6" w:space="0" w:color="auto"/>
            </w:tcBorders>
            <w:shd w:val="clear" w:color="auto" w:fill="D9D9D9"/>
          </w:tcPr>
          <w:p w14:paraId="5A592DF3" w14:textId="77777777" w:rsidR="00B852BD" w:rsidRPr="00463667" w:rsidRDefault="00B852BD" w:rsidP="00F578E0">
            <w:pPr>
              <w:pStyle w:val="TableText"/>
            </w:pPr>
            <w:r w:rsidRPr="00463667">
              <w:t>Psychotherapeutic combinations</w:t>
            </w:r>
          </w:p>
        </w:tc>
        <w:tc>
          <w:tcPr>
            <w:tcW w:w="3407" w:type="dxa"/>
            <w:gridSpan w:val="2"/>
            <w:tcBorders>
              <w:top w:val="single" w:sz="6" w:space="0" w:color="auto"/>
              <w:left w:val="single" w:sz="6" w:space="0" w:color="auto"/>
              <w:bottom w:val="single" w:sz="6" w:space="0" w:color="auto"/>
              <w:right w:val="nil"/>
            </w:tcBorders>
            <w:shd w:val="clear" w:color="auto" w:fill="D9D9D9"/>
          </w:tcPr>
          <w:p w14:paraId="2A44A2D0" w14:textId="77777777" w:rsidR="00B852BD" w:rsidRPr="00463667" w:rsidRDefault="00B852BD" w:rsidP="00B852BD">
            <w:pPr>
              <w:pStyle w:val="TableBullet"/>
            </w:pPr>
            <w:r w:rsidRPr="00463667">
              <w:t>Amitriptyline-chlordiazepoxide</w:t>
            </w:r>
          </w:p>
          <w:p w14:paraId="2626CFBE" w14:textId="77777777" w:rsidR="00B852BD" w:rsidRPr="00463667" w:rsidRDefault="00B852BD" w:rsidP="00B852BD">
            <w:pPr>
              <w:pStyle w:val="TableBullet"/>
            </w:pPr>
            <w:r w:rsidRPr="00463667">
              <w:t>Amitriptyline-perphenazine</w:t>
            </w:r>
          </w:p>
        </w:tc>
        <w:tc>
          <w:tcPr>
            <w:tcW w:w="1628" w:type="dxa"/>
            <w:tcBorders>
              <w:top w:val="single" w:sz="6" w:space="0" w:color="auto"/>
              <w:left w:val="nil"/>
              <w:bottom w:val="single" w:sz="6" w:space="0" w:color="auto"/>
              <w:right w:val="single" w:sz="6" w:space="0" w:color="auto"/>
            </w:tcBorders>
            <w:shd w:val="clear" w:color="auto" w:fill="D9D9D9"/>
          </w:tcPr>
          <w:p w14:paraId="39FC7F1F" w14:textId="77777777" w:rsidR="00B852BD" w:rsidRPr="00463667" w:rsidRDefault="00B852BD" w:rsidP="00B852BD">
            <w:pPr>
              <w:pStyle w:val="TableBullet"/>
            </w:pPr>
            <w:r w:rsidRPr="00463667">
              <w:t>Fluoxetine-olanzapine</w:t>
            </w:r>
          </w:p>
        </w:tc>
      </w:tr>
      <w:tr w:rsidR="00B852BD" w:rsidRPr="00463667" w14:paraId="78F39074" w14:textId="77777777" w:rsidTr="00EB11D9">
        <w:tc>
          <w:tcPr>
            <w:tcW w:w="2056" w:type="dxa"/>
            <w:tcBorders>
              <w:top w:val="single" w:sz="6" w:space="0" w:color="auto"/>
              <w:left w:val="single" w:sz="6" w:space="0" w:color="auto"/>
              <w:bottom w:val="single" w:sz="6" w:space="0" w:color="auto"/>
              <w:right w:val="single" w:sz="6" w:space="0" w:color="auto"/>
            </w:tcBorders>
          </w:tcPr>
          <w:p w14:paraId="380F963C" w14:textId="6977C544" w:rsidR="00B852BD" w:rsidRPr="00463667" w:rsidRDefault="009F1193" w:rsidP="00F578E0">
            <w:pPr>
              <w:pStyle w:val="TableText"/>
            </w:pPr>
            <w:r>
              <w:t>S</w:t>
            </w:r>
            <w:r w:rsidR="00B852BD" w:rsidRPr="00463667">
              <w:t>NRI antidepressants</w:t>
            </w:r>
          </w:p>
        </w:tc>
        <w:tc>
          <w:tcPr>
            <w:tcW w:w="1644" w:type="dxa"/>
            <w:tcBorders>
              <w:top w:val="single" w:sz="6" w:space="0" w:color="auto"/>
              <w:left w:val="single" w:sz="6" w:space="0" w:color="auto"/>
              <w:bottom w:val="single" w:sz="6" w:space="0" w:color="auto"/>
              <w:right w:val="nil"/>
            </w:tcBorders>
          </w:tcPr>
          <w:p w14:paraId="5633EE5F" w14:textId="77777777" w:rsidR="00B852BD" w:rsidRDefault="00B852BD" w:rsidP="00BE13D8">
            <w:pPr>
              <w:pStyle w:val="TableBullet"/>
            </w:pPr>
            <w:r w:rsidRPr="00463667">
              <w:t>Desvenlafaxine</w:t>
            </w:r>
          </w:p>
          <w:p w14:paraId="1EEDCBEB" w14:textId="5C8DA842" w:rsidR="009F1193" w:rsidRPr="00463667" w:rsidRDefault="009F1193" w:rsidP="00BE13D8">
            <w:pPr>
              <w:pStyle w:val="TableBullet"/>
            </w:pPr>
            <w:r w:rsidRPr="00463667">
              <w:t>Duloxetine</w:t>
            </w:r>
          </w:p>
        </w:tc>
        <w:tc>
          <w:tcPr>
            <w:tcW w:w="1763" w:type="dxa"/>
            <w:tcBorders>
              <w:top w:val="single" w:sz="6" w:space="0" w:color="auto"/>
              <w:left w:val="nil"/>
              <w:bottom w:val="single" w:sz="6" w:space="0" w:color="auto"/>
              <w:right w:val="single" w:sz="6" w:space="0" w:color="FFFFFF"/>
            </w:tcBorders>
          </w:tcPr>
          <w:p w14:paraId="1C2DEB78" w14:textId="68F88D25" w:rsidR="00B852BD" w:rsidRPr="009F1193" w:rsidRDefault="009F1193" w:rsidP="00B852BD">
            <w:pPr>
              <w:pStyle w:val="TableBullet"/>
              <w:rPr>
                <w:u w:val="single"/>
              </w:rPr>
            </w:pPr>
            <w:r w:rsidRPr="009F1193">
              <w:t>Levomilnacipran</w:t>
            </w:r>
          </w:p>
          <w:p w14:paraId="23B4A906" w14:textId="0E8FD99E" w:rsidR="009F1193" w:rsidRPr="009F1193" w:rsidRDefault="009F1193" w:rsidP="009F1193">
            <w:pPr>
              <w:pStyle w:val="TableBullet"/>
            </w:pPr>
            <w:r w:rsidRPr="00BE13D8">
              <w:t>Venlafaxine</w:t>
            </w:r>
          </w:p>
        </w:tc>
        <w:tc>
          <w:tcPr>
            <w:tcW w:w="1628" w:type="dxa"/>
            <w:tcBorders>
              <w:top w:val="single" w:sz="6" w:space="0" w:color="auto"/>
              <w:left w:val="single" w:sz="6" w:space="0" w:color="FFFFFF"/>
              <w:bottom w:val="single" w:sz="6" w:space="0" w:color="auto"/>
              <w:right w:val="single" w:sz="6" w:space="0" w:color="auto"/>
            </w:tcBorders>
          </w:tcPr>
          <w:p w14:paraId="64C51CED" w14:textId="02FF2A36" w:rsidR="00B852BD" w:rsidRPr="00BE13D8" w:rsidRDefault="00B852BD" w:rsidP="009F1193">
            <w:pPr>
              <w:pStyle w:val="TableBullet"/>
              <w:numPr>
                <w:ilvl w:val="0"/>
                <w:numId w:val="0"/>
              </w:numPr>
              <w:ind w:left="158"/>
            </w:pPr>
          </w:p>
        </w:tc>
      </w:tr>
      <w:tr w:rsidR="00B852BD" w:rsidRPr="00463667" w14:paraId="42B0BCCC" w14:textId="77777777" w:rsidTr="00EB11D9">
        <w:tc>
          <w:tcPr>
            <w:tcW w:w="2056" w:type="dxa"/>
            <w:tcBorders>
              <w:top w:val="single" w:sz="6" w:space="0" w:color="auto"/>
              <w:left w:val="single" w:sz="6" w:space="0" w:color="auto"/>
              <w:bottom w:val="single" w:sz="6" w:space="0" w:color="auto"/>
              <w:right w:val="single" w:sz="6" w:space="0" w:color="auto"/>
            </w:tcBorders>
            <w:shd w:val="clear" w:color="auto" w:fill="D9D9D9"/>
          </w:tcPr>
          <w:p w14:paraId="32F9A29C" w14:textId="77777777" w:rsidR="00B852BD" w:rsidRPr="00463667" w:rsidRDefault="00B852BD" w:rsidP="00F578E0">
            <w:pPr>
              <w:pStyle w:val="TableText"/>
            </w:pPr>
            <w:r w:rsidRPr="00463667">
              <w:t>SSRI antidepressants</w:t>
            </w:r>
          </w:p>
        </w:tc>
        <w:tc>
          <w:tcPr>
            <w:tcW w:w="1644" w:type="dxa"/>
            <w:tcBorders>
              <w:top w:val="single" w:sz="6" w:space="0" w:color="auto"/>
              <w:left w:val="single" w:sz="6" w:space="0" w:color="auto"/>
              <w:bottom w:val="single" w:sz="6" w:space="0" w:color="auto"/>
              <w:right w:val="nil"/>
            </w:tcBorders>
            <w:shd w:val="clear" w:color="auto" w:fill="D9D9D9"/>
          </w:tcPr>
          <w:p w14:paraId="2DE006E0" w14:textId="77777777" w:rsidR="00B852BD" w:rsidRPr="00463667" w:rsidRDefault="00B852BD" w:rsidP="00B852BD">
            <w:pPr>
              <w:pStyle w:val="TableBullet"/>
            </w:pPr>
            <w:r w:rsidRPr="00463667">
              <w:t>Citalopram</w:t>
            </w:r>
          </w:p>
          <w:p w14:paraId="06748ECE" w14:textId="77777777" w:rsidR="00B852BD" w:rsidRPr="00463667" w:rsidRDefault="00B852BD" w:rsidP="00B852BD">
            <w:pPr>
              <w:pStyle w:val="TableBullet"/>
            </w:pPr>
            <w:r w:rsidRPr="00463667">
              <w:t xml:space="preserve">Escitalopram </w:t>
            </w:r>
          </w:p>
        </w:tc>
        <w:tc>
          <w:tcPr>
            <w:tcW w:w="1763" w:type="dxa"/>
            <w:tcBorders>
              <w:top w:val="single" w:sz="6" w:space="0" w:color="auto"/>
              <w:left w:val="nil"/>
              <w:bottom w:val="single" w:sz="6" w:space="0" w:color="auto"/>
              <w:right w:val="nil"/>
            </w:tcBorders>
            <w:shd w:val="clear" w:color="auto" w:fill="D9D9D9"/>
          </w:tcPr>
          <w:p w14:paraId="409716A1" w14:textId="77777777" w:rsidR="00B852BD" w:rsidRPr="00463667" w:rsidRDefault="00B852BD" w:rsidP="00B852BD">
            <w:pPr>
              <w:pStyle w:val="TableBullet"/>
            </w:pPr>
            <w:r w:rsidRPr="00463667">
              <w:t>Fluoxetine</w:t>
            </w:r>
          </w:p>
          <w:p w14:paraId="7F4BF540" w14:textId="77777777" w:rsidR="00B852BD" w:rsidRPr="00463667" w:rsidRDefault="00B852BD" w:rsidP="00B852BD">
            <w:pPr>
              <w:pStyle w:val="TableBullet"/>
            </w:pPr>
            <w:r w:rsidRPr="00463667">
              <w:t>Fluvoxamine</w:t>
            </w:r>
          </w:p>
        </w:tc>
        <w:tc>
          <w:tcPr>
            <w:tcW w:w="1628" w:type="dxa"/>
            <w:tcBorders>
              <w:top w:val="single" w:sz="6" w:space="0" w:color="auto"/>
              <w:left w:val="nil"/>
              <w:bottom w:val="single" w:sz="6" w:space="0" w:color="auto"/>
              <w:right w:val="single" w:sz="6" w:space="0" w:color="auto"/>
            </w:tcBorders>
            <w:shd w:val="clear" w:color="auto" w:fill="D9D9D9"/>
          </w:tcPr>
          <w:p w14:paraId="200CA57E" w14:textId="77777777" w:rsidR="00B852BD" w:rsidRPr="00463667" w:rsidRDefault="00B852BD" w:rsidP="00B852BD">
            <w:pPr>
              <w:pStyle w:val="TableBullet"/>
            </w:pPr>
            <w:r w:rsidRPr="00463667">
              <w:t xml:space="preserve">Paroxetine </w:t>
            </w:r>
          </w:p>
          <w:p w14:paraId="20359563" w14:textId="77777777" w:rsidR="00B852BD" w:rsidRPr="00463667" w:rsidRDefault="00B852BD" w:rsidP="00B852BD">
            <w:pPr>
              <w:pStyle w:val="TableBullet"/>
            </w:pPr>
            <w:r w:rsidRPr="00463667">
              <w:t>Sertraline</w:t>
            </w:r>
          </w:p>
        </w:tc>
      </w:tr>
      <w:tr w:rsidR="00B852BD" w:rsidRPr="00463667" w14:paraId="1DB1095C" w14:textId="77777777" w:rsidTr="00BE13D8">
        <w:tc>
          <w:tcPr>
            <w:tcW w:w="2056" w:type="dxa"/>
            <w:tcBorders>
              <w:top w:val="single" w:sz="6" w:space="0" w:color="auto"/>
              <w:left w:val="single" w:sz="6" w:space="0" w:color="auto"/>
              <w:bottom w:val="single" w:sz="6" w:space="0" w:color="auto"/>
              <w:right w:val="single" w:sz="6" w:space="0" w:color="auto"/>
            </w:tcBorders>
          </w:tcPr>
          <w:p w14:paraId="1147C30A" w14:textId="77777777" w:rsidR="00B852BD" w:rsidRPr="00463667" w:rsidRDefault="00B852BD" w:rsidP="00F578E0">
            <w:pPr>
              <w:pStyle w:val="TableText"/>
            </w:pPr>
            <w:r w:rsidRPr="00463667">
              <w:t>Tetracyclic antidepressants</w:t>
            </w:r>
          </w:p>
        </w:tc>
        <w:tc>
          <w:tcPr>
            <w:tcW w:w="1644" w:type="dxa"/>
            <w:tcBorders>
              <w:top w:val="single" w:sz="6" w:space="0" w:color="auto"/>
              <w:left w:val="single" w:sz="6" w:space="0" w:color="auto"/>
              <w:bottom w:val="single" w:sz="6" w:space="0" w:color="auto"/>
              <w:right w:val="nil"/>
            </w:tcBorders>
          </w:tcPr>
          <w:p w14:paraId="091223D0" w14:textId="77777777" w:rsidR="00B852BD" w:rsidRPr="00463667" w:rsidRDefault="00B852BD" w:rsidP="00B852BD">
            <w:pPr>
              <w:pStyle w:val="TableBullet"/>
            </w:pPr>
            <w:r w:rsidRPr="00463667">
              <w:t>Maprotiline</w:t>
            </w:r>
          </w:p>
        </w:tc>
        <w:tc>
          <w:tcPr>
            <w:tcW w:w="3391" w:type="dxa"/>
            <w:gridSpan w:val="2"/>
            <w:tcBorders>
              <w:top w:val="single" w:sz="6" w:space="0" w:color="auto"/>
              <w:left w:val="nil"/>
              <w:bottom w:val="single" w:sz="6" w:space="0" w:color="auto"/>
              <w:right w:val="single" w:sz="6" w:space="0" w:color="auto"/>
            </w:tcBorders>
          </w:tcPr>
          <w:p w14:paraId="17F4997D" w14:textId="77777777" w:rsidR="00B852BD" w:rsidRPr="00463667" w:rsidRDefault="00B852BD" w:rsidP="00B852BD">
            <w:pPr>
              <w:pStyle w:val="TableBullet"/>
            </w:pPr>
            <w:r w:rsidRPr="00463667">
              <w:t>Mirtazapine</w:t>
            </w:r>
          </w:p>
        </w:tc>
      </w:tr>
      <w:tr w:rsidR="00B852BD" w:rsidRPr="00463667" w14:paraId="7E207C51" w14:textId="77777777" w:rsidTr="00EB11D9">
        <w:tc>
          <w:tcPr>
            <w:tcW w:w="2056" w:type="dxa"/>
            <w:tcBorders>
              <w:top w:val="single" w:sz="6" w:space="0" w:color="auto"/>
              <w:left w:val="single" w:sz="6" w:space="0" w:color="auto"/>
              <w:bottom w:val="single" w:sz="6" w:space="0" w:color="auto"/>
              <w:right w:val="single" w:sz="6" w:space="0" w:color="auto"/>
            </w:tcBorders>
            <w:shd w:val="clear" w:color="auto" w:fill="D9D9D9"/>
          </w:tcPr>
          <w:p w14:paraId="2BC0C3B3" w14:textId="77777777" w:rsidR="00B852BD" w:rsidRPr="00463667" w:rsidRDefault="00B852BD" w:rsidP="00F578E0">
            <w:pPr>
              <w:pStyle w:val="TableText"/>
            </w:pPr>
            <w:r w:rsidRPr="00463667">
              <w:t>Tricyclic antidepressants</w:t>
            </w:r>
          </w:p>
        </w:tc>
        <w:tc>
          <w:tcPr>
            <w:tcW w:w="1644" w:type="dxa"/>
            <w:tcBorders>
              <w:top w:val="single" w:sz="6" w:space="0" w:color="auto"/>
              <w:left w:val="single" w:sz="6" w:space="0" w:color="auto"/>
              <w:bottom w:val="single" w:sz="6" w:space="0" w:color="auto"/>
              <w:right w:val="nil"/>
            </w:tcBorders>
            <w:shd w:val="clear" w:color="auto" w:fill="D9D9D9"/>
          </w:tcPr>
          <w:p w14:paraId="1D206320" w14:textId="77777777" w:rsidR="00B852BD" w:rsidRPr="00463667" w:rsidRDefault="00B852BD" w:rsidP="00B852BD">
            <w:pPr>
              <w:pStyle w:val="TableBullet"/>
            </w:pPr>
            <w:r w:rsidRPr="00463667">
              <w:t>Amitriptyline</w:t>
            </w:r>
          </w:p>
          <w:p w14:paraId="7E8785D5" w14:textId="77777777" w:rsidR="00B852BD" w:rsidRPr="00463667" w:rsidRDefault="00B852BD" w:rsidP="00B852BD">
            <w:pPr>
              <w:pStyle w:val="TableBullet"/>
            </w:pPr>
            <w:r w:rsidRPr="00463667">
              <w:t>Amoxapine</w:t>
            </w:r>
          </w:p>
          <w:p w14:paraId="302639F6" w14:textId="77777777" w:rsidR="00B852BD" w:rsidRPr="00463667" w:rsidRDefault="00B852BD" w:rsidP="00B852BD">
            <w:pPr>
              <w:pStyle w:val="TableBullet"/>
            </w:pPr>
            <w:r w:rsidRPr="00463667">
              <w:t>Clomipramine</w:t>
            </w:r>
          </w:p>
        </w:tc>
        <w:tc>
          <w:tcPr>
            <w:tcW w:w="1763" w:type="dxa"/>
            <w:tcBorders>
              <w:top w:val="single" w:sz="6" w:space="0" w:color="auto"/>
              <w:left w:val="nil"/>
              <w:bottom w:val="single" w:sz="6" w:space="0" w:color="auto"/>
            </w:tcBorders>
            <w:shd w:val="clear" w:color="auto" w:fill="D9D9D9"/>
          </w:tcPr>
          <w:p w14:paraId="458A5654" w14:textId="77777777" w:rsidR="00B852BD" w:rsidRPr="00463667" w:rsidRDefault="00B852BD" w:rsidP="00B852BD">
            <w:pPr>
              <w:pStyle w:val="TableBullet"/>
            </w:pPr>
            <w:r w:rsidRPr="00463667">
              <w:t>Desipramine</w:t>
            </w:r>
          </w:p>
          <w:p w14:paraId="671EA4B0" w14:textId="77777777" w:rsidR="00B852BD" w:rsidRPr="00463667" w:rsidRDefault="00B852BD" w:rsidP="00B852BD">
            <w:pPr>
              <w:pStyle w:val="TableBullet"/>
            </w:pPr>
            <w:r w:rsidRPr="00463667">
              <w:t>Doxepin (&gt;6 mg)</w:t>
            </w:r>
          </w:p>
          <w:p w14:paraId="1DA0DB6A" w14:textId="77777777" w:rsidR="00B852BD" w:rsidRPr="00463667" w:rsidRDefault="00B852BD" w:rsidP="00B852BD">
            <w:pPr>
              <w:pStyle w:val="TableBullet"/>
            </w:pPr>
            <w:r w:rsidRPr="00463667">
              <w:t>Imipramine</w:t>
            </w:r>
          </w:p>
        </w:tc>
        <w:tc>
          <w:tcPr>
            <w:tcW w:w="1628" w:type="dxa"/>
            <w:tcBorders>
              <w:top w:val="single" w:sz="6" w:space="0" w:color="auto"/>
              <w:bottom w:val="single" w:sz="6" w:space="0" w:color="auto"/>
              <w:right w:val="single" w:sz="6" w:space="0" w:color="auto"/>
            </w:tcBorders>
            <w:shd w:val="clear" w:color="auto" w:fill="D9D9D9"/>
          </w:tcPr>
          <w:p w14:paraId="3F0E456E" w14:textId="77777777" w:rsidR="00B852BD" w:rsidRPr="00463667" w:rsidRDefault="00B852BD" w:rsidP="00B852BD">
            <w:pPr>
              <w:pStyle w:val="TableBullet"/>
            </w:pPr>
            <w:r w:rsidRPr="00463667">
              <w:t>Nortriptyline</w:t>
            </w:r>
          </w:p>
          <w:p w14:paraId="218A5139" w14:textId="77777777" w:rsidR="00B852BD" w:rsidRPr="00463667" w:rsidRDefault="00B852BD" w:rsidP="00B852BD">
            <w:pPr>
              <w:pStyle w:val="TableBullet"/>
            </w:pPr>
            <w:r w:rsidRPr="00463667">
              <w:t>Protriptyline</w:t>
            </w:r>
          </w:p>
          <w:p w14:paraId="525ABD64" w14:textId="77777777" w:rsidR="00B852BD" w:rsidRPr="00463667" w:rsidRDefault="00B852BD" w:rsidP="00B852BD">
            <w:pPr>
              <w:pStyle w:val="TableBullet"/>
            </w:pPr>
            <w:r w:rsidRPr="00463667">
              <w:t>Trimipramine</w:t>
            </w:r>
          </w:p>
        </w:tc>
      </w:tr>
    </w:tbl>
    <w:p w14:paraId="3F4E2B35" w14:textId="4BADCD72" w:rsidR="00B852BD" w:rsidRPr="00463667" w:rsidRDefault="00B852BD" w:rsidP="00B852BD">
      <w:pPr>
        <w:pStyle w:val="Note"/>
        <w:spacing w:after="240"/>
      </w:pPr>
      <w:r w:rsidRPr="00463667">
        <w:rPr>
          <w:rFonts w:cs="Arial"/>
          <w:b/>
          <w:bCs/>
        </w:rPr>
        <w:t xml:space="preserve">Note: </w:t>
      </w:r>
      <w:r w:rsidRPr="00463667">
        <w:t xml:space="preserve">NCQA will post a comprehensive list of medications and NDC codes to </w:t>
      </w:r>
      <w:r w:rsidRPr="00463667">
        <w:br/>
        <w:t xml:space="preserve">www.ncqa.org by November </w:t>
      </w:r>
      <w:r w:rsidR="00D0464F">
        <w:t>2</w:t>
      </w:r>
      <w:r w:rsidRPr="00463667">
        <w:t xml:space="preserve">, </w:t>
      </w:r>
      <w:r w:rsidR="00D0464F">
        <w:t>2015</w:t>
      </w:r>
      <w:r w:rsidRPr="00463667">
        <w:t>.</w:t>
      </w:r>
    </w:p>
    <w:tbl>
      <w:tblPr>
        <w:tblW w:w="0" w:type="auto"/>
        <w:tblInd w:w="18" w:type="dxa"/>
        <w:tblLayout w:type="fixed"/>
        <w:tblLook w:val="0000" w:firstRow="0" w:lastRow="0" w:firstColumn="0" w:lastColumn="0" w:noHBand="0" w:noVBand="0"/>
      </w:tblPr>
      <w:tblGrid>
        <w:gridCol w:w="2070"/>
        <w:gridCol w:w="7740"/>
      </w:tblGrid>
      <w:tr w:rsidR="00B852BD" w:rsidRPr="00463667" w14:paraId="19E1555F" w14:textId="77777777" w:rsidTr="00F578E0">
        <w:tc>
          <w:tcPr>
            <w:tcW w:w="2070" w:type="dxa"/>
          </w:tcPr>
          <w:p w14:paraId="34DC6CCB" w14:textId="77777777" w:rsidR="00B852BD" w:rsidRPr="00463667" w:rsidRDefault="00B852BD" w:rsidP="00F578E0">
            <w:pPr>
              <w:pStyle w:val="MarginSubhead"/>
              <w:spacing w:before="0"/>
              <w:jc w:val="right"/>
              <w:rPr>
                <w:i/>
              </w:rPr>
            </w:pPr>
            <w:r w:rsidRPr="00463667">
              <w:rPr>
                <w:i/>
              </w:rPr>
              <w:t>Effective Continuation Phase Treatment</w:t>
            </w:r>
          </w:p>
        </w:tc>
        <w:tc>
          <w:tcPr>
            <w:tcW w:w="7740" w:type="dxa"/>
          </w:tcPr>
          <w:p w14:paraId="18B656F8" w14:textId="5960CD35" w:rsidR="00413A7D" w:rsidRDefault="00B852BD" w:rsidP="00F578E0">
            <w:pPr>
              <w:pStyle w:val="Body"/>
              <w:spacing w:before="0"/>
            </w:pPr>
            <w:r w:rsidRPr="00463667">
              <w:t xml:space="preserve">At least 180 days (6 months) of continuous treatment with antidepressant medication (Table AMM-C) </w:t>
            </w:r>
            <w:r w:rsidR="005A0673">
              <w:t>beginning on the IPSD through</w:t>
            </w:r>
            <w:r w:rsidR="00D37B3D">
              <w:t xml:space="preserve"> </w:t>
            </w:r>
            <w:r w:rsidRPr="00463667">
              <w:t>231</w:t>
            </w:r>
            <w:r w:rsidR="00413A7D">
              <w:t xml:space="preserve"> </w:t>
            </w:r>
            <w:r w:rsidRPr="00463667">
              <w:t>day</w:t>
            </w:r>
            <w:r w:rsidR="005A0673">
              <w:t xml:space="preserve">s after </w:t>
            </w:r>
            <w:r w:rsidRPr="00463667">
              <w:t>the IPSD (</w:t>
            </w:r>
            <w:r w:rsidR="005A0673">
              <w:t xml:space="preserve">232 </w:t>
            </w:r>
            <w:r w:rsidR="00575A7E">
              <w:t xml:space="preserve">total </w:t>
            </w:r>
            <w:r w:rsidR="005A0673">
              <w:t>days</w:t>
            </w:r>
            <w:r w:rsidRPr="00463667">
              <w:t xml:space="preserve">). </w:t>
            </w:r>
          </w:p>
          <w:p w14:paraId="074667BD" w14:textId="4435BD1B" w:rsidR="00B852BD" w:rsidRPr="00463667" w:rsidRDefault="00B852BD" w:rsidP="00413A7D">
            <w:pPr>
              <w:pStyle w:val="Body"/>
            </w:pPr>
            <w:r w:rsidRPr="00463667">
              <w:t>Continuous treatment allows gaps in medication treatment up to a total of 51 days during the 23</w:t>
            </w:r>
            <w:r w:rsidR="006E328D">
              <w:t>2</w:t>
            </w:r>
            <w:r w:rsidRPr="00463667">
              <w:t>-day period. Gaps can include either washout period gaps to change medication or treatment gaps to refill the same medication.</w:t>
            </w:r>
          </w:p>
          <w:p w14:paraId="330675C8" w14:textId="77777777" w:rsidR="00B852BD" w:rsidRPr="00463667" w:rsidRDefault="00B852BD" w:rsidP="00F578E0">
            <w:pPr>
              <w:pStyle w:val="Body"/>
            </w:pPr>
            <w:r w:rsidRPr="00463667">
              <w:t>Regardless of the number of gaps, there may be no more than 51 gap days. Count any combination of gaps (e.g., two washout gaps of 25 days each, or two washout gaps of 10 days each and one treatment gap of 10 days).</w:t>
            </w:r>
          </w:p>
        </w:tc>
      </w:tr>
    </w:tbl>
    <w:p w14:paraId="7494DD93" w14:textId="77777777" w:rsidR="00B852BD" w:rsidRPr="00463667" w:rsidRDefault="00B852BD" w:rsidP="00B852BD">
      <w:pPr>
        <w:pStyle w:val="SubHead20"/>
        <w:rPr>
          <w:i/>
        </w:rPr>
      </w:pPr>
      <w:r w:rsidRPr="00463667">
        <w:rPr>
          <w:i/>
        </w:rPr>
        <w:t>Note</w:t>
      </w:r>
    </w:p>
    <w:p w14:paraId="0E0535DC" w14:textId="37A3A64A" w:rsidR="00B852BD" w:rsidRPr="00463667" w:rsidRDefault="00B852BD" w:rsidP="00B852BD">
      <w:pPr>
        <w:pStyle w:val="ProcessBullet"/>
        <w:rPr>
          <w:i/>
        </w:rPr>
      </w:pPr>
      <w:r w:rsidRPr="00463667">
        <w:rPr>
          <w:i/>
        </w:rPr>
        <w:t>Organizations may have different methods for billing intensive outpatient encounters and partial hospitalizations. Some methods may be comparable to outpatient billing, with separate claims for each date of service; others may be comparable to inpatient billing, with an admission date, a discharge date and units of service. Organizations whose billing methods are comparable to inpatient billing may count each unit of service as an individual visit. The unit of service must have occurred during the period specified.</w:t>
      </w:r>
    </w:p>
    <w:p w14:paraId="78EFEA4C" w14:textId="77777777" w:rsidR="00B852BD" w:rsidRPr="00463667" w:rsidRDefault="00B852BD" w:rsidP="00B852BD">
      <w:pPr>
        <w:pStyle w:val="ProcessBullet"/>
        <w:numPr>
          <w:ilvl w:val="0"/>
          <w:numId w:val="0"/>
        </w:numPr>
        <w:ind w:left="216" w:hanging="216"/>
        <w:rPr>
          <w:i/>
        </w:rPr>
        <w:sectPr w:rsidR="00B852BD" w:rsidRPr="00463667" w:rsidSect="007527F3">
          <w:pgSz w:w="12240" w:h="15840" w:code="1"/>
          <w:pgMar w:top="1080" w:right="1080" w:bottom="1080" w:left="1440" w:header="720" w:footer="720" w:gutter="0"/>
          <w:cols w:space="720"/>
        </w:sectPr>
      </w:pPr>
    </w:p>
    <w:p w14:paraId="26FC5A59" w14:textId="77777777" w:rsidR="00B852BD" w:rsidRPr="00463667" w:rsidRDefault="00B852BD" w:rsidP="00B852BD">
      <w:pPr>
        <w:pStyle w:val="ReverseHead"/>
        <w:spacing w:before="0"/>
      </w:pPr>
      <w:r w:rsidRPr="00463667">
        <w:lastRenderedPageBreak/>
        <w:t xml:space="preserve">Data Elements for Reporting </w:t>
      </w:r>
    </w:p>
    <w:p w14:paraId="3A22E22C" w14:textId="77777777" w:rsidR="00B852BD" w:rsidRPr="00463667" w:rsidRDefault="00B852BD" w:rsidP="00B852BD">
      <w:pPr>
        <w:pStyle w:val="Body"/>
        <w:rPr>
          <w:sz w:val="24"/>
        </w:rPr>
      </w:pPr>
      <w:r w:rsidRPr="00463667">
        <w:t>Organizations that submit HEDIS data to NCQA must provide the following data elements</w:t>
      </w:r>
      <w:r w:rsidRPr="00463667">
        <w:rPr>
          <w:szCs w:val="20"/>
        </w:rPr>
        <w:t>.</w:t>
      </w:r>
    </w:p>
    <w:p w14:paraId="674B83A7" w14:textId="77777777" w:rsidR="00B852BD" w:rsidRPr="00463667" w:rsidRDefault="00B852BD" w:rsidP="00B852BD">
      <w:pPr>
        <w:pStyle w:val="TableHeadNotCondensed"/>
      </w:pPr>
      <w:r w:rsidRPr="00463667">
        <w:t>Table AMM-1/2/3: Data Elements for Antidepressant Medication Management</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508"/>
        <w:gridCol w:w="2340"/>
      </w:tblGrid>
      <w:tr w:rsidR="00B852BD" w:rsidRPr="00463667" w14:paraId="1B4EA89F" w14:textId="77777777" w:rsidTr="00C3122F">
        <w:tc>
          <w:tcPr>
            <w:tcW w:w="4508" w:type="dxa"/>
            <w:tcBorders>
              <w:bottom w:val="single" w:sz="6" w:space="0" w:color="auto"/>
              <w:right w:val="nil"/>
            </w:tcBorders>
            <w:shd w:val="clear" w:color="auto" w:fill="000000"/>
          </w:tcPr>
          <w:p w14:paraId="57069D6B" w14:textId="77777777" w:rsidR="00B852BD" w:rsidRPr="00463667" w:rsidRDefault="00B852BD" w:rsidP="00F578E0">
            <w:pPr>
              <w:pStyle w:val="TableHead"/>
              <w:rPr>
                <w:color w:val="auto"/>
              </w:rPr>
            </w:pPr>
          </w:p>
        </w:tc>
        <w:tc>
          <w:tcPr>
            <w:tcW w:w="2340" w:type="dxa"/>
            <w:tcBorders>
              <w:left w:val="single" w:sz="6" w:space="0" w:color="FFFFFF"/>
              <w:bottom w:val="single" w:sz="6" w:space="0" w:color="auto"/>
              <w:right w:val="single" w:sz="4" w:space="0" w:color="auto"/>
            </w:tcBorders>
            <w:shd w:val="clear" w:color="auto" w:fill="000000"/>
          </w:tcPr>
          <w:p w14:paraId="33D20676" w14:textId="77777777" w:rsidR="00B852BD" w:rsidRPr="00463667" w:rsidRDefault="00B852BD" w:rsidP="00F578E0">
            <w:pPr>
              <w:pStyle w:val="TableHead"/>
              <w:rPr>
                <w:color w:val="auto"/>
              </w:rPr>
            </w:pPr>
            <w:r w:rsidRPr="00463667">
              <w:rPr>
                <w:color w:val="auto"/>
              </w:rPr>
              <w:t>Administrative</w:t>
            </w:r>
          </w:p>
        </w:tc>
      </w:tr>
      <w:tr w:rsidR="00B852BD" w:rsidRPr="00463667" w14:paraId="04984F05" w14:textId="77777777" w:rsidTr="00C3122F">
        <w:tc>
          <w:tcPr>
            <w:tcW w:w="4508" w:type="dxa"/>
            <w:tcBorders>
              <w:bottom w:val="single" w:sz="6" w:space="0" w:color="auto"/>
            </w:tcBorders>
            <w:shd w:val="clear" w:color="auto" w:fill="FFFFFF" w:themeFill="background1"/>
          </w:tcPr>
          <w:p w14:paraId="33A7A7BD" w14:textId="77777777" w:rsidR="00B852BD" w:rsidRPr="00463667" w:rsidRDefault="00B852BD" w:rsidP="00F578E0">
            <w:pPr>
              <w:pStyle w:val="TableText"/>
            </w:pPr>
            <w:r w:rsidRPr="00463667">
              <w:t>Measurement year</w:t>
            </w:r>
          </w:p>
        </w:tc>
        <w:tc>
          <w:tcPr>
            <w:tcW w:w="2340" w:type="dxa"/>
            <w:tcBorders>
              <w:bottom w:val="single" w:sz="6" w:space="0" w:color="auto"/>
            </w:tcBorders>
            <w:shd w:val="clear" w:color="auto" w:fill="FFFFFF" w:themeFill="background1"/>
            <w:vAlign w:val="center"/>
          </w:tcPr>
          <w:p w14:paraId="41DADE8B"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0FC1D2E3" w14:textId="77777777" w:rsidTr="00C3122F">
        <w:tc>
          <w:tcPr>
            <w:tcW w:w="4508" w:type="dxa"/>
            <w:shd w:val="clear" w:color="auto" w:fill="D9D9D9" w:themeFill="background1" w:themeFillShade="D9"/>
          </w:tcPr>
          <w:p w14:paraId="621C2218" w14:textId="77777777" w:rsidR="00B852BD" w:rsidRPr="00463667" w:rsidRDefault="00B852BD" w:rsidP="00F578E0">
            <w:pPr>
              <w:pStyle w:val="TableText"/>
            </w:pPr>
            <w:r w:rsidRPr="00463667">
              <w:t>Data collection methodology (Administrative)</w:t>
            </w:r>
          </w:p>
        </w:tc>
        <w:tc>
          <w:tcPr>
            <w:tcW w:w="2340" w:type="dxa"/>
            <w:shd w:val="clear" w:color="auto" w:fill="D9D9D9" w:themeFill="background1" w:themeFillShade="D9"/>
            <w:vAlign w:val="center"/>
          </w:tcPr>
          <w:p w14:paraId="6C54E428"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076C4392" w14:textId="77777777" w:rsidTr="00C3122F">
        <w:tc>
          <w:tcPr>
            <w:tcW w:w="4508" w:type="dxa"/>
            <w:shd w:val="clear" w:color="auto" w:fill="FFFFFF" w:themeFill="background1"/>
          </w:tcPr>
          <w:p w14:paraId="19C407CA" w14:textId="77777777" w:rsidR="00B852BD" w:rsidRPr="00463667" w:rsidRDefault="00B852BD" w:rsidP="00F578E0">
            <w:pPr>
              <w:pStyle w:val="TableText"/>
            </w:pPr>
            <w:r w:rsidRPr="00463667">
              <w:t xml:space="preserve">Eligible population </w:t>
            </w:r>
          </w:p>
        </w:tc>
        <w:tc>
          <w:tcPr>
            <w:tcW w:w="2340" w:type="dxa"/>
            <w:shd w:val="clear" w:color="auto" w:fill="FFFFFF" w:themeFill="background1"/>
            <w:vAlign w:val="center"/>
          </w:tcPr>
          <w:p w14:paraId="106B8223"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3B351FD2" w14:textId="77777777" w:rsidTr="00C3122F">
        <w:tc>
          <w:tcPr>
            <w:tcW w:w="4508" w:type="dxa"/>
            <w:shd w:val="clear" w:color="auto" w:fill="D9D9D9" w:themeFill="background1" w:themeFillShade="D9"/>
          </w:tcPr>
          <w:p w14:paraId="5F68FD1F" w14:textId="77777777" w:rsidR="00B852BD" w:rsidRPr="00463667" w:rsidRDefault="00B852BD" w:rsidP="00F578E0">
            <w:pPr>
              <w:pStyle w:val="TableText"/>
            </w:pPr>
            <w:r w:rsidRPr="00463667">
              <w:t>Number of required exclusions</w:t>
            </w:r>
          </w:p>
        </w:tc>
        <w:tc>
          <w:tcPr>
            <w:tcW w:w="2340" w:type="dxa"/>
            <w:shd w:val="clear" w:color="auto" w:fill="D9D9D9" w:themeFill="background1" w:themeFillShade="D9"/>
          </w:tcPr>
          <w:p w14:paraId="59C37A3B" w14:textId="77777777" w:rsidR="00B852BD" w:rsidRPr="00463667" w:rsidRDefault="00B852BD" w:rsidP="00F578E0">
            <w:pPr>
              <w:pStyle w:val="TableText"/>
              <w:jc w:val="center"/>
              <w:rPr>
                <w:i/>
                <w:iCs/>
              </w:rPr>
            </w:pPr>
            <w:r w:rsidRPr="00463667">
              <w:rPr>
                <w:sz w:val="24"/>
              </w:rPr>
              <w:sym w:font="Wingdings" w:char="F0FC"/>
            </w:r>
          </w:p>
        </w:tc>
      </w:tr>
      <w:tr w:rsidR="00B852BD" w:rsidRPr="00463667" w14:paraId="4C0A5939" w14:textId="77777777" w:rsidTr="00C3122F">
        <w:tc>
          <w:tcPr>
            <w:tcW w:w="4508" w:type="dxa"/>
            <w:shd w:val="clear" w:color="auto" w:fill="FFFFFF" w:themeFill="background1"/>
          </w:tcPr>
          <w:p w14:paraId="001294D5" w14:textId="77777777" w:rsidR="00B852BD" w:rsidRPr="00463667" w:rsidRDefault="00B852BD" w:rsidP="00F578E0">
            <w:pPr>
              <w:pStyle w:val="TableText"/>
            </w:pPr>
            <w:r w:rsidRPr="00463667">
              <w:t>Numerator events by administrative data</w:t>
            </w:r>
          </w:p>
        </w:tc>
        <w:tc>
          <w:tcPr>
            <w:tcW w:w="2340" w:type="dxa"/>
            <w:shd w:val="clear" w:color="auto" w:fill="FFFFFF" w:themeFill="background1"/>
          </w:tcPr>
          <w:p w14:paraId="63E4652D" w14:textId="77777777" w:rsidR="00B852BD" w:rsidRPr="00463667" w:rsidRDefault="00B852BD" w:rsidP="00F578E0">
            <w:pPr>
              <w:pStyle w:val="TableText"/>
              <w:jc w:val="center"/>
            </w:pPr>
            <w:r w:rsidRPr="00463667">
              <w:rPr>
                <w:i/>
                <w:iCs/>
              </w:rPr>
              <w:t>Each of the 2 rates</w:t>
            </w:r>
          </w:p>
        </w:tc>
      </w:tr>
      <w:tr w:rsidR="00EB00B0" w:rsidRPr="00463667" w14:paraId="15F87D09" w14:textId="77777777" w:rsidTr="00C3122F">
        <w:tc>
          <w:tcPr>
            <w:tcW w:w="4508" w:type="dxa"/>
            <w:shd w:val="clear" w:color="auto" w:fill="D9D9D9" w:themeFill="background1" w:themeFillShade="D9"/>
          </w:tcPr>
          <w:p w14:paraId="440DBA12" w14:textId="77777777" w:rsidR="00EB00B0" w:rsidRPr="00463667" w:rsidRDefault="00EB00B0" w:rsidP="00F578E0">
            <w:pPr>
              <w:pStyle w:val="TableText"/>
            </w:pPr>
            <w:r w:rsidRPr="00EB00B0">
              <w:t>Numerator events by supplemental data</w:t>
            </w:r>
          </w:p>
        </w:tc>
        <w:tc>
          <w:tcPr>
            <w:tcW w:w="2340" w:type="dxa"/>
            <w:shd w:val="clear" w:color="auto" w:fill="D9D9D9" w:themeFill="background1" w:themeFillShade="D9"/>
          </w:tcPr>
          <w:p w14:paraId="5DA820A0" w14:textId="77777777" w:rsidR="00EB00B0" w:rsidRPr="00463667" w:rsidRDefault="00EB00B0" w:rsidP="00F578E0">
            <w:pPr>
              <w:pStyle w:val="TableText"/>
              <w:jc w:val="center"/>
              <w:rPr>
                <w:i/>
                <w:iCs/>
              </w:rPr>
            </w:pPr>
            <w:r w:rsidRPr="00463667">
              <w:rPr>
                <w:i/>
                <w:iCs/>
              </w:rPr>
              <w:t>Each of the 2 rates</w:t>
            </w:r>
          </w:p>
        </w:tc>
      </w:tr>
      <w:tr w:rsidR="00B852BD" w:rsidRPr="00463667" w14:paraId="1647601D" w14:textId="77777777" w:rsidTr="00C3122F">
        <w:tc>
          <w:tcPr>
            <w:tcW w:w="4508" w:type="dxa"/>
            <w:shd w:val="clear" w:color="auto" w:fill="FFFFFF" w:themeFill="background1"/>
          </w:tcPr>
          <w:p w14:paraId="78E16CC0" w14:textId="77777777" w:rsidR="00B852BD" w:rsidRPr="00463667" w:rsidRDefault="00B852BD" w:rsidP="00F578E0">
            <w:pPr>
              <w:pStyle w:val="TableText"/>
            </w:pPr>
            <w:r w:rsidRPr="00463667">
              <w:t>Reported rate</w:t>
            </w:r>
          </w:p>
        </w:tc>
        <w:tc>
          <w:tcPr>
            <w:tcW w:w="2340" w:type="dxa"/>
            <w:shd w:val="clear" w:color="auto" w:fill="FFFFFF" w:themeFill="background1"/>
          </w:tcPr>
          <w:p w14:paraId="7B160193" w14:textId="77777777" w:rsidR="00B852BD" w:rsidRPr="00463667" w:rsidRDefault="00B852BD" w:rsidP="00F578E0">
            <w:pPr>
              <w:pStyle w:val="TableText"/>
              <w:jc w:val="center"/>
            </w:pPr>
            <w:r w:rsidRPr="00463667">
              <w:rPr>
                <w:i/>
                <w:iCs/>
              </w:rPr>
              <w:t>Each of the 2 rates</w:t>
            </w:r>
          </w:p>
        </w:tc>
      </w:tr>
      <w:tr w:rsidR="00B852BD" w:rsidRPr="00463667" w14:paraId="644FE85A" w14:textId="77777777" w:rsidTr="00C3122F">
        <w:tc>
          <w:tcPr>
            <w:tcW w:w="4508" w:type="dxa"/>
            <w:tcBorders>
              <w:bottom w:val="single" w:sz="6" w:space="0" w:color="auto"/>
            </w:tcBorders>
            <w:shd w:val="clear" w:color="auto" w:fill="D9D9D9" w:themeFill="background1" w:themeFillShade="D9"/>
          </w:tcPr>
          <w:p w14:paraId="4B3EE7D1" w14:textId="77777777" w:rsidR="00B852BD" w:rsidRPr="00463667" w:rsidRDefault="00B852BD" w:rsidP="00F578E0">
            <w:pPr>
              <w:pStyle w:val="TableText"/>
            </w:pPr>
            <w:r w:rsidRPr="00463667">
              <w:t>Lower 95% confidence interval</w:t>
            </w:r>
          </w:p>
        </w:tc>
        <w:tc>
          <w:tcPr>
            <w:tcW w:w="2340" w:type="dxa"/>
            <w:tcBorders>
              <w:bottom w:val="single" w:sz="6" w:space="0" w:color="auto"/>
            </w:tcBorders>
            <w:shd w:val="clear" w:color="auto" w:fill="D9D9D9" w:themeFill="background1" w:themeFillShade="D9"/>
          </w:tcPr>
          <w:p w14:paraId="47500801" w14:textId="77777777" w:rsidR="00B852BD" w:rsidRPr="00463667" w:rsidRDefault="00B852BD" w:rsidP="00F578E0">
            <w:pPr>
              <w:pStyle w:val="TableText"/>
              <w:jc w:val="center"/>
            </w:pPr>
            <w:r w:rsidRPr="00463667">
              <w:rPr>
                <w:i/>
                <w:iCs/>
              </w:rPr>
              <w:t>Each of the 2 rates</w:t>
            </w:r>
          </w:p>
        </w:tc>
      </w:tr>
      <w:tr w:rsidR="00B852BD" w:rsidRPr="00463667" w14:paraId="129A0506" w14:textId="77777777" w:rsidTr="00C3122F">
        <w:tc>
          <w:tcPr>
            <w:tcW w:w="4508" w:type="dxa"/>
            <w:tcBorders>
              <w:bottom w:val="single" w:sz="6" w:space="0" w:color="auto"/>
            </w:tcBorders>
            <w:shd w:val="clear" w:color="auto" w:fill="FFFFFF" w:themeFill="background1"/>
          </w:tcPr>
          <w:p w14:paraId="6891A44D" w14:textId="77777777" w:rsidR="00B852BD" w:rsidRPr="00463667" w:rsidRDefault="00B852BD" w:rsidP="00F578E0">
            <w:pPr>
              <w:pStyle w:val="TableText"/>
            </w:pPr>
            <w:r w:rsidRPr="00463667">
              <w:t>Upper 95% confidence interval</w:t>
            </w:r>
          </w:p>
        </w:tc>
        <w:tc>
          <w:tcPr>
            <w:tcW w:w="2340" w:type="dxa"/>
            <w:tcBorders>
              <w:bottom w:val="single" w:sz="6" w:space="0" w:color="auto"/>
            </w:tcBorders>
            <w:shd w:val="clear" w:color="auto" w:fill="FFFFFF" w:themeFill="background1"/>
          </w:tcPr>
          <w:p w14:paraId="3659157C" w14:textId="77777777" w:rsidR="00B852BD" w:rsidRPr="00463667" w:rsidRDefault="00B852BD" w:rsidP="00F578E0">
            <w:pPr>
              <w:pStyle w:val="TableText"/>
              <w:jc w:val="center"/>
            </w:pPr>
            <w:r w:rsidRPr="00463667">
              <w:rPr>
                <w:i/>
                <w:iCs/>
              </w:rPr>
              <w:t>Each of the 2 rates</w:t>
            </w:r>
          </w:p>
        </w:tc>
      </w:tr>
    </w:tbl>
    <w:p w14:paraId="39BF7BE4" w14:textId="77777777" w:rsidR="00B852BD" w:rsidRPr="00463667" w:rsidRDefault="00B852BD" w:rsidP="00B852BD">
      <w:pPr>
        <w:sectPr w:rsidR="00B852BD" w:rsidRPr="00463667" w:rsidSect="007527F3">
          <w:pgSz w:w="12240" w:h="15840" w:code="1"/>
          <w:pgMar w:top="1080" w:right="1080" w:bottom="1080" w:left="1440" w:header="720" w:footer="720" w:gutter="0"/>
          <w:cols w:space="720"/>
        </w:sectPr>
      </w:pPr>
    </w:p>
    <w:p w14:paraId="0200A2F6" w14:textId="77777777" w:rsidR="00B852BD" w:rsidRPr="00463667" w:rsidRDefault="00B852BD" w:rsidP="00B852BD">
      <w:pPr>
        <w:pStyle w:val="Heading2"/>
        <w:rPr>
          <w:szCs w:val="28"/>
        </w:rPr>
      </w:pPr>
      <w:bookmarkStart w:id="5" w:name="_Toc400546136"/>
      <w:r w:rsidRPr="003F7CDF">
        <w:rPr>
          <w:szCs w:val="28"/>
        </w:rPr>
        <w:lastRenderedPageBreak/>
        <w:t>Follow-Up Care for Children Prescribed ADHD Medication (ADD)</w:t>
      </w:r>
      <w:bookmarkEnd w:id="5"/>
    </w:p>
    <w:p w14:paraId="6D7875A1" w14:textId="715E6462" w:rsidR="00B852BD" w:rsidRPr="00463667" w:rsidRDefault="00B852BD" w:rsidP="00B852BD">
      <w:pPr>
        <w:pStyle w:val="SOC"/>
        <w:rPr>
          <w:i/>
        </w:rPr>
      </w:pPr>
      <w:r w:rsidRPr="00463667">
        <w:t xml:space="preserve">Summary of Changes to HEDIS </w:t>
      </w:r>
      <w:r w:rsidR="00D0464F">
        <w:t>2016</w:t>
      </w:r>
    </w:p>
    <w:p w14:paraId="41459F85" w14:textId="77777777" w:rsidR="00A27EB9" w:rsidRPr="00002D28" w:rsidRDefault="00A27EB9" w:rsidP="00A27EB9">
      <w:pPr>
        <w:pStyle w:val="ProcessBullet"/>
        <w:rPr>
          <w:i/>
          <w:iCs/>
        </w:rPr>
      </w:pPr>
      <w:r>
        <w:rPr>
          <w:iCs/>
        </w:rPr>
        <w:t>Added value sets to identify acute inpatient encounters for step 4 of the event/diagnosis</w:t>
      </w:r>
      <w:r w:rsidR="00885ED9">
        <w:rPr>
          <w:iCs/>
        </w:rPr>
        <w:t xml:space="preserve"> (for both Initiation and C&amp;M Phase)</w:t>
      </w:r>
      <w:r>
        <w:rPr>
          <w:iCs/>
        </w:rPr>
        <w:t>.</w:t>
      </w:r>
    </w:p>
    <w:p w14:paraId="27058FCE" w14:textId="51B86DB4" w:rsidR="00EB00B0" w:rsidRPr="00463667" w:rsidRDefault="00EB00B0" w:rsidP="00E1576D">
      <w:pPr>
        <w:pStyle w:val="ProcessBullet"/>
        <w:spacing w:before="60"/>
        <w:rPr>
          <w:i/>
          <w:iCs/>
        </w:rPr>
      </w:pPr>
      <w:r>
        <w:t xml:space="preserve">Added </w:t>
      </w:r>
      <w:r w:rsidR="009F0DF0">
        <w:t>“</w:t>
      </w:r>
      <w:r>
        <w:t>Numerator events by supplemental data</w:t>
      </w:r>
      <w:r w:rsidR="009F0DF0">
        <w:t>”</w:t>
      </w:r>
      <w:r>
        <w:t xml:space="preserve"> to the Data Elements for Reporting table to capture the number of members who met numerator criteria using supplemental data. </w:t>
      </w:r>
    </w:p>
    <w:p w14:paraId="1B6A8730" w14:textId="77777777" w:rsidR="00B852BD" w:rsidRPr="00463667" w:rsidRDefault="00B852BD" w:rsidP="00B852BD">
      <w:pPr>
        <w:pStyle w:val="ReverseHead"/>
      </w:pPr>
      <w:r w:rsidRPr="00463667">
        <w:t>Description</w:t>
      </w:r>
    </w:p>
    <w:p w14:paraId="60D0FC80" w14:textId="77777777" w:rsidR="00B852BD" w:rsidRPr="00463667" w:rsidRDefault="00B852BD" w:rsidP="00B852BD">
      <w:pPr>
        <w:pStyle w:val="Body"/>
      </w:pPr>
      <w:r w:rsidRPr="00463667">
        <w:t>The percentage of children newly prescribed attention-deficit/hyperactivity disorder (ADHD) medication who had at least three follow-up care visits within a 10-month period, one of which was within 30 days of when the first ADHD medication was dispensed. Two rates are reported.</w:t>
      </w:r>
    </w:p>
    <w:p w14:paraId="4C739FF4" w14:textId="77777777" w:rsidR="00B852BD" w:rsidRPr="00463667" w:rsidRDefault="00B852BD" w:rsidP="00B852BD">
      <w:pPr>
        <w:pStyle w:val="Bullet"/>
      </w:pPr>
      <w:r w:rsidRPr="00463667">
        <w:rPr>
          <w:i/>
        </w:rPr>
        <w:t xml:space="preserve">Initiation Phase. </w:t>
      </w:r>
      <w:r w:rsidRPr="00463667">
        <w:t>The percentage of members 6–12 years of age as of the IPSD with an ambulatory prescription dispensed for ADHD medication, who had one follow-up visit with practitioner with prescribing authority during the 30-day Initiation Phase.</w:t>
      </w:r>
    </w:p>
    <w:p w14:paraId="0ACC2B3C" w14:textId="77777777" w:rsidR="00B852BD" w:rsidRPr="00463667" w:rsidRDefault="00B852BD" w:rsidP="00B852BD">
      <w:pPr>
        <w:pStyle w:val="Bullet"/>
      </w:pPr>
      <w:r w:rsidRPr="00463667">
        <w:rPr>
          <w:i/>
        </w:rPr>
        <w:t xml:space="preserve">Continuation and Maintenance (C&amp;M) Phase. </w:t>
      </w:r>
      <w:r w:rsidRPr="00463667">
        <w:t xml:space="preserve">The percentage of members 6–12 years of age as of </w:t>
      </w:r>
      <w:r w:rsidRPr="00463667">
        <w:br/>
        <w:t xml:space="preserve">the IPSD with an ambulatory prescription dispensed for ADHD medication, who remained on the medication for at least 210 days and who, in addition to the visit in the Initiation Phase, had at least two follow-up visits with a practitioner within 270 days (9 months) after the Initiation Phase ended. </w:t>
      </w:r>
    </w:p>
    <w:p w14:paraId="55A35D3C" w14:textId="77777777" w:rsidR="00B852BD" w:rsidRPr="00463667" w:rsidRDefault="00B852BD" w:rsidP="00B852BD">
      <w:pPr>
        <w:pStyle w:val="ReverseHead"/>
      </w:pPr>
      <w:r w:rsidRPr="00463667">
        <w:t>Definitions</w:t>
      </w:r>
    </w:p>
    <w:tbl>
      <w:tblPr>
        <w:tblW w:w="98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2005"/>
        <w:gridCol w:w="7830"/>
      </w:tblGrid>
      <w:tr w:rsidR="00B852BD" w:rsidRPr="00463667" w14:paraId="4558B032" w14:textId="77777777" w:rsidTr="00F578E0">
        <w:tc>
          <w:tcPr>
            <w:tcW w:w="2005" w:type="dxa"/>
            <w:tcBorders>
              <w:top w:val="nil"/>
              <w:left w:val="nil"/>
              <w:bottom w:val="nil"/>
              <w:right w:val="nil"/>
            </w:tcBorders>
            <w:tcMar>
              <w:left w:w="115" w:type="dxa"/>
              <w:right w:w="115" w:type="dxa"/>
            </w:tcMar>
          </w:tcPr>
          <w:p w14:paraId="773CA8BA" w14:textId="77777777" w:rsidR="00B852BD" w:rsidRPr="00463667" w:rsidRDefault="00B852BD" w:rsidP="00F578E0">
            <w:pPr>
              <w:pStyle w:val="MarginSubhead"/>
            </w:pPr>
            <w:r w:rsidRPr="00463667">
              <w:t>Intake Period</w:t>
            </w:r>
          </w:p>
        </w:tc>
        <w:tc>
          <w:tcPr>
            <w:tcW w:w="7830" w:type="dxa"/>
            <w:tcBorders>
              <w:top w:val="nil"/>
              <w:left w:val="nil"/>
              <w:bottom w:val="nil"/>
              <w:right w:val="nil"/>
            </w:tcBorders>
            <w:tcMar>
              <w:left w:w="115" w:type="dxa"/>
              <w:right w:w="115" w:type="dxa"/>
            </w:tcMar>
          </w:tcPr>
          <w:p w14:paraId="6D21D0EB" w14:textId="77777777" w:rsidR="00B852BD" w:rsidRPr="00463667" w:rsidRDefault="00B852BD" w:rsidP="00F578E0">
            <w:pPr>
              <w:pStyle w:val="Body"/>
            </w:pPr>
            <w:r w:rsidRPr="00463667">
              <w:t>The 12-month window starting March 1 of the year prior to the measurement year and ending February 28 of the measurement year.</w:t>
            </w:r>
          </w:p>
        </w:tc>
      </w:tr>
      <w:tr w:rsidR="00B852BD" w:rsidRPr="00463667" w14:paraId="5841A43F" w14:textId="77777777" w:rsidTr="00F578E0">
        <w:tc>
          <w:tcPr>
            <w:tcW w:w="2005" w:type="dxa"/>
            <w:tcBorders>
              <w:top w:val="nil"/>
              <w:left w:val="nil"/>
              <w:bottom w:val="nil"/>
              <w:right w:val="nil"/>
            </w:tcBorders>
            <w:tcMar>
              <w:left w:w="115" w:type="dxa"/>
              <w:right w:w="115" w:type="dxa"/>
            </w:tcMar>
          </w:tcPr>
          <w:p w14:paraId="766C4C7F" w14:textId="77777777" w:rsidR="00B852BD" w:rsidRPr="00463667" w:rsidRDefault="00B852BD" w:rsidP="00F578E0">
            <w:pPr>
              <w:pStyle w:val="MarginSubhead"/>
            </w:pPr>
            <w:r w:rsidRPr="00463667">
              <w:t>Negative Medication History</w:t>
            </w:r>
          </w:p>
        </w:tc>
        <w:tc>
          <w:tcPr>
            <w:tcW w:w="7830" w:type="dxa"/>
            <w:tcBorders>
              <w:top w:val="nil"/>
              <w:left w:val="nil"/>
              <w:bottom w:val="nil"/>
              <w:right w:val="nil"/>
            </w:tcBorders>
            <w:tcMar>
              <w:left w:w="115" w:type="dxa"/>
              <w:right w:w="115" w:type="dxa"/>
            </w:tcMar>
          </w:tcPr>
          <w:p w14:paraId="33BF9847" w14:textId="77777777" w:rsidR="00B852BD" w:rsidRPr="00463667" w:rsidRDefault="00B852BD" w:rsidP="00F578E0">
            <w:pPr>
              <w:pStyle w:val="Body"/>
            </w:pPr>
            <w:r w:rsidRPr="00463667">
              <w:t>A period of 120 days (4 months) prior to the IPSD when the member had no ADHD medications dispensed for either new or refill prescriptions.</w:t>
            </w:r>
          </w:p>
        </w:tc>
      </w:tr>
      <w:tr w:rsidR="00B852BD" w:rsidRPr="00463667" w14:paraId="34B9A8B9" w14:textId="77777777" w:rsidTr="00F578E0">
        <w:tc>
          <w:tcPr>
            <w:tcW w:w="2005" w:type="dxa"/>
            <w:tcBorders>
              <w:top w:val="nil"/>
              <w:left w:val="nil"/>
              <w:bottom w:val="nil"/>
              <w:right w:val="nil"/>
            </w:tcBorders>
            <w:tcMar>
              <w:left w:w="115" w:type="dxa"/>
              <w:right w:w="115" w:type="dxa"/>
            </w:tcMar>
          </w:tcPr>
          <w:p w14:paraId="6946F786" w14:textId="77777777" w:rsidR="00B852BD" w:rsidRPr="00463667" w:rsidRDefault="00B852BD" w:rsidP="00F578E0">
            <w:pPr>
              <w:pStyle w:val="MarginSubhead"/>
            </w:pPr>
            <w:r w:rsidRPr="00463667">
              <w:t>IPSD</w:t>
            </w:r>
          </w:p>
        </w:tc>
        <w:tc>
          <w:tcPr>
            <w:tcW w:w="7830" w:type="dxa"/>
            <w:tcBorders>
              <w:top w:val="nil"/>
              <w:left w:val="nil"/>
              <w:bottom w:val="nil"/>
              <w:right w:val="nil"/>
            </w:tcBorders>
            <w:tcMar>
              <w:left w:w="115" w:type="dxa"/>
              <w:right w:w="115" w:type="dxa"/>
            </w:tcMar>
          </w:tcPr>
          <w:p w14:paraId="6292CC6F" w14:textId="77777777" w:rsidR="00B852BD" w:rsidRPr="00463667" w:rsidRDefault="00B852BD" w:rsidP="00F578E0">
            <w:pPr>
              <w:pStyle w:val="Body"/>
            </w:pPr>
            <w:r w:rsidRPr="00463667">
              <w:t>Index Prescription Start Date. The earliest prescription dispensing date for an ADHD medication where the date is in the Intake Period and there is a Negative Medication History.</w:t>
            </w:r>
          </w:p>
        </w:tc>
      </w:tr>
      <w:tr w:rsidR="00B852BD" w:rsidRPr="00463667" w14:paraId="182D413C" w14:textId="77777777" w:rsidTr="00F578E0">
        <w:tc>
          <w:tcPr>
            <w:tcW w:w="2005" w:type="dxa"/>
            <w:tcBorders>
              <w:top w:val="nil"/>
              <w:left w:val="nil"/>
              <w:bottom w:val="nil"/>
              <w:right w:val="nil"/>
            </w:tcBorders>
            <w:tcMar>
              <w:left w:w="115" w:type="dxa"/>
              <w:right w:w="115" w:type="dxa"/>
            </w:tcMar>
          </w:tcPr>
          <w:p w14:paraId="518A9859" w14:textId="77777777" w:rsidR="00B852BD" w:rsidRPr="00463667" w:rsidRDefault="00B852BD" w:rsidP="00F578E0">
            <w:pPr>
              <w:pStyle w:val="MarginSubhead"/>
            </w:pPr>
            <w:r w:rsidRPr="00463667">
              <w:t>Initiation Phase</w:t>
            </w:r>
          </w:p>
        </w:tc>
        <w:tc>
          <w:tcPr>
            <w:tcW w:w="7830" w:type="dxa"/>
            <w:tcBorders>
              <w:top w:val="nil"/>
              <w:left w:val="nil"/>
              <w:bottom w:val="nil"/>
              <w:right w:val="nil"/>
            </w:tcBorders>
            <w:tcMar>
              <w:left w:w="115" w:type="dxa"/>
              <w:right w:w="115" w:type="dxa"/>
            </w:tcMar>
          </w:tcPr>
          <w:p w14:paraId="4D0371B0" w14:textId="77777777" w:rsidR="00B852BD" w:rsidRPr="00463667" w:rsidRDefault="00B852BD" w:rsidP="00F578E0">
            <w:pPr>
              <w:pStyle w:val="Body"/>
            </w:pPr>
            <w:r w:rsidRPr="00463667">
              <w:rPr>
                <w:bCs/>
              </w:rPr>
              <w:t>The 30 days following the IPSD.</w:t>
            </w:r>
          </w:p>
        </w:tc>
      </w:tr>
      <w:tr w:rsidR="00B852BD" w:rsidRPr="00463667" w14:paraId="6450E67B" w14:textId="77777777" w:rsidTr="00F578E0">
        <w:tc>
          <w:tcPr>
            <w:tcW w:w="2005" w:type="dxa"/>
            <w:tcBorders>
              <w:top w:val="nil"/>
              <w:left w:val="nil"/>
              <w:bottom w:val="nil"/>
              <w:right w:val="nil"/>
            </w:tcBorders>
            <w:tcMar>
              <w:left w:w="115" w:type="dxa"/>
              <w:right w:w="115" w:type="dxa"/>
            </w:tcMar>
          </w:tcPr>
          <w:p w14:paraId="1B2C5B8A" w14:textId="77777777" w:rsidR="00B852BD" w:rsidRPr="00463667" w:rsidRDefault="00B852BD" w:rsidP="00F578E0">
            <w:pPr>
              <w:pStyle w:val="MarginSubhead"/>
            </w:pPr>
            <w:r w:rsidRPr="00463667">
              <w:t>C&amp;M Phase</w:t>
            </w:r>
          </w:p>
        </w:tc>
        <w:tc>
          <w:tcPr>
            <w:tcW w:w="7830" w:type="dxa"/>
            <w:tcBorders>
              <w:top w:val="nil"/>
              <w:left w:val="nil"/>
              <w:bottom w:val="nil"/>
              <w:right w:val="nil"/>
            </w:tcBorders>
            <w:tcMar>
              <w:left w:w="115" w:type="dxa"/>
              <w:right w:w="115" w:type="dxa"/>
            </w:tcMar>
          </w:tcPr>
          <w:p w14:paraId="0FC06E37" w14:textId="77777777" w:rsidR="00B852BD" w:rsidRPr="00463667" w:rsidRDefault="00B852BD" w:rsidP="00F578E0">
            <w:pPr>
              <w:pStyle w:val="Body"/>
              <w:rPr>
                <w:bCs/>
              </w:rPr>
            </w:pPr>
            <w:r w:rsidRPr="00463667">
              <w:rPr>
                <w:bCs/>
              </w:rPr>
              <w:t>The 300 days following the IPSD (10 months).</w:t>
            </w:r>
          </w:p>
        </w:tc>
      </w:tr>
      <w:tr w:rsidR="00B852BD" w:rsidRPr="00463667" w14:paraId="17241641" w14:textId="77777777" w:rsidTr="00F578E0">
        <w:tc>
          <w:tcPr>
            <w:tcW w:w="2005" w:type="dxa"/>
            <w:tcBorders>
              <w:top w:val="nil"/>
              <w:left w:val="nil"/>
              <w:bottom w:val="nil"/>
              <w:right w:val="nil"/>
            </w:tcBorders>
            <w:tcMar>
              <w:left w:w="115" w:type="dxa"/>
              <w:right w:w="115" w:type="dxa"/>
            </w:tcMar>
          </w:tcPr>
          <w:p w14:paraId="0EA6E6DC" w14:textId="77777777" w:rsidR="00B852BD" w:rsidRPr="00463667" w:rsidRDefault="00B852BD" w:rsidP="00F578E0">
            <w:pPr>
              <w:pStyle w:val="MarginSubhead"/>
            </w:pPr>
            <w:r w:rsidRPr="00463667">
              <w:t>New Episode</w:t>
            </w:r>
          </w:p>
        </w:tc>
        <w:tc>
          <w:tcPr>
            <w:tcW w:w="7830" w:type="dxa"/>
            <w:tcBorders>
              <w:top w:val="nil"/>
              <w:left w:val="nil"/>
              <w:bottom w:val="nil"/>
              <w:right w:val="nil"/>
            </w:tcBorders>
            <w:tcMar>
              <w:left w:w="115" w:type="dxa"/>
              <w:right w:w="115" w:type="dxa"/>
            </w:tcMar>
          </w:tcPr>
          <w:p w14:paraId="33F34829" w14:textId="77777777" w:rsidR="00B852BD" w:rsidRPr="00463667" w:rsidRDefault="00B852BD" w:rsidP="00F578E0">
            <w:pPr>
              <w:pStyle w:val="Body"/>
              <w:rPr>
                <w:bCs/>
              </w:rPr>
            </w:pPr>
            <w:r w:rsidRPr="00463667">
              <w:rPr>
                <w:bCs/>
              </w:rPr>
              <w:t>The member must have a 120-day (4-month) Negative Medication History on or before the IPSD.</w:t>
            </w:r>
          </w:p>
        </w:tc>
      </w:tr>
      <w:tr w:rsidR="00B852BD" w:rsidRPr="00463667" w14:paraId="6F83F0A9" w14:textId="77777777" w:rsidTr="00F578E0">
        <w:tc>
          <w:tcPr>
            <w:tcW w:w="2005" w:type="dxa"/>
            <w:tcBorders>
              <w:top w:val="nil"/>
              <w:left w:val="nil"/>
              <w:bottom w:val="nil"/>
              <w:right w:val="nil"/>
            </w:tcBorders>
            <w:tcMar>
              <w:left w:w="115" w:type="dxa"/>
              <w:right w:w="115" w:type="dxa"/>
            </w:tcMar>
          </w:tcPr>
          <w:p w14:paraId="5E76686B" w14:textId="77777777" w:rsidR="00B852BD" w:rsidRPr="00463667" w:rsidRDefault="00B852BD" w:rsidP="00F578E0">
            <w:pPr>
              <w:pStyle w:val="MarginSubhead"/>
            </w:pPr>
            <w:r w:rsidRPr="00463667">
              <w:t xml:space="preserve">Continuous Medication Treatment </w:t>
            </w:r>
          </w:p>
        </w:tc>
        <w:tc>
          <w:tcPr>
            <w:tcW w:w="7830" w:type="dxa"/>
            <w:tcBorders>
              <w:top w:val="nil"/>
              <w:left w:val="nil"/>
              <w:bottom w:val="nil"/>
              <w:right w:val="nil"/>
            </w:tcBorders>
            <w:tcMar>
              <w:left w:w="115" w:type="dxa"/>
              <w:right w:w="115" w:type="dxa"/>
            </w:tcMar>
          </w:tcPr>
          <w:p w14:paraId="7F90C289" w14:textId="77777777" w:rsidR="00B852BD" w:rsidRPr="00463667" w:rsidRDefault="00B852BD" w:rsidP="00F578E0">
            <w:pPr>
              <w:pStyle w:val="Body"/>
              <w:rPr>
                <w:bCs/>
              </w:rPr>
            </w:pPr>
            <w:r w:rsidRPr="00463667">
              <w:rPr>
                <w:bCs/>
              </w:rPr>
              <w:t xml:space="preserve">The number of medication treatment days during the 10-month follow-up period must be ≥210 days (i.e., 300 treatment days – 90 gap days). </w:t>
            </w:r>
          </w:p>
        </w:tc>
      </w:tr>
      <w:tr w:rsidR="00B852BD" w:rsidRPr="00463667" w14:paraId="77AD4E7E" w14:textId="77777777" w:rsidTr="00F578E0">
        <w:tc>
          <w:tcPr>
            <w:tcW w:w="2005" w:type="dxa"/>
            <w:tcBorders>
              <w:top w:val="nil"/>
              <w:left w:val="nil"/>
              <w:bottom w:val="nil"/>
              <w:right w:val="nil"/>
            </w:tcBorders>
            <w:tcMar>
              <w:left w:w="115" w:type="dxa"/>
              <w:right w:w="115" w:type="dxa"/>
            </w:tcMar>
          </w:tcPr>
          <w:p w14:paraId="33B47D01" w14:textId="77777777" w:rsidR="00B852BD" w:rsidRPr="00463667" w:rsidRDefault="00B852BD" w:rsidP="00F578E0">
            <w:pPr>
              <w:pStyle w:val="MarginSubhead"/>
            </w:pPr>
            <w:r w:rsidRPr="00463667">
              <w:t>Treatment days (covered days)</w:t>
            </w:r>
          </w:p>
        </w:tc>
        <w:tc>
          <w:tcPr>
            <w:tcW w:w="7830" w:type="dxa"/>
            <w:tcBorders>
              <w:top w:val="nil"/>
              <w:left w:val="nil"/>
              <w:bottom w:val="nil"/>
              <w:right w:val="nil"/>
            </w:tcBorders>
            <w:tcMar>
              <w:left w:w="115" w:type="dxa"/>
              <w:right w:w="115" w:type="dxa"/>
            </w:tcMar>
          </w:tcPr>
          <w:p w14:paraId="2E2C61B6" w14:textId="77777777" w:rsidR="00B852BD" w:rsidRPr="00463667" w:rsidRDefault="00B852BD" w:rsidP="00F578E0">
            <w:pPr>
              <w:pStyle w:val="Body"/>
              <w:rPr>
                <w:bCs/>
              </w:rPr>
            </w:pPr>
            <w:r w:rsidRPr="00463667">
              <w:rPr>
                <w:bCs/>
              </w:rPr>
              <w:t>The actual number of calendar days covered with prescriptions within the specified 300-day measurement interval (e.g., a prescription of a 90 days supply dispensed on the 220th day will have 80 days counted in the 300-day interval).</w:t>
            </w:r>
          </w:p>
        </w:tc>
      </w:tr>
    </w:tbl>
    <w:p w14:paraId="4EA92DA3" w14:textId="77777777" w:rsidR="00B852BD" w:rsidRPr="00463667" w:rsidRDefault="00B852BD" w:rsidP="00B852BD">
      <w:pPr>
        <w:pStyle w:val="TableText"/>
        <w:spacing w:before="60" w:after="0"/>
        <w:rPr>
          <w:rFonts w:ascii="Arial" w:hAnsi="Arial" w:cs="Arial"/>
          <w:sz w:val="18"/>
          <w:szCs w:val="18"/>
        </w:rPr>
        <w:sectPr w:rsidR="00B852BD" w:rsidRPr="00463667" w:rsidSect="007527F3">
          <w:headerReference w:type="even" r:id="rId52"/>
          <w:headerReference w:type="default" r:id="rId53"/>
          <w:pgSz w:w="12240" w:h="15840" w:code="1"/>
          <w:pgMar w:top="1080" w:right="1080" w:bottom="1080" w:left="1440" w:header="720" w:footer="720" w:gutter="0"/>
          <w:cols w:space="720"/>
        </w:sectPr>
      </w:pPr>
    </w:p>
    <w:p w14:paraId="4B48956A" w14:textId="77777777" w:rsidR="00B852BD" w:rsidRPr="00463667" w:rsidRDefault="00B852BD" w:rsidP="00B852BD">
      <w:pPr>
        <w:pStyle w:val="ReverseHead"/>
        <w:spacing w:before="0"/>
        <w:rPr>
          <w:i/>
        </w:rPr>
      </w:pPr>
      <w:r w:rsidRPr="00463667">
        <w:lastRenderedPageBreak/>
        <w:t xml:space="preserve">Eligible Population: </w:t>
      </w:r>
      <w:r w:rsidRPr="00463667">
        <w:rPr>
          <w:i/>
        </w:rPr>
        <w:t>Rate 1—Initiation Phase</w:t>
      </w:r>
    </w:p>
    <w:tbl>
      <w:tblPr>
        <w:tblW w:w="9900" w:type="dxa"/>
        <w:tblInd w:w="-72" w:type="dxa"/>
        <w:tblLayout w:type="fixed"/>
        <w:tblLook w:val="0000" w:firstRow="0" w:lastRow="0" w:firstColumn="0" w:lastColumn="0" w:noHBand="0" w:noVBand="0"/>
      </w:tblPr>
      <w:tblGrid>
        <w:gridCol w:w="1890"/>
        <w:gridCol w:w="8010"/>
      </w:tblGrid>
      <w:tr w:rsidR="00B852BD" w:rsidRPr="00463667" w14:paraId="4AD8CF15" w14:textId="77777777" w:rsidTr="00F578E0">
        <w:tc>
          <w:tcPr>
            <w:tcW w:w="1890" w:type="dxa"/>
          </w:tcPr>
          <w:p w14:paraId="3A98DD1F" w14:textId="77777777" w:rsidR="00B852BD" w:rsidRPr="00463667" w:rsidRDefault="00B852BD" w:rsidP="00F578E0">
            <w:pPr>
              <w:pStyle w:val="MarginSubhead"/>
            </w:pPr>
            <w:r w:rsidRPr="00463667">
              <w:t>Product lines</w:t>
            </w:r>
          </w:p>
        </w:tc>
        <w:tc>
          <w:tcPr>
            <w:tcW w:w="8010" w:type="dxa"/>
          </w:tcPr>
          <w:p w14:paraId="1567D165" w14:textId="77777777" w:rsidR="00B852BD" w:rsidRPr="00463667" w:rsidRDefault="00B852BD" w:rsidP="00F578E0">
            <w:pPr>
              <w:pStyle w:val="Body"/>
            </w:pPr>
            <w:r w:rsidRPr="00463667">
              <w:t>Commercial, Medicaid</w:t>
            </w:r>
            <w:r w:rsidRPr="00463667">
              <w:rPr>
                <w:i/>
              </w:rPr>
              <w:t xml:space="preserve"> </w:t>
            </w:r>
            <w:r w:rsidRPr="00463667">
              <w:t xml:space="preserve">(report each product line separately). </w:t>
            </w:r>
          </w:p>
        </w:tc>
      </w:tr>
      <w:tr w:rsidR="00B852BD" w:rsidRPr="00463667" w14:paraId="11B973AF" w14:textId="77777777" w:rsidTr="00F578E0">
        <w:tc>
          <w:tcPr>
            <w:tcW w:w="1890" w:type="dxa"/>
          </w:tcPr>
          <w:p w14:paraId="7A8D25BA" w14:textId="77777777" w:rsidR="00B852BD" w:rsidRPr="00463667" w:rsidRDefault="00B852BD" w:rsidP="00F578E0">
            <w:pPr>
              <w:pStyle w:val="MarginSubhead"/>
            </w:pPr>
            <w:r w:rsidRPr="00463667">
              <w:t>Ages</w:t>
            </w:r>
          </w:p>
        </w:tc>
        <w:tc>
          <w:tcPr>
            <w:tcW w:w="8010" w:type="dxa"/>
          </w:tcPr>
          <w:p w14:paraId="13ED4D41" w14:textId="77777777" w:rsidR="00B852BD" w:rsidRPr="00463667" w:rsidRDefault="00B852BD" w:rsidP="00F578E0">
            <w:pPr>
              <w:pStyle w:val="Body"/>
            </w:pPr>
            <w:r w:rsidRPr="00463667">
              <w:t xml:space="preserve">Six years as of March 1 of the year prior to the measurement year to 12 years as of February 28 of the measurement year. </w:t>
            </w:r>
          </w:p>
        </w:tc>
      </w:tr>
      <w:tr w:rsidR="00B852BD" w:rsidRPr="00463667" w14:paraId="34CB6001" w14:textId="77777777" w:rsidTr="00F578E0">
        <w:tc>
          <w:tcPr>
            <w:tcW w:w="1890" w:type="dxa"/>
          </w:tcPr>
          <w:p w14:paraId="1297B57A" w14:textId="77777777" w:rsidR="00B852BD" w:rsidRPr="00463667" w:rsidRDefault="00B852BD" w:rsidP="00F578E0">
            <w:pPr>
              <w:pStyle w:val="MarginSubhead"/>
            </w:pPr>
            <w:r w:rsidRPr="00463667">
              <w:t>Continuous enrollment</w:t>
            </w:r>
          </w:p>
        </w:tc>
        <w:tc>
          <w:tcPr>
            <w:tcW w:w="8010" w:type="dxa"/>
          </w:tcPr>
          <w:p w14:paraId="6119C5F0" w14:textId="77777777" w:rsidR="00B852BD" w:rsidRPr="00463667" w:rsidRDefault="00B852BD" w:rsidP="00F578E0">
            <w:pPr>
              <w:pStyle w:val="Body"/>
            </w:pPr>
            <w:r w:rsidRPr="00463667">
              <w:t>120 days (4 months) prior to the IPSD through 30 days after the IPSD.</w:t>
            </w:r>
          </w:p>
        </w:tc>
      </w:tr>
      <w:tr w:rsidR="00B852BD" w:rsidRPr="00463667" w14:paraId="0974286A" w14:textId="77777777" w:rsidTr="00F578E0">
        <w:tc>
          <w:tcPr>
            <w:tcW w:w="1890" w:type="dxa"/>
          </w:tcPr>
          <w:p w14:paraId="792EDBB4" w14:textId="77777777" w:rsidR="00B852BD" w:rsidRPr="00463667" w:rsidRDefault="00B852BD" w:rsidP="00F578E0">
            <w:pPr>
              <w:pStyle w:val="MarginSubhead"/>
            </w:pPr>
            <w:r w:rsidRPr="00463667">
              <w:t>Allowable gap</w:t>
            </w:r>
          </w:p>
        </w:tc>
        <w:tc>
          <w:tcPr>
            <w:tcW w:w="8010" w:type="dxa"/>
          </w:tcPr>
          <w:p w14:paraId="15AF8453" w14:textId="77777777" w:rsidR="00B852BD" w:rsidRPr="00463667" w:rsidRDefault="00B852BD" w:rsidP="00F578E0">
            <w:pPr>
              <w:pStyle w:val="Body"/>
            </w:pPr>
            <w:r w:rsidRPr="00463667">
              <w:t>None.</w:t>
            </w:r>
          </w:p>
        </w:tc>
      </w:tr>
      <w:tr w:rsidR="00B852BD" w:rsidRPr="00463667" w14:paraId="2060A72B" w14:textId="77777777" w:rsidTr="00F578E0">
        <w:tc>
          <w:tcPr>
            <w:tcW w:w="1890" w:type="dxa"/>
          </w:tcPr>
          <w:p w14:paraId="483F3031" w14:textId="77777777" w:rsidR="00B852BD" w:rsidRPr="00463667" w:rsidRDefault="00B852BD" w:rsidP="00F578E0">
            <w:pPr>
              <w:pStyle w:val="MarginSubhead"/>
            </w:pPr>
            <w:r w:rsidRPr="00463667">
              <w:t>Anchor date</w:t>
            </w:r>
          </w:p>
        </w:tc>
        <w:tc>
          <w:tcPr>
            <w:tcW w:w="8010" w:type="dxa"/>
          </w:tcPr>
          <w:p w14:paraId="3B289ECB" w14:textId="77777777" w:rsidR="00B852BD" w:rsidRPr="00463667" w:rsidRDefault="00B852BD" w:rsidP="00F578E0">
            <w:pPr>
              <w:pStyle w:val="Body"/>
            </w:pPr>
            <w:r w:rsidRPr="00463667">
              <w:t>None.</w:t>
            </w:r>
          </w:p>
        </w:tc>
      </w:tr>
      <w:tr w:rsidR="00B852BD" w:rsidRPr="00463667" w14:paraId="30294991" w14:textId="77777777" w:rsidTr="00F578E0">
        <w:tc>
          <w:tcPr>
            <w:tcW w:w="1890" w:type="dxa"/>
          </w:tcPr>
          <w:p w14:paraId="36F9D2CC" w14:textId="77777777" w:rsidR="00B852BD" w:rsidRPr="00463667" w:rsidRDefault="00B852BD" w:rsidP="00F578E0">
            <w:pPr>
              <w:pStyle w:val="MarginSubhead"/>
            </w:pPr>
            <w:r w:rsidRPr="00463667">
              <w:t>Benefits</w:t>
            </w:r>
          </w:p>
        </w:tc>
        <w:tc>
          <w:tcPr>
            <w:tcW w:w="8010" w:type="dxa"/>
          </w:tcPr>
          <w:p w14:paraId="29189C1A" w14:textId="77777777" w:rsidR="00B852BD" w:rsidRPr="00463667" w:rsidRDefault="00B852BD" w:rsidP="00F578E0">
            <w:pPr>
              <w:pStyle w:val="Body"/>
            </w:pPr>
            <w:r w:rsidRPr="00463667">
              <w:t xml:space="preserve">Medical and pharmacy. </w:t>
            </w:r>
          </w:p>
        </w:tc>
      </w:tr>
      <w:tr w:rsidR="00B852BD" w:rsidRPr="00463667" w14:paraId="2FD360C8" w14:textId="77777777" w:rsidTr="00F578E0">
        <w:tc>
          <w:tcPr>
            <w:tcW w:w="1890" w:type="dxa"/>
          </w:tcPr>
          <w:p w14:paraId="3AF81B63" w14:textId="77777777" w:rsidR="00B852BD" w:rsidRPr="00463667" w:rsidRDefault="00B852BD" w:rsidP="00F578E0">
            <w:pPr>
              <w:pStyle w:val="MarginSubhead"/>
            </w:pPr>
            <w:r w:rsidRPr="00463667">
              <w:t>Event/ diagnosis</w:t>
            </w:r>
          </w:p>
        </w:tc>
        <w:tc>
          <w:tcPr>
            <w:tcW w:w="8010" w:type="dxa"/>
          </w:tcPr>
          <w:p w14:paraId="5B3F8B64" w14:textId="77777777" w:rsidR="00B852BD" w:rsidRPr="00463667" w:rsidRDefault="00B852BD" w:rsidP="00F578E0">
            <w:pPr>
              <w:pStyle w:val="Body"/>
            </w:pPr>
            <w:r w:rsidRPr="00463667">
              <w:t>Follow the steps below to identify the eligible population for the Initiation Phase.</w:t>
            </w:r>
          </w:p>
        </w:tc>
      </w:tr>
      <w:tr w:rsidR="00B852BD" w:rsidRPr="00463667" w14:paraId="157D0CDF" w14:textId="77777777" w:rsidTr="00F578E0">
        <w:tc>
          <w:tcPr>
            <w:tcW w:w="1890" w:type="dxa"/>
          </w:tcPr>
          <w:p w14:paraId="5B34B03F" w14:textId="77777777" w:rsidR="00B852BD" w:rsidRPr="00463667" w:rsidRDefault="00B852BD" w:rsidP="00C3122F">
            <w:pPr>
              <w:pStyle w:val="MarginSubhead"/>
              <w:spacing w:before="120"/>
              <w:jc w:val="right"/>
            </w:pPr>
            <w:r w:rsidRPr="00463667">
              <w:rPr>
                <w:i/>
                <w:iCs/>
              </w:rPr>
              <w:t>Step 1</w:t>
            </w:r>
          </w:p>
        </w:tc>
        <w:tc>
          <w:tcPr>
            <w:tcW w:w="8010" w:type="dxa"/>
          </w:tcPr>
          <w:p w14:paraId="0F5A47B1" w14:textId="77777777" w:rsidR="00B852BD" w:rsidRPr="00463667" w:rsidRDefault="00B852BD" w:rsidP="00C3122F">
            <w:pPr>
              <w:pStyle w:val="Body"/>
              <w:spacing w:before="120"/>
            </w:pPr>
            <w:r w:rsidRPr="00463667">
              <w:t>Identify all children in the specified age range who were dispensed an ADHD medication (Table ADD-A) during the 12-month Intake Period.</w:t>
            </w:r>
          </w:p>
        </w:tc>
      </w:tr>
    </w:tbl>
    <w:p w14:paraId="796389FF" w14:textId="77777777" w:rsidR="00B852BD" w:rsidRPr="00463667" w:rsidRDefault="00B852BD" w:rsidP="00B852BD">
      <w:pPr>
        <w:pStyle w:val="TableHeadNotCondensed"/>
        <w:rPr>
          <w:rFonts w:cs="Times New Roman"/>
          <w:i/>
          <w:sz w:val="20"/>
          <w:szCs w:val="24"/>
        </w:rPr>
      </w:pPr>
      <w:r w:rsidRPr="00463667">
        <w:t xml:space="preserve">Table ADD-A: ADHD Medications </w:t>
      </w:r>
    </w:p>
    <w:tbl>
      <w:tblPr>
        <w:tblW w:w="7717"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0"/>
        <w:gridCol w:w="2052"/>
        <w:gridCol w:w="1980"/>
        <w:gridCol w:w="1795"/>
      </w:tblGrid>
      <w:tr w:rsidR="00B852BD" w:rsidRPr="00463667" w14:paraId="688F01F5" w14:textId="77777777" w:rsidTr="00575A7E">
        <w:trPr>
          <w:cantSplit/>
        </w:trPr>
        <w:tc>
          <w:tcPr>
            <w:tcW w:w="1890" w:type="dxa"/>
            <w:tcBorders>
              <w:top w:val="single" w:sz="6" w:space="0" w:color="auto"/>
              <w:left w:val="single" w:sz="4" w:space="0" w:color="auto"/>
              <w:right w:val="single" w:sz="6" w:space="0" w:color="FFFFFF"/>
            </w:tcBorders>
            <w:shd w:val="clear" w:color="auto" w:fill="000000"/>
          </w:tcPr>
          <w:p w14:paraId="7AB1E44F" w14:textId="77777777" w:rsidR="00B852BD" w:rsidRPr="00463667" w:rsidRDefault="00B852BD" w:rsidP="00F578E0">
            <w:pPr>
              <w:pStyle w:val="TableHead"/>
              <w:rPr>
                <w:color w:val="auto"/>
              </w:rPr>
            </w:pPr>
            <w:r w:rsidRPr="00463667">
              <w:rPr>
                <w:color w:val="auto"/>
              </w:rPr>
              <w:t>Description</w:t>
            </w:r>
          </w:p>
        </w:tc>
        <w:tc>
          <w:tcPr>
            <w:tcW w:w="5827" w:type="dxa"/>
            <w:gridSpan w:val="3"/>
            <w:tcBorders>
              <w:top w:val="single" w:sz="6" w:space="0" w:color="auto"/>
              <w:left w:val="single" w:sz="6" w:space="0" w:color="FFFFFF"/>
              <w:bottom w:val="single" w:sz="6" w:space="0" w:color="auto"/>
              <w:right w:val="single" w:sz="4" w:space="0" w:color="auto"/>
            </w:tcBorders>
            <w:shd w:val="clear" w:color="auto" w:fill="000000"/>
          </w:tcPr>
          <w:p w14:paraId="1590A177" w14:textId="77777777" w:rsidR="00B852BD" w:rsidRPr="00463667" w:rsidRDefault="00B852BD" w:rsidP="00F578E0">
            <w:pPr>
              <w:pStyle w:val="TableHead"/>
              <w:rPr>
                <w:color w:val="auto"/>
              </w:rPr>
            </w:pPr>
            <w:r w:rsidRPr="00463667">
              <w:rPr>
                <w:color w:val="auto"/>
              </w:rPr>
              <w:t>Prescription</w:t>
            </w:r>
          </w:p>
        </w:tc>
      </w:tr>
      <w:tr w:rsidR="00B852BD" w:rsidRPr="00463667" w14:paraId="0196315E" w14:textId="77777777" w:rsidTr="00575A7E">
        <w:trPr>
          <w:cantSplit/>
        </w:trPr>
        <w:tc>
          <w:tcPr>
            <w:tcW w:w="1890" w:type="dxa"/>
            <w:tcBorders>
              <w:top w:val="single" w:sz="6" w:space="0" w:color="auto"/>
              <w:left w:val="single" w:sz="4" w:space="0" w:color="auto"/>
              <w:bottom w:val="single" w:sz="6" w:space="0" w:color="auto"/>
              <w:right w:val="single" w:sz="6" w:space="0" w:color="auto"/>
            </w:tcBorders>
          </w:tcPr>
          <w:p w14:paraId="514B08E4" w14:textId="77777777" w:rsidR="00B852BD" w:rsidRPr="00463667" w:rsidRDefault="00B852BD" w:rsidP="00F578E0">
            <w:pPr>
              <w:pStyle w:val="TableText"/>
            </w:pPr>
            <w:r w:rsidRPr="00463667">
              <w:t>CNS stimulants</w:t>
            </w:r>
          </w:p>
        </w:tc>
        <w:tc>
          <w:tcPr>
            <w:tcW w:w="2052" w:type="dxa"/>
            <w:tcBorders>
              <w:top w:val="single" w:sz="6" w:space="0" w:color="auto"/>
              <w:left w:val="single" w:sz="6" w:space="0" w:color="auto"/>
              <w:bottom w:val="single" w:sz="6" w:space="0" w:color="auto"/>
              <w:right w:val="nil"/>
            </w:tcBorders>
          </w:tcPr>
          <w:p w14:paraId="46A0FA74" w14:textId="77777777" w:rsidR="00B852BD" w:rsidRPr="00463667" w:rsidRDefault="00B852BD" w:rsidP="00B852BD">
            <w:pPr>
              <w:pStyle w:val="TableBullet"/>
            </w:pPr>
            <w:r w:rsidRPr="00463667">
              <w:t xml:space="preserve">Amphetamine-dextroamphetamine </w:t>
            </w:r>
          </w:p>
          <w:p w14:paraId="28B51600" w14:textId="77777777" w:rsidR="00B852BD" w:rsidRPr="00463667" w:rsidRDefault="00B852BD" w:rsidP="00B852BD">
            <w:pPr>
              <w:pStyle w:val="TableBullet"/>
            </w:pPr>
            <w:r w:rsidRPr="00463667">
              <w:t>Dexmethylphenidate</w:t>
            </w:r>
          </w:p>
        </w:tc>
        <w:tc>
          <w:tcPr>
            <w:tcW w:w="1980" w:type="dxa"/>
            <w:tcBorders>
              <w:top w:val="single" w:sz="6" w:space="0" w:color="auto"/>
              <w:left w:val="nil"/>
              <w:bottom w:val="single" w:sz="6" w:space="0" w:color="auto"/>
              <w:right w:val="nil"/>
            </w:tcBorders>
          </w:tcPr>
          <w:p w14:paraId="4619BA04" w14:textId="5E1A96D0" w:rsidR="00B852BD" w:rsidRPr="00463667" w:rsidRDefault="00C3122F" w:rsidP="00B852BD">
            <w:pPr>
              <w:pStyle w:val="TableBullet"/>
            </w:pPr>
            <w:r>
              <w:t>Dextroamphetami</w:t>
            </w:r>
            <w:r w:rsidRPr="00463667">
              <w:t>ne</w:t>
            </w:r>
          </w:p>
          <w:p w14:paraId="3F691F33" w14:textId="09FDDB6C" w:rsidR="00B852BD" w:rsidRPr="00463667" w:rsidRDefault="00B852BD" w:rsidP="00C3122F">
            <w:pPr>
              <w:pStyle w:val="TableBullet"/>
            </w:pPr>
            <w:r w:rsidRPr="00463667">
              <w:t>Lisdexamfetamine</w:t>
            </w:r>
          </w:p>
        </w:tc>
        <w:tc>
          <w:tcPr>
            <w:tcW w:w="1795" w:type="dxa"/>
            <w:tcBorders>
              <w:top w:val="single" w:sz="6" w:space="0" w:color="auto"/>
              <w:left w:val="nil"/>
              <w:bottom w:val="single" w:sz="6" w:space="0" w:color="auto"/>
              <w:right w:val="single" w:sz="4" w:space="0" w:color="auto"/>
            </w:tcBorders>
          </w:tcPr>
          <w:p w14:paraId="0CEF3876" w14:textId="77777777" w:rsidR="00B852BD" w:rsidRDefault="00B852BD" w:rsidP="00B852BD">
            <w:pPr>
              <w:pStyle w:val="TableBullet"/>
            </w:pPr>
            <w:r w:rsidRPr="00463667">
              <w:t>Methylphenidate</w:t>
            </w:r>
          </w:p>
          <w:p w14:paraId="3EDEBA19" w14:textId="551E6462" w:rsidR="00C3122F" w:rsidRPr="00463667" w:rsidRDefault="00C3122F" w:rsidP="00B852BD">
            <w:pPr>
              <w:pStyle w:val="TableBullet"/>
            </w:pPr>
            <w:r w:rsidRPr="00463667">
              <w:t>Methamphetamine</w:t>
            </w:r>
          </w:p>
        </w:tc>
      </w:tr>
      <w:tr w:rsidR="00B852BD" w:rsidRPr="00463667" w14:paraId="4C4B987F" w14:textId="77777777" w:rsidTr="00575A7E">
        <w:trPr>
          <w:cantSplit/>
        </w:trPr>
        <w:tc>
          <w:tcPr>
            <w:tcW w:w="1890" w:type="dxa"/>
            <w:tcBorders>
              <w:top w:val="single" w:sz="6" w:space="0" w:color="auto"/>
              <w:left w:val="single" w:sz="4" w:space="0" w:color="auto"/>
              <w:bottom w:val="single" w:sz="6" w:space="0" w:color="auto"/>
              <w:right w:val="single" w:sz="6" w:space="0" w:color="auto"/>
            </w:tcBorders>
            <w:shd w:val="clear" w:color="auto" w:fill="D9D9D9" w:themeFill="background1" w:themeFillShade="D9"/>
          </w:tcPr>
          <w:p w14:paraId="79F0A648" w14:textId="77777777" w:rsidR="00B852BD" w:rsidRPr="00463667" w:rsidRDefault="00B852BD" w:rsidP="00F578E0">
            <w:pPr>
              <w:pStyle w:val="TableText"/>
            </w:pPr>
            <w:r w:rsidRPr="00463667">
              <w:t>Alpha-2 receptor agonists</w:t>
            </w:r>
          </w:p>
        </w:tc>
        <w:tc>
          <w:tcPr>
            <w:tcW w:w="2052" w:type="dxa"/>
            <w:tcBorders>
              <w:top w:val="single" w:sz="6" w:space="0" w:color="auto"/>
              <w:left w:val="single" w:sz="6" w:space="0" w:color="auto"/>
              <w:bottom w:val="single" w:sz="6" w:space="0" w:color="auto"/>
              <w:right w:val="nil"/>
            </w:tcBorders>
            <w:shd w:val="clear" w:color="auto" w:fill="D9D9D9" w:themeFill="background1" w:themeFillShade="D9"/>
          </w:tcPr>
          <w:p w14:paraId="20280EC5" w14:textId="77777777" w:rsidR="00B852BD" w:rsidRPr="00463667" w:rsidRDefault="00B852BD" w:rsidP="00B852BD">
            <w:pPr>
              <w:pStyle w:val="TableBullet"/>
            </w:pPr>
            <w:r w:rsidRPr="00463667">
              <w:t>Clonidine</w:t>
            </w:r>
          </w:p>
        </w:tc>
        <w:tc>
          <w:tcPr>
            <w:tcW w:w="1980" w:type="dxa"/>
            <w:tcBorders>
              <w:top w:val="single" w:sz="6" w:space="0" w:color="auto"/>
              <w:left w:val="nil"/>
              <w:bottom w:val="single" w:sz="6" w:space="0" w:color="auto"/>
              <w:right w:val="nil"/>
            </w:tcBorders>
            <w:shd w:val="clear" w:color="auto" w:fill="D9D9D9" w:themeFill="background1" w:themeFillShade="D9"/>
          </w:tcPr>
          <w:p w14:paraId="3BCB6F43" w14:textId="77777777" w:rsidR="00B852BD" w:rsidRPr="00463667" w:rsidRDefault="00B852BD" w:rsidP="00B852BD">
            <w:pPr>
              <w:pStyle w:val="TableBullet"/>
            </w:pPr>
            <w:r w:rsidRPr="00463667">
              <w:t>Guanfacine</w:t>
            </w:r>
          </w:p>
        </w:tc>
        <w:tc>
          <w:tcPr>
            <w:tcW w:w="1795" w:type="dxa"/>
            <w:tcBorders>
              <w:top w:val="single" w:sz="6" w:space="0" w:color="auto"/>
              <w:left w:val="nil"/>
              <w:bottom w:val="single" w:sz="6" w:space="0" w:color="auto"/>
              <w:right w:val="single" w:sz="4" w:space="0" w:color="auto"/>
            </w:tcBorders>
            <w:shd w:val="clear" w:color="auto" w:fill="D9D9D9" w:themeFill="background1" w:themeFillShade="D9"/>
          </w:tcPr>
          <w:p w14:paraId="06783310" w14:textId="77777777" w:rsidR="00B852BD" w:rsidRPr="00463667" w:rsidRDefault="00B852BD" w:rsidP="008E7299">
            <w:pPr>
              <w:pStyle w:val="TableText"/>
            </w:pPr>
          </w:p>
        </w:tc>
      </w:tr>
      <w:tr w:rsidR="00B852BD" w:rsidRPr="00463667" w14:paraId="5BD6833E" w14:textId="77777777" w:rsidTr="00575A7E">
        <w:trPr>
          <w:cantSplit/>
        </w:trPr>
        <w:tc>
          <w:tcPr>
            <w:tcW w:w="1890" w:type="dxa"/>
            <w:tcBorders>
              <w:top w:val="single" w:sz="6" w:space="0" w:color="auto"/>
              <w:left w:val="single" w:sz="4" w:space="0" w:color="auto"/>
              <w:right w:val="single" w:sz="6" w:space="0" w:color="auto"/>
            </w:tcBorders>
          </w:tcPr>
          <w:p w14:paraId="0B261602" w14:textId="77777777" w:rsidR="00B852BD" w:rsidRPr="00463667" w:rsidRDefault="00B852BD" w:rsidP="00F578E0">
            <w:pPr>
              <w:pStyle w:val="TableText"/>
            </w:pPr>
            <w:r w:rsidRPr="00463667">
              <w:t>Miscellaneous ADHD medications</w:t>
            </w:r>
          </w:p>
        </w:tc>
        <w:tc>
          <w:tcPr>
            <w:tcW w:w="2052" w:type="dxa"/>
            <w:tcBorders>
              <w:top w:val="single" w:sz="6" w:space="0" w:color="auto"/>
              <w:left w:val="single" w:sz="6" w:space="0" w:color="auto"/>
              <w:bottom w:val="single" w:sz="4" w:space="0" w:color="auto"/>
              <w:right w:val="nil"/>
            </w:tcBorders>
          </w:tcPr>
          <w:p w14:paraId="4F270459" w14:textId="77777777" w:rsidR="00B852BD" w:rsidRPr="00463667" w:rsidRDefault="00B852BD" w:rsidP="00B852BD">
            <w:pPr>
              <w:pStyle w:val="TableBullet"/>
            </w:pPr>
            <w:r w:rsidRPr="00463667">
              <w:t>Atomoxetine</w:t>
            </w:r>
          </w:p>
        </w:tc>
        <w:tc>
          <w:tcPr>
            <w:tcW w:w="1980" w:type="dxa"/>
            <w:tcBorders>
              <w:top w:val="single" w:sz="6" w:space="0" w:color="auto"/>
              <w:left w:val="nil"/>
              <w:bottom w:val="single" w:sz="4" w:space="0" w:color="auto"/>
              <w:right w:val="nil"/>
            </w:tcBorders>
          </w:tcPr>
          <w:p w14:paraId="26DE97F6" w14:textId="77777777" w:rsidR="00B852BD" w:rsidRPr="00463667" w:rsidRDefault="00B852BD" w:rsidP="008E7299">
            <w:pPr>
              <w:pStyle w:val="TableText"/>
            </w:pPr>
          </w:p>
        </w:tc>
        <w:tc>
          <w:tcPr>
            <w:tcW w:w="1795" w:type="dxa"/>
            <w:tcBorders>
              <w:top w:val="single" w:sz="6" w:space="0" w:color="auto"/>
              <w:left w:val="nil"/>
              <w:bottom w:val="single" w:sz="4" w:space="0" w:color="auto"/>
              <w:right w:val="single" w:sz="4" w:space="0" w:color="auto"/>
            </w:tcBorders>
          </w:tcPr>
          <w:p w14:paraId="447872BD" w14:textId="77777777" w:rsidR="00B852BD" w:rsidRPr="00463667" w:rsidRDefault="00B852BD" w:rsidP="008E7299">
            <w:pPr>
              <w:pStyle w:val="TableText"/>
            </w:pPr>
          </w:p>
        </w:tc>
      </w:tr>
    </w:tbl>
    <w:p w14:paraId="4F75BF68" w14:textId="77777777" w:rsidR="00B852BD" w:rsidRPr="00463667" w:rsidRDefault="00B852BD" w:rsidP="00B852BD">
      <w:pPr>
        <w:pStyle w:val="Note"/>
      </w:pPr>
      <w:r w:rsidRPr="00463667">
        <w:rPr>
          <w:rFonts w:cs="Arial"/>
          <w:b/>
          <w:bCs/>
        </w:rPr>
        <w:t xml:space="preserve">Note: </w:t>
      </w:r>
      <w:r w:rsidRPr="00463667">
        <w:t xml:space="preserve">NCQA will post a comprehensive list of medications and NDC codes to www.ncqa.org </w:t>
      </w:r>
      <w:r w:rsidRPr="00463667">
        <w:br/>
        <w:t xml:space="preserve">by November </w:t>
      </w:r>
      <w:r w:rsidR="00D0464F">
        <w:t>2</w:t>
      </w:r>
      <w:r w:rsidRPr="00463667">
        <w:t xml:space="preserve">, </w:t>
      </w:r>
      <w:r w:rsidR="00D0464F">
        <w:t>2015</w:t>
      </w:r>
      <w:r w:rsidRPr="00463667">
        <w:t xml:space="preserve">. </w:t>
      </w:r>
    </w:p>
    <w:tbl>
      <w:tblPr>
        <w:tblW w:w="9900" w:type="dxa"/>
        <w:tblInd w:w="-72" w:type="dxa"/>
        <w:tblLayout w:type="fixed"/>
        <w:tblLook w:val="0000" w:firstRow="0" w:lastRow="0" w:firstColumn="0" w:lastColumn="0" w:noHBand="0" w:noVBand="0"/>
      </w:tblPr>
      <w:tblGrid>
        <w:gridCol w:w="1890"/>
        <w:gridCol w:w="8010"/>
      </w:tblGrid>
      <w:tr w:rsidR="00B852BD" w:rsidRPr="00463667" w14:paraId="599A7771" w14:textId="77777777" w:rsidTr="00F578E0">
        <w:tc>
          <w:tcPr>
            <w:tcW w:w="1890" w:type="dxa"/>
          </w:tcPr>
          <w:p w14:paraId="733CE978" w14:textId="77777777" w:rsidR="00B852BD" w:rsidRPr="00463667" w:rsidRDefault="00B852BD" w:rsidP="00F578E0">
            <w:pPr>
              <w:pStyle w:val="MarginSubhead"/>
              <w:jc w:val="right"/>
              <w:rPr>
                <w:i/>
                <w:iCs/>
              </w:rPr>
            </w:pPr>
            <w:r w:rsidRPr="00463667">
              <w:rPr>
                <w:i/>
                <w:iCs/>
              </w:rPr>
              <w:t>Step 2</w:t>
            </w:r>
          </w:p>
        </w:tc>
        <w:tc>
          <w:tcPr>
            <w:tcW w:w="8010" w:type="dxa"/>
          </w:tcPr>
          <w:p w14:paraId="02D5A7FE" w14:textId="77777777" w:rsidR="00B852BD" w:rsidRPr="00463667" w:rsidRDefault="00B852BD" w:rsidP="00F578E0">
            <w:pPr>
              <w:pStyle w:val="Body"/>
            </w:pPr>
            <w:r w:rsidRPr="00463667">
              <w:t xml:space="preserve">Test for Negative Medication History. For each member identified in step 1, test each ADHD prescription for a Negative Medication History. The IPSD is the dispensing date of the earliest ADHD prescription in the Intake Period with a Negative Medication History. </w:t>
            </w:r>
          </w:p>
        </w:tc>
      </w:tr>
      <w:tr w:rsidR="00B852BD" w:rsidRPr="00463667" w14:paraId="06FE352C" w14:textId="77777777" w:rsidTr="00F578E0">
        <w:tc>
          <w:tcPr>
            <w:tcW w:w="1890" w:type="dxa"/>
          </w:tcPr>
          <w:p w14:paraId="15E4FE6D" w14:textId="77777777" w:rsidR="00B852BD" w:rsidRPr="00463667" w:rsidRDefault="00B852BD" w:rsidP="00F578E0">
            <w:pPr>
              <w:pStyle w:val="MarginSubhead"/>
              <w:jc w:val="right"/>
              <w:rPr>
                <w:i/>
              </w:rPr>
            </w:pPr>
            <w:r w:rsidRPr="00463667">
              <w:rPr>
                <w:i/>
              </w:rPr>
              <w:t>Step 3</w:t>
            </w:r>
          </w:p>
        </w:tc>
        <w:tc>
          <w:tcPr>
            <w:tcW w:w="8010" w:type="dxa"/>
          </w:tcPr>
          <w:p w14:paraId="0D0153F2" w14:textId="77777777" w:rsidR="00B852BD" w:rsidRPr="00463667" w:rsidRDefault="00B852BD" w:rsidP="00F578E0">
            <w:pPr>
              <w:pStyle w:val="Body"/>
            </w:pPr>
            <w:r w:rsidRPr="00463667">
              <w:t>Calculate continuous enrollment. Members must be continuously enrolled for 120 days (4 months) prior to the IPSD through 30 days after the IPSD.</w:t>
            </w:r>
          </w:p>
        </w:tc>
      </w:tr>
      <w:tr w:rsidR="00B852BD" w:rsidRPr="00463667" w14:paraId="75ED6EF7" w14:textId="77777777" w:rsidTr="00F578E0">
        <w:tc>
          <w:tcPr>
            <w:tcW w:w="1890" w:type="dxa"/>
          </w:tcPr>
          <w:p w14:paraId="614A8CAF" w14:textId="77777777" w:rsidR="00B852BD" w:rsidRPr="00463667" w:rsidRDefault="00B852BD" w:rsidP="00F578E0">
            <w:pPr>
              <w:pStyle w:val="MarginSubhead"/>
              <w:jc w:val="right"/>
              <w:rPr>
                <w:i/>
              </w:rPr>
            </w:pPr>
            <w:r w:rsidRPr="00463667">
              <w:rPr>
                <w:i/>
              </w:rPr>
              <w:t xml:space="preserve">Step 4 </w:t>
            </w:r>
          </w:p>
        </w:tc>
        <w:tc>
          <w:tcPr>
            <w:tcW w:w="8010" w:type="dxa"/>
          </w:tcPr>
          <w:p w14:paraId="0403FC28" w14:textId="5CA49743" w:rsidR="00B852BD" w:rsidRPr="00463667" w:rsidRDefault="00B852BD" w:rsidP="00F578E0">
            <w:pPr>
              <w:pStyle w:val="Body"/>
            </w:pPr>
            <w:r w:rsidRPr="00463667">
              <w:t>Exclude members who had an acute inpatient encounter for mental health or chemical dependency during the 30 days after the IPSD. Any of the following meet criteria:</w:t>
            </w:r>
          </w:p>
          <w:p w14:paraId="27ED3132" w14:textId="77777777" w:rsidR="00B852BD" w:rsidRPr="00463667" w:rsidRDefault="00B852BD" w:rsidP="00B852BD">
            <w:pPr>
              <w:pStyle w:val="Bullet"/>
            </w:pPr>
            <w:r w:rsidRPr="00463667">
              <w:t>A</w:t>
            </w:r>
            <w:r w:rsidR="00764739">
              <w:t>n acute inpatient encounter (</w:t>
            </w:r>
            <w:r w:rsidR="00764739" w:rsidRPr="00764739">
              <w:rPr>
                <w:u w:val="single"/>
              </w:rPr>
              <w:t>Acute Inpatient Value Set</w:t>
            </w:r>
            <w:r w:rsidR="00764739">
              <w:t>) with a</w:t>
            </w:r>
            <w:r w:rsidRPr="00463667">
              <w:t xml:space="preserve"> principal mental health diagnosis (</w:t>
            </w:r>
            <w:r w:rsidRPr="00463667">
              <w:rPr>
                <w:u w:val="single"/>
              </w:rPr>
              <w:t>Mental Health Diagnosis Value Set</w:t>
            </w:r>
            <w:r w:rsidRPr="00463667">
              <w:t>).</w:t>
            </w:r>
          </w:p>
          <w:p w14:paraId="51851A83" w14:textId="77777777" w:rsidR="00B852BD" w:rsidRPr="00463667" w:rsidRDefault="00B852BD" w:rsidP="00B852BD">
            <w:pPr>
              <w:pStyle w:val="Bullet"/>
            </w:pPr>
            <w:r w:rsidRPr="00463667">
              <w:t>A</w:t>
            </w:r>
            <w:r w:rsidR="00764739">
              <w:t>n acute inpatient encounter (</w:t>
            </w:r>
            <w:r w:rsidR="00764739" w:rsidRPr="00764739">
              <w:rPr>
                <w:u w:val="single"/>
              </w:rPr>
              <w:t>Acute Inpatient Value Set</w:t>
            </w:r>
            <w:r w:rsidR="00764739">
              <w:t>) with a</w:t>
            </w:r>
            <w:r w:rsidRPr="00463667">
              <w:t xml:space="preserve"> principal diagnosis of chemical dependency (</w:t>
            </w:r>
            <w:r w:rsidRPr="00463667">
              <w:rPr>
                <w:u w:val="single"/>
              </w:rPr>
              <w:t>Chemical Dependency Value Set</w:t>
            </w:r>
            <w:r w:rsidRPr="00463667">
              <w:t>).</w:t>
            </w:r>
          </w:p>
          <w:p w14:paraId="7A56FB23" w14:textId="77777777" w:rsidR="00B852BD" w:rsidRPr="00463667" w:rsidRDefault="00B852BD" w:rsidP="00F578E0">
            <w:pPr>
              <w:pStyle w:val="Bullet"/>
              <w:numPr>
                <w:ilvl w:val="0"/>
                <w:numId w:val="0"/>
              </w:numPr>
              <w:ind w:left="360"/>
            </w:pPr>
          </w:p>
        </w:tc>
      </w:tr>
    </w:tbl>
    <w:p w14:paraId="30C6E04F" w14:textId="77777777" w:rsidR="00B852BD" w:rsidRPr="00463667" w:rsidRDefault="00B852BD" w:rsidP="00B852BD"/>
    <w:p w14:paraId="589803CD" w14:textId="77777777" w:rsidR="00B852BD" w:rsidRPr="00463667" w:rsidRDefault="00B852BD" w:rsidP="00B852BD"/>
    <w:p w14:paraId="5AD6A5CA" w14:textId="77777777" w:rsidR="00B852BD" w:rsidRPr="00463667" w:rsidRDefault="00B852BD" w:rsidP="00B852BD">
      <w:pPr>
        <w:pStyle w:val="Body"/>
        <w:sectPr w:rsidR="00B852BD" w:rsidRPr="00463667" w:rsidSect="007527F3">
          <w:headerReference w:type="even" r:id="rId54"/>
          <w:headerReference w:type="default" r:id="rId55"/>
          <w:pgSz w:w="12240" w:h="15840" w:code="1"/>
          <w:pgMar w:top="1080" w:right="1080" w:bottom="1080" w:left="1440" w:header="720" w:footer="720" w:gutter="0"/>
          <w:cols w:space="720"/>
        </w:sectPr>
      </w:pPr>
    </w:p>
    <w:p w14:paraId="77A319CF" w14:textId="77777777" w:rsidR="00B852BD" w:rsidRPr="00463667" w:rsidRDefault="00B852BD" w:rsidP="00B852BD">
      <w:pPr>
        <w:pStyle w:val="ReverseHead"/>
        <w:spacing w:before="0"/>
        <w:rPr>
          <w:i/>
        </w:rPr>
      </w:pPr>
      <w:r w:rsidRPr="00463667">
        <w:lastRenderedPageBreak/>
        <w:t xml:space="preserve">Administrative Specification: </w:t>
      </w:r>
      <w:r w:rsidRPr="00463667">
        <w:rPr>
          <w:i/>
        </w:rPr>
        <w:t>Rate 1—Initiation Phase</w:t>
      </w:r>
    </w:p>
    <w:tbl>
      <w:tblPr>
        <w:tblW w:w="9810" w:type="dxa"/>
        <w:tblInd w:w="18" w:type="dxa"/>
        <w:tblLayout w:type="fixed"/>
        <w:tblLook w:val="0000" w:firstRow="0" w:lastRow="0" w:firstColumn="0" w:lastColumn="0" w:noHBand="0" w:noVBand="0"/>
      </w:tblPr>
      <w:tblGrid>
        <w:gridCol w:w="1710"/>
        <w:gridCol w:w="8100"/>
      </w:tblGrid>
      <w:tr w:rsidR="00B852BD" w:rsidRPr="00463667" w14:paraId="4231EE69" w14:textId="77777777" w:rsidTr="00F578E0">
        <w:tc>
          <w:tcPr>
            <w:tcW w:w="1710" w:type="dxa"/>
          </w:tcPr>
          <w:p w14:paraId="47221BD3" w14:textId="77777777" w:rsidR="00B852BD" w:rsidRPr="00463667" w:rsidRDefault="00B852BD" w:rsidP="00F578E0">
            <w:pPr>
              <w:pStyle w:val="MarginSubhead"/>
            </w:pPr>
            <w:r w:rsidRPr="00463667">
              <w:t>Denominator</w:t>
            </w:r>
          </w:p>
        </w:tc>
        <w:tc>
          <w:tcPr>
            <w:tcW w:w="8100" w:type="dxa"/>
          </w:tcPr>
          <w:p w14:paraId="029250C9" w14:textId="77777777" w:rsidR="00B852BD" w:rsidRPr="00463667" w:rsidRDefault="00B852BD" w:rsidP="00F578E0">
            <w:pPr>
              <w:pStyle w:val="Body"/>
            </w:pPr>
            <w:r w:rsidRPr="00463667">
              <w:t>The Rate 1 eligible population.</w:t>
            </w:r>
          </w:p>
        </w:tc>
      </w:tr>
      <w:tr w:rsidR="00B852BD" w:rsidRPr="00463667" w14:paraId="34CB95E0" w14:textId="77777777" w:rsidTr="00F578E0">
        <w:tc>
          <w:tcPr>
            <w:tcW w:w="1710" w:type="dxa"/>
          </w:tcPr>
          <w:p w14:paraId="1093FF40" w14:textId="77777777" w:rsidR="00B852BD" w:rsidRPr="00463667" w:rsidRDefault="00B852BD" w:rsidP="00F578E0">
            <w:pPr>
              <w:pStyle w:val="MarginSubhead"/>
            </w:pPr>
            <w:r w:rsidRPr="00463667">
              <w:t xml:space="preserve">Numerator </w:t>
            </w:r>
          </w:p>
        </w:tc>
        <w:tc>
          <w:tcPr>
            <w:tcW w:w="8100" w:type="dxa"/>
          </w:tcPr>
          <w:p w14:paraId="18B40136" w14:textId="77777777" w:rsidR="00B852BD" w:rsidRPr="00463667" w:rsidRDefault="00B852BD" w:rsidP="00F578E0">
            <w:pPr>
              <w:pStyle w:val="Body"/>
            </w:pPr>
            <w:r w:rsidRPr="00463667">
              <w:t>An outpatient, intensive outpatient or partial hospitalization follow-up visit with a practitioner with prescribing authority, within 30 days after the IPSD. Any of the following code combinations billed by a practitioner with prescribing authority meet criteria:</w:t>
            </w:r>
          </w:p>
          <w:p w14:paraId="4C9F289E" w14:textId="77777777" w:rsidR="00B852BD" w:rsidRPr="00463667" w:rsidRDefault="00B852BD" w:rsidP="00B852BD">
            <w:pPr>
              <w:pStyle w:val="Bullet"/>
            </w:pPr>
            <w:r w:rsidRPr="00463667">
              <w:rPr>
                <w:u w:val="single"/>
              </w:rPr>
              <w:t>ADD Stand Alone Visits Value Set</w:t>
            </w:r>
            <w:r w:rsidRPr="00463667">
              <w:t>.</w:t>
            </w:r>
          </w:p>
          <w:p w14:paraId="10E6117D" w14:textId="77777777" w:rsidR="00B852BD" w:rsidRPr="00463667" w:rsidRDefault="00B852BD" w:rsidP="00B852BD">
            <w:pPr>
              <w:pStyle w:val="Bullet"/>
            </w:pPr>
            <w:r w:rsidRPr="00463667">
              <w:rPr>
                <w:u w:val="single"/>
              </w:rPr>
              <w:t>ADD Visits Group 1 Value Set</w:t>
            </w:r>
            <w:r w:rsidRPr="00463667">
              <w:t xml:space="preserve"> </w:t>
            </w:r>
            <w:r w:rsidRPr="00463667">
              <w:rPr>
                <w:b/>
                <w:i/>
              </w:rPr>
              <w:t>with</w:t>
            </w:r>
            <w:r w:rsidRPr="00463667">
              <w:t xml:space="preserve"> </w:t>
            </w:r>
            <w:r w:rsidRPr="00463667">
              <w:rPr>
                <w:u w:val="single"/>
              </w:rPr>
              <w:t>ADD POS Group 1 Value Set</w:t>
            </w:r>
            <w:r w:rsidRPr="00463667">
              <w:t>.</w:t>
            </w:r>
          </w:p>
          <w:p w14:paraId="6539A4F3" w14:textId="77777777" w:rsidR="00B852BD" w:rsidRPr="00463667" w:rsidRDefault="00B852BD" w:rsidP="00B852BD">
            <w:pPr>
              <w:pStyle w:val="Bullet"/>
            </w:pPr>
            <w:r w:rsidRPr="00463667">
              <w:rPr>
                <w:u w:val="single"/>
              </w:rPr>
              <w:t>ADD Visits Group 2 Value Set</w:t>
            </w:r>
            <w:r w:rsidRPr="00463667">
              <w:t xml:space="preserve"> </w:t>
            </w:r>
            <w:r w:rsidRPr="00463667">
              <w:rPr>
                <w:b/>
                <w:i/>
              </w:rPr>
              <w:t>with</w:t>
            </w:r>
            <w:r w:rsidRPr="00463667">
              <w:t xml:space="preserve"> </w:t>
            </w:r>
            <w:r w:rsidRPr="00463667">
              <w:rPr>
                <w:u w:val="single"/>
              </w:rPr>
              <w:t>ADD POS Group 2 Value Set</w:t>
            </w:r>
            <w:r w:rsidRPr="00463667">
              <w:t>.</w:t>
            </w:r>
          </w:p>
          <w:p w14:paraId="6F79F57C" w14:textId="77777777" w:rsidR="00B852BD" w:rsidRPr="00463667" w:rsidRDefault="00B852BD" w:rsidP="00F578E0">
            <w:pPr>
              <w:pStyle w:val="Note"/>
            </w:pPr>
            <w:r w:rsidRPr="00463667">
              <w:rPr>
                <w:b/>
                <w:bCs/>
              </w:rPr>
              <w:t>Note:</w:t>
            </w:r>
            <w:r w:rsidRPr="00463667">
              <w:t xml:space="preserve"> Do not count a visit on the IPSD as the Initiation Phase visit.</w:t>
            </w:r>
          </w:p>
        </w:tc>
      </w:tr>
    </w:tbl>
    <w:p w14:paraId="014187B9" w14:textId="77777777" w:rsidR="00B852BD" w:rsidRPr="00463667" w:rsidRDefault="00B852BD" w:rsidP="00B852BD">
      <w:pPr>
        <w:pStyle w:val="ReverseHead"/>
        <w:rPr>
          <w:i/>
        </w:rPr>
      </w:pPr>
      <w:r w:rsidRPr="00463667">
        <w:t xml:space="preserve">Eligible Population: </w:t>
      </w:r>
      <w:r w:rsidRPr="00463667">
        <w:rPr>
          <w:i/>
        </w:rPr>
        <w:t>Rate 2—C&amp;M Phase</w:t>
      </w:r>
    </w:p>
    <w:tbl>
      <w:tblPr>
        <w:tblW w:w="9810" w:type="dxa"/>
        <w:tblInd w:w="18" w:type="dxa"/>
        <w:tblLayout w:type="fixed"/>
        <w:tblLook w:val="0000" w:firstRow="0" w:lastRow="0" w:firstColumn="0" w:lastColumn="0" w:noHBand="0" w:noVBand="0"/>
      </w:tblPr>
      <w:tblGrid>
        <w:gridCol w:w="1710"/>
        <w:gridCol w:w="8100"/>
      </w:tblGrid>
      <w:tr w:rsidR="00B852BD" w:rsidRPr="00463667" w14:paraId="71722FF8" w14:textId="77777777" w:rsidTr="00F578E0">
        <w:tc>
          <w:tcPr>
            <w:tcW w:w="1710" w:type="dxa"/>
          </w:tcPr>
          <w:p w14:paraId="4A007369" w14:textId="77777777" w:rsidR="00B852BD" w:rsidRPr="00463667" w:rsidRDefault="00B852BD" w:rsidP="00F578E0">
            <w:pPr>
              <w:pStyle w:val="MarginSubhead"/>
            </w:pPr>
            <w:r w:rsidRPr="00463667">
              <w:t>Product lines</w:t>
            </w:r>
          </w:p>
        </w:tc>
        <w:tc>
          <w:tcPr>
            <w:tcW w:w="8100" w:type="dxa"/>
          </w:tcPr>
          <w:p w14:paraId="0E586D9F" w14:textId="77777777" w:rsidR="00B852BD" w:rsidRPr="00463667" w:rsidRDefault="00B852BD" w:rsidP="00F578E0">
            <w:pPr>
              <w:pStyle w:val="Body"/>
            </w:pPr>
            <w:r w:rsidRPr="00463667">
              <w:t xml:space="preserve">Commercial, Medicaid (report each product line separately). </w:t>
            </w:r>
          </w:p>
        </w:tc>
      </w:tr>
      <w:tr w:rsidR="00B852BD" w:rsidRPr="00463667" w14:paraId="59784F5F" w14:textId="77777777" w:rsidTr="00F578E0">
        <w:tc>
          <w:tcPr>
            <w:tcW w:w="1710" w:type="dxa"/>
          </w:tcPr>
          <w:p w14:paraId="44A73AAC" w14:textId="77777777" w:rsidR="00B852BD" w:rsidRPr="00463667" w:rsidRDefault="00B852BD" w:rsidP="00F578E0">
            <w:pPr>
              <w:pStyle w:val="MarginSubhead"/>
            </w:pPr>
            <w:r w:rsidRPr="00463667">
              <w:t>Ages</w:t>
            </w:r>
          </w:p>
        </w:tc>
        <w:tc>
          <w:tcPr>
            <w:tcW w:w="8100" w:type="dxa"/>
          </w:tcPr>
          <w:p w14:paraId="5E82C2CE" w14:textId="77777777" w:rsidR="00B852BD" w:rsidRPr="00463667" w:rsidRDefault="00B852BD" w:rsidP="00F578E0">
            <w:pPr>
              <w:pStyle w:val="Body"/>
            </w:pPr>
            <w:r w:rsidRPr="00463667">
              <w:t xml:space="preserve">Six years as of March 1 of the year prior to the measurement year to 12 years as of February 28 of the measurement year. </w:t>
            </w:r>
          </w:p>
        </w:tc>
      </w:tr>
      <w:tr w:rsidR="00B852BD" w:rsidRPr="00463667" w14:paraId="569B7F56" w14:textId="77777777" w:rsidTr="00F578E0">
        <w:tc>
          <w:tcPr>
            <w:tcW w:w="1710" w:type="dxa"/>
          </w:tcPr>
          <w:p w14:paraId="7789D6FC" w14:textId="77777777" w:rsidR="00B852BD" w:rsidRPr="00463667" w:rsidRDefault="00B852BD" w:rsidP="00F578E0">
            <w:pPr>
              <w:pStyle w:val="MarginSubhead"/>
            </w:pPr>
            <w:r w:rsidRPr="00463667">
              <w:t>Continuous enrollment</w:t>
            </w:r>
          </w:p>
        </w:tc>
        <w:tc>
          <w:tcPr>
            <w:tcW w:w="8100" w:type="dxa"/>
          </w:tcPr>
          <w:p w14:paraId="7E097BD4" w14:textId="77777777" w:rsidR="00B852BD" w:rsidRPr="00463667" w:rsidRDefault="00B852BD" w:rsidP="00F578E0">
            <w:pPr>
              <w:pStyle w:val="Body"/>
            </w:pPr>
            <w:r w:rsidRPr="00463667">
              <w:t xml:space="preserve">Members must be continuously enrolled in the organization for 120 days (4 months) prior to the IPSD and 300 days (10 months) after the IPSD. </w:t>
            </w:r>
          </w:p>
          <w:p w14:paraId="4CE05EA3" w14:textId="77777777" w:rsidR="00B852BD" w:rsidRPr="00463667" w:rsidRDefault="00B852BD" w:rsidP="00F578E0">
            <w:pPr>
              <w:pStyle w:val="Body"/>
            </w:pPr>
            <w:r w:rsidRPr="00463667">
              <w:t xml:space="preserve">Members who switch product lines between the Rate 1 and Rate 2 continuous enrollment periods are only included in Rate 1. </w:t>
            </w:r>
          </w:p>
        </w:tc>
      </w:tr>
      <w:tr w:rsidR="00B852BD" w:rsidRPr="00463667" w14:paraId="23AFBE5A" w14:textId="77777777" w:rsidTr="00F578E0">
        <w:tc>
          <w:tcPr>
            <w:tcW w:w="1710" w:type="dxa"/>
          </w:tcPr>
          <w:p w14:paraId="2670E434" w14:textId="77777777" w:rsidR="00B852BD" w:rsidRPr="00463667" w:rsidRDefault="00B852BD" w:rsidP="00F578E0">
            <w:pPr>
              <w:pStyle w:val="MarginSubhead"/>
            </w:pPr>
            <w:r w:rsidRPr="00463667">
              <w:t>Allowable gap</w:t>
            </w:r>
          </w:p>
        </w:tc>
        <w:tc>
          <w:tcPr>
            <w:tcW w:w="8100" w:type="dxa"/>
          </w:tcPr>
          <w:p w14:paraId="53EF7030" w14:textId="77777777" w:rsidR="00B852BD" w:rsidRPr="00463667" w:rsidRDefault="00B852BD" w:rsidP="00F578E0">
            <w:pPr>
              <w:pStyle w:val="Body"/>
            </w:pPr>
            <w:r w:rsidRPr="00463667">
              <w:t>One 45-day gap in enrollment between 31 days and 300 days (10 months) after the IPSD. To determine continuous enrollment for a Medicaid beneficiary for whom enrollment is verified monthly, the member may not have more than a 1-month gap in coverage (i.e., a member whose coverage lapses for 2 months [60 days] is not considered continuously enrolled).</w:t>
            </w:r>
          </w:p>
        </w:tc>
      </w:tr>
      <w:tr w:rsidR="00B852BD" w:rsidRPr="00463667" w14:paraId="09A9344E" w14:textId="77777777" w:rsidTr="00F578E0">
        <w:tc>
          <w:tcPr>
            <w:tcW w:w="1710" w:type="dxa"/>
          </w:tcPr>
          <w:p w14:paraId="28263F2A" w14:textId="77777777" w:rsidR="00B852BD" w:rsidRPr="00463667" w:rsidRDefault="00B852BD" w:rsidP="00F578E0">
            <w:pPr>
              <w:pStyle w:val="MarginSubhead"/>
            </w:pPr>
            <w:r w:rsidRPr="00463667">
              <w:t>Anchor date</w:t>
            </w:r>
          </w:p>
        </w:tc>
        <w:tc>
          <w:tcPr>
            <w:tcW w:w="8100" w:type="dxa"/>
          </w:tcPr>
          <w:p w14:paraId="5E51F823" w14:textId="77777777" w:rsidR="00B852BD" w:rsidRPr="00463667" w:rsidRDefault="00B852BD" w:rsidP="00F578E0">
            <w:pPr>
              <w:pStyle w:val="Body"/>
            </w:pPr>
            <w:r w:rsidRPr="00463667">
              <w:t>None.</w:t>
            </w:r>
          </w:p>
        </w:tc>
      </w:tr>
      <w:tr w:rsidR="00B852BD" w:rsidRPr="00463667" w14:paraId="065BC884" w14:textId="77777777" w:rsidTr="00F578E0">
        <w:tc>
          <w:tcPr>
            <w:tcW w:w="1710" w:type="dxa"/>
          </w:tcPr>
          <w:p w14:paraId="3B4842CB" w14:textId="77777777" w:rsidR="00B852BD" w:rsidRPr="00463667" w:rsidRDefault="00B852BD" w:rsidP="00F578E0">
            <w:pPr>
              <w:pStyle w:val="MarginSubhead"/>
            </w:pPr>
            <w:r w:rsidRPr="00463667">
              <w:t>Benefits</w:t>
            </w:r>
          </w:p>
        </w:tc>
        <w:tc>
          <w:tcPr>
            <w:tcW w:w="8100" w:type="dxa"/>
          </w:tcPr>
          <w:p w14:paraId="5E3730E6" w14:textId="77777777" w:rsidR="00B852BD" w:rsidRPr="00463667" w:rsidRDefault="00B852BD" w:rsidP="00F578E0">
            <w:pPr>
              <w:pStyle w:val="Body"/>
            </w:pPr>
            <w:r w:rsidRPr="00463667">
              <w:t>Medical and pharmacy.</w:t>
            </w:r>
          </w:p>
        </w:tc>
      </w:tr>
      <w:tr w:rsidR="00B852BD" w:rsidRPr="00463667" w14:paraId="009FADD7" w14:textId="77777777" w:rsidTr="00F578E0">
        <w:tc>
          <w:tcPr>
            <w:tcW w:w="1710" w:type="dxa"/>
          </w:tcPr>
          <w:p w14:paraId="0A282515" w14:textId="77777777" w:rsidR="00B852BD" w:rsidRPr="00463667" w:rsidRDefault="00B852BD" w:rsidP="00F578E0">
            <w:pPr>
              <w:pStyle w:val="MarginSubhead"/>
            </w:pPr>
            <w:r w:rsidRPr="00463667">
              <w:t>Event/ diagnosis</w:t>
            </w:r>
          </w:p>
        </w:tc>
        <w:tc>
          <w:tcPr>
            <w:tcW w:w="8100" w:type="dxa"/>
          </w:tcPr>
          <w:p w14:paraId="412341CA" w14:textId="77777777" w:rsidR="00B852BD" w:rsidRPr="00463667" w:rsidRDefault="00B852BD" w:rsidP="00F578E0">
            <w:pPr>
              <w:pStyle w:val="Body"/>
            </w:pPr>
            <w:r w:rsidRPr="00463667">
              <w:t>Follow the steps below to identify the eligible population for the C&amp;M Phase.</w:t>
            </w:r>
          </w:p>
        </w:tc>
      </w:tr>
      <w:tr w:rsidR="00B852BD" w:rsidRPr="00463667" w14:paraId="7A175548" w14:textId="77777777" w:rsidTr="00F578E0">
        <w:tc>
          <w:tcPr>
            <w:tcW w:w="1710" w:type="dxa"/>
          </w:tcPr>
          <w:p w14:paraId="08DCC137" w14:textId="77777777" w:rsidR="00B852BD" w:rsidRPr="00463667" w:rsidRDefault="00B852BD" w:rsidP="00F578E0">
            <w:pPr>
              <w:pStyle w:val="MarginSubhead"/>
              <w:jc w:val="right"/>
              <w:rPr>
                <w:i/>
              </w:rPr>
            </w:pPr>
            <w:r w:rsidRPr="00463667">
              <w:rPr>
                <w:i/>
              </w:rPr>
              <w:t>Step 1</w:t>
            </w:r>
          </w:p>
        </w:tc>
        <w:tc>
          <w:tcPr>
            <w:tcW w:w="8100" w:type="dxa"/>
          </w:tcPr>
          <w:p w14:paraId="17ECFFA0" w14:textId="77777777" w:rsidR="00B852BD" w:rsidRPr="00463667" w:rsidRDefault="00B852BD" w:rsidP="00F578E0">
            <w:pPr>
              <w:pStyle w:val="Body"/>
            </w:pPr>
            <w:r w:rsidRPr="00463667">
              <w:t>Identify all members who meet the eligible population criteria for Rate 1—Initiation Phase.</w:t>
            </w:r>
          </w:p>
        </w:tc>
      </w:tr>
      <w:tr w:rsidR="00B852BD" w:rsidRPr="00463667" w14:paraId="24AE032A" w14:textId="77777777" w:rsidTr="00F578E0">
        <w:tc>
          <w:tcPr>
            <w:tcW w:w="1710" w:type="dxa"/>
          </w:tcPr>
          <w:p w14:paraId="6C2F9D88" w14:textId="77777777" w:rsidR="00B852BD" w:rsidRPr="00463667" w:rsidRDefault="00B852BD" w:rsidP="00F578E0">
            <w:pPr>
              <w:pStyle w:val="MarginSubhead"/>
              <w:jc w:val="right"/>
              <w:rPr>
                <w:i/>
              </w:rPr>
            </w:pPr>
            <w:r w:rsidRPr="00463667">
              <w:rPr>
                <w:i/>
              </w:rPr>
              <w:t>Step 2</w:t>
            </w:r>
          </w:p>
        </w:tc>
        <w:tc>
          <w:tcPr>
            <w:tcW w:w="8100" w:type="dxa"/>
          </w:tcPr>
          <w:p w14:paraId="79BB6210" w14:textId="77777777" w:rsidR="00B852BD" w:rsidRPr="00463667" w:rsidRDefault="00B852BD" w:rsidP="00F578E0">
            <w:pPr>
              <w:pStyle w:val="Body"/>
            </w:pPr>
            <w:r w:rsidRPr="00463667">
              <w:t xml:space="preserve">Calculate continuous enrollment. Members must be continuously enrolled in the organization for 120 days (4 months) prior to the IPSD and 300 days (10 months) after the IPSD. </w:t>
            </w:r>
          </w:p>
        </w:tc>
      </w:tr>
      <w:tr w:rsidR="00B852BD" w:rsidRPr="00463667" w14:paraId="109393AB" w14:textId="77777777" w:rsidTr="00F578E0">
        <w:tc>
          <w:tcPr>
            <w:tcW w:w="1710" w:type="dxa"/>
          </w:tcPr>
          <w:p w14:paraId="42BC25C5" w14:textId="77777777" w:rsidR="00B852BD" w:rsidRPr="00463667" w:rsidRDefault="00B852BD" w:rsidP="00F578E0">
            <w:pPr>
              <w:pStyle w:val="MarginSubhead"/>
              <w:ind w:left="0"/>
              <w:jc w:val="right"/>
              <w:rPr>
                <w:i/>
                <w:iCs/>
              </w:rPr>
            </w:pPr>
            <w:r w:rsidRPr="00463667">
              <w:rPr>
                <w:i/>
                <w:iCs/>
              </w:rPr>
              <w:t>Step 3</w:t>
            </w:r>
          </w:p>
        </w:tc>
        <w:tc>
          <w:tcPr>
            <w:tcW w:w="8100" w:type="dxa"/>
          </w:tcPr>
          <w:p w14:paraId="4701C34B" w14:textId="77777777" w:rsidR="00B852BD" w:rsidRPr="00463667" w:rsidRDefault="00B852BD" w:rsidP="00F578E0">
            <w:pPr>
              <w:pStyle w:val="Body"/>
            </w:pPr>
            <w:r w:rsidRPr="00463667">
              <w:t xml:space="preserve">Calculate the continuous medication treatment. Using the members in step 2, determine if the member filled a sufficient number of prescriptions to provide continuous treatment for at least 210 days out of the 300-day period after the IPSD. The definition of </w:t>
            </w:r>
            <w:r w:rsidR="009F0DF0">
              <w:t>“</w:t>
            </w:r>
            <w:r w:rsidRPr="00463667">
              <w:t>continuous medication treatment</w:t>
            </w:r>
            <w:r w:rsidR="009F0DF0">
              <w:t>”</w:t>
            </w:r>
            <w:r w:rsidRPr="00463667">
              <w:t xml:space="preserve"> allows gaps in medication treatment, up to a total of 90 days during the 300-day (10-month) period. (This period spans the Initiation Phase [1 month] and the C&amp;M Phase [9 months].) </w:t>
            </w:r>
          </w:p>
          <w:p w14:paraId="29ADEE16" w14:textId="77777777" w:rsidR="00B852BD" w:rsidRPr="00463667" w:rsidRDefault="00B852BD" w:rsidP="00F578E0">
            <w:pPr>
              <w:pStyle w:val="Body"/>
            </w:pPr>
            <w:r w:rsidRPr="00463667">
              <w:t>Gaps can include either washout period gaps to change medication or treatment gaps to refill the same medication.</w:t>
            </w:r>
          </w:p>
        </w:tc>
      </w:tr>
    </w:tbl>
    <w:p w14:paraId="0894BA27" w14:textId="77777777" w:rsidR="00B852BD" w:rsidRPr="00463667" w:rsidRDefault="00B852BD" w:rsidP="00B852BD">
      <w:pPr>
        <w:sectPr w:rsidR="00B852BD" w:rsidRPr="00463667" w:rsidSect="007527F3">
          <w:pgSz w:w="12240" w:h="15840" w:code="1"/>
          <w:pgMar w:top="1080" w:right="1080" w:bottom="1080" w:left="1440" w:header="720" w:footer="720" w:gutter="0"/>
          <w:cols w:space="720"/>
        </w:sectPr>
      </w:pPr>
    </w:p>
    <w:tbl>
      <w:tblPr>
        <w:tblW w:w="9810" w:type="dxa"/>
        <w:tblInd w:w="18" w:type="dxa"/>
        <w:tblLayout w:type="fixed"/>
        <w:tblLook w:val="0000" w:firstRow="0" w:lastRow="0" w:firstColumn="0" w:lastColumn="0" w:noHBand="0" w:noVBand="0"/>
      </w:tblPr>
      <w:tblGrid>
        <w:gridCol w:w="1710"/>
        <w:gridCol w:w="8100"/>
      </w:tblGrid>
      <w:tr w:rsidR="00B852BD" w:rsidRPr="00463667" w14:paraId="172D8760" w14:textId="77777777" w:rsidTr="00F578E0">
        <w:tc>
          <w:tcPr>
            <w:tcW w:w="1710" w:type="dxa"/>
          </w:tcPr>
          <w:p w14:paraId="4CB61208" w14:textId="77777777" w:rsidR="00B852BD" w:rsidRPr="00463667" w:rsidRDefault="00B852BD" w:rsidP="00F578E0">
            <w:pPr>
              <w:pStyle w:val="MarginSubhead"/>
              <w:ind w:left="0"/>
              <w:jc w:val="right"/>
              <w:rPr>
                <w:i/>
                <w:iCs/>
              </w:rPr>
            </w:pPr>
          </w:p>
        </w:tc>
        <w:tc>
          <w:tcPr>
            <w:tcW w:w="8100" w:type="dxa"/>
          </w:tcPr>
          <w:p w14:paraId="7FDE88A8" w14:textId="77777777" w:rsidR="00B852BD" w:rsidRPr="00463667" w:rsidRDefault="00B852BD" w:rsidP="00F578E0">
            <w:pPr>
              <w:pStyle w:val="Body"/>
              <w:spacing w:before="0"/>
            </w:pPr>
            <w:r w:rsidRPr="00463667">
              <w:t>Regardless of the number of gaps, the total gap days may be no more than 90. Count any combination of gaps (e.g., one washout gap of 14 days and numerous weekend drug holidays).</w:t>
            </w:r>
          </w:p>
        </w:tc>
      </w:tr>
      <w:tr w:rsidR="00B852BD" w:rsidRPr="00463667" w14:paraId="324A999A" w14:textId="77777777" w:rsidTr="00F578E0">
        <w:tc>
          <w:tcPr>
            <w:tcW w:w="1710" w:type="dxa"/>
          </w:tcPr>
          <w:p w14:paraId="48AF288B" w14:textId="77777777" w:rsidR="00B852BD" w:rsidRPr="00463667" w:rsidRDefault="00B852BD" w:rsidP="00F578E0">
            <w:pPr>
              <w:pStyle w:val="MarginSubhead"/>
              <w:ind w:left="0"/>
              <w:jc w:val="right"/>
              <w:rPr>
                <w:i/>
                <w:iCs/>
              </w:rPr>
            </w:pPr>
            <w:r w:rsidRPr="00463667">
              <w:rPr>
                <w:i/>
                <w:iCs/>
              </w:rPr>
              <w:t>Step 4</w:t>
            </w:r>
          </w:p>
        </w:tc>
        <w:tc>
          <w:tcPr>
            <w:tcW w:w="8100" w:type="dxa"/>
          </w:tcPr>
          <w:p w14:paraId="02B33EF5" w14:textId="314BD91B" w:rsidR="00B852BD" w:rsidRPr="00463667" w:rsidRDefault="00B852BD" w:rsidP="00F578E0">
            <w:pPr>
              <w:pStyle w:val="Body"/>
            </w:pPr>
            <w:r w:rsidRPr="00463667">
              <w:t>Exclude members who had an acute inpatient encounter for mental health or chemical dependency</w:t>
            </w:r>
            <w:r w:rsidRPr="00463667" w:rsidDel="00BE2AE8">
              <w:t xml:space="preserve"> </w:t>
            </w:r>
            <w:r w:rsidRPr="00463667">
              <w:t>during the 300 days (10 months) after the IPSD. Any of the following meet criteria:</w:t>
            </w:r>
          </w:p>
          <w:p w14:paraId="3182E40B" w14:textId="77777777" w:rsidR="00B852BD" w:rsidRPr="00463667" w:rsidRDefault="00B852BD" w:rsidP="00B852BD">
            <w:pPr>
              <w:pStyle w:val="Bullet"/>
            </w:pPr>
            <w:r w:rsidRPr="00463667">
              <w:t>A</w:t>
            </w:r>
            <w:r w:rsidR="00885ED9">
              <w:t>n acute inpatient encounter (</w:t>
            </w:r>
            <w:r w:rsidR="00885ED9" w:rsidRPr="00764739">
              <w:rPr>
                <w:u w:val="single"/>
              </w:rPr>
              <w:t>Acute Inpatient Value Set</w:t>
            </w:r>
            <w:r w:rsidR="00885ED9">
              <w:t>) with a</w:t>
            </w:r>
            <w:r w:rsidRPr="00463667">
              <w:t xml:space="preserve"> principal mental health diagnosis (</w:t>
            </w:r>
            <w:r w:rsidRPr="00463667">
              <w:rPr>
                <w:u w:val="single"/>
              </w:rPr>
              <w:t>Mental Health Diagnosis Value Set</w:t>
            </w:r>
            <w:r w:rsidRPr="00463667">
              <w:t>).</w:t>
            </w:r>
          </w:p>
          <w:p w14:paraId="057345D4" w14:textId="77777777" w:rsidR="00B852BD" w:rsidRPr="00463667" w:rsidRDefault="00B852BD" w:rsidP="00B852BD">
            <w:pPr>
              <w:pStyle w:val="Bullet"/>
            </w:pPr>
            <w:r w:rsidRPr="00463667">
              <w:t>A</w:t>
            </w:r>
            <w:r w:rsidR="00885ED9">
              <w:t>n acute inpatient encounter (</w:t>
            </w:r>
            <w:r w:rsidR="00885ED9" w:rsidRPr="00764739">
              <w:rPr>
                <w:u w:val="single"/>
              </w:rPr>
              <w:t>Acute Inpatient Value Set</w:t>
            </w:r>
            <w:r w:rsidR="00885ED9">
              <w:t>) with a</w:t>
            </w:r>
            <w:r w:rsidRPr="00463667">
              <w:t xml:space="preserve"> principal diagnosis of chemical dependency (</w:t>
            </w:r>
            <w:r w:rsidRPr="00463667">
              <w:rPr>
                <w:u w:val="single"/>
              </w:rPr>
              <w:t>Chemical Dependency Value Set</w:t>
            </w:r>
            <w:r w:rsidRPr="00463667">
              <w:t>).</w:t>
            </w:r>
          </w:p>
        </w:tc>
      </w:tr>
    </w:tbl>
    <w:p w14:paraId="72F37CA3" w14:textId="77777777" w:rsidR="00B852BD" w:rsidRPr="00463667" w:rsidRDefault="00B852BD" w:rsidP="00B852BD">
      <w:pPr>
        <w:pStyle w:val="ReverseHead"/>
        <w:rPr>
          <w:i/>
        </w:rPr>
      </w:pPr>
      <w:r w:rsidRPr="00463667">
        <w:t xml:space="preserve">Administrative Specification: </w:t>
      </w:r>
      <w:r w:rsidRPr="00463667">
        <w:rPr>
          <w:i/>
        </w:rPr>
        <w:t>Rate 2—C&amp;M Phase</w:t>
      </w:r>
    </w:p>
    <w:tbl>
      <w:tblPr>
        <w:tblW w:w="9810" w:type="dxa"/>
        <w:tblInd w:w="18" w:type="dxa"/>
        <w:tblLayout w:type="fixed"/>
        <w:tblLook w:val="0000" w:firstRow="0" w:lastRow="0" w:firstColumn="0" w:lastColumn="0" w:noHBand="0" w:noVBand="0"/>
      </w:tblPr>
      <w:tblGrid>
        <w:gridCol w:w="1710"/>
        <w:gridCol w:w="8100"/>
      </w:tblGrid>
      <w:tr w:rsidR="00B852BD" w:rsidRPr="00463667" w14:paraId="7C5520E6" w14:textId="77777777" w:rsidTr="00F578E0">
        <w:tc>
          <w:tcPr>
            <w:tcW w:w="1710" w:type="dxa"/>
          </w:tcPr>
          <w:p w14:paraId="0201754D" w14:textId="77777777" w:rsidR="00B852BD" w:rsidRPr="00463667" w:rsidRDefault="00B852BD" w:rsidP="00F578E0">
            <w:pPr>
              <w:pStyle w:val="MarginSubhead"/>
            </w:pPr>
            <w:r w:rsidRPr="00463667">
              <w:t>Denominator</w:t>
            </w:r>
          </w:p>
        </w:tc>
        <w:tc>
          <w:tcPr>
            <w:tcW w:w="8100" w:type="dxa"/>
          </w:tcPr>
          <w:p w14:paraId="0CFDB6A9" w14:textId="77777777" w:rsidR="00B852BD" w:rsidRPr="00463667" w:rsidRDefault="00B852BD" w:rsidP="00F578E0">
            <w:pPr>
              <w:pStyle w:val="Body"/>
            </w:pPr>
            <w:r w:rsidRPr="00463667">
              <w:t xml:space="preserve">The Rate 2 eligible population. </w:t>
            </w:r>
          </w:p>
        </w:tc>
      </w:tr>
      <w:tr w:rsidR="00B852BD" w:rsidRPr="00463667" w14:paraId="31075BCA" w14:textId="77777777" w:rsidTr="00AA153B">
        <w:trPr>
          <w:trHeight w:val="3744"/>
        </w:trPr>
        <w:tc>
          <w:tcPr>
            <w:tcW w:w="1710" w:type="dxa"/>
          </w:tcPr>
          <w:p w14:paraId="68DC0E87" w14:textId="77777777" w:rsidR="00B852BD" w:rsidRPr="00463667" w:rsidRDefault="00B852BD" w:rsidP="00F578E0">
            <w:pPr>
              <w:pStyle w:val="MarginSubhead"/>
            </w:pPr>
            <w:r w:rsidRPr="00463667">
              <w:t>Numerator</w:t>
            </w:r>
          </w:p>
        </w:tc>
        <w:tc>
          <w:tcPr>
            <w:tcW w:w="8100" w:type="dxa"/>
          </w:tcPr>
          <w:p w14:paraId="5D265331" w14:textId="77777777" w:rsidR="00B852BD" w:rsidRPr="00463667" w:rsidRDefault="00B852BD" w:rsidP="00F578E0">
            <w:pPr>
              <w:pStyle w:val="Body"/>
            </w:pPr>
            <w:r w:rsidRPr="00463667">
              <w:t>Identify all members who meet the following criteria:</w:t>
            </w:r>
          </w:p>
          <w:p w14:paraId="22526C33" w14:textId="77777777" w:rsidR="00B852BD" w:rsidRPr="00463667" w:rsidRDefault="00B852BD" w:rsidP="00B852BD">
            <w:pPr>
              <w:pStyle w:val="Bullet"/>
              <w:rPr>
                <w:b/>
                <w:i/>
              </w:rPr>
            </w:pPr>
            <w:r w:rsidRPr="00463667">
              <w:t xml:space="preserve">Numerator compliant for </w:t>
            </w:r>
            <w:r w:rsidRPr="00463667">
              <w:rPr>
                <w:i/>
              </w:rPr>
              <w:t>Rate 1—Initiation Phase,</w:t>
            </w:r>
            <w:r w:rsidRPr="00463667">
              <w:rPr>
                <w:b/>
                <w:i/>
              </w:rPr>
              <w:t xml:space="preserve"> and</w:t>
            </w:r>
          </w:p>
          <w:p w14:paraId="4F0D9B7F" w14:textId="0AEFBC2A" w:rsidR="00B852BD" w:rsidRPr="00463667" w:rsidRDefault="00B852BD" w:rsidP="00B852BD">
            <w:pPr>
              <w:pStyle w:val="Bullet"/>
            </w:pPr>
            <w:r w:rsidRPr="00463667">
              <w:t>At least two follow-up visits</w:t>
            </w:r>
            <w:r w:rsidR="00413A7D" w:rsidRPr="00463667">
              <w:t xml:space="preserve"> with any practitioner</w:t>
            </w:r>
            <w:r w:rsidR="00413A7D">
              <w:t>,</w:t>
            </w:r>
            <w:r w:rsidRPr="00463667">
              <w:t xml:space="preserve"> from 31–300 days (9 months) after the IPSD.</w:t>
            </w:r>
          </w:p>
          <w:p w14:paraId="58132F1A" w14:textId="77777777" w:rsidR="00B852BD" w:rsidRPr="00463667" w:rsidRDefault="00B852BD" w:rsidP="00F578E0">
            <w:pPr>
              <w:pStyle w:val="Body"/>
            </w:pPr>
            <w:r w:rsidRPr="00463667">
              <w:t>One of the two visits (during days 31–300) may be a telephone visit (</w:t>
            </w:r>
            <w:r w:rsidRPr="00463667">
              <w:rPr>
                <w:u w:val="single"/>
              </w:rPr>
              <w:t>Telephone Visits Value Set</w:t>
            </w:r>
            <w:r w:rsidRPr="00463667">
              <w:t>) with any practitioner. Any of the following code combinations identify follow-up visits:</w:t>
            </w:r>
          </w:p>
          <w:p w14:paraId="7302DBB9" w14:textId="77777777" w:rsidR="00B852BD" w:rsidRPr="00463667" w:rsidRDefault="00B852BD" w:rsidP="00B852BD">
            <w:pPr>
              <w:pStyle w:val="Bullet"/>
            </w:pPr>
            <w:r w:rsidRPr="00463667">
              <w:rPr>
                <w:u w:val="single"/>
              </w:rPr>
              <w:t>ADD Stand Alone Visits Value Set</w:t>
            </w:r>
            <w:r w:rsidRPr="00463667">
              <w:t>.</w:t>
            </w:r>
          </w:p>
          <w:p w14:paraId="4FB43BE5" w14:textId="77777777" w:rsidR="00B852BD" w:rsidRPr="00463667" w:rsidRDefault="00B852BD" w:rsidP="00B852BD">
            <w:pPr>
              <w:pStyle w:val="Bullet"/>
            </w:pPr>
            <w:r w:rsidRPr="00463667">
              <w:rPr>
                <w:u w:val="single"/>
              </w:rPr>
              <w:t>ADD Visits Group 1 Value Set</w:t>
            </w:r>
            <w:r w:rsidRPr="00463667">
              <w:t xml:space="preserve"> </w:t>
            </w:r>
            <w:r w:rsidRPr="00463667">
              <w:rPr>
                <w:b/>
                <w:i/>
              </w:rPr>
              <w:t>with</w:t>
            </w:r>
            <w:r w:rsidRPr="00463667">
              <w:t xml:space="preserve"> </w:t>
            </w:r>
            <w:r w:rsidRPr="00463667">
              <w:rPr>
                <w:u w:val="single"/>
              </w:rPr>
              <w:t>ADD POS Group 1 Value Set</w:t>
            </w:r>
            <w:r w:rsidRPr="00463667">
              <w:t>.</w:t>
            </w:r>
          </w:p>
          <w:p w14:paraId="506AAB6A" w14:textId="77777777" w:rsidR="00B852BD" w:rsidRPr="00463667" w:rsidRDefault="00B852BD" w:rsidP="00B852BD">
            <w:pPr>
              <w:pStyle w:val="Bullet"/>
            </w:pPr>
            <w:r w:rsidRPr="00463667">
              <w:rPr>
                <w:u w:val="single"/>
              </w:rPr>
              <w:t>ADD Visits Group 2 Value Set</w:t>
            </w:r>
            <w:r w:rsidRPr="00463667">
              <w:t xml:space="preserve"> </w:t>
            </w:r>
            <w:r w:rsidRPr="00463667">
              <w:rPr>
                <w:b/>
                <w:i/>
              </w:rPr>
              <w:t>with</w:t>
            </w:r>
            <w:r w:rsidRPr="00463667">
              <w:t xml:space="preserve"> </w:t>
            </w:r>
            <w:r w:rsidRPr="00463667">
              <w:rPr>
                <w:u w:val="single"/>
              </w:rPr>
              <w:t>ADD POS Group 2 Value Set</w:t>
            </w:r>
            <w:r w:rsidRPr="00463667">
              <w:t>.</w:t>
            </w:r>
          </w:p>
          <w:p w14:paraId="273ED894" w14:textId="77777777" w:rsidR="00B852BD" w:rsidRPr="00463667" w:rsidRDefault="00B852BD" w:rsidP="00B852BD">
            <w:pPr>
              <w:pStyle w:val="Bullet"/>
            </w:pPr>
            <w:r w:rsidRPr="00463667">
              <w:rPr>
                <w:u w:val="single"/>
              </w:rPr>
              <w:t>Telephone Visits Value Set</w:t>
            </w:r>
            <w:r w:rsidRPr="00463667">
              <w:t>.</w:t>
            </w:r>
          </w:p>
        </w:tc>
      </w:tr>
    </w:tbl>
    <w:p w14:paraId="02592CCD" w14:textId="77777777" w:rsidR="00B852BD" w:rsidRPr="00463667" w:rsidRDefault="00B852BD" w:rsidP="00B852BD">
      <w:pPr>
        <w:pStyle w:val="SubHead20"/>
      </w:pPr>
      <w:r w:rsidRPr="00463667">
        <w:t xml:space="preserve">Exclusions </w:t>
      </w:r>
      <w:r w:rsidRPr="00463667">
        <w:rPr>
          <w:i/>
        </w:rPr>
        <w:t>(optional)</w:t>
      </w:r>
    </w:p>
    <w:p w14:paraId="321874D6" w14:textId="77777777" w:rsidR="00B852BD" w:rsidRPr="00463667" w:rsidRDefault="00B852BD" w:rsidP="00B852BD">
      <w:pPr>
        <w:pStyle w:val="Body"/>
      </w:pPr>
      <w:r w:rsidRPr="00463667">
        <w:t>Exclude from the denominator for both rates, members with a diagnosis of narcolepsy (</w:t>
      </w:r>
      <w:r w:rsidRPr="00463667">
        <w:rPr>
          <w:u w:val="single"/>
        </w:rPr>
        <w:t>Narcolepsy Value Set</w:t>
      </w:r>
      <w:r w:rsidRPr="00463667">
        <w:t>) any time during their history through December 31 of the measurement year.</w:t>
      </w:r>
      <w:r w:rsidRPr="00463667" w:rsidDel="00CF4FD2">
        <w:rPr>
          <w:highlight w:val="yellow"/>
        </w:rPr>
        <w:t xml:space="preserve"> </w:t>
      </w:r>
    </w:p>
    <w:p w14:paraId="6F4710B4" w14:textId="77777777" w:rsidR="00B852BD" w:rsidRPr="00463667" w:rsidRDefault="00B852BD" w:rsidP="00B852BD">
      <w:pPr>
        <w:pStyle w:val="SubHead20"/>
        <w:rPr>
          <w:i/>
        </w:rPr>
      </w:pPr>
      <w:r w:rsidRPr="00463667">
        <w:rPr>
          <w:i/>
        </w:rPr>
        <w:t>Note</w:t>
      </w:r>
    </w:p>
    <w:p w14:paraId="1458CDDE" w14:textId="77777777" w:rsidR="00B852BD" w:rsidRPr="00463667" w:rsidRDefault="00B852BD" w:rsidP="00B852BD">
      <w:pPr>
        <w:pStyle w:val="ProcessBullet"/>
        <w:spacing w:before="180"/>
        <w:rPr>
          <w:i/>
          <w:strike/>
        </w:rPr>
      </w:pPr>
      <w:r w:rsidRPr="00463667">
        <w:rPr>
          <w:i/>
        </w:rPr>
        <w:t>For members who have multiple overlapping prescriptions, count the overlap days once toward the days supply (whether the overlap is for the same drug or for a different drug).</w:t>
      </w:r>
    </w:p>
    <w:p w14:paraId="2DDE7685" w14:textId="77777777" w:rsidR="00B852BD" w:rsidRPr="00463667" w:rsidRDefault="00B852BD" w:rsidP="00B852BD">
      <w:pPr>
        <w:pStyle w:val="ProcessBullet"/>
        <w:rPr>
          <w:i/>
        </w:rPr>
      </w:pPr>
      <w:r w:rsidRPr="00463667">
        <w:rPr>
          <w:i/>
        </w:rPr>
        <w:t xml:space="preserve">Refer to Appendix 3 for the definition of </w:t>
      </w:r>
      <w:r w:rsidRPr="00463667">
        <w:t>prescribing practitioner</w:t>
      </w:r>
      <w:r w:rsidRPr="00463667">
        <w:rPr>
          <w:i/>
        </w:rPr>
        <w:t>.</w:t>
      </w:r>
    </w:p>
    <w:p w14:paraId="4A75A0FC" w14:textId="77777777" w:rsidR="00B852BD" w:rsidRPr="00463667" w:rsidRDefault="00B852BD" w:rsidP="00B852BD">
      <w:pPr>
        <w:pStyle w:val="ProcessBullet"/>
        <w:rPr>
          <w:i/>
          <w:iCs/>
        </w:rPr>
        <w:sectPr w:rsidR="00B852BD" w:rsidRPr="00463667" w:rsidSect="007527F3">
          <w:pgSz w:w="12240" w:h="15840" w:code="1"/>
          <w:pgMar w:top="1080" w:right="1080" w:bottom="1080" w:left="1440" w:header="720" w:footer="720" w:gutter="0"/>
          <w:cols w:space="720"/>
        </w:sectPr>
      </w:pPr>
      <w:r w:rsidRPr="00463667">
        <w:rPr>
          <w:i/>
          <w:iCs/>
        </w:rPr>
        <w:t>Organizations may have different methods for billing intensive outpatient encounters and partial hospitalizations. Some methods may be comparable to outpatient billing, with separate claims for each date of service; others may be comparable to inpatient billing, with an admission date, a discharge date and units of service. Organizations whose billing methods are comparable to inpatient billing may count each unit of service as an individual visit. The unit of service must have occurred during the period required for the rate (e.g., within 30 days after or from 31–300 days after the IPSD).</w:t>
      </w:r>
    </w:p>
    <w:p w14:paraId="1DADC721" w14:textId="77777777" w:rsidR="00B852BD" w:rsidRPr="00463667" w:rsidRDefault="00B852BD" w:rsidP="00B852BD">
      <w:pPr>
        <w:pStyle w:val="ReverseHead"/>
        <w:spacing w:before="0"/>
      </w:pPr>
      <w:r w:rsidRPr="00463667">
        <w:lastRenderedPageBreak/>
        <w:t xml:space="preserve">Data Elements for Reporting </w:t>
      </w:r>
    </w:p>
    <w:p w14:paraId="2EBCFFD3" w14:textId="77777777" w:rsidR="00B852BD" w:rsidRPr="00463667" w:rsidRDefault="00B852BD" w:rsidP="00B852BD">
      <w:pPr>
        <w:pStyle w:val="Body"/>
      </w:pPr>
      <w:r w:rsidRPr="00463667">
        <w:t>Organizations that submit HEDIS data to NCQA must provide the following data elements.</w:t>
      </w:r>
    </w:p>
    <w:p w14:paraId="23AF1C64" w14:textId="77777777" w:rsidR="00B852BD" w:rsidRPr="00463667" w:rsidRDefault="00B852BD" w:rsidP="00B852BD">
      <w:pPr>
        <w:pStyle w:val="TableHeadNotCondensed"/>
        <w:ind w:left="1620" w:hanging="1620"/>
      </w:pPr>
      <w:r w:rsidRPr="00463667">
        <w:t>Table ADD-1/2:</w:t>
      </w:r>
      <w:r w:rsidRPr="00463667">
        <w:tab/>
        <w:t xml:space="preserve">Data Elements for Follow-Up Care for Children </w:t>
      </w:r>
      <w:r w:rsidRPr="00463667">
        <w:br/>
        <w:t>Prescribed ADHD Medication</w:t>
      </w:r>
    </w:p>
    <w:tbl>
      <w:tblPr>
        <w:tblW w:w="646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22"/>
        <w:gridCol w:w="2340"/>
      </w:tblGrid>
      <w:tr w:rsidR="00B852BD" w:rsidRPr="00463667" w14:paraId="0E80F77F" w14:textId="77777777" w:rsidTr="00413A7D">
        <w:tc>
          <w:tcPr>
            <w:tcW w:w="4122" w:type="dxa"/>
            <w:tcBorders>
              <w:right w:val="nil"/>
            </w:tcBorders>
            <w:shd w:val="clear" w:color="auto" w:fill="000000"/>
          </w:tcPr>
          <w:p w14:paraId="0FE100E6" w14:textId="77777777" w:rsidR="00B852BD" w:rsidRPr="00463667" w:rsidRDefault="00B852BD" w:rsidP="00F578E0">
            <w:pPr>
              <w:pStyle w:val="TableHead"/>
              <w:rPr>
                <w:color w:val="auto"/>
              </w:rPr>
            </w:pPr>
          </w:p>
        </w:tc>
        <w:tc>
          <w:tcPr>
            <w:tcW w:w="2340" w:type="dxa"/>
            <w:tcBorders>
              <w:left w:val="single" w:sz="4" w:space="0" w:color="FFFFFF"/>
            </w:tcBorders>
            <w:shd w:val="clear" w:color="auto" w:fill="000000"/>
          </w:tcPr>
          <w:p w14:paraId="45EC1F7E" w14:textId="77777777" w:rsidR="00B852BD" w:rsidRPr="00463667" w:rsidRDefault="00B852BD" w:rsidP="00F578E0">
            <w:pPr>
              <w:pStyle w:val="TableHead"/>
              <w:rPr>
                <w:color w:val="auto"/>
              </w:rPr>
            </w:pPr>
            <w:r w:rsidRPr="00463667">
              <w:rPr>
                <w:color w:val="auto"/>
              </w:rPr>
              <w:t>Administrative</w:t>
            </w:r>
          </w:p>
        </w:tc>
      </w:tr>
      <w:tr w:rsidR="00B852BD" w:rsidRPr="00463667" w14:paraId="63B21967" w14:textId="77777777" w:rsidTr="00413A7D">
        <w:tc>
          <w:tcPr>
            <w:tcW w:w="4122" w:type="dxa"/>
            <w:tcBorders>
              <w:bottom w:val="nil"/>
            </w:tcBorders>
            <w:shd w:val="clear" w:color="auto" w:fill="FFFFFF" w:themeFill="background1"/>
          </w:tcPr>
          <w:p w14:paraId="04A38AFF" w14:textId="77777777" w:rsidR="00B852BD" w:rsidRPr="00463667" w:rsidRDefault="00B852BD" w:rsidP="00F578E0">
            <w:pPr>
              <w:pStyle w:val="TableText"/>
            </w:pPr>
            <w:r w:rsidRPr="00463667">
              <w:t>Measurement year</w:t>
            </w:r>
          </w:p>
        </w:tc>
        <w:tc>
          <w:tcPr>
            <w:tcW w:w="2340" w:type="dxa"/>
            <w:tcBorders>
              <w:bottom w:val="nil"/>
            </w:tcBorders>
            <w:shd w:val="clear" w:color="auto" w:fill="FFFFFF" w:themeFill="background1"/>
            <w:vAlign w:val="center"/>
          </w:tcPr>
          <w:p w14:paraId="11181389"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1C2926E8" w14:textId="77777777" w:rsidTr="00413A7D">
        <w:tc>
          <w:tcPr>
            <w:tcW w:w="4122" w:type="dxa"/>
            <w:tcBorders>
              <w:bottom w:val="nil"/>
            </w:tcBorders>
            <w:shd w:val="clear" w:color="auto" w:fill="D9D9D9" w:themeFill="background1" w:themeFillShade="D9"/>
          </w:tcPr>
          <w:p w14:paraId="42856BD2" w14:textId="77777777" w:rsidR="00B852BD" w:rsidRPr="00463667" w:rsidRDefault="00B852BD" w:rsidP="00F578E0">
            <w:pPr>
              <w:pStyle w:val="TableText"/>
            </w:pPr>
            <w:r w:rsidRPr="00463667">
              <w:t>Data collection methodology (Administrative)</w:t>
            </w:r>
          </w:p>
        </w:tc>
        <w:tc>
          <w:tcPr>
            <w:tcW w:w="2340" w:type="dxa"/>
            <w:tcBorders>
              <w:bottom w:val="nil"/>
            </w:tcBorders>
            <w:shd w:val="clear" w:color="auto" w:fill="D9D9D9" w:themeFill="background1" w:themeFillShade="D9"/>
            <w:vAlign w:val="center"/>
          </w:tcPr>
          <w:p w14:paraId="1386243E"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6735FE2B" w14:textId="77777777" w:rsidTr="00413A7D">
        <w:tc>
          <w:tcPr>
            <w:tcW w:w="4122" w:type="dxa"/>
            <w:tcBorders>
              <w:bottom w:val="single" w:sz="4" w:space="0" w:color="auto"/>
            </w:tcBorders>
            <w:shd w:val="clear" w:color="auto" w:fill="FFFFFF" w:themeFill="background1"/>
          </w:tcPr>
          <w:p w14:paraId="71C65796" w14:textId="77777777" w:rsidR="00B852BD" w:rsidRPr="00463667" w:rsidRDefault="00B852BD" w:rsidP="00F578E0">
            <w:pPr>
              <w:pStyle w:val="TableText"/>
            </w:pPr>
            <w:r w:rsidRPr="00463667">
              <w:t>Eligible population</w:t>
            </w:r>
          </w:p>
        </w:tc>
        <w:tc>
          <w:tcPr>
            <w:tcW w:w="2340" w:type="dxa"/>
            <w:tcBorders>
              <w:bottom w:val="single" w:sz="4" w:space="0" w:color="auto"/>
            </w:tcBorders>
            <w:shd w:val="clear" w:color="auto" w:fill="FFFFFF" w:themeFill="background1"/>
          </w:tcPr>
          <w:p w14:paraId="611B165E" w14:textId="77777777" w:rsidR="00B852BD" w:rsidRPr="00463667" w:rsidRDefault="00B852BD" w:rsidP="00F578E0">
            <w:pPr>
              <w:pStyle w:val="TableText"/>
              <w:jc w:val="center"/>
              <w:rPr>
                <w:i/>
                <w:iCs/>
              </w:rPr>
            </w:pPr>
            <w:r w:rsidRPr="00463667">
              <w:rPr>
                <w:i/>
                <w:iCs/>
              </w:rPr>
              <w:t>Each of the 2 rates</w:t>
            </w:r>
          </w:p>
        </w:tc>
      </w:tr>
      <w:tr w:rsidR="00B852BD" w:rsidRPr="00463667" w14:paraId="48133557" w14:textId="77777777" w:rsidTr="00413A7D">
        <w:tc>
          <w:tcPr>
            <w:tcW w:w="4122" w:type="dxa"/>
            <w:tcBorders>
              <w:bottom w:val="single" w:sz="4" w:space="0" w:color="auto"/>
            </w:tcBorders>
            <w:shd w:val="clear" w:color="auto" w:fill="D9D9D9" w:themeFill="background1" w:themeFillShade="D9"/>
          </w:tcPr>
          <w:p w14:paraId="1D64B8A6" w14:textId="77777777" w:rsidR="00B852BD" w:rsidRPr="00463667" w:rsidRDefault="00B852BD" w:rsidP="00F578E0">
            <w:pPr>
              <w:pStyle w:val="TableText"/>
            </w:pPr>
            <w:r w:rsidRPr="00463667">
              <w:t>Number of optional exclusions</w:t>
            </w:r>
          </w:p>
        </w:tc>
        <w:tc>
          <w:tcPr>
            <w:tcW w:w="2340" w:type="dxa"/>
            <w:tcBorders>
              <w:bottom w:val="single" w:sz="4" w:space="0" w:color="auto"/>
            </w:tcBorders>
            <w:shd w:val="clear" w:color="auto" w:fill="D9D9D9" w:themeFill="background1" w:themeFillShade="D9"/>
          </w:tcPr>
          <w:p w14:paraId="3C0C89E7" w14:textId="77777777" w:rsidR="00B852BD" w:rsidRPr="00463667" w:rsidRDefault="00B852BD" w:rsidP="00F578E0">
            <w:pPr>
              <w:pStyle w:val="TableText"/>
              <w:jc w:val="center"/>
              <w:rPr>
                <w:i/>
                <w:iCs/>
              </w:rPr>
            </w:pPr>
            <w:r w:rsidRPr="00463667">
              <w:rPr>
                <w:i/>
                <w:iCs/>
              </w:rPr>
              <w:t>Each of the 2 rates</w:t>
            </w:r>
          </w:p>
        </w:tc>
      </w:tr>
      <w:tr w:rsidR="00B852BD" w:rsidRPr="00463667" w14:paraId="2B67F751" w14:textId="77777777" w:rsidTr="00413A7D">
        <w:tc>
          <w:tcPr>
            <w:tcW w:w="4122" w:type="dxa"/>
            <w:tcBorders>
              <w:bottom w:val="single" w:sz="4" w:space="0" w:color="auto"/>
            </w:tcBorders>
            <w:shd w:val="clear" w:color="auto" w:fill="FFFFFF" w:themeFill="background1"/>
          </w:tcPr>
          <w:p w14:paraId="23F21CF4" w14:textId="77777777" w:rsidR="00B852BD" w:rsidRPr="00463667" w:rsidRDefault="00B852BD" w:rsidP="00F578E0">
            <w:pPr>
              <w:pStyle w:val="TableText"/>
            </w:pPr>
            <w:r w:rsidRPr="00463667">
              <w:t>Numerator events by administrative data</w:t>
            </w:r>
          </w:p>
        </w:tc>
        <w:tc>
          <w:tcPr>
            <w:tcW w:w="2340" w:type="dxa"/>
            <w:tcBorders>
              <w:bottom w:val="single" w:sz="4" w:space="0" w:color="auto"/>
            </w:tcBorders>
            <w:shd w:val="clear" w:color="auto" w:fill="FFFFFF" w:themeFill="background1"/>
          </w:tcPr>
          <w:p w14:paraId="1A4D8805" w14:textId="77777777" w:rsidR="00B852BD" w:rsidRPr="00463667" w:rsidRDefault="00B852BD" w:rsidP="00F578E0">
            <w:pPr>
              <w:pStyle w:val="TableText"/>
              <w:jc w:val="center"/>
            </w:pPr>
            <w:r w:rsidRPr="00463667">
              <w:rPr>
                <w:i/>
                <w:iCs/>
              </w:rPr>
              <w:t>Each of the 2 rates</w:t>
            </w:r>
          </w:p>
        </w:tc>
      </w:tr>
      <w:tr w:rsidR="00EB00B0" w:rsidRPr="00463667" w14:paraId="66D547E6" w14:textId="77777777" w:rsidTr="00413A7D">
        <w:tc>
          <w:tcPr>
            <w:tcW w:w="4122" w:type="dxa"/>
            <w:tcBorders>
              <w:bottom w:val="single" w:sz="4" w:space="0" w:color="auto"/>
            </w:tcBorders>
            <w:shd w:val="clear" w:color="auto" w:fill="D9D9D9" w:themeFill="background1" w:themeFillShade="D9"/>
          </w:tcPr>
          <w:p w14:paraId="4E87AD8D" w14:textId="77777777" w:rsidR="00EB00B0" w:rsidRPr="00463667" w:rsidRDefault="00EB00B0" w:rsidP="00F578E0">
            <w:pPr>
              <w:pStyle w:val="TableText"/>
            </w:pPr>
            <w:r w:rsidRPr="00EB00B0">
              <w:t>Numerator events by supplemental data</w:t>
            </w:r>
          </w:p>
        </w:tc>
        <w:tc>
          <w:tcPr>
            <w:tcW w:w="2340" w:type="dxa"/>
            <w:tcBorders>
              <w:bottom w:val="single" w:sz="4" w:space="0" w:color="auto"/>
            </w:tcBorders>
            <w:shd w:val="clear" w:color="auto" w:fill="D9D9D9" w:themeFill="background1" w:themeFillShade="D9"/>
          </w:tcPr>
          <w:p w14:paraId="4619CCDE" w14:textId="77777777" w:rsidR="00EB00B0" w:rsidRPr="00463667" w:rsidRDefault="00EB00B0" w:rsidP="00F578E0">
            <w:pPr>
              <w:pStyle w:val="TableText"/>
              <w:jc w:val="center"/>
              <w:rPr>
                <w:i/>
                <w:iCs/>
              </w:rPr>
            </w:pPr>
            <w:r w:rsidRPr="00463667">
              <w:rPr>
                <w:i/>
                <w:iCs/>
              </w:rPr>
              <w:t>Each of the 2 rates</w:t>
            </w:r>
          </w:p>
        </w:tc>
      </w:tr>
      <w:tr w:rsidR="00B852BD" w:rsidRPr="00463667" w14:paraId="4D6C1C56" w14:textId="77777777" w:rsidTr="00413A7D">
        <w:tc>
          <w:tcPr>
            <w:tcW w:w="4122" w:type="dxa"/>
            <w:tcBorders>
              <w:top w:val="single" w:sz="4" w:space="0" w:color="auto"/>
              <w:bottom w:val="single" w:sz="4" w:space="0" w:color="auto"/>
            </w:tcBorders>
            <w:shd w:val="clear" w:color="auto" w:fill="FFFFFF" w:themeFill="background1"/>
          </w:tcPr>
          <w:p w14:paraId="1F3427EF" w14:textId="77777777" w:rsidR="00B852BD" w:rsidRPr="00463667" w:rsidRDefault="00B852BD" w:rsidP="00F578E0">
            <w:pPr>
              <w:pStyle w:val="TableText"/>
            </w:pPr>
            <w:r w:rsidRPr="00463667">
              <w:t>Reported rate</w:t>
            </w:r>
          </w:p>
        </w:tc>
        <w:tc>
          <w:tcPr>
            <w:tcW w:w="2340" w:type="dxa"/>
            <w:tcBorders>
              <w:top w:val="single" w:sz="4" w:space="0" w:color="auto"/>
              <w:bottom w:val="single" w:sz="4" w:space="0" w:color="auto"/>
            </w:tcBorders>
            <w:shd w:val="clear" w:color="auto" w:fill="FFFFFF" w:themeFill="background1"/>
          </w:tcPr>
          <w:p w14:paraId="2EECCC73" w14:textId="77777777" w:rsidR="00B852BD" w:rsidRPr="00463667" w:rsidRDefault="00B852BD" w:rsidP="00F578E0">
            <w:pPr>
              <w:pStyle w:val="TableText"/>
              <w:jc w:val="center"/>
            </w:pPr>
            <w:r w:rsidRPr="00463667">
              <w:rPr>
                <w:i/>
                <w:iCs/>
              </w:rPr>
              <w:t>Each of the 2 rates</w:t>
            </w:r>
          </w:p>
        </w:tc>
      </w:tr>
      <w:tr w:rsidR="00B852BD" w:rsidRPr="00463667" w14:paraId="049EAA1B" w14:textId="77777777" w:rsidTr="00413A7D">
        <w:tc>
          <w:tcPr>
            <w:tcW w:w="4122" w:type="dxa"/>
            <w:tcBorders>
              <w:bottom w:val="single" w:sz="4" w:space="0" w:color="auto"/>
            </w:tcBorders>
            <w:shd w:val="clear" w:color="auto" w:fill="D9D9D9" w:themeFill="background1" w:themeFillShade="D9"/>
          </w:tcPr>
          <w:p w14:paraId="4787F0CC" w14:textId="77777777" w:rsidR="00B852BD" w:rsidRPr="00463667" w:rsidRDefault="00B852BD" w:rsidP="00F578E0">
            <w:pPr>
              <w:pStyle w:val="TableText"/>
            </w:pPr>
            <w:r w:rsidRPr="00463667">
              <w:t>Lower 95% confidence interval</w:t>
            </w:r>
          </w:p>
        </w:tc>
        <w:tc>
          <w:tcPr>
            <w:tcW w:w="2340" w:type="dxa"/>
            <w:tcBorders>
              <w:bottom w:val="single" w:sz="4" w:space="0" w:color="auto"/>
            </w:tcBorders>
            <w:shd w:val="clear" w:color="auto" w:fill="D9D9D9" w:themeFill="background1" w:themeFillShade="D9"/>
          </w:tcPr>
          <w:p w14:paraId="452DAEFB" w14:textId="77777777" w:rsidR="00B852BD" w:rsidRPr="00463667" w:rsidRDefault="00B852BD" w:rsidP="00F578E0">
            <w:pPr>
              <w:pStyle w:val="TableText"/>
              <w:jc w:val="center"/>
            </w:pPr>
            <w:r w:rsidRPr="00463667">
              <w:rPr>
                <w:i/>
                <w:iCs/>
              </w:rPr>
              <w:t>Each of the 2 rates</w:t>
            </w:r>
          </w:p>
        </w:tc>
      </w:tr>
      <w:tr w:rsidR="00B852BD" w:rsidRPr="00463667" w14:paraId="47C514CF" w14:textId="77777777" w:rsidTr="00413A7D">
        <w:tc>
          <w:tcPr>
            <w:tcW w:w="4122" w:type="dxa"/>
            <w:shd w:val="clear" w:color="auto" w:fill="FFFFFF" w:themeFill="background1"/>
          </w:tcPr>
          <w:p w14:paraId="55F075E5" w14:textId="77777777" w:rsidR="00B852BD" w:rsidRPr="00463667" w:rsidRDefault="00B852BD" w:rsidP="00F578E0">
            <w:pPr>
              <w:pStyle w:val="TableText"/>
            </w:pPr>
            <w:r w:rsidRPr="00463667">
              <w:t>Upper 95% confidence interval</w:t>
            </w:r>
          </w:p>
        </w:tc>
        <w:tc>
          <w:tcPr>
            <w:tcW w:w="2340" w:type="dxa"/>
            <w:shd w:val="clear" w:color="auto" w:fill="FFFFFF" w:themeFill="background1"/>
          </w:tcPr>
          <w:p w14:paraId="04E7B2DA" w14:textId="77777777" w:rsidR="00B852BD" w:rsidRPr="00463667" w:rsidRDefault="00B852BD" w:rsidP="00F578E0">
            <w:pPr>
              <w:pStyle w:val="TableText"/>
              <w:jc w:val="center"/>
            </w:pPr>
            <w:r w:rsidRPr="00463667">
              <w:rPr>
                <w:i/>
                <w:iCs/>
              </w:rPr>
              <w:t>Each of the 2 rates</w:t>
            </w:r>
          </w:p>
        </w:tc>
      </w:tr>
    </w:tbl>
    <w:p w14:paraId="6EBC2B34" w14:textId="77777777" w:rsidR="00B852BD" w:rsidRPr="00463667" w:rsidRDefault="00B852BD" w:rsidP="00B852BD"/>
    <w:p w14:paraId="43D25A35" w14:textId="77777777" w:rsidR="00B852BD" w:rsidRPr="00463667" w:rsidRDefault="00B852BD" w:rsidP="00B852BD"/>
    <w:p w14:paraId="77DB87E1" w14:textId="77777777" w:rsidR="00B852BD" w:rsidRPr="00463667" w:rsidRDefault="00B852BD" w:rsidP="00B852BD">
      <w:pPr>
        <w:pStyle w:val="Heading2"/>
        <w:sectPr w:rsidR="00B852BD" w:rsidRPr="00463667" w:rsidSect="007527F3">
          <w:pgSz w:w="12240" w:h="15840" w:code="1"/>
          <w:pgMar w:top="1080" w:right="1080" w:bottom="1080" w:left="1440" w:header="720" w:footer="720" w:gutter="0"/>
          <w:cols w:space="720"/>
        </w:sectPr>
      </w:pPr>
    </w:p>
    <w:p w14:paraId="3BF8C0C5" w14:textId="77777777" w:rsidR="00B852BD" w:rsidRPr="00463667" w:rsidRDefault="00B852BD" w:rsidP="00B852BD">
      <w:pPr>
        <w:pStyle w:val="Heading2"/>
      </w:pPr>
      <w:bookmarkStart w:id="6" w:name="_Toc400546137"/>
      <w:r w:rsidRPr="003F7CDF">
        <w:lastRenderedPageBreak/>
        <w:t>Follow-Up After Hospitalization for Mental Illness (FUH)</w:t>
      </w:r>
      <w:bookmarkEnd w:id="6"/>
    </w:p>
    <w:p w14:paraId="51080D1F" w14:textId="4D3DEED3" w:rsidR="00B852BD" w:rsidRPr="00463667" w:rsidRDefault="00B852BD" w:rsidP="00B852BD">
      <w:pPr>
        <w:pStyle w:val="SOC"/>
        <w:rPr>
          <w:i/>
        </w:rPr>
      </w:pPr>
      <w:r w:rsidRPr="00463667">
        <w:t xml:space="preserve">Summary of Changes to HEDIS </w:t>
      </w:r>
      <w:r w:rsidR="00D0464F">
        <w:t>2016</w:t>
      </w:r>
    </w:p>
    <w:p w14:paraId="3CEC4A02" w14:textId="7404EEF7" w:rsidR="002250A1" w:rsidRPr="002250A1" w:rsidRDefault="002250A1" w:rsidP="00EB00B0">
      <w:pPr>
        <w:pStyle w:val="ProcessBullet"/>
        <w:rPr>
          <w:i/>
          <w:iCs/>
        </w:rPr>
      </w:pPr>
      <w:r>
        <w:t>Added value sets to identify acute inpatient discharges</w:t>
      </w:r>
      <w:r w:rsidR="00B938D8">
        <w:t>,</w:t>
      </w:r>
      <w:r>
        <w:t xml:space="preserve"> readmissions </w:t>
      </w:r>
      <w:r w:rsidR="00B938D8">
        <w:t xml:space="preserve">and transfer settings </w:t>
      </w:r>
      <w:r>
        <w:t>for the Event/</w:t>
      </w:r>
      <w:r w:rsidR="00105DB3">
        <w:t xml:space="preserve"> </w:t>
      </w:r>
      <w:r>
        <w:t>diagnosis.</w:t>
      </w:r>
    </w:p>
    <w:p w14:paraId="4FE01035" w14:textId="327DF896" w:rsidR="00EB00B0" w:rsidRPr="00463667" w:rsidRDefault="00EB00B0" w:rsidP="00F33CB8">
      <w:pPr>
        <w:pStyle w:val="ProcessBullet"/>
        <w:spacing w:before="60"/>
        <w:rPr>
          <w:i/>
          <w:iCs/>
        </w:rPr>
      </w:pPr>
      <w:r>
        <w:t xml:space="preserve">Added </w:t>
      </w:r>
      <w:r w:rsidR="009F0DF0">
        <w:t>“</w:t>
      </w:r>
      <w:r>
        <w:t>Numerator events by supplemental data</w:t>
      </w:r>
      <w:r w:rsidR="009F0DF0">
        <w:t>”</w:t>
      </w:r>
      <w:r>
        <w:t xml:space="preserve"> to the Data Elements for Reporting table to capture the number of members who met numerator criteria using supplemental data. </w:t>
      </w:r>
    </w:p>
    <w:p w14:paraId="61DAA728" w14:textId="77777777" w:rsidR="00B852BD" w:rsidRPr="00463667" w:rsidRDefault="00B852BD" w:rsidP="00B852BD">
      <w:pPr>
        <w:pStyle w:val="ReverseHead"/>
      </w:pPr>
      <w:r w:rsidRPr="00463667">
        <w:t>Description</w:t>
      </w:r>
    </w:p>
    <w:p w14:paraId="1C4B8492" w14:textId="77777777" w:rsidR="00B852BD" w:rsidRPr="00463667" w:rsidRDefault="00B852BD" w:rsidP="00B852BD">
      <w:pPr>
        <w:pStyle w:val="Body"/>
      </w:pPr>
      <w:r w:rsidRPr="00463667">
        <w:t>The percentage of discharges for members 6 years of age and older who were hospitalized for treatment of selected mental illness diagnoses and who had an outpatient visit, an intensive outpatient encounter or partial hospitalization with a mental health practitioner. Two rates are reported:</w:t>
      </w:r>
    </w:p>
    <w:p w14:paraId="1829A31E" w14:textId="77777777" w:rsidR="00B852BD" w:rsidRPr="00463667" w:rsidRDefault="00B852BD" w:rsidP="00C3122F">
      <w:pPr>
        <w:pStyle w:val="Bullet"/>
        <w:numPr>
          <w:ilvl w:val="0"/>
          <w:numId w:val="33"/>
        </w:numPr>
        <w:ind w:left="648" w:hanging="288"/>
      </w:pPr>
      <w:r w:rsidRPr="00463667">
        <w:t>The percentage of discharges for which the member received follow-up within 30 days of discharge.</w:t>
      </w:r>
    </w:p>
    <w:p w14:paraId="106373B8" w14:textId="77777777" w:rsidR="00B852BD" w:rsidRPr="00463667" w:rsidRDefault="00B852BD" w:rsidP="006740AA">
      <w:pPr>
        <w:pStyle w:val="Bullet"/>
        <w:numPr>
          <w:ilvl w:val="0"/>
          <w:numId w:val="33"/>
        </w:numPr>
        <w:ind w:left="648" w:hanging="288"/>
      </w:pPr>
      <w:r w:rsidRPr="00463667">
        <w:t>The percentage of discharges for which the member received follow-up within 7 days of discharge.</w:t>
      </w:r>
    </w:p>
    <w:p w14:paraId="525B07B3" w14:textId="77777777" w:rsidR="00B852BD" w:rsidRPr="00463667" w:rsidRDefault="00B852BD" w:rsidP="00B852BD">
      <w:pPr>
        <w:pStyle w:val="ReverseHead"/>
      </w:pPr>
      <w:r w:rsidRPr="00463667">
        <w:t>Eligible Population</w:t>
      </w:r>
    </w:p>
    <w:tbl>
      <w:tblPr>
        <w:tblW w:w="0" w:type="auto"/>
        <w:tblInd w:w="-90" w:type="dxa"/>
        <w:tblLayout w:type="fixed"/>
        <w:tblLook w:val="0000" w:firstRow="0" w:lastRow="0" w:firstColumn="0" w:lastColumn="0" w:noHBand="0" w:noVBand="0"/>
      </w:tblPr>
      <w:tblGrid>
        <w:gridCol w:w="1998"/>
        <w:gridCol w:w="7920"/>
      </w:tblGrid>
      <w:tr w:rsidR="00B852BD" w:rsidRPr="00463667" w14:paraId="6F970EFE" w14:textId="77777777" w:rsidTr="00F578E0">
        <w:tc>
          <w:tcPr>
            <w:tcW w:w="1998" w:type="dxa"/>
          </w:tcPr>
          <w:p w14:paraId="09433E2A" w14:textId="77777777" w:rsidR="00B852BD" w:rsidRPr="00463667" w:rsidRDefault="00B852BD" w:rsidP="00F578E0">
            <w:pPr>
              <w:pStyle w:val="MarginSubhead"/>
            </w:pPr>
            <w:r w:rsidRPr="00463667">
              <w:t>Product lines</w:t>
            </w:r>
          </w:p>
        </w:tc>
        <w:tc>
          <w:tcPr>
            <w:tcW w:w="7920" w:type="dxa"/>
          </w:tcPr>
          <w:p w14:paraId="73B48674" w14:textId="77777777" w:rsidR="00B852BD" w:rsidRPr="00463667" w:rsidRDefault="00B852BD" w:rsidP="00F578E0">
            <w:pPr>
              <w:pStyle w:val="Body"/>
            </w:pPr>
            <w:r w:rsidRPr="00463667">
              <w:t>Commercial, Medicaid, Medicare (report each product line separately).</w:t>
            </w:r>
          </w:p>
        </w:tc>
      </w:tr>
      <w:tr w:rsidR="00B852BD" w:rsidRPr="00463667" w14:paraId="5458F36E" w14:textId="77777777" w:rsidTr="00F578E0">
        <w:tc>
          <w:tcPr>
            <w:tcW w:w="1998" w:type="dxa"/>
          </w:tcPr>
          <w:p w14:paraId="1127140C" w14:textId="77777777" w:rsidR="00B852BD" w:rsidRPr="00463667" w:rsidRDefault="00B852BD" w:rsidP="00F578E0">
            <w:pPr>
              <w:pStyle w:val="MarginSubhead"/>
            </w:pPr>
            <w:r w:rsidRPr="00463667">
              <w:t>Ages</w:t>
            </w:r>
          </w:p>
        </w:tc>
        <w:tc>
          <w:tcPr>
            <w:tcW w:w="7920" w:type="dxa"/>
          </w:tcPr>
          <w:p w14:paraId="2338C7E2" w14:textId="77777777" w:rsidR="00B852BD" w:rsidRPr="00463667" w:rsidRDefault="00B852BD" w:rsidP="00F578E0">
            <w:pPr>
              <w:pStyle w:val="Body"/>
            </w:pPr>
            <w:r w:rsidRPr="00463667">
              <w:t>6 years and older as of the date of discharge.</w:t>
            </w:r>
          </w:p>
        </w:tc>
      </w:tr>
      <w:tr w:rsidR="00B852BD" w:rsidRPr="00463667" w14:paraId="1424B87D" w14:textId="77777777" w:rsidTr="00F578E0">
        <w:tc>
          <w:tcPr>
            <w:tcW w:w="1998" w:type="dxa"/>
          </w:tcPr>
          <w:p w14:paraId="737FA3FE" w14:textId="77777777" w:rsidR="00B852BD" w:rsidRPr="00463667" w:rsidRDefault="00B852BD" w:rsidP="00F578E0">
            <w:pPr>
              <w:pStyle w:val="MarginSubhead"/>
            </w:pPr>
            <w:r w:rsidRPr="00463667">
              <w:t>Continuous enrollment</w:t>
            </w:r>
          </w:p>
        </w:tc>
        <w:tc>
          <w:tcPr>
            <w:tcW w:w="7920" w:type="dxa"/>
          </w:tcPr>
          <w:p w14:paraId="02C329BC" w14:textId="77777777" w:rsidR="00B852BD" w:rsidRPr="00463667" w:rsidRDefault="00B852BD" w:rsidP="00F578E0">
            <w:pPr>
              <w:pStyle w:val="Body"/>
            </w:pPr>
            <w:r w:rsidRPr="00463667">
              <w:t>Date of discharge through 30 days after discharge.</w:t>
            </w:r>
          </w:p>
        </w:tc>
      </w:tr>
      <w:tr w:rsidR="00B852BD" w:rsidRPr="00463667" w14:paraId="5260DA83" w14:textId="77777777" w:rsidTr="00F578E0">
        <w:tc>
          <w:tcPr>
            <w:tcW w:w="1998" w:type="dxa"/>
          </w:tcPr>
          <w:p w14:paraId="5FC646D0" w14:textId="77777777" w:rsidR="00B852BD" w:rsidRPr="00463667" w:rsidRDefault="00B852BD" w:rsidP="00F578E0">
            <w:pPr>
              <w:pStyle w:val="MarginSubhead"/>
            </w:pPr>
            <w:r w:rsidRPr="00463667">
              <w:t>Allowable gap</w:t>
            </w:r>
          </w:p>
        </w:tc>
        <w:tc>
          <w:tcPr>
            <w:tcW w:w="7920" w:type="dxa"/>
          </w:tcPr>
          <w:p w14:paraId="54977B45" w14:textId="77777777" w:rsidR="00B852BD" w:rsidRPr="00463667" w:rsidRDefault="00B852BD" w:rsidP="00F578E0">
            <w:pPr>
              <w:pStyle w:val="Body"/>
            </w:pPr>
            <w:r w:rsidRPr="00463667">
              <w:t xml:space="preserve">No gaps in enrollment. </w:t>
            </w:r>
          </w:p>
        </w:tc>
      </w:tr>
      <w:tr w:rsidR="00B852BD" w:rsidRPr="00463667" w14:paraId="1FC04C89" w14:textId="77777777" w:rsidTr="00F578E0">
        <w:tc>
          <w:tcPr>
            <w:tcW w:w="1998" w:type="dxa"/>
          </w:tcPr>
          <w:p w14:paraId="68ABA243" w14:textId="77777777" w:rsidR="00B852BD" w:rsidRPr="00463667" w:rsidRDefault="00B852BD" w:rsidP="00F578E0">
            <w:pPr>
              <w:pStyle w:val="MarginSubhead"/>
            </w:pPr>
            <w:r w:rsidRPr="00463667">
              <w:t>Anchor date</w:t>
            </w:r>
          </w:p>
        </w:tc>
        <w:tc>
          <w:tcPr>
            <w:tcW w:w="7920" w:type="dxa"/>
          </w:tcPr>
          <w:p w14:paraId="1B7CD9E8" w14:textId="77777777" w:rsidR="00B852BD" w:rsidRPr="00463667" w:rsidRDefault="00B852BD" w:rsidP="00F578E0">
            <w:pPr>
              <w:pStyle w:val="Body"/>
            </w:pPr>
            <w:r w:rsidRPr="00463667">
              <w:t xml:space="preserve">None. </w:t>
            </w:r>
          </w:p>
        </w:tc>
      </w:tr>
      <w:tr w:rsidR="00B852BD" w:rsidRPr="00463667" w14:paraId="02E75AC9" w14:textId="77777777" w:rsidTr="00F578E0">
        <w:tc>
          <w:tcPr>
            <w:tcW w:w="1998" w:type="dxa"/>
          </w:tcPr>
          <w:p w14:paraId="2F44E08A" w14:textId="77777777" w:rsidR="00B852BD" w:rsidRPr="00463667" w:rsidRDefault="00B852BD" w:rsidP="00F578E0">
            <w:pPr>
              <w:pStyle w:val="MarginSubhead"/>
            </w:pPr>
            <w:r w:rsidRPr="00463667">
              <w:t>Benefits</w:t>
            </w:r>
          </w:p>
        </w:tc>
        <w:tc>
          <w:tcPr>
            <w:tcW w:w="7920" w:type="dxa"/>
          </w:tcPr>
          <w:p w14:paraId="0066CD87" w14:textId="77777777" w:rsidR="00B852BD" w:rsidRPr="00463667" w:rsidRDefault="00B852BD" w:rsidP="00F578E0">
            <w:pPr>
              <w:pStyle w:val="Body"/>
            </w:pPr>
            <w:r w:rsidRPr="00463667">
              <w:t>Medical and mental health (inpatient and outpatient).</w:t>
            </w:r>
          </w:p>
        </w:tc>
      </w:tr>
      <w:tr w:rsidR="00B852BD" w:rsidRPr="00463667" w14:paraId="4C10AAD9" w14:textId="77777777" w:rsidTr="00F578E0">
        <w:tc>
          <w:tcPr>
            <w:tcW w:w="1998" w:type="dxa"/>
          </w:tcPr>
          <w:p w14:paraId="009280FB" w14:textId="77777777" w:rsidR="00B852BD" w:rsidRPr="00463667" w:rsidRDefault="00B852BD" w:rsidP="00F578E0">
            <w:pPr>
              <w:pStyle w:val="MarginSubhead"/>
            </w:pPr>
            <w:r w:rsidRPr="00463667">
              <w:t>Event/ diagnosis</w:t>
            </w:r>
          </w:p>
        </w:tc>
        <w:tc>
          <w:tcPr>
            <w:tcW w:w="7920" w:type="dxa"/>
          </w:tcPr>
          <w:p w14:paraId="0F6AC244" w14:textId="5BE3AAD4" w:rsidR="008E3DD5" w:rsidRDefault="008E3DD5" w:rsidP="00F578E0">
            <w:pPr>
              <w:pStyle w:val="Body"/>
            </w:pPr>
            <w:r>
              <w:t>An acute inpatient discharge</w:t>
            </w:r>
            <w:r w:rsidR="00B852BD" w:rsidRPr="00463667">
              <w:t xml:space="preserve"> with a principal diagnosis of mental illness (</w:t>
            </w:r>
            <w:r w:rsidR="00B852BD" w:rsidRPr="00463667">
              <w:rPr>
                <w:u w:val="single"/>
              </w:rPr>
              <w:t>Mental Illness Value Set</w:t>
            </w:r>
            <w:r w:rsidR="00B852BD" w:rsidRPr="00463667">
              <w:t xml:space="preserve">) on or between January 1 and December 1 of the measurement year. </w:t>
            </w:r>
            <w:r>
              <w:t>To identify acute inpatient discharges:</w:t>
            </w:r>
          </w:p>
          <w:p w14:paraId="0DAB5AEC" w14:textId="77777777" w:rsidR="008E3DD5" w:rsidRDefault="008E3DD5" w:rsidP="00C3122F">
            <w:pPr>
              <w:pStyle w:val="Bullet"/>
              <w:numPr>
                <w:ilvl w:val="0"/>
                <w:numId w:val="18"/>
              </w:numPr>
              <w:ind w:left="576"/>
            </w:pPr>
            <w:r>
              <w:t>Identify all acute and nonacute inpatient stays (</w:t>
            </w:r>
            <w:r w:rsidRPr="008E3DD5">
              <w:rPr>
                <w:u w:val="single"/>
              </w:rPr>
              <w:t>Inpatient Stay Value Set</w:t>
            </w:r>
            <w:r>
              <w:t>).</w:t>
            </w:r>
          </w:p>
          <w:p w14:paraId="01CBC683" w14:textId="77777777" w:rsidR="008E3DD5" w:rsidRDefault="008E3DD5" w:rsidP="00C3122F">
            <w:pPr>
              <w:pStyle w:val="Bullet"/>
              <w:numPr>
                <w:ilvl w:val="0"/>
                <w:numId w:val="18"/>
              </w:numPr>
              <w:ind w:left="576"/>
            </w:pPr>
            <w:r>
              <w:t>Exclude nonacute inpatient stays (</w:t>
            </w:r>
            <w:r w:rsidRPr="008E3DD5">
              <w:rPr>
                <w:u w:val="single"/>
              </w:rPr>
              <w:t>Nonacute Inpatient Stay Value Set</w:t>
            </w:r>
            <w:r>
              <w:t>).</w:t>
            </w:r>
          </w:p>
          <w:p w14:paraId="018B3A9A" w14:textId="06AE945E" w:rsidR="008E3DD5" w:rsidRDefault="008E3DD5" w:rsidP="00C3122F">
            <w:pPr>
              <w:pStyle w:val="Bullet"/>
              <w:numPr>
                <w:ilvl w:val="0"/>
                <w:numId w:val="18"/>
              </w:numPr>
              <w:ind w:left="576"/>
            </w:pPr>
            <w:r>
              <w:t>Identify the discharge date for the</w:t>
            </w:r>
            <w:r w:rsidR="00222DEA">
              <w:t xml:space="preserve"> </w:t>
            </w:r>
            <w:r>
              <w:t>stay.</w:t>
            </w:r>
          </w:p>
          <w:p w14:paraId="0E4A1B94" w14:textId="4E896667" w:rsidR="00B852BD" w:rsidRPr="00463667" w:rsidRDefault="00B852BD" w:rsidP="00F578E0">
            <w:pPr>
              <w:pStyle w:val="Body"/>
              <w:rPr>
                <w:i/>
              </w:rPr>
            </w:pPr>
            <w:r w:rsidRPr="00463667">
              <w:t>The denominator for this measure is based on discharges, not on members. If members have more than one discharge, include all discharges on or between January 1 and December 1 of the measurement year.</w:t>
            </w:r>
          </w:p>
        </w:tc>
      </w:tr>
      <w:tr w:rsidR="00B852BD" w:rsidRPr="00463667" w14:paraId="0A6090C0" w14:textId="77777777" w:rsidTr="00F578E0">
        <w:tc>
          <w:tcPr>
            <w:tcW w:w="1998" w:type="dxa"/>
          </w:tcPr>
          <w:p w14:paraId="36771582" w14:textId="06D8F93E" w:rsidR="00B852BD" w:rsidRPr="00463667" w:rsidRDefault="00B852BD" w:rsidP="009541A3">
            <w:pPr>
              <w:pStyle w:val="MarginSubhead"/>
              <w:jc w:val="right"/>
              <w:rPr>
                <w:i/>
                <w:sz w:val="22"/>
              </w:rPr>
            </w:pPr>
            <w:r w:rsidRPr="00463667">
              <w:rPr>
                <w:i/>
              </w:rPr>
              <w:t>Acute readmission or direct transfer</w:t>
            </w:r>
          </w:p>
        </w:tc>
        <w:tc>
          <w:tcPr>
            <w:tcW w:w="7920" w:type="dxa"/>
          </w:tcPr>
          <w:p w14:paraId="1180EB6E" w14:textId="0D025841" w:rsidR="00B852BD" w:rsidRDefault="00B852BD" w:rsidP="00FD5CFD">
            <w:pPr>
              <w:pStyle w:val="Body"/>
            </w:pPr>
            <w:r w:rsidRPr="00463667">
              <w:t xml:space="preserve">If the discharge is followed by readmission or direct transfer to an </w:t>
            </w:r>
            <w:r w:rsidRPr="00463667">
              <w:rPr>
                <w:i/>
              </w:rPr>
              <w:t xml:space="preserve">acute </w:t>
            </w:r>
            <w:r w:rsidR="00C360ED">
              <w:rPr>
                <w:i/>
              </w:rPr>
              <w:t xml:space="preserve">inpatient care </w:t>
            </w:r>
            <w:r w:rsidR="009541A3">
              <w:rPr>
                <w:i/>
              </w:rPr>
              <w:t xml:space="preserve">setting </w:t>
            </w:r>
            <w:r w:rsidRPr="00463667">
              <w:t xml:space="preserve">for a principal </w:t>
            </w:r>
            <w:r w:rsidR="00B44B50" w:rsidRPr="00463667">
              <w:t xml:space="preserve">mental health </w:t>
            </w:r>
            <w:r w:rsidRPr="00463667">
              <w:t>diagnosis (</w:t>
            </w:r>
            <w:r w:rsidRPr="00463667">
              <w:rPr>
                <w:u w:val="single"/>
              </w:rPr>
              <w:t>Mental Health Diagnosis Value Set</w:t>
            </w:r>
            <w:r w:rsidRPr="00463667">
              <w:t xml:space="preserve">) within the 30-day follow-up period, count only </w:t>
            </w:r>
            <w:r w:rsidR="00C360ED">
              <w:t>the last discharge</w:t>
            </w:r>
            <w:r w:rsidRPr="00463667">
              <w:t xml:space="preserve">. Exclude both the initial discharge and the readmission/direct transfer discharge if the </w:t>
            </w:r>
            <w:r w:rsidR="00C360ED">
              <w:t>last</w:t>
            </w:r>
            <w:r w:rsidRPr="00463667">
              <w:t xml:space="preserve"> discharge occurs after December 1 of the measurement year.</w:t>
            </w:r>
            <w:r w:rsidR="00FD5CFD">
              <w:t xml:space="preserve"> </w:t>
            </w:r>
          </w:p>
          <w:p w14:paraId="19D48E37" w14:textId="77777777" w:rsidR="00FD5CFD" w:rsidRPr="00463667" w:rsidRDefault="00FD5CFD" w:rsidP="00F33CB8">
            <w:pPr>
              <w:pStyle w:val="Bullet"/>
              <w:numPr>
                <w:ilvl w:val="0"/>
                <w:numId w:val="0"/>
              </w:numPr>
              <w:ind w:left="576" w:hanging="216"/>
            </w:pPr>
          </w:p>
        </w:tc>
      </w:tr>
    </w:tbl>
    <w:p w14:paraId="359DD524" w14:textId="77777777" w:rsidR="00B852BD" w:rsidRPr="00463667" w:rsidRDefault="00B852BD" w:rsidP="00B852BD">
      <w:pPr>
        <w:sectPr w:rsidR="00B852BD" w:rsidRPr="00463667" w:rsidSect="007527F3">
          <w:headerReference w:type="even" r:id="rId56"/>
          <w:headerReference w:type="default" r:id="rId57"/>
          <w:pgSz w:w="12240" w:h="15840" w:code="1"/>
          <w:pgMar w:top="1080" w:right="1080" w:bottom="1080" w:left="1440" w:header="720" w:footer="720" w:gutter="0"/>
          <w:cols w:space="720"/>
        </w:sectPr>
      </w:pPr>
    </w:p>
    <w:tbl>
      <w:tblPr>
        <w:tblW w:w="9792" w:type="dxa"/>
        <w:tblInd w:w="18" w:type="dxa"/>
        <w:tblLayout w:type="fixed"/>
        <w:tblLook w:val="0000" w:firstRow="0" w:lastRow="0" w:firstColumn="0" w:lastColumn="0" w:noHBand="0" w:noVBand="0"/>
      </w:tblPr>
      <w:tblGrid>
        <w:gridCol w:w="1890"/>
        <w:gridCol w:w="7902"/>
      </w:tblGrid>
      <w:tr w:rsidR="00F33CB8" w:rsidRPr="00463667" w14:paraId="6B3B2A2F" w14:textId="77777777" w:rsidTr="00F578E0">
        <w:tc>
          <w:tcPr>
            <w:tcW w:w="1890" w:type="dxa"/>
          </w:tcPr>
          <w:p w14:paraId="0306932F" w14:textId="77777777" w:rsidR="00F33CB8" w:rsidRPr="00463667" w:rsidRDefault="00F33CB8" w:rsidP="00F578E0">
            <w:pPr>
              <w:pStyle w:val="MarginSubhead"/>
              <w:spacing w:before="0"/>
              <w:ind w:left="0"/>
              <w:jc w:val="right"/>
              <w:rPr>
                <w:i/>
              </w:rPr>
            </w:pPr>
          </w:p>
        </w:tc>
        <w:tc>
          <w:tcPr>
            <w:tcW w:w="7902" w:type="dxa"/>
          </w:tcPr>
          <w:p w14:paraId="2E492208" w14:textId="2E0079F3" w:rsidR="00F33CB8" w:rsidRPr="00F33CB8" w:rsidRDefault="00F33CB8" w:rsidP="00F33CB8">
            <w:pPr>
              <w:pStyle w:val="Body"/>
              <w:spacing w:before="0"/>
            </w:pPr>
            <w:r w:rsidRPr="00F33CB8">
              <w:t xml:space="preserve">To identify readmissions to an acute </w:t>
            </w:r>
            <w:r w:rsidR="00874140">
              <w:t xml:space="preserve">inpatient </w:t>
            </w:r>
            <w:r w:rsidR="009541A3">
              <w:t>care setting</w:t>
            </w:r>
            <w:r w:rsidRPr="00F33CB8">
              <w:t>:</w:t>
            </w:r>
          </w:p>
          <w:p w14:paraId="46AB49FA" w14:textId="77777777" w:rsidR="00FD5CFD" w:rsidRPr="00F33CB8" w:rsidRDefault="00FD5CFD" w:rsidP="00C3122F">
            <w:pPr>
              <w:pStyle w:val="Bullet"/>
              <w:numPr>
                <w:ilvl w:val="0"/>
                <w:numId w:val="19"/>
              </w:numPr>
              <w:ind w:left="576"/>
            </w:pPr>
            <w:r w:rsidRPr="00F33CB8">
              <w:t>Identify all acute and nonacute inpatient stays (</w:t>
            </w:r>
            <w:r w:rsidRPr="00F33CB8">
              <w:rPr>
                <w:u w:val="single"/>
              </w:rPr>
              <w:t>Inpatient Stay Value Set</w:t>
            </w:r>
            <w:r w:rsidRPr="00F33CB8">
              <w:t>).</w:t>
            </w:r>
          </w:p>
          <w:p w14:paraId="3441C7B9" w14:textId="77777777" w:rsidR="00FD5CFD" w:rsidRPr="00F33CB8" w:rsidRDefault="00FD5CFD" w:rsidP="00C3122F">
            <w:pPr>
              <w:pStyle w:val="Bullet"/>
              <w:numPr>
                <w:ilvl w:val="0"/>
                <w:numId w:val="19"/>
              </w:numPr>
              <w:ind w:left="576"/>
            </w:pPr>
            <w:r w:rsidRPr="00F33CB8">
              <w:t>Exclude nonacute inpatient stays (</w:t>
            </w:r>
            <w:r w:rsidRPr="00F33CB8">
              <w:rPr>
                <w:u w:val="single"/>
              </w:rPr>
              <w:t>Nonacute Inpatient Stay Value Set</w:t>
            </w:r>
            <w:r w:rsidRPr="00F33CB8">
              <w:t xml:space="preserve">). </w:t>
            </w:r>
          </w:p>
          <w:p w14:paraId="011FDAC4" w14:textId="77777777" w:rsidR="00F33CB8" w:rsidRDefault="00F33CB8" w:rsidP="00C3122F">
            <w:pPr>
              <w:pStyle w:val="Bullet"/>
              <w:numPr>
                <w:ilvl w:val="0"/>
                <w:numId w:val="19"/>
              </w:numPr>
              <w:ind w:left="576"/>
            </w:pPr>
            <w:r>
              <w:t>I</w:t>
            </w:r>
            <w:r w:rsidR="00FD5CFD" w:rsidRPr="00F33CB8">
              <w:t>dentify the admission date for the stay.</w:t>
            </w:r>
          </w:p>
          <w:p w14:paraId="0F3123E8" w14:textId="7DB5D1FD" w:rsidR="00273E0D" w:rsidRPr="00463667" w:rsidRDefault="00273E0D" w:rsidP="00C3122F">
            <w:pPr>
              <w:pStyle w:val="Body"/>
            </w:pPr>
            <w:r>
              <w:t xml:space="preserve">Organizations must identify “transfers” using their own methods and then confirm the acute </w:t>
            </w:r>
            <w:r w:rsidR="00874140">
              <w:t xml:space="preserve">inpatient care </w:t>
            </w:r>
            <w:r>
              <w:t>setting using the steps above.</w:t>
            </w:r>
          </w:p>
        </w:tc>
      </w:tr>
      <w:tr w:rsidR="00B852BD" w:rsidRPr="00463667" w14:paraId="5DF20707" w14:textId="77777777" w:rsidTr="00F578E0">
        <w:tc>
          <w:tcPr>
            <w:tcW w:w="1890" w:type="dxa"/>
          </w:tcPr>
          <w:p w14:paraId="57CE4209" w14:textId="77777777" w:rsidR="00B852BD" w:rsidRPr="00463667" w:rsidRDefault="00B852BD" w:rsidP="00F33CB8">
            <w:pPr>
              <w:pStyle w:val="MarginSubhead"/>
              <w:ind w:left="0"/>
              <w:jc w:val="right"/>
              <w:rPr>
                <w:i/>
              </w:rPr>
            </w:pPr>
            <w:r w:rsidRPr="00463667">
              <w:rPr>
                <w:i/>
              </w:rPr>
              <w:t>Exclusions</w:t>
            </w:r>
          </w:p>
        </w:tc>
        <w:tc>
          <w:tcPr>
            <w:tcW w:w="7902" w:type="dxa"/>
          </w:tcPr>
          <w:p w14:paraId="1EC841F1" w14:textId="08C91C56" w:rsidR="00FD5CFD" w:rsidRDefault="00B852BD" w:rsidP="00FD5CFD">
            <w:pPr>
              <w:pStyle w:val="Body"/>
            </w:pPr>
            <w:r w:rsidRPr="00463667">
              <w:t xml:space="preserve">Exclude discharges followed by readmission or direct transfer to a nonacute </w:t>
            </w:r>
            <w:r w:rsidR="00874140">
              <w:t xml:space="preserve">inpatient care </w:t>
            </w:r>
            <w:r w:rsidR="009541A3">
              <w:t>setting</w:t>
            </w:r>
            <w:r w:rsidR="009541A3" w:rsidRPr="00463667">
              <w:t xml:space="preserve"> </w:t>
            </w:r>
            <w:r w:rsidRPr="00463667">
              <w:t xml:space="preserve">within the 30-day follow-up period, regardless of principal diagnosis for the readmission. </w:t>
            </w:r>
            <w:r w:rsidR="00FD5CFD">
              <w:t xml:space="preserve">To identify readmissions to a nonacute </w:t>
            </w:r>
            <w:r w:rsidR="00874140">
              <w:t xml:space="preserve">inpatient </w:t>
            </w:r>
            <w:r w:rsidR="009541A3">
              <w:t>care setting</w:t>
            </w:r>
            <w:r w:rsidR="00FD5CFD">
              <w:t>:</w:t>
            </w:r>
          </w:p>
          <w:p w14:paraId="039678E5" w14:textId="77777777" w:rsidR="00FD5CFD" w:rsidRDefault="00FD5CFD" w:rsidP="00C3122F">
            <w:pPr>
              <w:pStyle w:val="Bullet"/>
              <w:numPr>
                <w:ilvl w:val="0"/>
                <w:numId w:val="20"/>
              </w:numPr>
              <w:ind w:left="576"/>
            </w:pPr>
            <w:r>
              <w:t>Identify all acute and nonacute inpatient stays (</w:t>
            </w:r>
            <w:r w:rsidRPr="004043EF">
              <w:rPr>
                <w:u w:val="single"/>
              </w:rPr>
              <w:t>Inpatient Stay Value Set</w:t>
            </w:r>
            <w:r>
              <w:t>).</w:t>
            </w:r>
          </w:p>
          <w:p w14:paraId="3EA8A177" w14:textId="77777777" w:rsidR="00283F36" w:rsidRDefault="00283F36" w:rsidP="00C3122F">
            <w:pPr>
              <w:pStyle w:val="Bullet"/>
              <w:numPr>
                <w:ilvl w:val="0"/>
                <w:numId w:val="20"/>
              </w:numPr>
              <w:ind w:left="576"/>
            </w:pPr>
            <w:r>
              <w:t>Confirm the stay was for nonacute care based on the presence of a nonacute code (</w:t>
            </w:r>
            <w:r w:rsidRPr="003A65CD">
              <w:rPr>
                <w:u w:val="single"/>
              </w:rPr>
              <w:t>Nonacute Inpatient Stay Value Set</w:t>
            </w:r>
            <w:r>
              <w:t>) on the claim.</w:t>
            </w:r>
            <w:r w:rsidRPr="00463667">
              <w:t xml:space="preserve"> </w:t>
            </w:r>
          </w:p>
          <w:p w14:paraId="66471584" w14:textId="714D355E" w:rsidR="00FD5CFD" w:rsidRDefault="00FD5CFD" w:rsidP="00C3122F">
            <w:pPr>
              <w:pStyle w:val="Bullet"/>
              <w:numPr>
                <w:ilvl w:val="0"/>
                <w:numId w:val="20"/>
              </w:numPr>
              <w:ind w:left="576"/>
            </w:pPr>
            <w:r>
              <w:t>Identify the admission date for the stay.</w:t>
            </w:r>
          </w:p>
          <w:p w14:paraId="50114723" w14:textId="02AFA581" w:rsidR="00FD5CFD" w:rsidRDefault="00B852BD" w:rsidP="00FD5CFD">
            <w:pPr>
              <w:pStyle w:val="Body"/>
            </w:pPr>
            <w:r w:rsidRPr="00463667">
              <w:t xml:space="preserve">Exclude discharges followed by readmission or direct transfer to an acute </w:t>
            </w:r>
            <w:r w:rsidR="00874140">
              <w:t xml:space="preserve">inpatient care </w:t>
            </w:r>
            <w:r w:rsidR="009541A3">
              <w:t>setting</w:t>
            </w:r>
            <w:r w:rsidR="009541A3" w:rsidRPr="00463667">
              <w:t xml:space="preserve"> </w:t>
            </w:r>
            <w:r w:rsidRPr="00463667">
              <w:t xml:space="preserve">within the 30-day follow-up period if the principal diagnosis was for non-mental health (any principal diagnosis code other than those included in the </w:t>
            </w:r>
            <w:r w:rsidRPr="00463667">
              <w:rPr>
                <w:u w:val="single"/>
              </w:rPr>
              <w:t>Mental Health Diagnosis Value Set</w:t>
            </w:r>
            <w:r w:rsidRPr="00463667">
              <w:t xml:space="preserve">). </w:t>
            </w:r>
            <w:r w:rsidR="00FD5CFD">
              <w:t xml:space="preserve">To identify readmissions to an acute </w:t>
            </w:r>
            <w:r w:rsidR="00874140">
              <w:t xml:space="preserve">inpatient </w:t>
            </w:r>
            <w:r w:rsidR="009541A3">
              <w:t>care setting</w:t>
            </w:r>
            <w:r w:rsidR="00FD5CFD">
              <w:t>:</w:t>
            </w:r>
          </w:p>
          <w:p w14:paraId="41E2EFEB" w14:textId="77777777" w:rsidR="00FD5CFD" w:rsidRDefault="00FD5CFD" w:rsidP="00C3122F">
            <w:pPr>
              <w:pStyle w:val="Bullet"/>
              <w:numPr>
                <w:ilvl w:val="0"/>
                <w:numId w:val="21"/>
              </w:numPr>
              <w:ind w:left="576"/>
            </w:pPr>
            <w:r>
              <w:t>Identify all acute and nonacute inpatient stays (</w:t>
            </w:r>
            <w:r w:rsidRPr="004043EF">
              <w:rPr>
                <w:u w:val="single"/>
              </w:rPr>
              <w:t>Inpatient Stay Value Set</w:t>
            </w:r>
            <w:r>
              <w:t>).</w:t>
            </w:r>
          </w:p>
          <w:p w14:paraId="3A1ADAEB" w14:textId="77777777" w:rsidR="00FD5CFD" w:rsidRDefault="00FD5CFD" w:rsidP="00C3122F">
            <w:pPr>
              <w:pStyle w:val="Bullet"/>
              <w:numPr>
                <w:ilvl w:val="0"/>
                <w:numId w:val="21"/>
              </w:numPr>
              <w:ind w:left="576"/>
            </w:pPr>
            <w:r>
              <w:t>Exclude nonacute inpatient stays (</w:t>
            </w:r>
            <w:r w:rsidRPr="00FD5CFD">
              <w:rPr>
                <w:u w:val="single"/>
              </w:rPr>
              <w:t>Nonacute Inpatient Stay Value Set</w:t>
            </w:r>
            <w:r>
              <w:t xml:space="preserve">). </w:t>
            </w:r>
          </w:p>
          <w:p w14:paraId="334D4D54" w14:textId="77777777" w:rsidR="00FD5CFD" w:rsidRDefault="00FD5CFD" w:rsidP="00C3122F">
            <w:pPr>
              <w:pStyle w:val="Bullet"/>
              <w:numPr>
                <w:ilvl w:val="0"/>
                <w:numId w:val="21"/>
              </w:numPr>
              <w:ind w:left="576"/>
            </w:pPr>
            <w:r>
              <w:t>Identify the admission date for the stay.</w:t>
            </w:r>
          </w:p>
          <w:p w14:paraId="44BB7C5F" w14:textId="77777777" w:rsidR="001C66E5" w:rsidRDefault="001C66E5" w:rsidP="001C66E5">
            <w:pPr>
              <w:pStyle w:val="Body"/>
            </w:pPr>
            <w:r>
              <w:t>Organizations must identify “transfers” using their own methods and then confirm the acute inpatient care setting using the steps above.</w:t>
            </w:r>
          </w:p>
          <w:p w14:paraId="02890784" w14:textId="679F274B" w:rsidR="00273E0D" w:rsidRPr="00463667" w:rsidRDefault="00B852BD" w:rsidP="001C66E5">
            <w:pPr>
              <w:pStyle w:val="Body"/>
            </w:pPr>
            <w:r w:rsidRPr="00463667">
              <w:t>These discharges are excluded from the measure because rehospitalization or transfer may prevent an outpatient follow-up visit from taking place.</w:t>
            </w:r>
            <w:r w:rsidR="00273E0D">
              <w:t xml:space="preserve"> </w:t>
            </w:r>
          </w:p>
        </w:tc>
      </w:tr>
    </w:tbl>
    <w:p w14:paraId="29047A9A" w14:textId="77777777" w:rsidR="00B852BD" w:rsidRPr="00463667" w:rsidRDefault="00B852BD" w:rsidP="00B852BD">
      <w:pPr>
        <w:pStyle w:val="ReverseHead"/>
      </w:pPr>
      <w:r w:rsidRPr="00463667">
        <w:t>Administrative Specification</w:t>
      </w:r>
    </w:p>
    <w:tbl>
      <w:tblPr>
        <w:tblW w:w="9792" w:type="dxa"/>
        <w:tblInd w:w="18" w:type="dxa"/>
        <w:tblLayout w:type="fixed"/>
        <w:tblLook w:val="0000" w:firstRow="0" w:lastRow="0" w:firstColumn="0" w:lastColumn="0" w:noHBand="0" w:noVBand="0"/>
      </w:tblPr>
      <w:tblGrid>
        <w:gridCol w:w="1890"/>
        <w:gridCol w:w="7902"/>
      </w:tblGrid>
      <w:tr w:rsidR="00B852BD" w:rsidRPr="00463667" w14:paraId="7BB987E2" w14:textId="77777777" w:rsidTr="00F578E0">
        <w:tc>
          <w:tcPr>
            <w:tcW w:w="1890" w:type="dxa"/>
          </w:tcPr>
          <w:p w14:paraId="2BE0355F" w14:textId="77777777" w:rsidR="00B852BD" w:rsidRPr="00463667" w:rsidRDefault="00B852BD" w:rsidP="00F578E0">
            <w:pPr>
              <w:pStyle w:val="MarginSubhead"/>
            </w:pPr>
            <w:r w:rsidRPr="00463667">
              <w:t>Denominator</w:t>
            </w:r>
          </w:p>
        </w:tc>
        <w:tc>
          <w:tcPr>
            <w:tcW w:w="7902" w:type="dxa"/>
          </w:tcPr>
          <w:p w14:paraId="536C45AB" w14:textId="77777777" w:rsidR="00B852BD" w:rsidRPr="00463667" w:rsidRDefault="00B852BD" w:rsidP="00F578E0">
            <w:pPr>
              <w:pStyle w:val="Body"/>
            </w:pPr>
            <w:r w:rsidRPr="00463667">
              <w:t xml:space="preserve">The eligible population. </w:t>
            </w:r>
          </w:p>
        </w:tc>
      </w:tr>
      <w:tr w:rsidR="00B852BD" w:rsidRPr="00463667" w14:paraId="3EE929F6" w14:textId="77777777" w:rsidTr="00F578E0">
        <w:tc>
          <w:tcPr>
            <w:tcW w:w="1890" w:type="dxa"/>
          </w:tcPr>
          <w:p w14:paraId="179EF658" w14:textId="77777777" w:rsidR="00B852BD" w:rsidRPr="00463667" w:rsidRDefault="00B852BD" w:rsidP="00F578E0">
            <w:pPr>
              <w:pStyle w:val="MarginSubhead"/>
            </w:pPr>
            <w:r w:rsidRPr="00463667">
              <w:t>Numerators</w:t>
            </w:r>
          </w:p>
        </w:tc>
        <w:tc>
          <w:tcPr>
            <w:tcW w:w="7902" w:type="dxa"/>
          </w:tcPr>
          <w:p w14:paraId="485D5094" w14:textId="77777777" w:rsidR="00B852BD" w:rsidRPr="00463667" w:rsidRDefault="00B852BD" w:rsidP="00F578E0">
            <w:pPr>
              <w:pStyle w:val="Body"/>
              <w:rPr>
                <w:i/>
              </w:rPr>
            </w:pPr>
          </w:p>
        </w:tc>
      </w:tr>
      <w:tr w:rsidR="00B852BD" w:rsidRPr="00463667" w14:paraId="0BF58B4F" w14:textId="77777777" w:rsidTr="00F578E0">
        <w:tc>
          <w:tcPr>
            <w:tcW w:w="1890" w:type="dxa"/>
          </w:tcPr>
          <w:p w14:paraId="11FBA74C" w14:textId="77777777" w:rsidR="00B852BD" w:rsidRPr="00463667" w:rsidRDefault="00B852BD" w:rsidP="00F578E0">
            <w:pPr>
              <w:pStyle w:val="MarginSubhead"/>
              <w:jc w:val="right"/>
              <w:rPr>
                <w:i/>
              </w:rPr>
            </w:pPr>
            <w:r w:rsidRPr="00463667">
              <w:rPr>
                <w:i/>
              </w:rPr>
              <w:t xml:space="preserve">30-Day </w:t>
            </w:r>
            <w:r w:rsidRPr="00463667">
              <w:rPr>
                <w:i/>
              </w:rPr>
              <w:br/>
              <w:t>Follow-Up</w:t>
            </w:r>
          </w:p>
        </w:tc>
        <w:tc>
          <w:tcPr>
            <w:tcW w:w="7902" w:type="dxa"/>
          </w:tcPr>
          <w:p w14:paraId="7E4DDBC8" w14:textId="77777777" w:rsidR="00B852BD" w:rsidRPr="00463667" w:rsidRDefault="00B852BD" w:rsidP="00F578E0">
            <w:pPr>
              <w:pStyle w:val="Body"/>
            </w:pPr>
            <w:r w:rsidRPr="00463667">
              <w:t>An outpatient visit, intensive outpatient visit or partial hospitalization with a mental health practitioner within 30 days after discharge. Include outpatient visits, intensive outpatient visits or partial hospitalizations that occur on the date of discharge.</w:t>
            </w:r>
          </w:p>
        </w:tc>
      </w:tr>
      <w:tr w:rsidR="00B852BD" w:rsidRPr="00463667" w14:paraId="4C413BF7" w14:textId="77777777" w:rsidTr="00F578E0">
        <w:tc>
          <w:tcPr>
            <w:tcW w:w="1890" w:type="dxa"/>
          </w:tcPr>
          <w:p w14:paraId="65EE0EB8" w14:textId="77777777" w:rsidR="00B852BD" w:rsidRPr="00463667" w:rsidRDefault="00B852BD" w:rsidP="00F578E0">
            <w:pPr>
              <w:pStyle w:val="MarginSubhead"/>
              <w:jc w:val="right"/>
              <w:rPr>
                <w:i/>
              </w:rPr>
            </w:pPr>
            <w:r w:rsidRPr="00463667">
              <w:rPr>
                <w:i/>
              </w:rPr>
              <w:t xml:space="preserve">7-Day </w:t>
            </w:r>
            <w:r w:rsidRPr="00463667">
              <w:rPr>
                <w:i/>
              </w:rPr>
              <w:br/>
              <w:t>Follow-Up</w:t>
            </w:r>
          </w:p>
        </w:tc>
        <w:tc>
          <w:tcPr>
            <w:tcW w:w="7902" w:type="dxa"/>
          </w:tcPr>
          <w:p w14:paraId="78B78B72" w14:textId="77777777" w:rsidR="00B852BD" w:rsidRPr="00463667" w:rsidRDefault="00B852BD" w:rsidP="00F578E0">
            <w:pPr>
              <w:pStyle w:val="Body"/>
            </w:pPr>
            <w:r w:rsidRPr="00463667">
              <w:t>An outpatient visit, intensive outpatient visit or partial hospitalization with a mental health practitioner within 7 days after discharge. Include outpatient visits, intensive outpatient visits or partial hospitalizations that occur on the date of discharge.</w:t>
            </w:r>
          </w:p>
          <w:p w14:paraId="346D961E" w14:textId="77777777" w:rsidR="00B852BD" w:rsidRPr="00463667" w:rsidRDefault="00B852BD" w:rsidP="00F578E0">
            <w:pPr>
              <w:pStyle w:val="Body"/>
            </w:pPr>
            <w:r w:rsidRPr="00463667">
              <w:t>For both indicators, any of the following meet criteria for a follow-up visit:</w:t>
            </w:r>
          </w:p>
          <w:p w14:paraId="6B24C08E" w14:textId="77777777" w:rsidR="00B852BD" w:rsidRPr="00463667" w:rsidRDefault="00B852BD" w:rsidP="00B852BD">
            <w:pPr>
              <w:pStyle w:val="Bullet"/>
            </w:pPr>
            <w:r w:rsidRPr="00463667">
              <w:t>A visit (</w:t>
            </w:r>
            <w:r w:rsidRPr="00463667">
              <w:rPr>
                <w:u w:val="single"/>
              </w:rPr>
              <w:t>FUH Stand Alone Visits Value Set</w:t>
            </w:r>
            <w:r w:rsidRPr="00463667">
              <w:t>) with a mental health practitioner.</w:t>
            </w:r>
          </w:p>
          <w:p w14:paraId="0C84586E" w14:textId="3DBB9005" w:rsidR="00B852BD" w:rsidRPr="00581DC3" w:rsidRDefault="00B852BD" w:rsidP="009541A3">
            <w:pPr>
              <w:pStyle w:val="Bullet"/>
            </w:pPr>
            <w:r w:rsidRPr="00463667">
              <w:t>A visit (</w:t>
            </w:r>
            <w:r w:rsidRPr="00C3122F">
              <w:rPr>
                <w:u w:val="single"/>
              </w:rPr>
              <w:t>FUH Visits Group 1 Value Set</w:t>
            </w:r>
            <w:r w:rsidRPr="00463667">
              <w:t xml:space="preserve"> </w:t>
            </w:r>
            <w:r w:rsidRPr="00C3122F">
              <w:rPr>
                <w:b/>
                <w:i/>
              </w:rPr>
              <w:t>and</w:t>
            </w:r>
            <w:r w:rsidRPr="00463667">
              <w:t xml:space="preserve"> </w:t>
            </w:r>
            <w:r w:rsidRPr="00C3122F">
              <w:rPr>
                <w:u w:val="single"/>
              </w:rPr>
              <w:t>FUH POS Group 1 Value Set</w:t>
            </w:r>
            <w:r w:rsidRPr="00463667">
              <w:t>) with a mental health practitioner.</w:t>
            </w:r>
          </w:p>
        </w:tc>
      </w:tr>
    </w:tbl>
    <w:p w14:paraId="668C0646" w14:textId="77777777" w:rsidR="00C3122F" w:rsidRDefault="00C3122F" w:rsidP="00C3122F">
      <w:pPr>
        <w:sectPr w:rsidR="00C3122F" w:rsidSect="007527F3">
          <w:headerReference w:type="even" r:id="rId58"/>
          <w:pgSz w:w="12240" w:h="15840" w:code="1"/>
          <w:pgMar w:top="1080" w:right="1080" w:bottom="1080" w:left="1440" w:header="720" w:footer="720" w:gutter="0"/>
          <w:cols w:space="720"/>
          <w:docGrid w:linePitch="299"/>
        </w:sectPr>
      </w:pPr>
    </w:p>
    <w:tbl>
      <w:tblPr>
        <w:tblW w:w="9792" w:type="dxa"/>
        <w:tblInd w:w="18" w:type="dxa"/>
        <w:tblLayout w:type="fixed"/>
        <w:tblLook w:val="0000" w:firstRow="0" w:lastRow="0" w:firstColumn="0" w:lastColumn="0" w:noHBand="0" w:noVBand="0"/>
      </w:tblPr>
      <w:tblGrid>
        <w:gridCol w:w="1890"/>
        <w:gridCol w:w="7902"/>
      </w:tblGrid>
      <w:tr w:rsidR="00581DC3" w:rsidRPr="00463667" w14:paraId="43211D40" w14:textId="77777777" w:rsidTr="00F578E0">
        <w:tc>
          <w:tcPr>
            <w:tcW w:w="1890" w:type="dxa"/>
          </w:tcPr>
          <w:p w14:paraId="730789DA" w14:textId="77777777" w:rsidR="00581DC3" w:rsidRPr="00463667" w:rsidRDefault="00581DC3" w:rsidP="00C3122F">
            <w:pPr>
              <w:rPr>
                <w:i/>
              </w:rPr>
            </w:pPr>
          </w:p>
        </w:tc>
        <w:tc>
          <w:tcPr>
            <w:tcW w:w="7902" w:type="dxa"/>
          </w:tcPr>
          <w:p w14:paraId="6BF2FFF0" w14:textId="77777777" w:rsidR="00C3122F" w:rsidRPr="00463667" w:rsidRDefault="00C3122F" w:rsidP="00C3122F">
            <w:pPr>
              <w:pStyle w:val="Bullet"/>
              <w:spacing w:before="0"/>
            </w:pPr>
            <w:r w:rsidRPr="00463667">
              <w:t>A visit (</w:t>
            </w:r>
            <w:r w:rsidRPr="00EB11D9">
              <w:rPr>
                <w:u w:val="single"/>
              </w:rPr>
              <w:t>FUH Visits Group 2 Value Set</w:t>
            </w:r>
            <w:r w:rsidRPr="00463667">
              <w:t xml:space="preserve"> </w:t>
            </w:r>
            <w:r w:rsidRPr="00463667">
              <w:rPr>
                <w:b/>
                <w:i/>
              </w:rPr>
              <w:t>and</w:t>
            </w:r>
            <w:r w:rsidRPr="00463667">
              <w:t xml:space="preserve"> </w:t>
            </w:r>
            <w:r w:rsidRPr="00EB11D9">
              <w:rPr>
                <w:u w:val="single"/>
              </w:rPr>
              <w:t>FUH POS Group 2 Value Set</w:t>
            </w:r>
            <w:r w:rsidRPr="00463667">
              <w:t>) with a mental health practitioner.</w:t>
            </w:r>
          </w:p>
          <w:p w14:paraId="645184CF" w14:textId="77777777" w:rsidR="00C3122F" w:rsidRPr="00463667" w:rsidRDefault="00C3122F" w:rsidP="00C3122F">
            <w:pPr>
              <w:pStyle w:val="Bullet"/>
            </w:pPr>
            <w:r w:rsidRPr="00463667">
              <w:t xml:space="preserve">A visit </w:t>
            </w:r>
            <w:r>
              <w:t>in</w:t>
            </w:r>
            <w:r w:rsidRPr="00463667">
              <w:t xml:space="preserve"> a behavioral healthcare </w:t>
            </w:r>
            <w:r>
              <w:t>setting</w:t>
            </w:r>
            <w:r w:rsidRPr="00463667">
              <w:t xml:space="preserve"> (</w:t>
            </w:r>
            <w:r w:rsidRPr="00EB11D9">
              <w:rPr>
                <w:u w:val="single"/>
              </w:rPr>
              <w:t>FUH RevCodes Group 1 Value Set</w:t>
            </w:r>
            <w:r w:rsidRPr="00463667">
              <w:t xml:space="preserve">). </w:t>
            </w:r>
          </w:p>
          <w:p w14:paraId="2660E553" w14:textId="77777777" w:rsidR="00C3122F" w:rsidRDefault="00C3122F" w:rsidP="00C3122F">
            <w:pPr>
              <w:pStyle w:val="Bullet"/>
            </w:pPr>
            <w:r w:rsidRPr="00463667">
              <w:t xml:space="preserve">A visit </w:t>
            </w:r>
            <w:r>
              <w:t>in</w:t>
            </w:r>
            <w:r w:rsidRPr="00463667">
              <w:t xml:space="preserve"> a nonbehavioral healthcare </w:t>
            </w:r>
            <w:r>
              <w:t>setting</w:t>
            </w:r>
            <w:r w:rsidRPr="00463667">
              <w:t xml:space="preserve"> (</w:t>
            </w:r>
            <w:r w:rsidRPr="00EB11D9">
              <w:rPr>
                <w:u w:val="single"/>
              </w:rPr>
              <w:t>FUH RevCodes Group 2 Value Set</w:t>
            </w:r>
            <w:r w:rsidRPr="00463667">
              <w:t>) with a mental health practitioner.</w:t>
            </w:r>
          </w:p>
          <w:p w14:paraId="0340586D" w14:textId="7F704451" w:rsidR="00581DC3" w:rsidRPr="00463667" w:rsidRDefault="00581DC3" w:rsidP="00C3122F">
            <w:pPr>
              <w:pStyle w:val="Bullet"/>
            </w:pPr>
            <w:r w:rsidRPr="00463667">
              <w:t xml:space="preserve">A visit </w:t>
            </w:r>
            <w:r w:rsidR="009541A3">
              <w:t>in</w:t>
            </w:r>
            <w:r w:rsidR="009541A3" w:rsidRPr="00463667">
              <w:t xml:space="preserve"> </w:t>
            </w:r>
            <w:r w:rsidRPr="00463667">
              <w:t xml:space="preserve">a nonbehavioral healthcare </w:t>
            </w:r>
            <w:r w:rsidR="009541A3">
              <w:t>setting</w:t>
            </w:r>
            <w:r w:rsidR="009541A3" w:rsidRPr="00463667">
              <w:t xml:space="preserve"> </w:t>
            </w:r>
            <w:r w:rsidRPr="00463667">
              <w:t>(</w:t>
            </w:r>
            <w:r w:rsidRPr="00463667">
              <w:rPr>
                <w:u w:val="single"/>
              </w:rPr>
              <w:t>FUH RevCodes Group 2 Value Set</w:t>
            </w:r>
            <w:r w:rsidRPr="00463667">
              <w:t>) with a diagnosis of mental illness (</w:t>
            </w:r>
            <w:r w:rsidRPr="00463667">
              <w:rPr>
                <w:u w:val="single"/>
              </w:rPr>
              <w:t>Mental Illness Value Set</w:t>
            </w:r>
            <w:r w:rsidRPr="00463667">
              <w:t>).</w:t>
            </w:r>
          </w:p>
          <w:p w14:paraId="568CF42F" w14:textId="375D2256" w:rsidR="00581DC3" w:rsidRPr="00463667" w:rsidRDefault="00581DC3" w:rsidP="00581DC3">
            <w:pPr>
              <w:pStyle w:val="Bullet"/>
              <w:rPr>
                <w:rFonts w:cs="Arial"/>
              </w:rPr>
            </w:pPr>
            <w:r w:rsidRPr="00463667">
              <w:rPr>
                <w:rFonts w:eastAsia="SymbolMT" w:cs="Arial"/>
                <w:szCs w:val="20"/>
              </w:rPr>
              <w:t>Transitional care management services (</w:t>
            </w:r>
            <w:r w:rsidRPr="00463667">
              <w:rPr>
                <w:rFonts w:eastAsia="SymbolMT" w:cs="Arial"/>
                <w:szCs w:val="20"/>
                <w:u w:val="single"/>
              </w:rPr>
              <w:t>TCM 7 Day Value Set</w:t>
            </w:r>
            <w:r w:rsidRPr="00463667">
              <w:rPr>
                <w:rFonts w:eastAsia="SymbolMT" w:cs="Arial"/>
                <w:szCs w:val="20"/>
              </w:rPr>
              <w:t>)</w:t>
            </w:r>
            <w:r w:rsidR="00241731">
              <w:rPr>
                <w:rFonts w:eastAsia="SymbolMT" w:cs="Arial"/>
                <w:szCs w:val="20"/>
              </w:rPr>
              <w:t>,</w:t>
            </w:r>
            <w:r w:rsidRPr="00463667">
              <w:rPr>
                <w:rFonts w:eastAsia="SymbolMT" w:cs="Arial"/>
                <w:szCs w:val="20"/>
              </w:rPr>
              <w:t xml:space="preserve"> where the date of service on the claim is 29 days after the </w:t>
            </w:r>
            <w:r w:rsidR="006B06E7">
              <w:rPr>
                <w:rFonts w:eastAsia="SymbolMT" w:cs="Arial"/>
                <w:szCs w:val="20"/>
              </w:rPr>
              <w:t xml:space="preserve">eligible population event/diagnosis </w:t>
            </w:r>
            <w:r w:rsidRPr="00463667">
              <w:rPr>
                <w:rFonts w:eastAsia="SymbolMT" w:cs="Arial"/>
                <w:szCs w:val="20"/>
              </w:rPr>
              <w:t xml:space="preserve">date </w:t>
            </w:r>
            <w:r w:rsidR="006B06E7">
              <w:rPr>
                <w:rFonts w:eastAsia="SymbolMT" w:cs="Arial"/>
                <w:szCs w:val="20"/>
              </w:rPr>
              <w:t>of discharge</w:t>
            </w:r>
            <w:r w:rsidRPr="00463667">
              <w:rPr>
                <w:rFonts w:eastAsia="SymbolMT" w:cs="Arial"/>
                <w:szCs w:val="20"/>
              </w:rPr>
              <w:t>.</w:t>
            </w:r>
          </w:p>
          <w:p w14:paraId="78809DD1" w14:textId="3D18A21F" w:rsidR="00581DC3" w:rsidRPr="00463667" w:rsidRDefault="00581DC3" w:rsidP="00581DC3">
            <w:pPr>
              <w:pStyle w:val="Body"/>
              <w:rPr>
                <w:rFonts w:eastAsia="SymbolMT"/>
              </w:rPr>
            </w:pPr>
            <w:r w:rsidRPr="00463667">
              <w:rPr>
                <w:rFonts w:eastAsia="SymbolMT"/>
              </w:rPr>
              <w:t>The following meets criteria for only the 30-Day Follow-Up indicator:</w:t>
            </w:r>
          </w:p>
          <w:p w14:paraId="79335D99" w14:textId="33D4D744" w:rsidR="00581DC3" w:rsidRPr="00463667" w:rsidRDefault="00581DC3" w:rsidP="00581DC3">
            <w:pPr>
              <w:pStyle w:val="Bullet"/>
              <w:rPr>
                <w:rFonts w:eastAsia="SymbolMT" w:cs="Arial"/>
              </w:rPr>
            </w:pPr>
            <w:r w:rsidRPr="00463667">
              <w:rPr>
                <w:rFonts w:eastAsia="SymbolMT" w:cs="Arial"/>
              </w:rPr>
              <w:t>Transitional care management services (</w:t>
            </w:r>
            <w:r w:rsidRPr="00463667">
              <w:rPr>
                <w:rFonts w:eastAsia="SymbolMT" w:cs="Arial"/>
                <w:u w:val="single"/>
              </w:rPr>
              <w:t>TCM 14 Day Value Set</w:t>
            </w:r>
            <w:r w:rsidRPr="00463667">
              <w:rPr>
                <w:rFonts w:eastAsia="SymbolMT" w:cs="Arial"/>
              </w:rPr>
              <w:t>)</w:t>
            </w:r>
            <w:r w:rsidR="00241731">
              <w:rPr>
                <w:rFonts w:eastAsia="SymbolMT" w:cs="Arial"/>
              </w:rPr>
              <w:t>,</w:t>
            </w:r>
            <w:r w:rsidRPr="00463667">
              <w:rPr>
                <w:rFonts w:eastAsia="SymbolMT" w:cs="Arial"/>
              </w:rPr>
              <w:t xml:space="preserve"> where the date of service on the claim </w:t>
            </w:r>
            <w:r w:rsidRPr="00463667">
              <w:rPr>
                <w:rFonts w:eastAsia="SymbolMT" w:cs="Arial"/>
                <w:szCs w:val="20"/>
              </w:rPr>
              <w:t xml:space="preserve">is 29 days after the </w:t>
            </w:r>
            <w:r w:rsidR="006B06E7">
              <w:rPr>
                <w:rFonts w:eastAsia="SymbolMT" w:cs="Arial"/>
                <w:szCs w:val="20"/>
              </w:rPr>
              <w:t>event/diagnosis date of discharge</w:t>
            </w:r>
            <w:r w:rsidRPr="00463667">
              <w:rPr>
                <w:rFonts w:eastAsia="SymbolMT" w:cs="Arial"/>
                <w:szCs w:val="20"/>
              </w:rPr>
              <w:t>.</w:t>
            </w:r>
          </w:p>
          <w:p w14:paraId="429AAE64" w14:textId="77777777" w:rsidR="00581DC3" w:rsidRPr="00463667" w:rsidRDefault="00581DC3" w:rsidP="00581DC3">
            <w:pPr>
              <w:pStyle w:val="Note"/>
            </w:pPr>
            <w:r w:rsidRPr="00463667">
              <w:rPr>
                <w:rFonts w:eastAsia="SymbolMT"/>
                <w:b/>
                <w:bCs/>
              </w:rPr>
              <w:t xml:space="preserve">Note: </w:t>
            </w:r>
            <w:r w:rsidRPr="00463667">
              <w:rPr>
                <w:rFonts w:eastAsia="SymbolMT"/>
              </w:rPr>
              <w:t>Transitional care management is a 30-day period that begins on the date of discharge and continues for the next 29 days. The</w:t>
            </w:r>
            <w:r w:rsidRPr="00463667">
              <w:t xml:space="preserve"> date of service on the claim is 29 days after discharge and not the date of the face-to-face visit.</w:t>
            </w:r>
          </w:p>
        </w:tc>
      </w:tr>
    </w:tbl>
    <w:p w14:paraId="128E28B6" w14:textId="77777777" w:rsidR="00B852BD" w:rsidRPr="00463667" w:rsidRDefault="00B852BD" w:rsidP="00241731">
      <w:pPr>
        <w:pStyle w:val="SubHead20"/>
        <w:rPr>
          <w:i/>
        </w:rPr>
      </w:pPr>
      <w:r w:rsidRPr="00463667">
        <w:rPr>
          <w:i/>
        </w:rPr>
        <w:t>Note</w:t>
      </w:r>
    </w:p>
    <w:p w14:paraId="72BC7EAB" w14:textId="77777777" w:rsidR="00B852BD" w:rsidRPr="00463667" w:rsidRDefault="00B852BD" w:rsidP="00B852BD">
      <w:pPr>
        <w:pStyle w:val="ProcessBullet"/>
        <w:rPr>
          <w:i/>
          <w:iCs/>
        </w:rPr>
      </w:pPr>
      <w:r w:rsidRPr="00463667">
        <w:rPr>
          <w:i/>
          <w:iCs/>
        </w:rPr>
        <w:t>Organizations may have different methods for billing intensive outpatient visits and partial hospitalizations. Some methods may be comparable to outpatient billing, with separate claims for each date of service; others may be comparable to inpatient billing, with an admission date, a discharge date and units of service. Organizations whose billing methods are comparable to inpatient billing may count each unit of service as an individual visit. The unit of service must have occurred during the required period for the rate (e.g., within 30 days after discharge or within 7 days after discharge).</w:t>
      </w:r>
    </w:p>
    <w:p w14:paraId="44545AEF" w14:textId="77777777" w:rsidR="00B852BD" w:rsidRPr="00463667" w:rsidRDefault="00B852BD" w:rsidP="00B852BD">
      <w:pPr>
        <w:pStyle w:val="ProcessBullet"/>
        <w:rPr>
          <w:i/>
          <w:iCs/>
        </w:rPr>
      </w:pPr>
      <w:r w:rsidRPr="00463667">
        <w:rPr>
          <w:i/>
          <w:iCs/>
        </w:rPr>
        <w:t xml:space="preserve">Refer to Appendix 3 for the definition of </w:t>
      </w:r>
      <w:r w:rsidRPr="00463667">
        <w:rPr>
          <w:iCs/>
        </w:rPr>
        <w:t>mental health practitioner</w:t>
      </w:r>
      <w:r w:rsidRPr="00463667">
        <w:rPr>
          <w:i/>
          <w:iCs/>
        </w:rPr>
        <w:t>.</w:t>
      </w:r>
    </w:p>
    <w:p w14:paraId="7331638E" w14:textId="77777777" w:rsidR="00B852BD" w:rsidRPr="00463667" w:rsidRDefault="00B852BD" w:rsidP="00B852BD">
      <w:pPr>
        <w:pStyle w:val="ReverseHead"/>
      </w:pPr>
      <w:r w:rsidRPr="00463667">
        <w:t xml:space="preserve">Data Elements for Reporting </w:t>
      </w:r>
    </w:p>
    <w:p w14:paraId="48C52B88" w14:textId="77777777" w:rsidR="00B852BD" w:rsidRPr="00463667" w:rsidRDefault="00B852BD" w:rsidP="00B852BD">
      <w:pPr>
        <w:pStyle w:val="Body"/>
      </w:pPr>
      <w:r w:rsidRPr="00463667">
        <w:t>Organizations that submit HEDIS data to NCQA must provide the following data elements.</w:t>
      </w:r>
    </w:p>
    <w:p w14:paraId="4F23DE71" w14:textId="77777777" w:rsidR="00B852BD" w:rsidRPr="00463667" w:rsidRDefault="00B852BD" w:rsidP="00B53721">
      <w:pPr>
        <w:pStyle w:val="TableHeadNotCondensed"/>
        <w:ind w:left="1800" w:hanging="1800"/>
      </w:pPr>
      <w:r w:rsidRPr="00463667">
        <w:t xml:space="preserve">Table FUH-1/2/3: Data Elements for Follow-Up After </w:t>
      </w:r>
      <w:r w:rsidRPr="00463667">
        <w:br/>
        <w:t>Hospitalization for Mental Illness</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82"/>
        <w:gridCol w:w="2430"/>
      </w:tblGrid>
      <w:tr w:rsidR="00B852BD" w:rsidRPr="00463667" w14:paraId="7300422F" w14:textId="77777777" w:rsidTr="00241731">
        <w:tc>
          <w:tcPr>
            <w:tcW w:w="3582" w:type="dxa"/>
            <w:tcBorders>
              <w:bottom w:val="single" w:sz="6" w:space="0" w:color="auto"/>
              <w:right w:val="nil"/>
            </w:tcBorders>
            <w:shd w:val="clear" w:color="auto" w:fill="000000"/>
          </w:tcPr>
          <w:p w14:paraId="2E196D51" w14:textId="77777777" w:rsidR="00B852BD" w:rsidRPr="00463667" w:rsidRDefault="00B852BD" w:rsidP="00F578E0">
            <w:pPr>
              <w:pStyle w:val="TableHead"/>
              <w:rPr>
                <w:color w:val="auto"/>
              </w:rPr>
            </w:pPr>
          </w:p>
        </w:tc>
        <w:tc>
          <w:tcPr>
            <w:tcW w:w="2430" w:type="dxa"/>
            <w:tcBorders>
              <w:left w:val="single" w:sz="6" w:space="0" w:color="FFFFFF"/>
              <w:bottom w:val="single" w:sz="6" w:space="0" w:color="auto"/>
              <w:right w:val="single" w:sz="4" w:space="0" w:color="auto"/>
            </w:tcBorders>
            <w:shd w:val="clear" w:color="auto" w:fill="000000"/>
          </w:tcPr>
          <w:p w14:paraId="20839538" w14:textId="77777777" w:rsidR="00B852BD" w:rsidRPr="00463667" w:rsidRDefault="00B852BD" w:rsidP="00F578E0">
            <w:pPr>
              <w:pStyle w:val="TableHead"/>
              <w:rPr>
                <w:color w:val="auto"/>
              </w:rPr>
            </w:pPr>
            <w:r w:rsidRPr="00463667">
              <w:rPr>
                <w:color w:val="auto"/>
              </w:rPr>
              <w:t>Administrative</w:t>
            </w:r>
          </w:p>
        </w:tc>
      </w:tr>
      <w:tr w:rsidR="00B852BD" w:rsidRPr="00463667" w14:paraId="0AEE70FF" w14:textId="77777777" w:rsidTr="00241731">
        <w:tc>
          <w:tcPr>
            <w:tcW w:w="3582" w:type="dxa"/>
            <w:tcBorders>
              <w:bottom w:val="single" w:sz="6" w:space="0" w:color="auto"/>
            </w:tcBorders>
          </w:tcPr>
          <w:p w14:paraId="6BF7F1CB" w14:textId="77777777" w:rsidR="00B852BD" w:rsidRPr="00463667" w:rsidRDefault="00B852BD" w:rsidP="00F578E0">
            <w:pPr>
              <w:pStyle w:val="TableText"/>
            </w:pPr>
            <w:r w:rsidRPr="00463667">
              <w:t>Measurement year</w:t>
            </w:r>
          </w:p>
        </w:tc>
        <w:tc>
          <w:tcPr>
            <w:tcW w:w="2430" w:type="dxa"/>
            <w:tcBorders>
              <w:bottom w:val="single" w:sz="6" w:space="0" w:color="auto"/>
            </w:tcBorders>
            <w:vAlign w:val="center"/>
          </w:tcPr>
          <w:p w14:paraId="2203E82B"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152C2FB6" w14:textId="77777777" w:rsidTr="00241731">
        <w:tc>
          <w:tcPr>
            <w:tcW w:w="3582" w:type="dxa"/>
            <w:shd w:val="clear" w:color="auto" w:fill="D9D9D9"/>
          </w:tcPr>
          <w:p w14:paraId="7871A307" w14:textId="77777777" w:rsidR="00B852BD" w:rsidRPr="00463667" w:rsidRDefault="00B852BD" w:rsidP="00F578E0">
            <w:pPr>
              <w:pStyle w:val="TableText"/>
            </w:pPr>
            <w:r w:rsidRPr="00463667">
              <w:t>Data collection methodology (Administrative)</w:t>
            </w:r>
          </w:p>
        </w:tc>
        <w:tc>
          <w:tcPr>
            <w:tcW w:w="2430" w:type="dxa"/>
            <w:shd w:val="clear" w:color="auto" w:fill="D9D9D9"/>
            <w:vAlign w:val="center"/>
          </w:tcPr>
          <w:p w14:paraId="3A882CD1"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134057ED" w14:textId="77777777" w:rsidTr="00241731">
        <w:tc>
          <w:tcPr>
            <w:tcW w:w="3582" w:type="dxa"/>
          </w:tcPr>
          <w:p w14:paraId="5B2F0E2A" w14:textId="77777777" w:rsidR="00B852BD" w:rsidRPr="00463667" w:rsidRDefault="00B852BD" w:rsidP="00F578E0">
            <w:pPr>
              <w:pStyle w:val="TableText"/>
            </w:pPr>
            <w:r w:rsidRPr="00463667">
              <w:t xml:space="preserve">Eligible population </w:t>
            </w:r>
          </w:p>
        </w:tc>
        <w:tc>
          <w:tcPr>
            <w:tcW w:w="2430" w:type="dxa"/>
            <w:vAlign w:val="center"/>
          </w:tcPr>
          <w:p w14:paraId="373F522D"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6CDDBAC2" w14:textId="77777777" w:rsidTr="00241731">
        <w:tc>
          <w:tcPr>
            <w:tcW w:w="3582" w:type="dxa"/>
            <w:shd w:val="clear" w:color="auto" w:fill="D9D9D9"/>
          </w:tcPr>
          <w:p w14:paraId="2679CED4" w14:textId="77777777" w:rsidR="00B852BD" w:rsidRPr="00463667" w:rsidRDefault="00B852BD" w:rsidP="00F578E0">
            <w:pPr>
              <w:pStyle w:val="TableText"/>
            </w:pPr>
            <w:r w:rsidRPr="00463667">
              <w:t>Numerator events by administrative data</w:t>
            </w:r>
          </w:p>
        </w:tc>
        <w:tc>
          <w:tcPr>
            <w:tcW w:w="2430" w:type="dxa"/>
            <w:shd w:val="clear" w:color="auto" w:fill="D9D9D9"/>
          </w:tcPr>
          <w:p w14:paraId="2A00698B" w14:textId="77777777" w:rsidR="00B852BD" w:rsidRPr="00463667" w:rsidRDefault="00B852BD" w:rsidP="00F578E0">
            <w:pPr>
              <w:pStyle w:val="TableText"/>
              <w:jc w:val="center"/>
              <w:rPr>
                <w:i/>
                <w:iCs/>
              </w:rPr>
            </w:pPr>
            <w:r w:rsidRPr="00463667">
              <w:rPr>
                <w:i/>
                <w:iCs/>
              </w:rPr>
              <w:t>Each of the 2 rates</w:t>
            </w:r>
          </w:p>
        </w:tc>
      </w:tr>
      <w:tr w:rsidR="00EB00B0" w:rsidRPr="00463667" w14:paraId="41BE8984" w14:textId="77777777" w:rsidTr="00241731">
        <w:tc>
          <w:tcPr>
            <w:tcW w:w="3582" w:type="dxa"/>
            <w:shd w:val="clear" w:color="auto" w:fill="auto"/>
          </w:tcPr>
          <w:p w14:paraId="11528656" w14:textId="77777777" w:rsidR="00EB00B0" w:rsidRPr="00463667" w:rsidRDefault="00EB00B0" w:rsidP="00F578E0">
            <w:pPr>
              <w:pStyle w:val="TableText"/>
            </w:pPr>
            <w:r w:rsidRPr="00EB00B0">
              <w:t>Numerator events by supplemental data</w:t>
            </w:r>
          </w:p>
        </w:tc>
        <w:tc>
          <w:tcPr>
            <w:tcW w:w="2430" w:type="dxa"/>
            <w:shd w:val="clear" w:color="auto" w:fill="auto"/>
          </w:tcPr>
          <w:p w14:paraId="25F84D69" w14:textId="77777777" w:rsidR="00EB00B0" w:rsidRPr="00463667" w:rsidRDefault="00EB00B0" w:rsidP="00F578E0">
            <w:pPr>
              <w:pStyle w:val="TableText"/>
              <w:jc w:val="center"/>
              <w:rPr>
                <w:i/>
                <w:iCs/>
              </w:rPr>
            </w:pPr>
            <w:r w:rsidRPr="00463667">
              <w:rPr>
                <w:i/>
                <w:iCs/>
              </w:rPr>
              <w:t>Each of the 2 rates</w:t>
            </w:r>
          </w:p>
        </w:tc>
      </w:tr>
      <w:tr w:rsidR="00B852BD" w:rsidRPr="00463667" w14:paraId="378C07B9" w14:textId="77777777" w:rsidTr="00241731">
        <w:tc>
          <w:tcPr>
            <w:tcW w:w="3582" w:type="dxa"/>
            <w:shd w:val="clear" w:color="auto" w:fill="D9D9D9" w:themeFill="background1" w:themeFillShade="D9"/>
          </w:tcPr>
          <w:p w14:paraId="45AE54A9" w14:textId="77777777" w:rsidR="00B852BD" w:rsidRPr="00463667" w:rsidRDefault="00B852BD" w:rsidP="00F578E0">
            <w:pPr>
              <w:pStyle w:val="TableText"/>
            </w:pPr>
            <w:r w:rsidRPr="00463667">
              <w:t>Reported rate</w:t>
            </w:r>
          </w:p>
        </w:tc>
        <w:tc>
          <w:tcPr>
            <w:tcW w:w="2430" w:type="dxa"/>
            <w:shd w:val="clear" w:color="auto" w:fill="D9D9D9" w:themeFill="background1" w:themeFillShade="D9"/>
          </w:tcPr>
          <w:p w14:paraId="4BF2AAB7" w14:textId="77777777" w:rsidR="00B852BD" w:rsidRPr="00463667" w:rsidRDefault="00B852BD" w:rsidP="00F578E0">
            <w:pPr>
              <w:pStyle w:val="TableText"/>
              <w:jc w:val="center"/>
              <w:rPr>
                <w:i/>
                <w:iCs/>
              </w:rPr>
            </w:pPr>
            <w:r w:rsidRPr="00463667">
              <w:rPr>
                <w:i/>
                <w:iCs/>
              </w:rPr>
              <w:t>Each of the 2 rates</w:t>
            </w:r>
          </w:p>
        </w:tc>
      </w:tr>
      <w:tr w:rsidR="00B852BD" w:rsidRPr="00463667" w14:paraId="6B9CF394" w14:textId="77777777" w:rsidTr="00241731">
        <w:tc>
          <w:tcPr>
            <w:tcW w:w="3582" w:type="dxa"/>
            <w:tcBorders>
              <w:bottom w:val="single" w:sz="6" w:space="0" w:color="auto"/>
            </w:tcBorders>
            <w:shd w:val="clear" w:color="auto" w:fill="auto"/>
          </w:tcPr>
          <w:p w14:paraId="12110480" w14:textId="77777777" w:rsidR="00B852BD" w:rsidRPr="00463667" w:rsidRDefault="00B852BD" w:rsidP="00F578E0">
            <w:pPr>
              <w:pStyle w:val="TableText"/>
            </w:pPr>
            <w:r w:rsidRPr="00463667">
              <w:t>Lower 95% confidence interval</w:t>
            </w:r>
          </w:p>
        </w:tc>
        <w:tc>
          <w:tcPr>
            <w:tcW w:w="2430" w:type="dxa"/>
            <w:tcBorders>
              <w:bottom w:val="single" w:sz="6" w:space="0" w:color="auto"/>
            </w:tcBorders>
            <w:shd w:val="clear" w:color="auto" w:fill="auto"/>
          </w:tcPr>
          <w:p w14:paraId="31E65022" w14:textId="77777777" w:rsidR="00B852BD" w:rsidRPr="00463667" w:rsidRDefault="00B852BD" w:rsidP="00F578E0">
            <w:pPr>
              <w:pStyle w:val="TableText"/>
              <w:jc w:val="center"/>
              <w:rPr>
                <w:i/>
                <w:iCs/>
              </w:rPr>
            </w:pPr>
            <w:r w:rsidRPr="00463667">
              <w:rPr>
                <w:i/>
                <w:iCs/>
              </w:rPr>
              <w:t>Each of the 2 rates</w:t>
            </w:r>
          </w:p>
        </w:tc>
      </w:tr>
      <w:tr w:rsidR="00B852BD" w:rsidRPr="00463667" w14:paraId="313956F7" w14:textId="77777777" w:rsidTr="00241731">
        <w:tc>
          <w:tcPr>
            <w:tcW w:w="3582" w:type="dxa"/>
            <w:tcBorders>
              <w:bottom w:val="single" w:sz="6" w:space="0" w:color="auto"/>
            </w:tcBorders>
            <w:shd w:val="clear" w:color="auto" w:fill="D9D9D9" w:themeFill="background1" w:themeFillShade="D9"/>
          </w:tcPr>
          <w:p w14:paraId="7F395CB0" w14:textId="77777777" w:rsidR="00B852BD" w:rsidRPr="00463667" w:rsidRDefault="00B852BD" w:rsidP="00F578E0">
            <w:pPr>
              <w:pStyle w:val="TableText"/>
            </w:pPr>
            <w:r w:rsidRPr="00463667">
              <w:t>Upper 95% confidence interval</w:t>
            </w:r>
          </w:p>
        </w:tc>
        <w:tc>
          <w:tcPr>
            <w:tcW w:w="2430" w:type="dxa"/>
            <w:tcBorders>
              <w:bottom w:val="single" w:sz="6" w:space="0" w:color="auto"/>
            </w:tcBorders>
            <w:shd w:val="clear" w:color="auto" w:fill="D9D9D9" w:themeFill="background1" w:themeFillShade="D9"/>
          </w:tcPr>
          <w:p w14:paraId="56A5C9BE" w14:textId="77777777" w:rsidR="00B852BD" w:rsidRPr="00463667" w:rsidRDefault="00B852BD" w:rsidP="00F578E0">
            <w:pPr>
              <w:pStyle w:val="TableText"/>
              <w:jc w:val="center"/>
              <w:rPr>
                <w:i/>
                <w:iCs/>
              </w:rPr>
            </w:pPr>
            <w:r w:rsidRPr="00463667">
              <w:rPr>
                <w:i/>
                <w:iCs/>
              </w:rPr>
              <w:t>Each of the 2 rates</w:t>
            </w:r>
          </w:p>
        </w:tc>
      </w:tr>
    </w:tbl>
    <w:p w14:paraId="7FCA0C81" w14:textId="77777777" w:rsidR="00B852BD" w:rsidRPr="00463667" w:rsidRDefault="00B852BD" w:rsidP="00B852BD">
      <w:pPr>
        <w:pStyle w:val="ProcessBullet"/>
        <w:numPr>
          <w:ilvl w:val="0"/>
          <w:numId w:val="0"/>
        </w:numPr>
        <w:ind w:left="216" w:hanging="216"/>
        <w:rPr>
          <w:i/>
          <w:iCs/>
        </w:rPr>
      </w:pPr>
    </w:p>
    <w:p w14:paraId="054EBBB6" w14:textId="77777777" w:rsidR="00B852BD" w:rsidRPr="00463667" w:rsidRDefault="00B852BD" w:rsidP="00B852BD">
      <w:pPr>
        <w:pStyle w:val="ProcessBullet"/>
        <w:numPr>
          <w:ilvl w:val="0"/>
          <w:numId w:val="0"/>
        </w:numPr>
        <w:ind w:left="216" w:hanging="216"/>
        <w:rPr>
          <w:i/>
          <w:iCs/>
        </w:rPr>
        <w:sectPr w:rsidR="00B852BD" w:rsidRPr="00463667" w:rsidSect="007527F3">
          <w:headerReference w:type="even" r:id="rId59"/>
          <w:pgSz w:w="12240" w:h="15840" w:code="1"/>
          <w:pgMar w:top="1080" w:right="1080" w:bottom="1080" w:left="1440" w:header="720" w:footer="720" w:gutter="0"/>
          <w:cols w:space="720"/>
          <w:docGrid w:linePitch="299"/>
        </w:sectPr>
      </w:pPr>
    </w:p>
    <w:p w14:paraId="3883D88F" w14:textId="77777777" w:rsidR="00B852BD" w:rsidRPr="00463667" w:rsidRDefault="00B852BD" w:rsidP="00B852BD">
      <w:pPr>
        <w:pStyle w:val="Heading2"/>
        <w:spacing w:after="320"/>
        <w:rPr>
          <w:rFonts w:cs="Arial"/>
        </w:rPr>
      </w:pPr>
      <w:bookmarkStart w:id="7" w:name="_Toc400546138"/>
      <w:r w:rsidRPr="003F7CDF">
        <w:rPr>
          <w:rFonts w:cs="Arial"/>
          <w:bCs/>
        </w:rPr>
        <w:lastRenderedPageBreak/>
        <w:t xml:space="preserve">Diabetes Screening for People With Schizophrenia or Bipolar Disorder </w:t>
      </w:r>
      <w:r w:rsidRPr="003F7CDF">
        <w:rPr>
          <w:rFonts w:cs="Arial"/>
          <w:bCs/>
        </w:rPr>
        <w:br/>
        <w:t>Who Are Using Antipsychotic Medications (SSD)</w:t>
      </w:r>
      <w:bookmarkEnd w:id="7"/>
    </w:p>
    <w:p w14:paraId="3517BC91" w14:textId="5DD4DF40" w:rsidR="00B852BD" w:rsidRPr="00463667" w:rsidRDefault="00B852BD" w:rsidP="00B53721">
      <w:pPr>
        <w:pStyle w:val="SOC"/>
        <w:rPr>
          <w:i/>
        </w:rPr>
      </w:pPr>
      <w:r w:rsidRPr="00463667">
        <w:t xml:space="preserve">Summary of Changes to HEDIS </w:t>
      </w:r>
      <w:r w:rsidR="00D0464F">
        <w:t>2016</w:t>
      </w:r>
    </w:p>
    <w:p w14:paraId="29AB048E" w14:textId="30EC5C25" w:rsidR="00554EA5" w:rsidRPr="00554EA5" w:rsidRDefault="00554EA5" w:rsidP="00EB00B0">
      <w:pPr>
        <w:pStyle w:val="ProcessBullet"/>
        <w:rPr>
          <w:i/>
          <w:iCs/>
        </w:rPr>
      </w:pPr>
      <w:r>
        <w:t xml:space="preserve">Added </w:t>
      </w:r>
      <w:r w:rsidRPr="00554EA5">
        <w:rPr>
          <w:u w:val="single"/>
        </w:rPr>
        <w:t>Other Bipolar Disorders Value Set</w:t>
      </w:r>
      <w:r>
        <w:t xml:space="preserve"> to </w:t>
      </w:r>
      <w:r w:rsidR="001C66E5">
        <w:t>s</w:t>
      </w:r>
      <w:r>
        <w:t xml:space="preserve">tep 1 of the </w:t>
      </w:r>
      <w:r w:rsidR="001C66E5">
        <w:t>e</w:t>
      </w:r>
      <w:r w:rsidR="00B6162A">
        <w:t>v</w:t>
      </w:r>
      <w:r>
        <w:t>ent/diagnosis.</w:t>
      </w:r>
    </w:p>
    <w:p w14:paraId="6AA9DF9D" w14:textId="20DA8C96" w:rsidR="00EB00B0" w:rsidRPr="00463667" w:rsidRDefault="00EB00B0" w:rsidP="004E5025">
      <w:pPr>
        <w:pStyle w:val="ProcessBullet"/>
        <w:spacing w:before="60"/>
        <w:rPr>
          <w:i/>
          <w:iCs/>
        </w:rPr>
      </w:pPr>
      <w:r>
        <w:t xml:space="preserve">Added </w:t>
      </w:r>
      <w:r w:rsidR="009F0DF0">
        <w:t>“</w:t>
      </w:r>
      <w:r>
        <w:t>Numerator events by supplemental data</w:t>
      </w:r>
      <w:r w:rsidR="009F0DF0">
        <w:t>”</w:t>
      </w:r>
      <w:r>
        <w:t xml:space="preserve"> to the Data Elements for Reporting table to capture the number of members who met numerator criteria using supplemental data. </w:t>
      </w:r>
    </w:p>
    <w:p w14:paraId="11F47B2E" w14:textId="77777777" w:rsidR="00B852BD" w:rsidRPr="00463667" w:rsidRDefault="00B852BD" w:rsidP="00B53721">
      <w:pPr>
        <w:pStyle w:val="ReverseHead"/>
      </w:pPr>
      <w:r w:rsidRPr="00463667">
        <w:t>Description</w:t>
      </w:r>
    </w:p>
    <w:p w14:paraId="6B2651D3" w14:textId="77777777" w:rsidR="00B852BD" w:rsidRPr="00463667" w:rsidRDefault="00B852BD" w:rsidP="00B852BD">
      <w:pPr>
        <w:pStyle w:val="Body"/>
      </w:pPr>
      <w:r w:rsidRPr="00463667">
        <w:t xml:space="preserve">The percentage of members 18–64 years of age with schizophrenia or bipolar disorder, who were dispensed an antipsychotic medication and had a diabetes screening test during the measurement year. </w:t>
      </w:r>
    </w:p>
    <w:p w14:paraId="381DFBBF" w14:textId="77777777" w:rsidR="00B852BD" w:rsidRPr="00463667" w:rsidRDefault="00B852BD" w:rsidP="00B53721">
      <w:pPr>
        <w:pStyle w:val="ReverseHead"/>
      </w:pPr>
      <w:r w:rsidRPr="00463667">
        <w:t>Eligible Population</w:t>
      </w:r>
    </w:p>
    <w:tbl>
      <w:tblPr>
        <w:tblW w:w="9792" w:type="dxa"/>
        <w:tblInd w:w="18" w:type="dxa"/>
        <w:tblLayout w:type="fixed"/>
        <w:tblLook w:val="0000" w:firstRow="0" w:lastRow="0" w:firstColumn="0" w:lastColumn="0" w:noHBand="0" w:noVBand="0"/>
      </w:tblPr>
      <w:tblGrid>
        <w:gridCol w:w="1890"/>
        <w:gridCol w:w="7902"/>
      </w:tblGrid>
      <w:tr w:rsidR="00B852BD" w:rsidRPr="00463667" w14:paraId="2C70336F" w14:textId="77777777" w:rsidTr="00F578E0">
        <w:tc>
          <w:tcPr>
            <w:tcW w:w="1890" w:type="dxa"/>
          </w:tcPr>
          <w:p w14:paraId="714F9E08" w14:textId="77777777" w:rsidR="00B852BD" w:rsidRPr="00463667" w:rsidRDefault="00B852BD" w:rsidP="00F578E0">
            <w:pPr>
              <w:pStyle w:val="MarginSubhead"/>
            </w:pPr>
            <w:r w:rsidRPr="00463667">
              <w:t>Product lines</w:t>
            </w:r>
          </w:p>
        </w:tc>
        <w:tc>
          <w:tcPr>
            <w:tcW w:w="7902" w:type="dxa"/>
          </w:tcPr>
          <w:p w14:paraId="166E9C55" w14:textId="77777777" w:rsidR="00B852BD" w:rsidRPr="00463667" w:rsidRDefault="00B852BD" w:rsidP="00F578E0">
            <w:pPr>
              <w:pStyle w:val="Body"/>
            </w:pPr>
            <w:r w:rsidRPr="00463667">
              <w:t>Medicaid.</w:t>
            </w:r>
          </w:p>
        </w:tc>
      </w:tr>
      <w:tr w:rsidR="00B852BD" w:rsidRPr="00463667" w14:paraId="65565FD4" w14:textId="77777777" w:rsidTr="00F578E0">
        <w:tc>
          <w:tcPr>
            <w:tcW w:w="1890" w:type="dxa"/>
          </w:tcPr>
          <w:p w14:paraId="6771F8E5" w14:textId="77777777" w:rsidR="00B852BD" w:rsidRPr="00463667" w:rsidRDefault="00B852BD" w:rsidP="00F578E0">
            <w:pPr>
              <w:pStyle w:val="MarginSubhead"/>
            </w:pPr>
            <w:r w:rsidRPr="00463667">
              <w:t>Ages</w:t>
            </w:r>
          </w:p>
        </w:tc>
        <w:tc>
          <w:tcPr>
            <w:tcW w:w="7902" w:type="dxa"/>
          </w:tcPr>
          <w:p w14:paraId="1A6665A6" w14:textId="77777777" w:rsidR="00B852BD" w:rsidRPr="00463667" w:rsidRDefault="00B852BD" w:rsidP="00F578E0">
            <w:pPr>
              <w:pStyle w:val="Body"/>
              <w:rPr>
                <w:bCs/>
              </w:rPr>
            </w:pPr>
            <w:r w:rsidRPr="00463667">
              <w:rPr>
                <w:bCs/>
              </w:rPr>
              <w:t>18–64 years as of December 31 of the measurement year.</w:t>
            </w:r>
          </w:p>
        </w:tc>
      </w:tr>
      <w:tr w:rsidR="00B852BD" w:rsidRPr="00463667" w14:paraId="6E0DECB4" w14:textId="77777777" w:rsidTr="00F578E0">
        <w:tc>
          <w:tcPr>
            <w:tcW w:w="1890" w:type="dxa"/>
          </w:tcPr>
          <w:p w14:paraId="3DA72FA4" w14:textId="77777777" w:rsidR="00B852BD" w:rsidRPr="00463667" w:rsidRDefault="00B852BD" w:rsidP="00F578E0">
            <w:pPr>
              <w:pStyle w:val="MarginSubhead"/>
            </w:pPr>
            <w:r w:rsidRPr="00463667">
              <w:t>Continuous enrollment</w:t>
            </w:r>
          </w:p>
        </w:tc>
        <w:tc>
          <w:tcPr>
            <w:tcW w:w="7902" w:type="dxa"/>
          </w:tcPr>
          <w:p w14:paraId="51DB886F" w14:textId="77777777" w:rsidR="00B852BD" w:rsidRPr="00463667" w:rsidRDefault="00B852BD" w:rsidP="00F578E0">
            <w:pPr>
              <w:pStyle w:val="Body"/>
            </w:pPr>
            <w:r w:rsidRPr="00463667">
              <w:t>The measurement year.</w:t>
            </w:r>
          </w:p>
        </w:tc>
      </w:tr>
      <w:tr w:rsidR="00B852BD" w:rsidRPr="00463667" w14:paraId="554D3789" w14:textId="77777777" w:rsidTr="00F578E0">
        <w:tc>
          <w:tcPr>
            <w:tcW w:w="1890" w:type="dxa"/>
          </w:tcPr>
          <w:p w14:paraId="273EA230" w14:textId="77777777" w:rsidR="00B852BD" w:rsidRPr="00463667" w:rsidRDefault="00B852BD" w:rsidP="00F578E0">
            <w:pPr>
              <w:pStyle w:val="MarginSubhead"/>
            </w:pPr>
            <w:r w:rsidRPr="00463667">
              <w:t>Allowable gap</w:t>
            </w:r>
          </w:p>
        </w:tc>
        <w:tc>
          <w:tcPr>
            <w:tcW w:w="7902" w:type="dxa"/>
          </w:tcPr>
          <w:p w14:paraId="28E0DB63" w14:textId="77777777" w:rsidR="00B852BD" w:rsidRPr="00463667" w:rsidRDefault="00B852BD" w:rsidP="00F578E0">
            <w:pPr>
              <w:pStyle w:val="Body"/>
            </w:pPr>
            <w:r w:rsidRPr="00463667">
              <w:rPr>
                <w:rFonts w:ascii="Arial-BoldMT" w:hAnsi="Arial-BoldMT" w:cs="Arial-BoldMT"/>
                <w:bCs/>
              </w:rPr>
              <w:t xml:space="preserve">No more than one gap in enrollment of up to 45 days during the measurement year. To determine continuous enrollment for a Medicaid beneficiary for whom enrollment is verified monthly, the member may not have more than a 1-month gap in coverage </w:t>
            </w:r>
            <w:r w:rsidRPr="00463667">
              <w:rPr>
                <w:rFonts w:ascii="Arial-BoldMT" w:hAnsi="Arial-BoldMT" w:cs="Arial-BoldMT"/>
                <w:bCs/>
              </w:rPr>
              <w:br/>
              <w:t>(i.e., a member whose coverage lapses for 2 months [60 days] is not considered continuously enrolled).</w:t>
            </w:r>
          </w:p>
        </w:tc>
      </w:tr>
      <w:tr w:rsidR="00B852BD" w:rsidRPr="00463667" w14:paraId="05A001F6" w14:textId="77777777" w:rsidTr="00F578E0">
        <w:tc>
          <w:tcPr>
            <w:tcW w:w="1890" w:type="dxa"/>
          </w:tcPr>
          <w:p w14:paraId="0E58630E" w14:textId="77777777" w:rsidR="00B852BD" w:rsidRPr="00463667" w:rsidRDefault="00B852BD" w:rsidP="00F578E0">
            <w:pPr>
              <w:pStyle w:val="MarginSubhead"/>
            </w:pPr>
            <w:r w:rsidRPr="00463667">
              <w:t>Anchor date</w:t>
            </w:r>
          </w:p>
        </w:tc>
        <w:tc>
          <w:tcPr>
            <w:tcW w:w="7902" w:type="dxa"/>
          </w:tcPr>
          <w:p w14:paraId="6FDCD338" w14:textId="77777777" w:rsidR="00B852BD" w:rsidRPr="00463667" w:rsidRDefault="00B852BD" w:rsidP="00F578E0">
            <w:pPr>
              <w:pStyle w:val="Body"/>
            </w:pPr>
            <w:r w:rsidRPr="00463667">
              <w:t xml:space="preserve">December 31 of the measurement year. </w:t>
            </w:r>
          </w:p>
        </w:tc>
      </w:tr>
      <w:tr w:rsidR="00B852BD" w:rsidRPr="00463667" w14:paraId="57D52545" w14:textId="77777777" w:rsidTr="00F578E0">
        <w:tc>
          <w:tcPr>
            <w:tcW w:w="1890" w:type="dxa"/>
          </w:tcPr>
          <w:p w14:paraId="6677DC28" w14:textId="77777777" w:rsidR="00B852BD" w:rsidRPr="00463667" w:rsidRDefault="00B852BD" w:rsidP="00F578E0">
            <w:pPr>
              <w:pStyle w:val="MarginSubhead"/>
            </w:pPr>
            <w:r w:rsidRPr="00463667">
              <w:t>Benefits</w:t>
            </w:r>
          </w:p>
        </w:tc>
        <w:tc>
          <w:tcPr>
            <w:tcW w:w="7902" w:type="dxa"/>
          </w:tcPr>
          <w:p w14:paraId="1F45E7AA" w14:textId="77777777" w:rsidR="00B852BD" w:rsidRPr="00463667" w:rsidRDefault="00B852BD" w:rsidP="00F578E0">
            <w:pPr>
              <w:pStyle w:val="Body"/>
            </w:pPr>
            <w:r w:rsidRPr="00463667">
              <w:t>Medical and pharmacy.</w:t>
            </w:r>
          </w:p>
        </w:tc>
      </w:tr>
      <w:tr w:rsidR="00B852BD" w:rsidRPr="00463667" w14:paraId="0F98180F" w14:textId="77777777" w:rsidTr="00B44B50">
        <w:tc>
          <w:tcPr>
            <w:tcW w:w="1890" w:type="dxa"/>
          </w:tcPr>
          <w:p w14:paraId="2703B0F8" w14:textId="77777777" w:rsidR="00B852BD" w:rsidRPr="00463667" w:rsidRDefault="00B852BD" w:rsidP="00F578E0">
            <w:pPr>
              <w:pStyle w:val="MarginSubhead"/>
            </w:pPr>
            <w:r w:rsidRPr="00463667">
              <w:t>Event/ diagnosis</w:t>
            </w:r>
          </w:p>
        </w:tc>
        <w:tc>
          <w:tcPr>
            <w:tcW w:w="7902" w:type="dxa"/>
          </w:tcPr>
          <w:p w14:paraId="53A8D8F5" w14:textId="77777777" w:rsidR="00B852BD" w:rsidRPr="00463667" w:rsidRDefault="00B852BD" w:rsidP="00F578E0">
            <w:pPr>
              <w:pStyle w:val="Body"/>
              <w:rPr>
                <w:rFonts w:cs="Arial"/>
                <w:bCs/>
              </w:rPr>
            </w:pPr>
            <w:r w:rsidRPr="00463667">
              <w:rPr>
                <w:rFonts w:cs="Arial"/>
                <w:bCs/>
              </w:rPr>
              <w:t>Follow the steps below to identify the eligible population.</w:t>
            </w:r>
          </w:p>
        </w:tc>
      </w:tr>
      <w:tr w:rsidR="00B852BD" w:rsidRPr="00463667" w14:paraId="286FB965" w14:textId="77777777" w:rsidTr="00F578E0">
        <w:tc>
          <w:tcPr>
            <w:tcW w:w="1890" w:type="dxa"/>
          </w:tcPr>
          <w:p w14:paraId="58DF9DE3" w14:textId="77777777" w:rsidR="00B852BD" w:rsidRPr="00463667" w:rsidRDefault="00B852BD" w:rsidP="00F578E0">
            <w:pPr>
              <w:pStyle w:val="MarginSubhead"/>
              <w:jc w:val="right"/>
              <w:rPr>
                <w:i/>
              </w:rPr>
            </w:pPr>
            <w:r w:rsidRPr="00463667">
              <w:rPr>
                <w:i/>
              </w:rPr>
              <w:t>Step 1</w:t>
            </w:r>
          </w:p>
        </w:tc>
        <w:tc>
          <w:tcPr>
            <w:tcW w:w="7902" w:type="dxa"/>
          </w:tcPr>
          <w:p w14:paraId="15B8EE46" w14:textId="77777777" w:rsidR="00B852BD" w:rsidRPr="00463667" w:rsidRDefault="00B852BD" w:rsidP="00F578E0">
            <w:pPr>
              <w:pStyle w:val="Body"/>
              <w:rPr>
                <w:rFonts w:cs="Arial"/>
                <w:bCs/>
              </w:rPr>
            </w:pPr>
            <w:r w:rsidRPr="00463667">
              <w:rPr>
                <w:rFonts w:cs="Arial"/>
                <w:bCs/>
              </w:rPr>
              <w:t>Identify members with schizophrenia or bipolar disorder as those who met at least one of the following criteria during the measurement year.</w:t>
            </w:r>
          </w:p>
          <w:p w14:paraId="7299C0FA" w14:textId="77777777" w:rsidR="00B852BD" w:rsidRPr="00463667" w:rsidRDefault="00B852BD" w:rsidP="00B852BD">
            <w:pPr>
              <w:pStyle w:val="Bullet"/>
            </w:pPr>
            <w:r w:rsidRPr="00463667">
              <w:t>At least one acute inpatient encounter, with any diagnosis of schizophrenia or bipolar disorder. Any of the following code combinations meet criteria:</w:t>
            </w:r>
          </w:p>
          <w:p w14:paraId="0F8D36F3" w14:textId="77777777" w:rsidR="00B852BD" w:rsidRPr="00463667" w:rsidRDefault="00B852BD" w:rsidP="00F578E0">
            <w:pPr>
              <w:pStyle w:val="Dash"/>
              <w:rPr>
                <w:u w:val="single"/>
              </w:rPr>
            </w:pPr>
            <w:r w:rsidRPr="00463667">
              <w:rPr>
                <w:u w:val="single"/>
              </w:rPr>
              <w:t>BH Stand Alone Acute Inpatient Value Set</w:t>
            </w:r>
            <w:r w:rsidRPr="00463667">
              <w:t xml:space="preserve"> </w:t>
            </w:r>
            <w:r w:rsidRPr="00463667">
              <w:rPr>
                <w:b/>
                <w:i/>
              </w:rPr>
              <w:t>with</w:t>
            </w:r>
            <w:r w:rsidRPr="00463667">
              <w:t xml:space="preserve"> </w:t>
            </w:r>
            <w:r w:rsidRPr="00463667">
              <w:rPr>
                <w:u w:val="single"/>
              </w:rPr>
              <w:t>Schizophrenia Value Set</w:t>
            </w:r>
            <w:r w:rsidRPr="00463667">
              <w:t>.</w:t>
            </w:r>
          </w:p>
          <w:p w14:paraId="3781D322" w14:textId="77777777" w:rsidR="00B852BD" w:rsidRPr="00E519AD" w:rsidRDefault="00B852BD" w:rsidP="00F578E0">
            <w:pPr>
              <w:pStyle w:val="Dash"/>
              <w:rPr>
                <w:u w:val="single"/>
              </w:rPr>
            </w:pPr>
            <w:r w:rsidRPr="00463667">
              <w:rPr>
                <w:u w:val="single"/>
              </w:rPr>
              <w:t>BH Stand Alone Acute Inpatient Value Set</w:t>
            </w:r>
            <w:r w:rsidRPr="00463667">
              <w:t xml:space="preserve"> </w:t>
            </w:r>
            <w:r w:rsidRPr="00463667">
              <w:rPr>
                <w:b/>
                <w:i/>
              </w:rPr>
              <w:t>with</w:t>
            </w:r>
            <w:r w:rsidRPr="00463667">
              <w:t xml:space="preserve"> </w:t>
            </w:r>
            <w:r w:rsidRPr="00463667">
              <w:rPr>
                <w:u w:val="single"/>
              </w:rPr>
              <w:t>Bipolar Disorder Value Set</w:t>
            </w:r>
            <w:r w:rsidRPr="00463667">
              <w:t>.</w:t>
            </w:r>
          </w:p>
          <w:p w14:paraId="485381F8" w14:textId="4B7158C9" w:rsidR="00E519AD" w:rsidRPr="00E519AD" w:rsidRDefault="00E519AD" w:rsidP="00E519AD">
            <w:pPr>
              <w:pStyle w:val="Dash"/>
              <w:rPr>
                <w:u w:val="single"/>
              </w:rPr>
            </w:pPr>
            <w:r w:rsidRPr="00463667">
              <w:rPr>
                <w:u w:val="single"/>
              </w:rPr>
              <w:t>BH Stand Alone Acute Inpatient Value Set</w:t>
            </w:r>
            <w:r w:rsidRPr="00463667">
              <w:t xml:space="preserve"> </w:t>
            </w:r>
            <w:r w:rsidRPr="00463667">
              <w:rPr>
                <w:b/>
                <w:i/>
              </w:rPr>
              <w:t>with</w:t>
            </w:r>
            <w:r w:rsidRPr="00463667">
              <w:t xml:space="preserve"> </w:t>
            </w:r>
            <w:r w:rsidRPr="00E519AD">
              <w:rPr>
                <w:u w:val="single"/>
              </w:rPr>
              <w:t>Other Bipolar</w:t>
            </w:r>
            <w:r w:rsidRPr="00463667">
              <w:rPr>
                <w:u w:val="single"/>
              </w:rPr>
              <w:t xml:space="preserve"> Disorder Value Set</w:t>
            </w:r>
            <w:r w:rsidRPr="00463667">
              <w:t>.</w:t>
            </w:r>
          </w:p>
          <w:p w14:paraId="0A8D8470" w14:textId="77777777" w:rsidR="00B852BD" w:rsidRPr="00463667" w:rsidRDefault="00B852BD" w:rsidP="00F578E0">
            <w:pPr>
              <w:pStyle w:val="Dash"/>
              <w:rPr>
                <w:u w:val="single"/>
              </w:rPr>
            </w:pPr>
            <w:r w:rsidRPr="00463667">
              <w:rPr>
                <w:u w:val="single"/>
              </w:rPr>
              <w:t>BH Acute Inpatient Value Set</w:t>
            </w:r>
            <w:r w:rsidRPr="00463667">
              <w:t xml:space="preserve"> </w:t>
            </w:r>
            <w:r w:rsidRPr="00463667">
              <w:rPr>
                <w:b/>
                <w:i/>
              </w:rPr>
              <w:t>with</w:t>
            </w:r>
            <w:r w:rsidRPr="00463667">
              <w:t xml:space="preserve"> </w:t>
            </w:r>
            <w:r w:rsidRPr="00463667">
              <w:rPr>
                <w:u w:val="single"/>
              </w:rPr>
              <w:t>BH Acute Inpatient POS Value Set</w:t>
            </w:r>
            <w:r w:rsidRPr="00463667">
              <w:t xml:space="preserve"> </w:t>
            </w:r>
            <w:r w:rsidRPr="00463667">
              <w:rPr>
                <w:b/>
                <w:i/>
              </w:rPr>
              <w:t>and</w:t>
            </w:r>
            <w:r w:rsidRPr="00463667">
              <w:t xml:space="preserve"> </w:t>
            </w:r>
            <w:r w:rsidRPr="00463667">
              <w:rPr>
                <w:u w:val="single"/>
              </w:rPr>
              <w:t>Schizophrenia Value Set</w:t>
            </w:r>
            <w:r w:rsidRPr="00463667">
              <w:t>.</w:t>
            </w:r>
          </w:p>
          <w:p w14:paraId="0971CE00" w14:textId="77777777" w:rsidR="00E519AD" w:rsidRPr="00E519AD" w:rsidRDefault="00B852BD" w:rsidP="00E519AD">
            <w:pPr>
              <w:pStyle w:val="Dash"/>
            </w:pPr>
            <w:r w:rsidRPr="00463667">
              <w:rPr>
                <w:u w:val="single"/>
              </w:rPr>
              <w:t>BH Acute Inpatient Value Set</w:t>
            </w:r>
            <w:r w:rsidRPr="00463667">
              <w:t xml:space="preserve"> </w:t>
            </w:r>
            <w:r w:rsidRPr="00463667">
              <w:rPr>
                <w:b/>
                <w:i/>
              </w:rPr>
              <w:t>with</w:t>
            </w:r>
            <w:r w:rsidRPr="00463667">
              <w:t xml:space="preserve"> </w:t>
            </w:r>
            <w:r w:rsidRPr="00463667">
              <w:rPr>
                <w:u w:val="single"/>
              </w:rPr>
              <w:t xml:space="preserve">BH Acute Inpatient POS Value Set </w:t>
            </w:r>
            <w:r w:rsidRPr="00463667">
              <w:rPr>
                <w:b/>
                <w:i/>
              </w:rPr>
              <w:t>and</w:t>
            </w:r>
            <w:r w:rsidRPr="00463667">
              <w:t xml:space="preserve"> </w:t>
            </w:r>
            <w:r w:rsidRPr="00463667">
              <w:rPr>
                <w:u w:val="single"/>
              </w:rPr>
              <w:t>Bipolar Disorder Value Set</w:t>
            </w:r>
            <w:r w:rsidRPr="00463667">
              <w:t>.</w:t>
            </w:r>
            <w:r w:rsidR="00E519AD" w:rsidRPr="00463667">
              <w:rPr>
                <w:u w:val="single"/>
              </w:rPr>
              <w:t xml:space="preserve"> </w:t>
            </w:r>
          </w:p>
          <w:p w14:paraId="721E824B" w14:textId="1BFB3A3A" w:rsidR="00B852BD" w:rsidRPr="00463667" w:rsidRDefault="00E519AD" w:rsidP="00E519AD">
            <w:pPr>
              <w:pStyle w:val="Dash"/>
            </w:pPr>
            <w:r w:rsidRPr="00463667">
              <w:rPr>
                <w:u w:val="single"/>
              </w:rPr>
              <w:t>BH Acute Inpatient Value Set</w:t>
            </w:r>
            <w:r w:rsidRPr="00463667">
              <w:t xml:space="preserve"> </w:t>
            </w:r>
            <w:r w:rsidRPr="00463667">
              <w:rPr>
                <w:b/>
                <w:i/>
              </w:rPr>
              <w:t>with</w:t>
            </w:r>
            <w:r w:rsidRPr="00463667">
              <w:t xml:space="preserve"> </w:t>
            </w:r>
            <w:r w:rsidRPr="00463667">
              <w:rPr>
                <w:u w:val="single"/>
              </w:rPr>
              <w:t xml:space="preserve">BH Acute Inpatient POS Value Set </w:t>
            </w:r>
            <w:r w:rsidRPr="00463667">
              <w:rPr>
                <w:b/>
                <w:i/>
              </w:rPr>
              <w:t>and</w:t>
            </w:r>
            <w:r w:rsidRPr="00463667">
              <w:t xml:space="preserve"> </w:t>
            </w:r>
            <w:r>
              <w:rPr>
                <w:u w:val="single"/>
              </w:rPr>
              <w:t>Other B</w:t>
            </w:r>
            <w:r w:rsidRPr="00463667">
              <w:rPr>
                <w:u w:val="single"/>
              </w:rPr>
              <w:t>ipolar Disorder Value Set</w:t>
            </w:r>
            <w:r w:rsidRPr="00463667">
              <w:t>.</w:t>
            </w:r>
          </w:p>
          <w:p w14:paraId="17796DA3" w14:textId="77777777" w:rsidR="00B852BD" w:rsidRPr="00463667" w:rsidRDefault="00B852BD" w:rsidP="00F578E0">
            <w:pPr>
              <w:pStyle w:val="Bullet"/>
              <w:numPr>
                <w:ilvl w:val="0"/>
                <w:numId w:val="0"/>
              </w:numPr>
              <w:ind w:left="1800"/>
            </w:pPr>
          </w:p>
        </w:tc>
      </w:tr>
    </w:tbl>
    <w:p w14:paraId="61280D7D" w14:textId="77777777" w:rsidR="00B852BD" w:rsidRPr="00463667" w:rsidRDefault="00B852BD" w:rsidP="00B852BD">
      <w:pPr>
        <w:keepNext/>
        <w:spacing w:before="180" w:after="60"/>
        <w:outlineLvl w:val="2"/>
        <w:rPr>
          <w:rFonts w:cs="Arial"/>
          <w:b/>
          <w:bCs/>
          <w:szCs w:val="26"/>
        </w:rPr>
        <w:sectPr w:rsidR="00B852BD" w:rsidRPr="00463667" w:rsidSect="007527F3">
          <w:headerReference w:type="even" r:id="rId60"/>
          <w:headerReference w:type="default" r:id="rId61"/>
          <w:pgSz w:w="12240" w:h="15840" w:code="1"/>
          <w:pgMar w:top="1080" w:right="1080" w:bottom="1080" w:left="1440" w:header="720" w:footer="720" w:gutter="0"/>
          <w:cols w:space="720"/>
          <w:docGrid w:linePitch="299"/>
        </w:sectPr>
      </w:pPr>
    </w:p>
    <w:tbl>
      <w:tblPr>
        <w:tblW w:w="9810" w:type="dxa"/>
        <w:tblInd w:w="18" w:type="dxa"/>
        <w:tblLayout w:type="fixed"/>
        <w:tblLook w:val="0000" w:firstRow="0" w:lastRow="0" w:firstColumn="0" w:lastColumn="0" w:noHBand="0" w:noVBand="0"/>
      </w:tblPr>
      <w:tblGrid>
        <w:gridCol w:w="1620"/>
        <w:gridCol w:w="8172"/>
        <w:gridCol w:w="18"/>
      </w:tblGrid>
      <w:tr w:rsidR="00B852BD" w:rsidRPr="00463667" w14:paraId="6DD7B1E3" w14:textId="77777777" w:rsidTr="004E5025">
        <w:tc>
          <w:tcPr>
            <w:tcW w:w="1620" w:type="dxa"/>
          </w:tcPr>
          <w:p w14:paraId="589A5E48" w14:textId="77777777" w:rsidR="00B852BD" w:rsidRPr="00463667" w:rsidRDefault="00B852BD" w:rsidP="00F578E0">
            <w:pPr>
              <w:pStyle w:val="MarginSubhead"/>
              <w:jc w:val="right"/>
              <w:rPr>
                <w:i/>
              </w:rPr>
            </w:pPr>
          </w:p>
        </w:tc>
        <w:tc>
          <w:tcPr>
            <w:tcW w:w="8190" w:type="dxa"/>
            <w:gridSpan w:val="2"/>
          </w:tcPr>
          <w:p w14:paraId="351FE33F" w14:textId="77777777" w:rsidR="00B852BD" w:rsidRPr="00463667" w:rsidRDefault="00B852BD" w:rsidP="00B852BD">
            <w:pPr>
              <w:pStyle w:val="Bullet"/>
              <w:spacing w:before="0"/>
            </w:pPr>
            <w:r w:rsidRPr="00463667">
              <w:t>At least two visits in an outpatient, intensive outpatient, partial hospitalization, ED or nonacute inpatient setting, on different dates of service, with any diagnosis of schizophrenia. Any two of the following code combinations meet criteria:</w:t>
            </w:r>
          </w:p>
          <w:p w14:paraId="235DC1BA" w14:textId="77777777" w:rsidR="00B852BD" w:rsidRPr="00463667" w:rsidRDefault="00B852BD" w:rsidP="00F578E0">
            <w:pPr>
              <w:pStyle w:val="Dash"/>
            </w:pPr>
            <w:r w:rsidRPr="00463667">
              <w:rPr>
                <w:u w:val="single"/>
              </w:rPr>
              <w:t>BH Stand Alone Outpatient/PH/IOP Value Set</w:t>
            </w:r>
            <w:r w:rsidRPr="00463667">
              <w:rPr>
                <w:b/>
                <w:i/>
              </w:rPr>
              <w:t xml:space="preserve"> with</w:t>
            </w:r>
            <w:r w:rsidRPr="00463667">
              <w:t xml:space="preserve"> </w:t>
            </w:r>
            <w:r w:rsidRPr="00463667">
              <w:rPr>
                <w:u w:val="single"/>
              </w:rPr>
              <w:t>Schizophrenia Value Set</w:t>
            </w:r>
            <w:r w:rsidRPr="00463667">
              <w:t>.</w:t>
            </w:r>
          </w:p>
          <w:p w14:paraId="5EDDCE3E" w14:textId="77777777" w:rsidR="00B852BD" w:rsidRPr="00463667" w:rsidRDefault="00B852BD" w:rsidP="00F578E0">
            <w:pPr>
              <w:pStyle w:val="Dash"/>
            </w:pPr>
            <w:r w:rsidRPr="00463667">
              <w:rPr>
                <w:u w:val="single"/>
              </w:rPr>
              <w:t>BH Outpatient/PH/IOP Value Set</w:t>
            </w:r>
            <w:r w:rsidRPr="00463667">
              <w:t xml:space="preserve"> </w:t>
            </w:r>
            <w:r w:rsidRPr="00463667">
              <w:rPr>
                <w:b/>
                <w:i/>
              </w:rPr>
              <w:t>with</w:t>
            </w:r>
            <w:r w:rsidRPr="00463667">
              <w:t xml:space="preserve"> </w:t>
            </w:r>
            <w:r w:rsidRPr="00463667">
              <w:rPr>
                <w:u w:val="single"/>
              </w:rPr>
              <w:t>BH Outpatient/PH/IOP POS Value Set</w:t>
            </w:r>
            <w:r w:rsidRPr="00463667">
              <w:t xml:space="preserve"> </w:t>
            </w:r>
            <w:r w:rsidRPr="00463667">
              <w:rPr>
                <w:b/>
                <w:i/>
              </w:rPr>
              <w:t>and</w:t>
            </w:r>
            <w:r w:rsidRPr="00463667">
              <w:t xml:space="preserve"> </w:t>
            </w:r>
            <w:r w:rsidRPr="00463667">
              <w:rPr>
                <w:u w:val="single"/>
              </w:rPr>
              <w:t>Schizophrenia Value Set</w:t>
            </w:r>
            <w:r w:rsidRPr="00463667">
              <w:t>.</w:t>
            </w:r>
          </w:p>
          <w:p w14:paraId="7E3DF9E9" w14:textId="77777777" w:rsidR="00B852BD" w:rsidRPr="00463667" w:rsidRDefault="00B852BD" w:rsidP="00F578E0">
            <w:pPr>
              <w:pStyle w:val="Dash"/>
            </w:pPr>
            <w:r w:rsidRPr="00463667">
              <w:rPr>
                <w:u w:val="single"/>
              </w:rPr>
              <w:t>ED Value Set</w:t>
            </w:r>
            <w:r w:rsidRPr="00463667">
              <w:t xml:space="preserve"> </w:t>
            </w:r>
            <w:r w:rsidRPr="00463667">
              <w:rPr>
                <w:b/>
                <w:i/>
              </w:rPr>
              <w:t>with</w:t>
            </w:r>
            <w:r w:rsidRPr="00463667">
              <w:t xml:space="preserve"> </w:t>
            </w:r>
            <w:r w:rsidRPr="00463667">
              <w:rPr>
                <w:u w:val="single"/>
              </w:rPr>
              <w:t>Schizophrenia Value Set</w:t>
            </w:r>
            <w:r w:rsidRPr="00463667">
              <w:t>.</w:t>
            </w:r>
          </w:p>
          <w:p w14:paraId="2AA9543C" w14:textId="77777777" w:rsidR="00B852BD" w:rsidRPr="00463667" w:rsidRDefault="00B852BD" w:rsidP="00F578E0">
            <w:pPr>
              <w:pStyle w:val="Dash"/>
            </w:pPr>
            <w:r w:rsidRPr="00463667">
              <w:rPr>
                <w:u w:val="single"/>
              </w:rPr>
              <w:t>BH ED Value Set</w:t>
            </w:r>
            <w:r w:rsidRPr="00463667">
              <w:t xml:space="preserve"> </w:t>
            </w:r>
            <w:r w:rsidRPr="00463667">
              <w:rPr>
                <w:b/>
                <w:i/>
              </w:rPr>
              <w:t>with</w:t>
            </w:r>
            <w:r w:rsidRPr="00463667">
              <w:t xml:space="preserve"> </w:t>
            </w:r>
            <w:r w:rsidRPr="00463667">
              <w:rPr>
                <w:u w:val="single"/>
              </w:rPr>
              <w:t>BH ED POS Value Set</w:t>
            </w:r>
            <w:r w:rsidRPr="00463667">
              <w:t xml:space="preserve"> </w:t>
            </w:r>
            <w:r w:rsidRPr="00463667">
              <w:rPr>
                <w:b/>
                <w:i/>
              </w:rPr>
              <w:t>and</w:t>
            </w:r>
            <w:r w:rsidRPr="00463667">
              <w:t xml:space="preserve"> </w:t>
            </w:r>
            <w:r w:rsidRPr="00463667">
              <w:rPr>
                <w:u w:val="single"/>
              </w:rPr>
              <w:t>Schizophrenia Value Set</w:t>
            </w:r>
            <w:r w:rsidRPr="00463667">
              <w:t>.</w:t>
            </w:r>
          </w:p>
          <w:p w14:paraId="3D114D8D" w14:textId="77777777" w:rsidR="00B852BD" w:rsidRPr="00463667" w:rsidRDefault="00B852BD" w:rsidP="00F578E0">
            <w:pPr>
              <w:pStyle w:val="Dash"/>
            </w:pPr>
            <w:r w:rsidRPr="00463667">
              <w:rPr>
                <w:u w:val="single"/>
              </w:rPr>
              <w:t>BH Stand Alone Nonacute Inpatient Value Set</w:t>
            </w:r>
            <w:r w:rsidRPr="00463667">
              <w:t xml:space="preserve"> </w:t>
            </w:r>
            <w:r w:rsidRPr="00463667">
              <w:rPr>
                <w:b/>
                <w:i/>
              </w:rPr>
              <w:t>with</w:t>
            </w:r>
            <w:r w:rsidRPr="00463667">
              <w:t xml:space="preserve"> </w:t>
            </w:r>
            <w:r w:rsidRPr="00463667">
              <w:rPr>
                <w:u w:val="single"/>
              </w:rPr>
              <w:t>Schizophrenia Value Set</w:t>
            </w:r>
            <w:r w:rsidRPr="00463667">
              <w:t>.</w:t>
            </w:r>
          </w:p>
          <w:p w14:paraId="5BD8E633" w14:textId="77777777" w:rsidR="00B852BD" w:rsidRPr="00463667" w:rsidRDefault="00B852BD" w:rsidP="00F578E0">
            <w:pPr>
              <w:pStyle w:val="Dash"/>
            </w:pPr>
            <w:r w:rsidRPr="00463667">
              <w:rPr>
                <w:u w:val="single"/>
              </w:rPr>
              <w:t>BH Nonacute Inpatient Value Set</w:t>
            </w:r>
            <w:r w:rsidRPr="00463667">
              <w:t xml:space="preserve"> </w:t>
            </w:r>
            <w:r w:rsidRPr="00463667">
              <w:rPr>
                <w:b/>
                <w:i/>
              </w:rPr>
              <w:t>with</w:t>
            </w:r>
            <w:r w:rsidRPr="00463667">
              <w:t xml:space="preserve"> </w:t>
            </w:r>
            <w:r w:rsidRPr="00463667">
              <w:rPr>
                <w:u w:val="single"/>
              </w:rPr>
              <w:t>BH Nonacute Inpatient POS Value Set</w:t>
            </w:r>
            <w:r w:rsidRPr="00463667">
              <w:t xml:space="preserve"> </w:t>
            </w:r>
            <w:r w:rsidRPr="00463667">
              <w:rPr>
                <w:b/>
                <w:i/>
              </w:rPr>
              <w:t>and</w:t>
            </w:r>
            <w:r w:rsidRPr="00463667">
              <w:t xml:space="preserve"> </w:t>
            </w:r>
            <w:r w:rsidRPr="00463667">
              <w:rPr>
                <w:u w:val="single"/>
              </w:rPr>
              <w:t>Schizophrenia Value Set</w:t>
            </w:r>
            <w:r w:rsidRPr="00463667">
              <w:t>.</w:t>
            </w:r>
          </w:p>
          <w:p w14:paraId="2B041369" w14:textId="77777777" w:rsidR="00B852BD" w:rsidRPr="00463667" w:rsidRDefault="00B852BD" w:rsidP="00B852BD">
            <w:pPr>
              <w:pStyle w:val="Bullet"/>
            </w:pPr>
            <w:r w:rsidRPr="00463667">
              <w:t>At least two visits in an outpatient, intensive outpatient, partial hospitalization, ED or nonacute inpatient setting, on different dates of service, with any diagnosis of bipolar disorder. Any two of the following code combinations meet criteria:</w:t>
            </w:r>
          </w:p>
          <w:p w14:paraId="566977AA" w14:textId="77777777" w:rsidR="00B852BD" w:rsidRPr="00463667" w:rsidRDefault="00B852BD" w:rsidP="00F578E0">
            <w:pPr>
              <w:pStyle w:val="Dash"/>
            </w:pPr>
            <w:r w:rsidRPr="00463667">
              <w:rPr>
                <w:u w:val="single"/>
              </w:rPr>
              <w:t>BH Stand Alone Outpatient/PH/IOP Value Set</w:t>
            </w:r>
            <w:r w:rsidRPr="00463667">
              <w:rPr>
                <w:b/>
                <w:i/>
              </w:rPr>
              <w:t xml:space="preserve"> with</w:t>
            </w:r>
            <w:r w:rsidRPr="00463667">
              <w:t xml:space="preserve"> </w:t>
            </w:r>
            <w:r w:rsidRPr="00463667">
              <w:rPr>
                <w:u w:val="single"/>
              </w:rPr>
              <w:t>Bipolar Disorder Value Set</w:t>
            </w:r>
            <w:r w:rsidRPr="00463667">
              <w:t>.</w:t>
            </w:r>
          </w:p>
          <w:p w14:paraId="59AEA98D" w14:textId="78FDD009" w:rsidR="00E519AD" w:rsidRPr="00463667" w:rsidRDefault="00E519AD" w:rsidP="00E519AD">
            <w:pPr>
              <w:pStyle w:val="Dash"/>
            </w:pPr>
            <w:r w:rsidRPr="00463667">
              <w:rPr>
                <w:u w:val="single"/>
              </w:rPr>
              <w:t>BH Stand Alone Outpatient/PH/IOP Value Set</w:t>
            </w:r>
            <w:r w:rsidRPr="00463667">
              <w:rPr>
                <w:b/>
                <w:i/>
              </w:rPr>
              <w:t xml:space="preserve"> with</w:t>
            </w:r>
            <w:r w:rsidRPr="00463667">
              <w:t xml:space="preserve"> </w:t>
            </w:r>
            <w:r>
              <w:rPr>
                <w:u w:val="single"/>
              </w:rPr>
              <w:t>Other B</w:t>
            </w:r>
            <w:r w:rsidRPr="00463667">
              <w:rPr>
                <w:u w:val="single"/>
              </w:rPr>
              <w:t>ipolar Disorder Value Set</w:t>
            </w:r>
            <w:r w:rsidRPr="00463667">
              <w:t>.</w:t>
            </w:r>
          </w:p>
          <w:p w14:paraId="27208A67" w14:textId="77777777" w:rsidR="00B852BD" w:rsidRPr="00463667" w:rsidRDefault="00B852BD" w:rsidP="00F578E0">
            <w:pPr>
              <w:pStyle w:val="Dash"/>
            </w:pPr>
            <w:r w:rsidRPr="00463667">
              <w:rPr>
                <w:u w:val="single"/>
              </w:rPr>
              <w:t>BH Outpatient/PH/IOP Value Set</w:t>
            </w:r>
            <w:r w:rsidRPr="00463667">
              <w:t xml:space="preserve"> </w:t>
            </w:r>
            <w:r w:rsidRPr="00463667">
              <w:rPr>
                <w:b/>
                <w:i/>
              </w:rPr>
              <w:t>with</w:t>
            </w:r>
            <w:r w:rsidRPr="00463667">
              <w:t xml:space="preserve"> </w:t>
            </w:r>
            <w:r w:rsidRPr="00463667">
              <w:rPr>
                <w:u w:val="single"/>
              </w:rPr>
              <w:t>BH Outpatient/PH/IOP POS Value Set</w:t>
            </w:r>
            <w:r w:rsidRPr="00463667">
              <w:rPr>
                <w:b/>
                <w:i/>
              </w:rPr>
              <w:t xml:space="preserve"> and</w:t>
            </w:r>
            <w:r w:rsidRPr="00463667">
              <w:t xml:space="preserve"> </w:t>
            </w:r>
            <w:r w:rsidRPr="00463667">
              <w:rPr>
                <w:u w:val="single"/>
              </w:rPr>
              <w:t>Bipolar Disorder Value Set</w:t>
            </w:r>
            <w:r w:rsidRPr="00463667">
              <w:t>.</w:t>
            </w:r>
          </w:p>
          <w:p w14:paraId="23AE29E9" w14:textId="3BD22E10" w:rsidR="00E519AD" w:rsidRPr="00463667" w:rsidRDefault="00E519AD" w:rsidP="00E519AD">
            <w:pPr>
              <w:pStyle w:val="Dash"/>
            </w:pPr>
            <w:r w:rsidRPr="00463667">
              <w:rPr>
                <w:u w:val="single"/>
              </w:rPr>
              <w:t>BH Outpatient/PH/IOP Value Set</w:t>
            </w:r>
            <w:r w:rsidRPr="00463667">
              <w:t xml:space="preserve"> </w:t>
            </w:r>
            <w:r w:rsidRPr="00463667">
              <w:rPr>
                <w:b/>
                <w:i/>
              </w:rPr>
              <w:t>with</w:t>
            </w:r>
            <w:r w:rsidRPr="00463667">
              <w:t xml:space="preserve"> </w:t>
            </w:r>
            <w:r w:rsidRPr="00463667">
              <w:rPr>
                <w:u w:val="single"/>
              </w:rPr>
              <w:t>BH Outpatient/PH/IOP POS Value Set</w:t>
            </w:r>
            <w:r w:rsidRPr="00463667">
              <w:rPr>
                <w:b/>
                <w:i/>
              </w:rPr>
              <w:t xml:space="preserve"> and</w:t>
            </w:r>
            <w:r w:rsidRPr="00463667">
              <w:t xml:space="preserve"> </w:t>
            </w:r>
            <w:r>
              <w:rPr>
                <w:u w:val="single"/>
              </w:rPr>
              <w:t>Other B</w:t>
            </w:r>
            <w:r w:rsidRPr="00463667">
              <w:rPr>
                <w:u w:val="single"/>
              </w:rPr>
              <w:t>ipolar Disorder Value Set</w:t>
            </w:r>
            <w:r w:rsidRPr="00463667">
              <w:t>.</w:t>
            </w:r>
          </w:p>
          <w:p w14:paraId="266A5C7F" w14:textId="77777777" w:rsidR="00B852BD" w:rsidRPr="00463667" w:rsidRDefault="00B852BD" w:rsidP="00F578E0">
            <w:pPr>
              <w:pStyle w:val="Dash"/>
            </w:pPr>
            <w:r w:rsidRPr="00463667">
              <w:rPr>
                <w:u w:val="single"/>
              </w:rPr>
              <w:t>ED Value Set</w:t>
            </w:r>
            <w:r w:rsidRPr="00463667">
              <w:t xml:space="preserve"> </w:t>
            </w:r>
            <w:r w:rsidRPr="00463667">
              <w:rPr>
                <w:b/>
                <w:i/>
              </w:rPr>
              <w:t>with</w:t>
            </w:r>
            <w:r w:rsidRPr="00463667">
              <w:t xml:space="preserve"> </w:t>
            </w:r>
            <w:r w:rsidRPr="00463667">
              <w:rPr>
                <w:u w:val="single"/>
              </w:rPr>
              <w:t>Bipolar Disorder Value Set</w:t>
            </w:r>
            <w:r w:rsidRPr="00463667">
              <w:t>.</w:t>
            </w:r>
          </w:p>
          <w:p w14:paraId="299592E0" w14:textId="5DDA2A00" w:rsidR="00E519AD" w:rsidRPr="00463667" w:rsidRDefault="00E519AD" w:rsidP="00E519AD">
            <w:pPr>
              <w:pStyle w:val="Dash"/>
            </w:pPr>
            <w:r w:rsidRPr="00463667">
              <w:rPr>
                <w:u w:val="single"/>
              </w:rPr>
              <w:t>ED Value Set</w:t>
            </w:r>
            <w:r w:rsidRPr="00463667">
              <w:t xml:space="preserve"> </w:t>
            </w:r>
            <w:r w:rsidRPr="00463667">
              <w:rPr>
                <w:b/>
                <w:i/>
              </w:rPr>
              <w:t>with</w:t>
            </w:r>
            <w:r w:rsidRPr="00463667">
              <w:t xml:space="preserve"> </w:t>
            </w:r>
            <w:r>
              <w:rPr>
                <w:u w:val="single"/>
              </w:rPr>
              <w:t>Other B</w:t>
            </w:r>
            <w:r w:rsidRPr="00463667">
              <w:rPr>
                <w:u w:val="single"/>
              </w:rPr>
              <w:t>ipolar Disorder Value Set</w:t>
            </w:r>
            <w:r w:rsidRPr="00463667">
              <w:t>.</w:t>
            </w:r>
          </w:p>
          <w:p w14:paraId="596B4E20" w14:textId="77777777" w:rsidR="00B852BD" w:rsidRPr="00463667" w:rsidRDefault="00B852BD" w:rsidP="00F578E0">
            <w:pPr>
              <w:pStyle w:val="Dash"/>
            </w:pPr>
            <w:r w:rsidRPr="00463667">
              <w:rPr>
                <w:u w:val="single"/>
              </w:rPr>
              <w:t>BH ED Value Set</w:t>
            </w:r>
            <w:r w:rsidRPr="00463667">
              <w:t xml:space="preserve"> </w:t>
            </w:r>
            <w:r w:rsidRPr="00463667">
              <w:rPr>
                <w:b/>
                <w:i/>
              </w:rPr>
              <w:t>with</w:t>
            </w:r>
            <w:r w:rsidRPr="00463667">
              <w:t xml:space="preserve"> </w:t>
            </w:r>
            <w:r w:rsidRPr="00463667">
              <w:rPr>
                <w:u w:val="single"/>
              </w:rPr>
              <w:t>BH ED POS Value Set</w:t>
            </w:r>
            <w:r w:rsidRPr="00463667">
              <w:t xml:space="preserve"> </w:t>
            </w:r>
            <w:r w:rsidRPr="00463667">
              <w:rPr>
                <w:b/>
                <w:i/>
              </w:rPr>
              <w:t>and</w:t>
            </w:r>
            <w:r w:rsidRPr="00463667">
              <w:t xml:space="preserve"> </w:t>
            </w:r>
            <w:r w:rsidRPr="00463667">
              <w:rPr>
                <w:u w:val="single"/>
              </w:rPr>
              <w:t>Bipolar Disorder Value Set</w:t>
            </w:r>
            <w:r w:rsidRPr="00463667">
              <w:t>.</w:t>
            </w:r>
          </w:p>
          <w:p w14:paraId="6E9A15EE" w14:textId="7663A355" w:rsidR="00E519AD" w:rsidRPr="00463667" w:rsidRDefault="00E519AD" w:rsidP="00E519AD">
            <w:pPr>
              <w:pStyle w:val="Dash"/>
            </w:pPr>
            <w:r w:rsidRPr="00463667">
              <w:rPr>
                <w:u w:val="single"/>
              </w:rPr>
              <w:t>BH ED Value Set</w:t>
            </w:r>
            <w:r w:rsidRPr="00463667">
              <w:t xml:space="preserve"> </w:t>
            </w:r>
            <w:r w:rsidRPr="00463667">
              <w:rPr>
                <w:b/>
                <w:i/>
              </w:rPr>
              <w:t>with</w:t>
            </w:r>
            <w:r w:rsidRPr="00463667">
              <w:t xml:space="preserve"> </w:t>
            </w:r>
            <w:r w:rsidRPr="00463667">
              <w:rPr>
                <w:u w:val="single"/>
              </w:rPr>
              <w:t>BH ED POS Value Set</w:t>
            </w:r>
            <w:r w:rsidRPr="00463667">
              <w:t xml:space="preserve"> </w:t>
            </w:r>
            <w:r w:rsidRPr="00463667">
              <w:rPr>
                <w:b/>
                <w:i/>
              </w:rPr>
              <w:t>and</w:t>
            </w:r>
            <w:r w:rsidRPr="00463667">
              <w:t xml:space="preserve"> </w:t>
            </w:r>
            <w:r>
              <w:rPr>
                <w:u w:val="single"/>
              </w:rPr>
              <w:t>Other B</w:t>
            </w:r>
            <w:r w:rsidRPr="00463667">
              <w:rPr>
                <w:u w:val="single"/>
              </w:rPr>
              <w:t>ipolar Disorder Value Set</w:t>
            </w:r>
            <w:r w:rsidRPr="00463667">
              <w:t>.</w:t>
            </w:r>
          </w:p>
          <w:p w14:paraId="04A1013D" w14:textId="77777777" w:rsidR="00B852BD" w:rsidRPr="00463667" w:rsidRDefault="00B852BD" w:rsidP="00F578E0">
            <w:pPr>
              <w:pStyle w:val="Dash"/>
            </w:pPr>
            <w:r w:rsidRPr="00463667">
              <w:rPr>
                <w:u w:val="single"/>
              </w:rPr>
              <w:t>BH Stand Alone Nonacute Inpatient Value Set</w:t>
            </w:r>
            <w:r w:rsidRPr="00463667">
              <w:t xml:space="preserve"> </w:t>
            </w:r>
            <w:r w:rsidRPr="00463667">
              <w:rPr>
                <w:b/>
                <w:i/>
              </w:rPr>
              <w:t>with</w:t>
            </w:r>
            <w:r w:rsidRPr="00463667">
              <w:t xml:space="preserve"> </w:t>
            </w:r>
            <w:r w:rsidRPr="00463667">
              <w:rPr>
                <w:u w:val="single"/>
              </w:rPr>
              <w:t>Bipolar Disorder Value Set</w:t>
            </w:r>
            <w:r w:rsidRPr="00463667">
              <w:t>.</w:t>
            </w:r>
          </w:p>
          <w:p w14:paraId="64DBC907" w14:textId="6DE25680" w:rsidR="00E519AD" w:rsidRPr="00463667" w:rsidRDefault="00E519AD" w:rsidP="00E519AD">
            <w:pPr>
              <w:pStyle w:val="Dash"/>
            </w:pPr>
            <w:r w:rsidRPr="00463667">
              <w:rPr>
                <w:u w:val="single"/>
              </w:rPr>
              <w:t>BH Stand Alone Nonacute Inpatient Value Set</w:t>
            </w:r>
            <w:r w:rsidRPr="00463667">
              <w:t xml:space="preserve"> </w:t>
            </w:r>
            <w:r w:rsidRPr="00463667">
              <w:rPr>
                <w:b/>
                <w:i/>
              </w:rPr>
              <w:t>with</w:t>
            </w:r>
            <w:r w:rsidRPr="00463667">
              <w:t xml:space="preserve"> </w:t>
            </w:r>
            <w:r>
              <w:rPr>
                <w:u w:val="single"/>
              </w:rPr>
              <w:t>Other B</w:t>
            </w:r>
            <w:r w:rsidRPr="00463667">
              <w:rPr>
                <w:u w:val="single"/>
              </w:rPr>
              <w:t>ipolar Disorder Value Set</w:t>
            </w:r>
            <w:r w:rsidRPr="00463667">
              <w:t>.</w:t>
            </w:r>
          </w:p>
          <w:p w14:paraId="42CC9602" w14:textId="77777777" w:rsidR="00B852BD" w:rsidRDefault="00B852BD" w:rsidP="00F578E0">
            <w:pPr>
              <w:pStyle w:val="Dash"/>
            </w:pPr>
            <w:r w:rsidRPr="00463667">
              <w:rPr>
                <w:u w:val="single"/>
              </w:rPr>
              <w:t>BH Nonacute Inpatient Value Set</w:t>
            </w:r>
            <w:r w:rsidRPr="00463667">
              <w:t xml:space="preserve"> </w:t>
            </w:r>
            <w:r w:rsidRPr="00463667">
              <w:rPr>
                <w:b/>
                <w:i/>
              </w:rPr>
              <w:t>with</w:t>
            </w:r>
            <w:r w:rsidRPr="00463667">
              <w:t xml:space="preserve"> </w:t>
            </w:r>
            <w:r w:rsidRPr="00463667">
              <w:rPr>
                <w:u w:val="single"/>
              </w:rPr>
              <w:t>BH Nonacute Inpatient POS Value Set</w:t>
            </w:r>
            <w:r w:rsidRPr="00463667">
              <w:t xml:space="preserve"> </w:t>
            </w:r>
            <w:r w:rsidRPr="00463667">
              <w:rPr>
                <w:b/>
                <w:i/>
              </w:rPr>
              <w:t>and</w:t>
            </w:r>
            <w:r w:rsidRPr="00463667">
              <w:t xml:space="preserve"> </w:t>
            </w:r>
            <w:r w:rsidRPr="00463667">
              <w:rPr>
                <w:u w:val="single"/>
              </w:rPr>
              <w:t>Bipolar Disorder Value Set</w:t>
            </w:r>
            <w:r w:rsidRPr="00463667">
              <w:t>.</w:t>
            </w:r>
          </w:p>
          <w:p w14:paraId="2FB92BF2" w14:textId="488516B5" w:rsidR="00E519AD" w:rsidRPr="00463667" w:rsidRDefault="00E519AD" w:rsidP="00F578E0">
            <w:pPr>
              <w:pStyle w:val="Dash"/>
            </w:pPr>
            <w:r w:rsidRPr="00463667">
              <w:rPr>
                <w:u w:val="single"/>
              </w:rPr>
              <w:t>BH Nonacute Inpatient Value Set</w:t>
            </w:r>
            <w:r w:rsidRPr="00463667">
              <w:t xml:space="preserve"> </w:t>
            </w:r>
            <w:r w:rsidRPr="00463667">
              <w:rPr>
                <w:b/>
                <w:i/>
              </w:rPr>
              <w:t>with</w:t>
            </w:r>
            <w:r w:rsidRPr="00463667">
              <w:t xml:space="preserve"> </w:t>
            </w:r>
            <w:r w:rsidRPr="00463667">
              <w:rPr>
                <w:u w:val="single"/>
              </w:rPr>
              <w:t>BH Nonacute Inpatient POS Value Set</w:t>
            </w:r>
            <w:r w:rsidRPr="00463667">
              <w:t xml:space="preserve"> </w:t>
            </w:r>
            <w:r w:rsidRPr="00463667">
              <w:rPr>
                <w:b/>
                <w:i/>
              </w:rPr>
              <w:t>and</w:t>
            </w:r>
            <w:r w:rsidRPr="00463667">
              <w:t xml:space="preserve"> </w:t>
            </w:r>
            <w:r>
              <w:rPr>
                <w:u w:val="single"/>
              </w:rPr>
              <w:t>Other B</w:t>
            </w:r>
            <w:r w:rsidRPr="00463667">
              <w:rPr>
                <w:u w:val="single"/>
              </w:rPr>
              <w:t>ipolar Disorder Value Set</w:t>
            </w:r>
            <w:r w:rsidRPr="00463667">
              <w:t>.</w:t>
            </w:r>
          </w:p>
        </w:tc>
      </w:tr>
      <w:tr w:rsidR="00B852BD" w:rsidRPr="00463667" w14:paraId="202D44C7" w14:textId="77777777" w:rsidTr="004E5025">
        <w:trPr>
          <w:gridAfter w:val="1"/>
          <w:wAfter w:w="18" w:type="dxa"/>
        </w:trPr>
        <w:tc>
          <w:tcPr>
            <w:tcW w:w="1620" w:type="dxa"/>
          </w:tcPr>
          <w:p w14:paraId="06D03C8B" w14:textId="77777777" w:rsidR="00B852BD" w:rsidRPr="00463667" w:rsidRDefault="00B852BD" w:rsidP="00F578E0">
            <w:pPr>
              <w:pStyle w:val="MarginSubhead"/>
              <w:jc w:val="right"/>
              <w:rPr>
                <w:i/>
              </w:rPr>
            </w:pPr>
            <w:r w:rsidRPr="00463667">
              <w:rPr>
                <w:i/>
              </w:rPr>
              <w:t>Step 2: Required exclusions</w:t>
            </w:r>
          </w:p>
        </w:tc>
        <w:tc>
          <w:tcPr>
            <w:tcW w:w="8172" w:type="dxa"/>
          </w:tcPr>
          <w:p w14:paraId="7DAF4356" w14:textId="77777777" w:rsidR="00B852BD" w:rsidRPr="00463667" w:rsidRDefault="00B852BD" w:rsidP="00F578E0">
            <w:pPr>
              <w:pStyle w:val="ProcessBullet"/>
              <w:numPr>
                <w:ilvl w:val="0"/>
                <w:numId w:val="0"/>
              </w:numPr>
              <w:spacing w:before="180"/>
              <w:rPr>
                <w:rFonts w:cs="Arial"/>
                <w:szCs w:val="20"/>
              </w:rPr>
            </w:pPr>
            <w:r w:rsidRPr="00463667">
              <w:rPr>
                <w:rFonts w:cs="Arial"/>
                <w:szCs w:val="20"/>
              </w:rPr>
              <w:t>Exclude members who met any of the following criteria:</w:t>
            </w:r>
          </w:p>
          <w:p w14:paraId="47B725D7" w14:textId="1C4AB9B5" w:rsidR="00B852BD" w:rsidRPr="00463667" w:rsidRDefault="00B852BD" w:rsidP="00B852BD">
            <w:pPr>
              <w:pStyle w:val="Bullet"/>
            </w:pPr>
            <w:r w:rsidRPr="00463667">
              <w:t xml:space="preserve">Members with diabetes. There are two ways to identify members with diabetes: </w:t>
            </w:r>
            <w:r w:rsidR="00B44B50">
              <w:br/>
            </w:r>
            <w:r w:rsidRPr="00463667">
              <w:t>by claim/encounter data and by pharmacy data. The organization must use both methods to identify members with diabetes, but a member need only be identified by one method to be excluded from the measure. Members may be identified as having diabetes during the measurement year or the year prior to the measurement year.</w:t>
            </w:r>
          </w:p>
          <w:p w14:paraId="58337CA6" w14:textId="77777777" w:rsidR="00C2000A" w:rsidRDefault="00B852BD" w:rsidP="00C2000A">
            <w:pPr>
              <w:pStyle w:val="Dash"/>
              <w:rPr>
                <w:i/>
              </w:rPr>
            </w:pPr>
            <w:r w:rsidRPr="00463667">
              <w:rPr>
                <w:i/>
              </w:rPr>
              <w:t xml:space="preserve">Claim/encounter data. </w:t>
            </w:r>
            <w:r w:rsidRPr="00463667">
              <w:t>Members who met at any of the following criteria during the measurement year or the year prior to the measurement year (count services that occur over both years).</w:t>
            </w:r>
            <w:r w:rsidRPr="00463667">
              <w:rPr>
                <w:i/>
              </w:rPr>
              <w:t xml:space="preserve"> </w:t>
            </w:r>
          </w:p>
          <w:p w14:paraId="0A23F2FB" w14:textId="2D1CAABC" w:rsidR="00B852BD" w:rsidRPr="00463667" w:rsidRDefault="00B852BD" w:rsidP="004E5025">
            <w:pPr>
              <w:pStyle w:val="Bullet"/>
              <w:numPr>
                <w:ilvl w:val="1"/>
                <w:numId w:val="13"/>
              </w:numPr>
              <w:tabs>
                <w:tab w:val="clear" w:pos="1800"/>
              </w:tabs>
              <w:spacing w:before="30"/>
              <w:ind w:left="972" w:hanging="180"/>
            </w:pPr>
            <w:r w:rsidRPr="00C2000A">
              <w:t>At least two outpatient visits (</w:t>
            </w:r>
            <w:r w:rsidRPr="00C2000A">
              <w:rPr>
                <w:u w:val="single"/>
              </w:rPr>
              <w:t>Outpatient Value Set</w:t>
            </w:r>
            <w:r w:rsidRPr="00C2000A">
              <w:t>), observation visits (</w:t>
            </w:r>
            <w:r w:rsidRPr="00C2000A">
              <w:rPr>
                <w:u w:val="single"/>
              </w:rPr>
              <w:t>Observation Value Set</w:t>
            </w:r>
            <w:r w:rsidRPr="00C2000A">
              <w:t>), ED visits (</w:t>
            </w:r>
            <w:r w:rsidRPr="00C2000A">
              <w:rPr>
                <w:u w:val="single"/>
              </w:rPr>
              <w:t>ED Value Set</w:t>
            </w:r>
            <w:r w:rsidRPr="00C2000A">
              <w:t>) or nonacute inpatient encounters (</w:t>
            </w:r>
            <w:r w:rsidRPr="00C2000A">
              <w:rPr>
                <w:u w:val="single"/>
              </w:rPr>
              <w:t>Nonacute Inpatient Value Set</w:t>
            </w:r>
            <w:r w:rsidRPr="00C2000A">
              <w:t>) on different dates of service, with a diagnosis of diabetes (</w:t>
            </w:r>
            <w:r w:rsidRPr="00C2000A">
              <w:rPr>
                <w:u w:val="single"/>
              </w:rPr>
              <w:t>Diabetes Value Set</w:t>
            </w:r>
            <w:r w:rsidRPr="00C2000A">
              <w:t>). Visit type need not be the same for the two visits.</w:t>
            </w:r>
          </w:p>
        </w:tc>
      </w:tr>
    </w:tbl>
    <w:p w14:paraId="19B5194A" w14:textId="77777777" w:rsidR="004E5025" w:rsidRDefault="004E5025">
      <w:pPr>
        <w:sectPr w:rsidR="004E5025" w:rsidSect="007527F3">
          <w:headerReference w:type="even" r:id="rId62"/>
          <w:pgSz w:w="12240" w:h="15840" w:code="1"/>
          <w:pgMar w:top="1080" w:right="1080" w:bottom="1080" w:left="1440" w:header="720" w:footer="720" w:gutter="0"/>
          <w:cols w:space="720"/>
          <w:docGrid w:linePitch="299"/>
        </w:sectPr>
      </w:pPr>
    </w:p>
    <w:tbl>
      <w:tblPr>
        <w:tblW w:w="9810" w:type="dxa"/>
        <w:tblInd w:w="18" w:type="dxa"/>
        <w:tblLayout w:type="fixed"/>
        <w:tblLook w:val="0000" w:firstRow="0" w:lastRow="0" w:firstColumn="0" w:lastColumn="0" w:noHBand="0" w:noVBand="0"/>
      </w:tblPr>
      <w:tblGrid>
        <w:gridCol w:w="1620"/>
        <w:gridCol w:w="8190"/>
      </w:tblGrid>
      <w:tr w:rsidR="00B852BD" w:rsidRPr="00463667" w14:paraId="1DA5679B" w14:textId="77777777" w:rsidTr="004E5025">
        <w:tc>
          <w:tcPr>
            <w:tcW w:w="1620" w:type="dxa"/>
          </w:tcPr>
          <w:p w14:paraId="35DF37CE" w14:textId="77777777" w:rsidR="00B852BD" w:rsidRPr="00463667" w:rsidRDefault="00B852BD" w:rsidP="00F578E0">
            <w:pPr>
              <w:pStyle w:val="MarginSubhead"/>
              <w:jc w:val="right"/>
              <w:rPr>
                <w:i/>
              </w:rPr>
            </w:pPr>
          </w:p>
        </w:tc>
        <w:tc>
          <w:tcPr>
            <w:tcW w:w="8190" w:type="dxa"/>
          </w:tcPr>
          <w:p w14:paraId="5BF4A88D" w14:textId="77777777" w:rsidR="004E5025" w:rsidRPr="00463667" w:rsidRDefault="004E5025" w:rsidP="004E5025">
            <w:pPr>
              <w:pStyle w:val="Bullet"/>
              <w:numPr>
                <w:ilvl w:val="1"/>
                <w:numId w:val="13"/>
              </w:numPr>
              <w:tabs>
                <w:tab w:val="clear" w:pos="1800"/>
              </w:tabs>
              <w:spacing w:before="0"/>
              <w:ind w:left="972" w:hanging="180"/>
            </w:pPr>
            <w:r w:rsidRPr="00463667">
              <w:t>At least one acute inpatient encounter (</w:t>
            </w:r>
            <w:r w:rsidRPr="00463667">
              <w:rPr>
                <w:u w:val="single"/>
              </w:rPr>
              <w:t>Acute Inpatient Value Set</w:t>
            </w:r>
            <w:r w:rsidRPr="00463667">
              <w:t>) with a diagnosis of diabetes (</w:t>
            </w:r>
            <w:r w:rsidRPr="00463667">
              <w:rPr>
                <w:u w:val="single"/>
              </w:rPr>
              <w:t>Diabetes Value Set</w:t>
            </w:r>
            <w:r w:rsidRPr="00463667">
              <w:t>).</w:t>
            </w:r>
          </w:p>
          <w:p w14:paraId="6D5004AA" w14:textId="53F3053C" w:rsidR="004E5025" w:rsidRPr="004E5025" w:rsidRDefault="004E5025" w:rsidP="004E5025">
            <w:pPr>
              <w:pStyle w:val="Bullet"/>
              <w:spacing w:before="0"/>
              <w:rPr>
                <w:bCs/>
              </w:rPr>
            </w:pPr>
            <w:r w:rsidRPr="00463667">
              <w:rPr>
                <w:i/>
              </w:rPr>
              <w:t xml:space="preserve">Pharmacy data. </w:t>
            </w:r>
            <w:r w:rsidRPr="00463667">
              <w:t>Members who were dispensed insulin or oral hypoglycemics/ antihyperglycemics during the measurement year or year prior to the measurement year on an ambulatory basis (Table CDC-A).</w:t>
            </w:r>
          </w:p>
          <w:p w14:paraId="4F6CB446" w14:textId="7B2369A0" w:rsidR="00B852BD" w:rsidRPr="00463667" w:rsidRDefault="00B852BD" w:rsidP="00B852BD">
            <w:pPr>
              <w:pStyle w:val="Bullet"/>
              <w:spacing w:before="0"/>
              <w:rPr>
                <w:bCs/>
              </w:rPr>
            </w:pPr>
            <w:r w:rsidRPr="00463667">
              <w:t>Members who had no antipsychotic medications dispensed during the measurement year. There are two ways to identify dispensing events: by claim/</w:t>
            </w:r>
            <w:r w:rsidR="00B44B50">
              <w:t xml:space="preserve"> </w:t>
            </w:r>
            <w:r w:rsidRPr="00463667">
              <w:t>encounter data and by pharmacy data. The organization must use both methods to identify dispensing events, but an event need only be identified by one method to be counted.</w:t>
            </w:r>
          </w:p>
          <w:p w14:paraId="184CC47D" w14:textId="77777777" w:rsidR="00B852BD" w:rsidRPr="00463667" w:rsidRDefault="00B852BD" w:rsidP="00F578E0">
            <w:pPr>
              <w:pStyle w:val="Dash"/>
            </w:pPr>
            <w:r w:rsidRPr="00463667">
              <w:rPr>
                <w:i/>
              </w:rPr>
              <w:t>Claim/encounter data</w:t>
            </w:r>
            <w:r w:rsidRPr="00463667">
              <w:t>. An antipsychotic medication (</w:t>
            </w:r>
            <w:r w:rsidRPr="00463667">
              <w:rPr>
                <w:u w:val="single"/>
              </w:rPr>
              <w:t>Long-Acting Injections Value Set</w:t>
            </w:r>
            <w:r w:rsidRPr="00463667">
              <w:t>).</w:t>
            </w:r>
          </w:p>
          <w:p w14:paraId="541AA7D5" w14:textId="77777777" w:rsidR="00B852BD" w:rsidRPr="00463667" w:rsidRDefault="00B852BD" w:rsidP="00F578E0">
            <w:pPr>
              <w:pStyle w:val="Dash"/>
              <w:rPr>
                <w:rFonts w:cs="Arial"/>
                <w:szCs w:val="20"/>
              </w:rPr>
            </w:pPr>
            <w:r w:rsidRPr="00463667">
              <w:rPr>
                <w:i/>
              </w:rPr>
              <w:t>Pharmacy data</w:t>
            </w:r>
            <w:r w:rsidRPr="00463667">
              <w:t>. Dispensed an antipsychotic medication (Table SSD-D) on an ambulatory basis.</w:t>
            </w:r>
          </w:p>
        </w:tc>
      </w:tr>
    </w:tbl>
    <w:p w14:paraId="6D8454E3" w14:textId="77777777" w:rsidR="00B852BD" w:rsidRPr="00463667" w:rsidRDefault="00B852BD" w:rsidP="00B53721">
      <w:pPr>
        <w:pStyle w:val="TableHeadNotCondensed"/>
      </w:pPr>
      <w:r w:rsidRPr="00463667">
        <w:t>Table SSD-D: Antipsychotic Medications</w:t>
      </w:r>
    </w:p>
    <w:tbl>
      <w:tblPr>
        <w:tblW w:w="7812"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00"/>
        <w:gridCol w:w="2322"/>
        <w:gridCol w:w="2070"/>
        <w:gridCol w:w="1620"/>
      </w:tblGrid>
      <w:tr w:rsidR="00B852BD" w:rsidRPr="00463667" w14:paraId="4D5074B9" w14:textId="77777777" w:rsidTr="00CD2231">
        <w:trPr>
          <w:cantSplit/>
        </w:trPr>
        <w:tc>
          <w:tcPr>
            <w:tcW w:w="1800" w:type="dxa"/>
            <w:tcBorders>
              <w:top w:val="single" w:sz="6" w:space="0" w:color="auto"/>
              <w:left w:val="single" w:sz="4" w:space="0" w:color="auto"/>
              <w:right w:val="single" w:sz="6" w:space="0" w:color="FFFFFF"/>
            </w:tcBorders>
            <w:shd w:val="clear" w:color="auto" w:fill="000000"/>
          </w:tcPr>
          <w:p w14:paraId="08B96F6C" w14:textId="77777777" w:rsidR="00B852BD" w:rsidRPr="00463667" w:rsidRDefault="00B852BD" w:rsidP="00F578E0">
            <w:pPr>
              <w:pStyle w:val="TableHead"/>
              <w:rPr>
                <w:color w:val="auto"/>
              </w:rPr>
            </w:pPr>
            <w:r w:rsidRPr="00463667">
              <w:rPr>
                <w:color w:val="auto"/>
              </w:rPr>
              <w:t>Description</w:t>
            </w:r>
          </w:p>
        </w:tc>
        <w:tc>
          <w:tcPr>
            <w:tcW w:w="6012" w:type="dxa"/>
            <w:gridSpan w:val="3"/>
            <w:tcBorders>
              <w:top w:val="single" w:sz="6" w:space="0" w:color="auto"/>
              <w:left w:val="single" w:sz="6" w:space="0" w:color="FFFFFF"/>
              <w:bottom w:val="single" w:sz="6" w:space="0" w:color="auto"/>
              <w:right w:val="single" w:sz="4" w:space="0" w:color="auto"/>
            </w:tcBorders>
            <w:shd w:val="clear" w:color="auto" w:fill="000000"/>
          </w:tcPr>
          <w:p w14:paraId="4CF42586" w14:textId="77777777" w:rsidR="00B852BD" w:rsidRPr="00463667" w:rsidRDefault="00B852BD" w:rsidP="00F578E0">
            <w:pPr>
              <w:pStyle w:val="TableHead"/>
              <w:rPr>
                <w:color w:val="auto"/>
              </w:rPr>
            </w:pPr>
            <w:r w:rsidRPr="00463667">
              <w:rPr>
                <w:color w:val="auto"/>
              </w:rPr>
              <w:t>Prescription</w:t>
            </w:r>
          </w:p>
        </w:tc>
      </w:tr>
      <w:tr w:rsidR="00B852BD" w:rsidRPr="00463667" w14:paraId="59C11836" w14:textId="77777777" w:rsidTr="00CD2231">
        <w:trPr>
          <w:cantSplit/>
        </w:trPr>
        <w:tc>
          <w:tcPr>
            <w:tcW w:w="1800" w:type="dxa"/>
            <w:tcBorders>
              <w:top w:val="single" w:sz="6" w:space="0" w:color="auto"/>
              <w:left w:val="single" w:sz="4" w:space="0" w:color="auto"/>
              <w:bottom w:val="single" w:sz="6" w:space="0" w:color="auto"/>
              <w:right w:val="single" w:sz="6" w:space="0" w:color="auto"/>
            </w:tcBorders>
          </w:tcPr>
          <w:p w14:paraId="229ABE64" w14:textId="77777777" w:rsidR="00B852BD" w:rsidRPr="00463667" w:rsidRDefault="00B852BD" w:rsidP="00F578E0">
            <w:pPr>
              <w:pStyle w:val="TableText"/>
            </w:pPr>
            <w:r w:rsidRPr="00463667">
              <w:t>Miscellaneous antipsychotic agents</w:t>
            </w:r>
          </w:p>
        </w:tc>
        <w:tc>
          <w:tcPr>
            <w:tcW w:w="2322" w:type="dxa"/>
            <w:tcBorders>
              <w:top w:val="single" w:sz="6" w:space="0" w:color="auto"/>
              <w:left w:val="single" w:sz="6" w:space="0" w:color="auto"/>
              <w:bottom w:val="single" w:sz="6" w:space="0" w:color="auto"/>
              <w:right w:val="nil"/>
            </w:tcBorders>
          </w:tcPr>
          <w:p w14:paraId="2586CC5C" w14:textId="77777777" w:rsidR="00B852BD" w:rsidRPr="00463667" w:rsidRDefault="00B852BD" w:rsidP="00B852BD">
            <w:pPr>
              <w:pStyle w:val="TableBullet"/>
            </w:pPr>
            <w:r w:rsidRPr="00463667">
              <w:t>Aripiprazole</w:t>
            </w:r>
          </w:p>
          <w:p w14:paraId="3F5AAA95" w14:textId="77777777" w:rsidR="00B852BD" w:rsidRPr="00463667" w:rsidRDefault="00B852BD" w:rsidP="00B852BD">
            <w:pPr>
              <w:pStyle w:val="TableBullet"/>
            </w:pPr>
            <w:r w:rsidRPr="00463667">
              <w:t>Asenapine</w:t>
            </w:r>
          </w:p>
          <w:p w14:paraId="144EE2B5" w14:textId="77777777" w:rsidR="00B852BD" w:rsidRPr="00463667" w:rsidRDefault="00B852BD" w:rsidP="00B852BD">
            <w:pPr>
              <w:pStyle w:val="TableBullet"/>
            </w:pPr>
            <w:r w:rsidRPr="00463667">
              <w:t>Clozapine</w:t>
            </w:r>
          </w:p>
          <w:p w14:paraId="315C05A8" w14:textId="77777777" w:rsidR="00B852BD" w:rsidRPr="00463667" w:rsidRDefault="00B852BD" w:rsidP="00B852BD">
            <w:pPr>
              <w:pStyle w:val="TableBullet"/>
            </w:pPr>
            <w:r w:rsidRPr="00463667">
              <w:t>Haloperidol</w:t>
            </w:r>
          </w:p>
          <w:p w14:paraId="3251D7F2" w14:textId="77777777" w:rsidR="00B852BD" w:rsidRPr="00463667" w:rsidRDefault="00B852BD" w:rsidP="00B852BD">
            <w:pPr>
              <w:pStyle w:val="TableBullet"/>
            </w:pPr>
            <w:r w:rsidRPr="00463667">
              <w:t>Iloperidone</w:t>
            </w:r>
          </w:p>
          <w:p w14:paraId="08D6378F" w14:textId="77777777" w:rsidR="00B852BD" w:rsidRPr="00463667" w:rsidRDefault="00B852BD" w:rsidP="00B852BD">
            <w:pPr>
              <w:pStyle w:val="TableBullet"/>
            </w:pPr>
            <w:r w:rsidRPr="00463667">
              <w:t>Loxapine</w:t>
            </w:r>
          </w:p>
        </w:tc>
        <w:tc>
          <w:tcPr>
            <w:tcW w:w="2070" w:type="dxa"/>
            <w:tcBorders>
              <w:top w:val="single" w:sz="6" w:space="0" w:color="auto"/>
              <w:left w:val="nil"/>
              <w:bottom w:val="single" w:sz="6" w:space="0" w:color="auto"/>
              <w:right w:val="nil"/>
            </w:tcBorders>
          </w:tcPr>
          <w:p w14:paraId="1D1E17DB" w14:textId="77777777" w:rsidR="00B852BD" w:rsidRPr="00463667" w:rsidRDefault="00B852BD" w:rsidP="00B852BD">
            <w:pPr>
              <w:pStyle w:val="TableBullet"/>
            </w:pPr>
            <w:r w:rsidRPr="00463667">
              <w:t>Lurisadone</w:t>
            </w:r>
          </w:p>
          <w:p w14:paraId="2685FB29" w14:textId="77777777" w:rsidR="00B852BD" w:rsidRPr="00463667" w:rsidRDefault="00B852BD" w:rsidP="00B852BD">
            <w:pPr>
              <w:pStyle w:val="TableBullet"/>
            </w:pPr>
            <w:r w:rsidRPr="00463667">
              <w:t>Molindone</w:t>
            </w:r>
          </w:p>
          <w:p w14:paraId="7D011C1F" w14:textId="77777777" w:rsidR="00B852BD" w:rsidRPr="00463667" w:rsidRDefault="00B852BD" w:rsidP="00B852BD">
            <w:pPr>
              <w:pStyle w:val="TableBullet"/>
            </w:pPr>
            <w:r w:rsidRPr="00463667">
              <w:t>Olanzapine</w:t>
            </w:r>
          </w:p>
          <w:p w14:paraId="2EA0D55D" w14:textId="77777777" w:rsidR="00B852BD" w:rsidRPr="00463667" w:rsidRDefault="00B852BD" w:rsidP="00B852BD">
            <w:pPr>
              <w:pStyle w:val="TableBullet"/>
            </w:pPr>
            <w:r w:rsidRPr="00463667">
              <w:t>Paliperidone</w:t>
            </w:r>
          </w:p>
          <w:p w14:paraId="6B260D40" w14:textId="77777777" w:rsidR="00B852BD" w:rsidRPr="00463667" w:rsidRDefault="00B852BD" w:rsidP="00B852BD">
            <w:pPr>
              <w:pStyle w:val="TableBullet"/>
            </w:pPr>
            <w:r w:rsidRPr="00463667">
              <w:t>Pimozide</w:t>
            </w:r>
          </w:p>
          <w:p w14:paraId="2DD7407E" w14:textId="77777777" w:rsidR="00B852BD" w:rsidRPr="00463667" w:rsidRDefault="00B852BD" w:rsidP="00B852BD">
            <w:pPr>
              <w:pStyle w:val="TableBullet"/>
            </w:pPr>
            <w:r w:rsidRPr="00463667">
              <w:t>Quetiapine</w:t>
            </w:r>
          </w:p>
        </w:tc>
        <w:tc>
          <w:tcPr>
            <w:tcW w:w="1620" w:type="dxa"/>
            <w:tcBorders>
              <w:top w:val="single" w:sz="6" w:space="0" w:color="auto"/>
              <w:left w:val="nil"/>
              <w:bottom w:val="single" w:sz="6" w:space="0" w:color="auto"/>
              <w:right w:val="single" w:sz="4" w:space="0" w:color="auto"/>
            </w:tcBorders>
          </w:tcPr>
          <w:p w14:paraId="35D1FF82" w14:textId="77777777" w:rsidR="00B852BD" w:rsidRPr="00463667" w:rsidRDefault="00B852BD" w:rsidP="00B852BD">
            <w:pPr>
              <w:pStyle w:val="TableBullet"/>
            </w:pPr>
            <w:r w:rsidRPr="00463667">
              <w:t>Quetiapine fumarate</w:t>
            </w:r>
          </w:p>
          <w:p w14:paraId="544400FB" w14:textId="77777777" w:rsidR="00B852BD" w:rsidRPr="00463667" w:rsidRDefault="00B852BD" w:rsidP="00B852BD">
            <w:pPr>
              <w:pStyle w:val="TableBullet"/>
            </w:pPr>
            <w:r w:rsidRPr="00463667">
              <w:t>Risperidone</w:t>
            </w:r>
          </w:p>
          <w:p w14:paraId="4FE68675" w14:textId="77777777" w:rsidR="00B852BD" w:rsidRPr="00463667" w:rsidRDefault="00B852BD" w:rsidP="00B852BD">
            <w:pPr>
              <w:pStyle w:val="TableBullet"/>
            </w:pPr>
            <w:r w:rsidRPr="00463667">
              <w:t>Ziprasidone</w:t>
            </w:r>
          </w:p>
        </w:tc>
      </w:tr>
      <w:tr w:rsidR="00B852BD" w:rsidRPr="00463667" w14:paraId="2E6CB078" w14:textId="77777777" w:rsidTr="00CD2231">
        <w:trPr>
          <w:cantSplit/>
        </w:trPr>
        <w:tc>
          <w:tcPr>
            <w:tcW w:w="1800" w:type="dxa"/>
            <w:tcBorders>
              <w:top w:val="single" w:sz="6" w:space="0" w:color="auto"/>
              <w:left w:val="single" w:sz="4" w:space="0" w:color="auto"/>
              <w:bottom w:val="single" w:sz="6" w:space="0" w:color="auto"/>
              <w:right w:val="single" w:sz="6" w:space="0" w:color="auto"/>
            </w:tcBorders>
            <w:shd w:val="clear" w:color="auto" w:fill="D9D9D9" w:themeFill="background1" w:themeFillShade="D9"/>
          </w:tcPr>
          <w:p w14:paraId="5FCAA40F" w14:textId="77777777" w:rsidR="00B852BD" w:rsidRPr="00463667" w:rsidRDefault="00B852BD" w:rsidP="00F578E0">
            <w:pPr>
              <w:pStyle w:val="TableText"/>
            </w:pPr>
            <w:r w:rsidRPr="00463667">
              <w:t>Phenothiazine antipsychotics</w:t>
            </w:r>
          </w:p>
        </w:tc>
        <w:tc>
          <w:tcPr>
            <w:tcW w:w="2322" w:type="dxa"/>
            <w:tcBorders>
              <w:top w:val="single" w:sz="6" w:space="0" w:color="auto"/>
              <w:left w:val="single" w:sz="6" w:space="0" w:color="auto"/>
              <w:bottom w:val="single" w:sz="6" w:space="0" w:color="auto"/>
              <w:right w:val="nil"/>
            </w:tcBorders>
            <w:shd w:val="clear" w:color="auto" w:fill="D9D9D9" w:themeFill="background1" w:themeFillShade="D9"/>
          </w:tcPr>
          <w:p w14:paraId="7C04C87C" w14:textId="77777777" w:rsidR="00B852BD" w:rsidRPr="00463667" w:rsidRDefault="00B852BD" w:rsidP="00B852BD">
            <w:pPr>
              <w:pStyle w:val="TableBullet"/>
            </w:pPr>
            <w:r w:rsidRPr="00463667">
              <w:t>Chlorpromazine</w:t>
            </w:r>
          </w:p>
          <w:p w14:paraId="5E8C329C" w14:textId="77777777" w:rsidR="00B852BD" w:rsidRPr="00463667" w:rsidRDefault="00B852BD" w:rsidP="00B852BD">
            <w:pPr>
              <w:pStyle w:val="TableBullet"/>
            </w:pPr>
            <w:r w:rsidRPr="00463667">
              <w:t>Fluphenazine</w:t>
            </w:r>
          </w:p>
          <w:p w14:paraId="437E645C" w14:textId="77777777" w:rsidR="00B852BD" w:rsidRPr="00463667" w:rsidRDefault="00B852BD" w:rsidP="00B852BD">
            <w:pPr>
              <w:pStyle w:val="TableBullet"/>
            </w:pPr>
            <w:r w:rsidRPr="00463667">
              <w:t>Perphenazine</w:t>
            </w:r>
          </w:p>
        </w:tc>
        <w:tc>
          <w:tcPr>
            <w:tcW w:w="2070" w:type="dxa"/>
            <w:tcBorders>
              <w:top w:val="single" w:sz="6" w:space="0" w:color="auto"/>
              <w:left w:val="nil"/>
              <w:bottom w:val="single" w:sz="6" w:space="0" w:color="auto"/>
              <w:right w:val="nil"/>
            </w:tcBorders>
            <w:shd w:val="clear" w:color="auto" w:fill="D9D9D9" w:themeFill="background1" w:themeFillShade="D9"/>
          </w:tcPr>
          <w:p w14:paraId="62DD0785" w14:textId="77777777" w:rsidR="00B852BD" w:rsidRPr="00463667" w:rsidRDefault="00B852BD" w:rsidP="00B852BD">
            <w:pPr>
              <w:pStyle w:val="TableBullet"/>
            </w:pPr>
            <w:r w:rsidRPr="00463667">
              <w:t>Perphenazine-amitriptyline</w:t>
            </w:r>
          </w:p>
          <w:p w14:paraId="54765AF2" w14:textId="77777777" w:rsidR="00B852BD" w:rsidRPr="00463667" w:rsidRDefault="00B852BD" w:rsidP="00B852BD">
            <w:pPr>
              <w:pStyle w:val="TableBullet"/>
            </w:pPr>
            <w:r w:rsidRPr="00463667">
              <w:t>Prochlorperazine</w:t>
            </w:r>
          </w:p>
        </w:tc>
        <w:tc>
          <w:tcPr>
            <w:tcW w:w="1620" w:type="dxa"/>
            <w:tcBorders>
              <w:top w:val="single" w:sz="6" w:space="0" w:color="auto"/>
              <w:left w:val="nil"/>
              <w:bottom w:val="single" w:sz="6" w:space="0" w:color="auto"/>
              <w:right w:val="single" w:sz="4" w:space="0" w:color="auto"/>
            </w:tcBorders>
            <w:shd w:val="clear" w:color="auto" w:fill="D9D9D9" w:themeFill="background1" w:themeFillShade="D9"/>
          </w:tcPr>
          <w:p w14:paraId="5B8BE9C0" w14:textId="77777777" w:rsidR="00B852BD" w:rsidRPr="00463667" w:rsidRDefault="00B852BD" w:rsidP="00B852BD">
            <w:pPr>
              <w:pStyle w:val="TableBullet"/>
            </w:pPr>
            <w:r w:rsidRPr="00463667">
              <w:t>Thioridazine</w:t>
            </w:r>
          </w:p>
          <w:p w14:paraId="219363E9" w14:textId="77777777" w:rsidR="00B852BD" w:rsidRPr="00463667" w:rsidRDefault="00B852BD" w:rsidP="00B852BD">
            <w:pPr>
              <w:pStyle w:val="TableBullet"/>
            </w:pPr>
            <w:r w:rsidRPr="00463667">
              <w:t>Trifluoperazine</w:t>
            </w:r>
          </w:p>
        </w:tc>
      </w:tr>
      <w:tr w:rsidR="00B852BD" w:rsidRPr="00463667" w14:paraId="09442B8F" w14:textId="77777777" w:rsidTr="00CD2231">
        <w:trPr>
          <w:cantSplit/>
        </w:trPr>
        <w:tc>
          <w:tcPr>
            <w:tcW w:w="1800" w:type="dxa"/>
            <w:tcBorders>
              <w:top w:val="single" w:sz="6" w:space="0" w:color="auto"/>
              <w:left w:val="single" w:sz="4" w:space="0" w:color="auto"/>
              <w:bottom w:val="single" w:sz="6" w:space="0" w:color="auto"/>
              <w:right w:val="single" w:sz="6" w:space="0" w:color="auto"/>
            </w:tcBorders>
          </w:tcPr>
          <w:p w14:paraId="1ABAC8BB" w14:textId="77777777" w:rsidR="00B852BD" w:rsidRPr="00463667" w:rsidRDefault="00B852BD" w:rsidP="00F578E0">
            <w:pPr>
              <w:pStyle w:val="TableText"/>
            </w:pPr>
            <w:r w:rsidRPr="00463667">
              <w:t>Psychotherapeutic combinations</w:t>
            </w:r>
          </w:p>
        </w:tc>
        <w:tc>
          <w:tcPr>
            <w:tcW w:w="2322" w:type="dxa"/>
            <w:tcBorders>
              <w:top w:val="single" w:sz="6" w:space="0" w:color="auto"/>
              <w:left w:val="single" w:sz="6" w:space="0" w:color="auto"/>
              <w:bottom w:val="single" w:sz="6" w:space="0" w:color="auto"/>
              <w:right w:val="nil"/>
            </w:tcBorders>
          </w:tcPr>
          <w:p w14:paraId="0AB37F4F" w14:textId="77777777" w:rsidR="00B852BD" w:rsidRPr="00463667" w:rsidRDefault="00B852BD" w:rsidP="00B852BD">
            <w:pPr>
              <w:pStyle w:val="TableBullet"/>
            </w:pPr>
            <w:r w:rsidRPr="00463667">
              <w:t>Fluoxetine-olanzapine</w:t>
            </w:r>
          </w:p>
        </w:tc>
        <w:tc>
          <w:tcPr>
            <w:tcW w:w="2070" w:type="dxa"/>
            <w:tcBorders>
              <w:top w:val="single" w:sz="6" w:space="0" w:color="auto"/>
              <w:left w:val="nil"/>
              <w:bottom w:val="single" w:sz="6" w:space="0" w:color="auto"/>
              <w:right w:val="nil"/>
            </w:tcBorders>
          </w:tcPr>
          <w:p w14:paraId="2327B738" w14:textId="77777777" w:rsidR="00B852BD" w:rsidRPr="00463667" w:rsidRDefault="00B852BD" w:rsidP="004E5025">
            <w:pPr>
              <w:pStyle w:val="TableText"/>
            </w:pPr>
          </w:p>
        </w:tc>
        <w:tc>
          <w:tcPr>
            <w:tcW w:w="1620" w:type="dxa"/>
            <w:tcBorders>
              <w:top w:val="single" w:sz="6" w:space="0" w:color="auto"/>
              <w:left w:val="nil"/>
              <w:bottom w:val="single" w:sz="6" w:space="0" w:color="auto"/>
              <w:right w:val="single" w:sz="4" w:space="0" w:color="auto"/>
            </w:tcBorders>
          </w:tcPr>
          <w:p w14:paraId="45AC97B1" w14:textId="77777777" w:rsidR="00B852BD" w:rsidRPr="00463667" w:rsidRDefault="00B852BD" w:rsidP="004E5025">
            <w:pPr>
              <w:pStyle w:val="TableText"/>
            </w:pPr>
          </w:p>
        </w:tc>
      </w:tr>
      <w:tr w:rsidR="00B852BD" w:rsidRPr="00463667" w14:paraId="1056C8CC" w14:textId="77777777" w:rsidTr="00CD2231">
        <w:trPr>
          <w:cantSplit/>
        </w:trPr>
        <w:tc>
          <w:tcPr>
            <w:tcW w:w="1800" w:type="dxa"/>
            <w:tcBorders>
              <w:top w:val="single" w:sz="6" w:space="0" w:color="auto"/>
              <w:left w:val="single" w:sz="4" w:space="0" w:color="auto"/>
              <w:bottom w:val="single" w:sz="6" w:space="0" w:color="auto"/>
              <w:right w:val="single" w:sz="6" w:space="0" w:color="auto"/>
            </w:tcBorders>
            <w:shd w:val="clear" w:color="auto" w:fill="D9D9D9" w:themeFill="background1" w:themeFillShade="D9"/>
          </w:tcPr>
          <w:p w14:paraId="1747C0A7" w14:textId="77777777" w:rsidR="00B852BD" w:rsidRPr="00463667" w:rsidRDefault="00B852BD" w:rsidP="00F578E0">
            <w:pPr>
              <w:pStyle w:val="TableText"/>
            </w:pPr>
            <w:r w:rsidRPr="00463667">
              <w:t>Thioxanthenes</w:t>
            </w:r>
          </w:p>
        </w:tc>
        <w:tc>
          <w:tcPr>
            <w:tcW w:w="2322" w:type="dxa"/>
            <w:tcBorders>
              <w:top w:val="single" w:sz="6" w:space="0" w:color="auto"/>
              <w:left w:val="single" w:sz="6" w:space="0" w:color="auto"/>
              <w:bottom w:val="single" w:sz="6" w:space="0" w:color="auto"/>
              <w:right w:val="nil"/>
            </w:tcBorders>
            <w:shd w:val="clear" w:color="auto" w:fill="D9D9D9" w:themeFill="background1" w:themeFillShade="D9"/>
          </w:tcPr>
          <w:p w14:paraId="36B686E2" w14:textId="77777777" w:rsidR="00B852BD" w:rsidRPr="00463667" w:rsidRDefault="00B852BD" w:rsidP="00B852BD">
            <w:pPr>
              <w:pStyle w:val="TableBullet"/>
            </w:pPr>
            <w:r w:rsidRPr="00463667">
              <w:t>Thiothixene</w:t>
            </w:r>
          </w:p>
        </w:tc>
        <w:tc>
          <w:tcPr>
            <w:tcW w:w="2070" w:type="dxa"/>
            <w:tcBorders>
              <w:top w:val="single" w:sz="6" w:space="0" w:color="auto"/>
              <w:left w:val="nil"/>
              <w:bottom w:val="single" w:sz="6" w:space="0" w:color="auto"/>
              <w:right w:val="nil"/>
            </w:tcBorders>
            <w:shd w:val="clear" w:color="auto" w:fill="D9D9D9" w:themeFill="background1" w:themeFillShade="D9"/>
          </w:tcPr>
          <w:p w14:paraId="13615922" w14:textId="77777777" w:rsidR="00B852BD" w:rsidRPr="00463667" w:rsidRDefault="00B852BD" w:rsidP="004E5025">
            <w:pPr>
              <w:pStyle w:val="TableText"/>
            </w:pPr>
          </w:p>
        </w:tc>
        <w:tc>
          <w:tcPr>
            <w:tcW w:w="1620" w:type="dxa"/>
            <w:tcBorders>
              <w:top w:val="single" w:sz="6" w:space="0" w:color="auto"/>
              <w:left w:val="nil"/>
              <w:bottom w:val="single" w:sz="6" w:space="0" w:color="auto"/>
              <w:right w:val="single" w:sz="4" w:space="0" w:color="auto"/>
            </w:tcBorders>
            <w:shd w:val="clear" w:color="auto" w:fill="D9D9D9" w:themeFill="background1" w:themeFillShade="D9"/>
          </w:tcPr>
          <w:p w14:paraId="18A51657" w14:textId="77777777" w:rsidR="00B852BD" w:rsidRPr="00463667" w:rsidRDefault="00B852BD" w:rsidP="004E5025">
            <w:pPr>
              <w:pStyle w:val="TableText"/>
            </w:pPr>
          </w:p>
        </w:tc>
      </w:tr>
      <w:tr w:rsidR="00B852BD" w:rsidRPr="00463667" w14:paraId="570753CD" w14:textId="77777777" w:rsidTr="00CD2231">
        <w:trPr>
          <w:cantSplit/>
        </w:trPr>
        <w:tc>
          <w:tcPr>
            <w:tcW w:w="1800" w:type="dxa"/>
            <w:tcBorders>
              <w:top w:val="single" w:sz="6" w:space="0" w:color="auto"/>
              <w:left w:val="single" w:sz="4" w:space="0" w:color="auto"/>
              <w:right w:val="single" w:sz="6" w:space="0" w:color="auto"/>
            </w:tcBorders>
          </w:tcPr>
          <w:p w14:paraId="6C61EEA2" w14:textId="77777777" w:rsidR="00B852BD" w:rsidRPr="00463667" w:rsidRDefault="00B852BD" w:rsidP="00F578E0">
            <w:pPr>
              <w:pStyle w:val="TableText"/>
            </w:pPr>
            <w:r w:rsidRPr="00463667">
              <w:t>Long-acting injections</w:t>
            </w:r>
          </w:p>
        </w:tc>
        <w:tc>
          <w:tcPr>
            <w:tcW w:w="2322" w:type="dxa"/>
            <w:tcBorders>
              <w:top w:val="single" w:sz="6" w:space="0" w:color="auto"/>
              <w:left w:val="single" w:sz="6" w:space="0" w:color="auto"/>
              <w:bottom w:val="single" w:sz="4" w:space="0" w:color="auto"/>
              <w:right w:val="nil"/>
            </w:tcBorders>
          </w:tcPr>
          <w:p w14:paraId="040CA35C" w14:textId="77777777" w:rsidR="00B852BD" w:rsidRPr="00463667" w:rsidRDefault="00B852BD" w:rsidP="00B852BD">
            <w:pPr>
              <w:pStyle w:val="TableBullet"/>
            </w:pPr>
            <w:r w:rsidRPr="00463667">
              <w:rPr>
                <w:szCs w:val="20"/>
              </w:rPr>
              <w:t>Aripiprazole</w:t>
            </w:r>
          </w:p>
          <w:p w14:paraId="73E3A01D" w14:textId="77777777" w:rsidR="00B852BD" w:rsidRPr="00463667" w:rsidRDefault="00B852BD" w:rsidP="00B852BD">
            <w:pPr>
              <w:pStyle w:val="TableBullet"/>
            </w:pPr>
            <w:r w:rsidRPr="00463667">
              <w:t>Fluphenazine decanoate</w:t>
            </w:r>
          </w:p>
          <w:p w14:paraId="7E82725D" w14:textId="77777777" w:rsidR="00B852BD" w:rsidRPr="00463667" w:rsidRDefault="00B852BD" w:rsidP="00B852BD">
            <w:pPr>
              <w:pStyle w:val="TableBullet"/>
            </w:pPr>
            <w:r w:rsidRPr="00463667">
              <w:t>Haloperidol decanoate</w:t>
            </w:r>
          </w:p>
        </w:tc>
        <w:tc>
          <w:tcPr>
            <w:tcW w:w="2070" w:type="dxa"/>
            <w:tcBorders>
              <w:top w:val="single" w:sz="6" w:space="0" w:color="auto"/>
              <w:left w:val="nil"/>
              <w:bottom w:val="single" w:sz="4" w:space="0" w:color="auto"/>
              <w:right w:val="nil"/>
            </w:tcBorders>
          </w:tcPr>
          <w:p w14:paraId="6D6A6779" w14:textId="77777777" w:rsidR="00B852BD" w:rsidRPr="00463667" w:rsidRDefault="00B852BD" w:rsidP="00B852BD">
            <w:pPr>
              <w:pStyle w:val="TableBullet"/>
            </w:pPr>
            <w:r w:rsidRPr="00463667">
              <w:t>Olanzapine</w:t>
            </w:r>
          </w:p>
          <w:p w14:paraId="6D949865" w14:textId="77777777" w:rsidR="00B852BD" w:rsidRDefault="00B852BD" w:rsidP="00B852BD">
            <w:pPr>
              <w:pStyle w:val="TableBullet"/>
            </w:pPr>
            <w:r w:rsidRPr="00463667">
              <w:t>Paliperidone palmitate</w:t>
            </w:r>
          </w:p>
          <w:p w14:paraId="26107961" w14:textId="6F5E8128" w:rsidR="006740AA" w:rsidRPr="00463667" w:rsidRDefault="006740AA" w:rsidP="00B852BD">
            <w:pPr>
              <w:pStyle w:val="TableBullet"/>
            </w:pPr>
            <w:r w:rsidRPr="00463667">
              <w:t>Risperidone</w:t>
            </w:r>
          </w:p>
        </w:tc>
        <w:tc>
          <w:tcPr>
            <w:tcW w:w="1620" w:type="dxa"/>
            <w:tcBorders>
              <w:top w:val="single" w:sz="6" w:space="0" w:color="auto"/>
              <w:left w:val="nil"/>
              <w:bottom w:val="single" w:sz="4" w:space="0" w:color="auto"/>
              <w:right w:val="single" w:sz="4" w:space="0" w:color="auto"/>
            </w:tcBorders>
          </w:tcPr>
          <w:p w14:paraId="610D51C8" w14:textId="754B934A" w:rsidR="00B852BD" w:rsidRPr="00463667" w:rsidRDefault="00B852BD" w:rsidP="006740AA">
            <w:pPr>
              <w:pStyle w:val="TableText"/>
            </w:pPr>
          </w:p>
        </w:tc>
      </w:tr>
    </w:tbl>
    <w:p w14:paraId="4F26B9C3" w14:textId="3CDE6DE4" w:rsidR="00B852BD" w:rsidRPr="00463667" w:rsidRDefault="00B852BD" w:rsidP="00B852BD">
      <w:pPr>
        <w:pStyle w:val="Note"/>
        <w:rPr>
          <w:szCs w:val="20"/>
        </w:rPr>
      </w:pPr>
      <w:r w:rsidRPr="00463667">
        <w:rPr>
          <w:rFonts w:cs="Arial"/>
          <w:b/>
          <w:bCs/>
          <w:szCs w:val="20"/>
        </w:rPr>
        <w:t xml:space="preserve">Note: </w:t>
      </w:r>
      <w:r w:rsidRPr="00463667">
        <w:rPr>
          <w:szCs w:val="20"/>
        </w:rPr>
        <w:t xml:space="preserve">NCQA will post a comprehensive list of medications and NDC codes to www.ncqa.org </w:t>
      </w:r>
      <w:r w:rsidRPr="00463667">
        <w:rPr>
          <w:szCs w:val="20"/>
        </w:rPr>
        <w:br/>
        <w:t xml:space="preserve">by November </w:t>
      </w:r>
      <w:r w:rsidR="00D0464F">
        <w:rPr>
          <w:szCs w:val="20"/>
        </w:rPr>
        <w:t>2</w:t>
      </w:r>
      <w:r w:rsidRPr="00463667">
        <w:rPr>
          <w:szCs w:val="20"/>
        </w:rPr>
        <w:t xml:space="preserve">, </w:t>
      </w:r>
      <w:r w:rsidR="00D0464F">
        <w:rPr>
          <w:szCs w:val="20"/>
        </w:rPr>
        <w:t>2015</w:t>
      </w:r>
      <w:r w:rsidRPr="00463667">
        <w:rPr>
          <w:szCs w:val="20"/>
        </w:rPr>
        <w:t>.</w:t>
      </w:r>
    </w:p>
    <w:p w14:paraId="1BB142F6" w14:textId="77777777" w:rsidR="00B852BD" w:rsidRPr="00463667" w:rsidRDefault="00B852BD" w:rsidP="00B53721">
      <w:pPr>
        <w:pStyle w:val="ReverseHead"/>
      </w:pPr>
      <w:r w:rsidRPr="00463667">
        <w:t>Administrative Specification</w:t>
      </w:r>
    </w:p>
    <w:tbl>
      <w:tblPr>
        <w:tblW w:w="9810" w:type="dxa"/>
        <w:tblInd w:w="18" w:type="dxa"/>
        <w:tblLayout w:type="fixed"/>
        <w:tblLook w:val="0000" w:firstRow="0" w:lastRow="0" w:firstColumn="0" w:lastColumn="0" w:noHBand="0" w:noVBand="0"/>
      </w:tblPr>
      <w:tblGrid>
        <w:gridCol w:w="1890"/>
        <w:gridCol w:w="7920"/>
      </w:tblGrid>
      <w:tr w:rsidR="00B852BD" w:rsidRPr="00463667" w14:paraId="4D45D560" w14:textId="77777777" w:rsidTr="00B44B50">
        <w:tc>
          <w:tcPr>
            <w:tcW w:w="1890" w:type="dxa"/>
          </w:tcPr>
          <w:p w14:paraId="7A629807" w14:textId="77777777" w:rsidR="00B852BD" w:rsidRPr="00463667" w:rsidRDefault="00B852BD" w:rsidP="00F578E0">
            <w:pPr>
              <w:pStyle w:val="MarginSubhead"/>
            </w:pPr>
            <w:r w:rsidRPr="00463667">
              <w:t>Denominator</w:t>
            </w:r>
          </w:p>
        </w:tc>
        <w:tc>
          <w:tcPr>
            <w:tcW w:w="7920" w:type="dxa"/>
          </w:tcPr>
          <w:p w14:paraId="336F3B61" w14:textId="77777777" w:rsidR="00B852BD" w:rsidRPr="00463667" w:rsidRDefault="00B852BD" w:rsidP="00F578E0">
            <w:pPr>
              <w:pStyle w:val="Body"/>
            </w:pPr>
            <w:r w:rsidRPr="00463667">
              <w:t xml:space="preserve">The eligible population. </w:t>
            </w:r>
          </w:p>
        </w:tc>
      </w:tr>
      <w:tr w:rsidR="00B852BD" w:rsidRPr="00463667" w14:paraId="0C43BEEA" w14:textId="77777777" w:rsidTr="00B44B50">
        <w:tc>
          <w:tcPr>
            <w:tcW w:w="1890" w:type="dxa"/>
          </w:tcPr>
          <w:p w14:paraId="0B179540" w14:textId="77777777" w:rsidR="00B852BD" w:rsidRPr="00463667" w:rsidRDefault="00B852BD" w:rsidP="00F578E0">
            <w:pPr>
              <w:pStyle w:val="MarginSubhead"/>
            </w:pPr>
            <w:r w:rsidRPr="00463667">
              <w:t>Numerator</w:t>
            </w:r>
          </w:p>
        </w:tc>
        <w:tc>
          <w:tcPr>
            <w:tcW w:w="7920" w:type="dxa"/>
          </w:tcPr>
          <w:p w14:paraId="22C575C5" w14:textId="77777777" w:rsidR="00B852BD" w:rsidRPr="00463667" w:rsidRDefault="00B852BD" w:rsidP="00F578E0">
            <w:pPr>
              <w:pStyle w:val="Body"/>
            </w:pPr>
          </w:p>
        </w:tc>
      </w:tr>
      <w:tr w:rsidR="00B852BD" w:rsidRPr="00463667" w14:paraId="2E49D2FF" w14:textId="77777777" w:rsidTr="00B44B50">
        <w:tc>
          <w:tcPr>
            <w:tcW w:w="1890" w:type="dxa"/>
          </w:tcPr>
          <w:p w14:paraId="1DFFE144" w14:textId="77777777" w:rsidR="00B852BD" w:rsidRPr="00463667" w:rsidRDefault="00B852BD" w:rsidP="00F578E0">
            <w:pPr>
              <w:pStyle w:val="MarginSubhead"/>
              <w:jc w:val="right"/>
              <w:rPr>
                <w:i/>
              </w:rPr>
            </w:pPr>
            <w:r w:rsidRPr="00463667">
              <w:rPr>
                <w:i/>
              </w:rPr>
              <w:t>Diabetes Screening</w:t>
            </w:r>
          </w:p>
        </w:tc>
        <w:tc>
          <w:tcPr>
            <w:tcW w:w="7920" w:type="dxa"/>
          </w:tcPr>
          <w:p w14:paraId="7C71A166" w14:textId="77777777" w:rsidR="00B852BD" w:rsidRPr="00463667" w:rsidRDefault="00B852BD" w:rsidP="00F578E0">
            <w:pPr>
              <w:pStyle w:val="Body"/>
            </w:pPr>
            <w:r w:rsidRPr="00463667">
              <w:t>A glucose test (</w:t>
            </w:r>
            <w:r w:rsidRPr="00463667">
              <w:rPr>
                <w:u w:val="single"/>
              </w:rPr>
              <w:t>Glucose Tests Value Set</w:t>
            </w:r>
            <w:r w:rsidRPr="00463667">
              <w:t>) or an HbA1c test (</w:t>
            </w:r>
            <w:r w:rsidRPr="00463667">
              <w:rPr>
                <w:u w:val="single"/>
              </w:rPr>
              <w:t>HbA1c Tests Value Set</w:t>
            </w:r>
            <w:r w:rsidRPr="00463667">
              <w:t>) performed during the measurement year, as identified by claim/encounter or automated laboratory data.</w:t>
            </w:r>
          </w:p>
        </w:tc>
      </w:tr>
    </w:tbl>
    <w:p w14:paraId="61304DBC" w14:textId="77777777" w:rsidR="00B852BD" w:rsidRPr="00463667" w:rsidRDefault="00B852BD" w:rsidP="00B852BD">
      <w:pPr>
        <w:sectPr w:rsidR="00B852BD" w:rsidRPr="00463667" w:rsidSect="007527F3">
          <w:pgSz w:w="12240" w:h="15840" w:code="1"/>
          <w:pgMar w:top="1080" w:right="1080" w:bottom="1080" w:left="1440" w:header="720" w:footer="720" w:gutter="0"/>
          <w:cols w:space="720"/>
          <w:docGrid w:linePitch="299"/>
        </w:sectPr>
      </w:pPr>
    </w:p>
    <w:p w14:paraId="152321FB" w14:textId="77777777" w:rsidR="00B852BD" w:rsidRPr="00463667" w:rsidRDefault="00B852BD" w:rsidP="00B53721">
      <w:pPr>
        <w:pStyle w:val="ReverseHead"/>
        <w:spacing w:before="0"/>
      </w:pPr>
      <w:r w:rsidRPr="00463667">
        <w:lastRenderedPageBreak/>
        <w:t xml:space="preserve">Data Elements for Reporting </w:t>
      </w:r>
    </w:p>
    <w:p w14:paraId="7FDB573F" w14:textId="77777777" w:rsidR="00B852BD" w:rsidRPr="00463667" w:rsidRDefault="00B852BD" w:rsidP="00B852BD">
      <w:pPr>
        <w:pStyle w:val="Body"/>
      </w:pPr>
      <w:r w:rsidRPr="00463667">
        <w:t>Organizations that submit HEDIS data to NCQA must provide the following data elements.</w:t>
      </w:r>
    </w:p>
    <w:p w14:paraId="1CAF0D84" w14:textId="77777777" w:rsidR="00B852BD" w:rsidRPr="00463667" w:rsidRDefault="00B852BD" w:rsidP="00B53721">
      <w:pPr>
        <w:pStyle w:val="TableHeadNotCondensed"/>
        <w:ind w:left="1440" w:hanging="1440"/>
      </w:pPr>
      <w:r w:rsidRPr="00463667">
        <w:t>Table SSD-1:</w:t>
      </w:r>
      <w:r w:rsidRPr="00463667">
        <w:tab/>
        <w:t xml:space="preserve">Data Elements for Diabetes Screening for People With Schizophrenia or </w:t>
      </w:r>
      <w:r w:rsidRPr="00463667">
        <w:br/>
        <w:t>Bipolar Disorder Who Are Using Antipsychotic Medications</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98"/>
        <w:gridCol w:w="2430"/>
      </w:tblGrid>
      <w:tr w:rsidR="00B852BD" w:rsidRPr="00463667" w14:paraId="4D3637AF" w14:textId="77777777" w:rsidTr="006740AA">
        <w:tc>
          <w:tcPr>
            <w:tcW w:w="3698" w:type="dxa"/>
            <w:tcBorders>
              <w:bottom w:val="single" w:sz="6" w:space="0" w:color="auto"/>
              <w:right w:val="nil"/>
            </w:tcBorders>
            <w:shd w:val="clear" w:color="auto" w:fill="000000"/>
          </w:tcPr>
          <w:p w14:paraId="02A63DB9" w14:textId="77777777" w:rsidR="00B852BD" w:rsidRPr="00463667" w:rsidRDefault="00B852BD" w:rsidP="00F578E0">
            <w:pPr>
              <w:pStyle w:val="TableHead"/>
              <w:rPr>
                <w:color w:val="auto"/>
              </w:rPr>
            </w:pPr>
          </w:p>
        </w:tc>
        <w:tc>
          <w:tcPr>
            <w:tcW w:w="2430" w:type="dxa"/>
            <w:tcBorders>
              <w:left w:val="single" w:sz="6" w:space="0" w:color="FFFFFF"/>
              <w:bottom w:val="single" w:sz="6" w:space="0" w:color="auto"/>
              <w:right w:val="single" w:sz="4" w:space="0" w:color="auto"/>
            </w:tcBorders>
            <w:shd w:val="clear" w:color="auto" w:fill="000000"/>
          </w:tcPr>
          <w:p w14:paraId="3E9AA199" w14:textId="77777777" w:rsidR="00B852BD" w:rsidRPr="00463667" w:rsidRDefault="00B852BD" w:rsidP="00F578E0">
            <w:pPr>
              <w:pStyle w:val="TableHead"/>
              <w:rPr>
                <w:color w:val="auto"/>
              </w:rPr>
            </w:pPr>
            <w:r w:rsidRPr="00463667">
              <w:rPr>
                <w:color w:val="auto"/>
              </w:rPr>
              <w:t>Administrative</w:t>
            </w:r>
          </w:p>
        </w:tc>
      </w:tr>
      <w:tr w:rsidR="00B852BD" w:rsidRPr="00463667" w14:paraId="4078ABAC" w14:textId="77777777" w:rsidTr="006740AA">
        <w:tc>
          <w:tcPr>
            <w:tcW w:w="3698" w:type="dxa"/>
            <w:tcBorders>
              <w:bottom w:val="single" w:sz="6" w:space="0" w:color="auto"/>
            </w:tcBorders>
          </w:tcPr>
          <w:p w14:paraId="340321E5" w14:textId="77777777" w:rsidR="00B852BD" w:rsidRPr="00463667" w:rsidRDefault="00B852BD" w:rsidP="00F578E0">
            <w:pPr>
              <w:pStyle w:val="TableText"/>
            </w:pPr>
            <w:r w:rsidRPr="00463667">
              <w:t>Measurement year</w:t>
            </w:r>
          </w:p>
        </w:tc>
        <w:tc>
          <w:tcPr>
            <w:tcW w:w="2430" w:type="dxa"/>
            <w:tcBorders>
              <w:bottom w:val="single" w:sz="6" w:space="0" w:color="auto"/>
            </w:tcBorders>
            <w:vAlign w:val="center"/>
          </w:tcPr>
          <w:p w14:paraId="7738288D"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6EF482B3" w14:textId="77777777" w:rsidTr="006740AA">
        <w:tc>
          <w:tcPr>
            <w:tcW w:w="3698" w:type="dxa"/>
            <w:shd w:val="clear" w:color="auto" w:fill="D9D9D9"/>
          </w:tcPr>
          <w:p w14:paraId="705EC876" w14:textId="77777777" w:rsidR="00B852BD" w:rsidRPr="00463667" w:rsidRDefault="00B852BD" w:rsidP="00F578E0">
            <w:pPr>
              <w:pStyle w:val="TableText"/>
            </w:pPr>
            <w:r w:rsidRPr="00463667">
              <w:t>Data collection methodology (Administrative)</w:t>
            </w:r>
          </w:p>
        </w:tc>
        <w:tc>
          <w:tcPr>
            <w:tcW w:w="2430" w:type="dxa"/>
            <w:shd w:val="clear" w:color="auto" w:fill="D9D9D9"/>
            <w:vAlign w:val="center"/>
          </w:tcPr>
          <w:p w14:paraId="7F3D550B"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06033532" w14:textId="77777777" w:rsidTr="006740AA">
        <w:tc>
          <w:tcPr>
            <w:tcW w:w="3698" w:type="dxa"/>
          </w:tcPr>
          <w:p w14:paraId="35470909" w14:textId="77777777" w:rsidR="00B852BD" w:rsidRPr="00463667" w:rsidRDefault="00B852BD" w:rsidP="00F578E0">
            <w:pPr>
              <w:pStyle w:val="TableText"/>
            </w:pPr>
            <w:r w:rsidRPr="00463667">
              <w:t xml:space="preserve">Eligible population </w:t>
            </w:r>
          </w:p>
        </w:tc>
        <w:tc>
          <w:tcPr>
            <w:tcW w:w="2430" w:type="dxa"/>
            <w:vAlign w:val="center"/>
          </w:tcPr>
          <w:p w14:paraId="0132696D"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08EFCB6B" w14:textId="77777777" w:rsidTr="006740AA">
        <w:tc>
          <w:tcPr>
            <w:tcW w:w="3698" w:type="dxa"/>
            <w:shd w:val="clear" w:color="auto" w:fill="D9D9D9"/>
          </w:tcPr>
          <w:p w14:paraId="441C744A" w14:textId="77777777" w:rsidR="00B852BD" w:rsidRPr="00463667" w:rsidRDefault="00B852BD" w:rsidP="00F578E0">
            <w:pPr>
              <w:pStyle w:val="TableText"/>
            </w:pPr>
            <w:r w:rsidRPr="00463667">
              <w:t>Number of required exclusions</w:t>
            </w:r>
          </w:p>
        </w:tc>
        <w:tc>
          <w:tcPr>
            <w:tcW w:w="2430" w:type="dxa"/>
            <w:shd w:val="clear" w:color="auto" w:fill="D9D9D9"/>
          </w:tcPr>
          <w:p w14:paraId="12A617E8"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6A333597" w14:textId="77777777" w:rsidTr="006740AA">
        <w:tc>
          <w:tcPr>
            <w:tcW w:w="3698" w:type="dxa"/>
            <w:shd w:val="clear" w:color="auto" w:fill="auto"/>
          </w:tcPr>
          <w:p w14:paraId="725B7AD2" w14:textId="77777777" w:rsidR="00B852BD" w:rsidRPr="00463667" w:rsidRDefault="00B852BD" w:rsidP="00F578E0">
            <w:pPr>
              <w:pStyle w:val="TableText"/>
            </w:pPr>
            <w:r w:rsidRPr="00463667">
              <w:t>Numerator events by administrative data</w:t>
            </w:r>
          </w:p>
        </w:tc>
        <w:tc>
          <w:tcPr>
            <w:tcW w:w="2430" w:type="dxa"/>
            <w:shd w:val="clear" w:color="auto" w:fill="auto"/>
          </w:tcPr>
          <w:p w14:paraId="3A83B7E9" w14:textId="77777777" w:rsidR="00B852BD" w:rsidRPr="00463667" w:rsidRDefault="00B852BD" w:rsidP="00F578E0">
            <w:pPr>
              <w:pStyle w:val="TableText"/>
              <w:jc w:val="center"/>
              <w:rPr>
                <w:i/>
                <w:iCs/>
              </w:rPr>
            </w:pPr>
            <w:r w:rsidRPr="00463667">
              <w:rPr>
                <w:sz w:val="24"/>
              </w:rPr>
              <w:sym w:font="Wingdings" w:char="F0FC"/>
            </w:r>
          </w:p>
        </w:tc>
      </w:tr>
      <w:tr w:rsidR="00EB00B0" w:rsidRPr="00463667" w14:paraId="62A0FE41" w14:textId="77777777" w:rsidTr="006740AA">
        <w:tc>
          <w:tcPr>
            <w:tcW w:w="3698" w:type="dxa"/>
            <w:shd w:val="clear" w:color="auto" w:fill="D9D9D9" w:themeFill="background1" w:themeFillShade="D9"/>
          </w:tcPr>
          <w:p w14:paraId="499BDACA" w14:textId="77777777" w:rsidR="00EB00B0" w:rsidRPr="00463667" w:rsidRDefault="00EB00B0" w:rsidP="00F578E0">
            <w:pPr>
              <w:pStyle w:val="TableText"/>
            </w:pPr>
            <w:r w:rsidRPr="00EB00B0">
              <w:t>Numerator events by supplemental data</w:t>
            </w:r>
          </w:p>
        </w:tc>
        <w:tc>
          <w:tcPr>
            <w:tcW w:w="2430" w:type="dxa"/>
            <w:shd w:val="clear" w:color="auto" w:fill="D9D9D9" w:themeFill="background1" w:themeFillShade="D9"/>
          </w:tcPr>
          <w:p w14:paraId="7B2557AA" w14:textId="77777777" w:rsidR="00EB00B0" w:rsidRPr="00463667" w:rsidRDefault="00EB00B0" w:rsidP="00F578E0">
            <w:pPr>
              <w:pStyle w:val="TableText"/>
              <w:jc w:val="center"/>
              <w:rPr>
                <w:sz w:val="24"/>
              </w:rPr>
            </w:pPr>
            <w:r w:rsidRPr="00463667">
              <w:rPr>
                <w:sz w:val="24"/>
              </w:rPr>
              <w:sym w:font="Wingdings" w:char="F0FC"/>
            </w:r>
          </w:p>
        </w:tc>
      </w:tr>
      <w:tr w:rsidR="00B852BD" w:rsidRPr="00463667" w14:paraId="0321E6F8" w14:textId="77777777" w:rsidTr="006740AA">
        <w:tc>
          <w:tcPr>
            <w:tcW w:w="3698" w:type="dxa"/>
            <w:shd w:val="clear" w:color="auto" w:fill="FFFFFF" w:themeFill="background1"/>
          </w:tcPr>
          <w:p w14:paraId="5546FA39" w14:textId="77777777" w:rsidR="00B852BD" w:rsidRPr="00463667" w:rsidRDefault="00B852BD" w:rsidP="00F578E0">
            <w:pPr>
              <w:pStyle w:val="TableText"/>
            </w:pPr>
            <w:r w:rsidRPr="00463667">
              <w:t>Reported rate</w:t>
            </w:r>
          </w:p>
        </w:tc>
        <w:tc>
          <w:tcPr>
            <w:tcW w:w="2430" w:type="dxa"/>
            <w:shd w:val="clear" w:color="auto" w:fill="FFFFFF" w:themeFill="background1"/>
          </w:tcPr>
          <w:p w14:paraId="1EFA4B27" w14:textId="77777777" w:rsidR="00B852BD" w:rsidRPr="00463667" w:rsidRDefault="00B852BD" w:rsidP="00F578E0">
            <w:pPr>
              <w:pStyle w:val="TableText"/>
              <w:jc w:val="center"/>
              <w:rPr>
                <w:i/>
                <w:iCs/>
              </w:rPr>
            </w:pPr>
            <w:r w:rsidRPr="00463667">
              <w:rPr>
                <w:sz w:val="24"/>
              </w:rPr>
              <w:sym w:font="Wingdings" w:char="F0FC"/>
            </w:r>
          </w:p>
        </w:tc>
      </w:tr>
      <w:tr w:rsidR="00B852BD" w:rsidRPr="00463667" w14:paraId="6CD49C78" w14:textId="77777777" w:rsidTr="006740AA">
        <w:tc>
          <w:tcPr>
            <w:tcW w:w="3698" w:type="dxa"/>
            <w:tcBorders>
              <w:bottom w:val="single" w:sz="6" w:space="0" w:color="auto"/>
            </w:tcBorders>
            <w:shd w:val="clear" w:color="auto" w:fill="D9D9D9" w:themeFill="background1" w:themeFillShade="D9"/>
          </w:tcPr>
          <w:p w14:paraId="46A67CBA" w14:textId="77777777" w:rsidR="00B852BD" w:rsidRPr="00463667" w:rsidRDefault="00B852BD" w:rsidP="00F578E0">
            <w:pPr>
              <w:pStyle w:val="TableText"/>
            </w:pPr>
            <w:r w:rsidRPr="00463667">
              <w:t>Lower 95% confidence interval</w:t>
            </w:r>
          </w:p>
        </w:tc>
        <w:tc>
          <w:tcPr>
            <w:tcW w:w="2430" w:type="dxa"/>
            <w:tcBorders>
              <w:bottom w:val="single" w:sz="6" w:space="0" w:color="auto"/>
            </w:tcBorders>
            <w:shd w:val="clear" w:color="auto" w:fill="D9D9D9" w:themeFill="background1" w:themeFillShade="D9"/>
          </w:tcPr>
          <w:p w14:paraId="7C0BD418" w14:textId="77777777" w:rsidR="00B852BD" w:rsidRPr="00463667" w:rsidRDefault="00B852BD" w:rsidP="00F578E0">
            <w:pPr>
              <w:pStyle w:val="TableText"/>
              <w:jc w:val="center"/>
              <w:rPr>
                <w:i/>
                <w:iCs/>
              </w:rPr>
            </w:pPr>
            <w:r w:rsidRPr="00463667">
              <w:rPr>
                <w:sz w:val="24"/>
              </w:rPr>
              <w:sym w:font="Wingdings" w:char="F0FC"/>
            </w:r>
          </w:p>
        </w:tc>
      </w:tr>
      <w:tr w:rsidR="00B852BD" w:rsidRPr="00463667" w14:paraId="51F014C1" w14:textId="77777777" w:rsidTr="006740AA">
        <w:tc>
          <w:tcPr>
            <w:tcW w:w="3698" w:type="dxa"/>
            <w:tcBorders>
              <w:bottom w:val="single" w:sz="6" w:space="0" w:color="auto"/>
            </w:tcBorders>
            <w:shd w:val="clear" w:color="auto" w:fill="FFFFFF" w:themeFill="background1"/>
          </w:tcPr>
          <w:p w14:paraId="33839C42" w14:textId="77777777" w:rsidR="00B852BD" w:rsidRPr="00463667" w:rsidRDefault="00B852BD" w:rsidP="00F578E0">
            <w:pPr>
              <w:pStyle w:val="TableText"/>
            </w:pPr>
            <w:r w:rsidRPr="00463667">
              <w:t>Upper 95% confidence interval</w:t>
            </w:r>
          </w:p>
        </w:tc>
        <w:tc>
          <w:tcPr>
            <w:tcW w:w="2430" w:type="dxa"/>
            <w:tcBorders>
              <w:bottom w:val="single" w:sz="6" w:space="0" w:color="auto"/>
            </w:tcBorders>
            <w:shd w:val="clear" w:color="auto" w:fill="FFFFFF" w:themeFill="background1"/>
          </w:tcPr>
          <w:p w14:paraId="5B0E62C5" w14:textId="77777777" w:rsidR="00B852BD" w:rsidRPr="00463667" w:rsidRDefault="00B852BD" w:rsidP="00F578E0">
            <w:pPr>
              <w:pStyle w:val="TableText"/>
              <w:jc w:val="center"/>
              <w:rPr>
                <w:i/>
                <w:iCs/>
              </w:rPr>
            </w:pPr>
            <w:r w:rsidRPr="00463667">
              <w:rPr>
                <w:sz w:val="24"/>
              </w:rPr>
              <w:sym w:font="Wingdings" w:char="F0FC"/>
            </w:r>
          </w:p>
        </w:tc>
      </w:tr>
    </w:tbl>
    <w:p w14:paraId="02590D41" w14:textId="77777777" w:rsidR="00B852BD" w:rsidRPr="00463667" w:rsidRDefault="00B852BD" w:rsidP="00B852BD">
      <w:pPr>
        <w:pStyle w:val="Body"/>
        <w:spacing w:before="0"/>
        <w:rPr>
          <w:rFonts w:cs="Arial"/>
          <w:sz w:val="18"/>
          <w:szCs w:val="18"/>
        </w:rPr>
      </w:pPr>
    </w:p>
    <w:p w14:paraId="2D5E21A0" w14:textId="77777777" w:rsidR="00B852BD" w:rsidRPr="00463667" w:rsidRDefault="00B852BD" w:rsidP="00B852BD">
      <w:pPr>
        <w:pStyle w:val="Body"/>
        <w:spacing w:before="0"/>
        <w:rPr>
          <w:rFonts w:cs="Arial"/>
          <w:sz w:val="18"/>
          <w:szCs w:val="18"/>
        </w:rPr>
        <w:sectPr w:rsidR="00B852BD" w:rsidRPr="00463667" w:rsidSect="007527F3">
          <w:pgSz w:w="12240" w:h="15840" w:code="1"/>
          <w:pgMar w:top="1080" w:right="1080" w:bottom="1080" w:left="1440" w:header="720" w:footer="720" w:gutter="0"/>
          <w:cols w:space="720"/>
          <w:docGrid w:linePitch="299"/>
        </w:sectPr>
      </w:pPr>
    </w:p>
    <w:p w14:paraId="0F3CB4A6" w14:textId="77777777" w:rsidR="00B852BD" w:rsidRPr="00463667" w:rsidRDefault="00B852BD" w:rsidP="00B852BD">
      <w:pPr>
        <w:pStyle w:val="Heading2"/>
        <w:rPr>
          <w:rFonts w:cs="Arial"/>
        </w:rPr>
      </w:pPr>
      <w:bookmarkStart w:id="8" w:name="_Toc400546139"/>
      <w:r w:rsidRPr="003F7CDF">
        <w:rPr>
          <w:rFonts w:cs="Arial"/>
          <w:bCs/>
        </w:rPr>
        <w:lastRenderedPageBreak/>
        <w:t>Diabetes Monitoring for People With Diabetes and Schizophrenia (SMD)</w:t>
      </w:r>
      <w:bookmarkEnd w:id="8"/>
      <w:r w:rsidRPr="003F7CDF">
        <w:rPr>
          <w:rFonts w:cs="Arial"/>
          <w:bCs/>
        </w:rPr>
        <w:t xml:space="preserve"> </w:t>
      </w:r>
    </w:p>
    <w:p w14:paraId="26EAED4B" w14:textId="4A858240" w:rsidR="00B852BD" w:rsidRPr="00463667" w:rsidRDefault="00B852BD" w:rsidP="00B53721">
      <w:pPr>
        <w:pStyle w:val="SOC"/>
        <w:rPr>
          <w:i/>
        </w:rPr>
      </w:pPr>
      <w:r w:rsidRPr="00463667">
        <w:t xml:space="preserve">Summary of Changes to HEDIS </w:t>
      </w:r>
      <w:r w:rsidR="00D0464F">
        <w:t>2016</w:t>
      </w:r>
    </w:p>
    <w:p w14:paraId="1D9E1770" w14:textId="77777777" w:rsidR="003979CA" w:rsidRPr="003979CA" w:rsidRDefault="003979CA" w:rsidP="00EB00B0">
      <w:pPr>
        <w:pStyle w:val="ProcessBullet"/>
        <w:rPr>
          <w:i/>
          <w:iCs/>
        </w:rPr>
      </w:pPr>
      <w:r>
        <w:rPr>
          <w:iCs/>
        </w:rPr>
        <w:t>Removed the optional exclusion for polycystic ovaries.</w:t>
      </w:r>
    </w:p>
    <w:p w14:paraId="54F5D836" w14:textId="5693B355" w:rsidR="00EB00B0" w:rsidRPr="00463667" w:rsidRDefault="00EB00B0" w:rsidP="00CD2231">
      <w:pPr>
        <w:pStyle w:val="ProcessBullet"/>
        <w:spacing w:before="60"/>
        <w:rPr>
          <w:i/>
          <w:iCs/>
        </w:rPr>
      </w:pPr>
      <w:r>
        <w:t xml:space="preserve">Added </w:t>
      </w:r>
      <w:r w:rsidR="009F0DF0">
        <w:t>“</w:t>
      </w:r>
      <w:r>
        <w:t>Numerator events by supplemental data</w:t>
      </w:r>
      <w:r w:rsidR="009F0DF0">
        <w:t>”</w:t>
      </w:r>
      <w:r>
        <w:t xml:space="preserve"> to the Data Elements for Reporting table to capture the number of members who met numerator criteria using supplemental data. </w:t>
      </w:r>
    </w:p>
    <w:p w14:paraId="7674761E" w14:textId="77777777" w:rsidR="00B852BD" w:rsidRPr="00463667" w:rsidRDefault="00B852BD" w:rsidP="00B53721">
      <w:pPr>
        <w:pStyle w:val="ReverseHead"/>
      </w:pPr>
      <w:r w:rsidRPr="00463667">
        <w:t>Description</w:t>
      </w:r>
    </w:p>
    <w:p w14:paraId="6CE44951" w14:textId="77777777" w:rsidR="00B852BD" w:rsidRPr="00463667" w:rsidRDefault="00B852BD" w:rsidP="00B852BD">
      <w:pPr>
        <w:pStyle w:val="Body"/>
      </w:pPr>
      <w:r w:rsidRPr="00463667">
        <w:t xml:space="preserve">The percentage of members 18–64 years of age with schizophrenia and diabetes who had both an LDL-C test and an HbA1c test during the measurement year. </w:t>
      </w:r>
    </w:p>
    <w:p w14:paraId="0CDDA256" w14:textId="77777777" w:rsidR="00B852BD" w:rsidRPr="00463667" w:rsidRDefault="00B852BD" w:rsidP="00B53721">
      <w:pPr>
        <w:pStyle w:val="ReverseHead"/>
      </w:pPr>
      <w:r w:rsidRPr="00463667">
        <w:t>Eligible Population</w:t>
      </w:r>
    </w:p>
    <w:tbl>
      <w:tblPr>
        <w:tblW w:w="9810" w:type="dxa"/>
        <w:tblInd w:w="18" w:type="dxa"/>
        <w:tblLook w:val="0000" w:firstRow="0" w:lastRow="0" w:firstColumn="0" w:lastColumn="0" w:noHBand="0" w:noVBand="0"/>
      </w:tblPr>
      <w:tblGrid>
        <w:gridCol w:w="1800"/>
        <w:gridCol w:w="8010"/>
      </w:tblGrid>
      <w:tr w:rsidR="00B852BD" w:rsidRPr="00463667" w14:paraId="242E679B" w14:textId="77777777" w:rsidTr="00F578E0">
        <w:tc>
          <w:tcPr>
            <w:tcW w:w="1800" w:type="dxa"/>
          </w:tcPr>
          <w:p w14:paraId="2DA9851A" w14:textId="77777777" w:rsidR="00B852BD" w:rsidRPr="00463667" w:rsidRDefault="00B852BD" w:rsidP="00F578E0">
            <w:pPr>
              <w:pStyle w:val="MarginSubhead"/>
            </w:pPr>
            <w:r w:rsidRPr="00463667">
              <w:t>Product lines</w:t>
            </w:r>
          </w:p>
        </w:tc>
        <w:tc>
          <w:tcPr>
            <w:tcW w:w="8010" w:type="dxa"/>
          </w:tcPr>
          <w:p w14:paraId="5B63F156" w14:textId="77777777" w:rsidR="00B852BD" w:rsidRPr="00463667" w:rsidRDefault="00B852BD" w:rsidP="00F578E0">
            <w:pPr>
              <w:pStyle w:val="Body"/>
            </w:pPr>
            <w:r w:rsidRPr="00463667">
              <w:t>Medicaid.</w:t>
            </w:r>
          </w:p>
        </w:tc>
      </w:tr>
      <w:tr w:rsidR="00B852BD" w:rsidRPr="00463667" w14:paraId="53B785E6" w14:textId="77777777" w:rsidTr="00F578E0">
        <w:tc>
          <w:tcPr>
            <w:tcW w:w="1800" w:type="dxa"/>
          </w:tcPr>
          <w:p w14:paraId="23496659" w14:textId="77777777" w:rsidR="00B852BD" w:rsidRPr="00463667" w:rsidRDefault="00B852BD" w:rsidP="00F578E0">
            <w:pPr>
              <w:pStyle w:val="MarginSubhead"/>
            </w:pPr>
            <w:r w:rsidRPr="00463667">
              <w:t>Ages</w:t>
            </w:r>
          </w:p>
        </w:tc>
        <w:tc>
          <w:tcPr>
            <w:tcW w:w="8010" w:type="dxa"/>
          </w:tcPr>
          <w:p w14:paraId="51E83148" w14:textId="77777777" w:rsidR="00B852BD" w:rsidRPr="00463667" w:rsidRDefault="00B852BD" w:rsidP="00F578E0">
            <w:pPr>
              <w:pStyle w:val="Body"/>
              <w:rPr>
                <w:bCs/>
              </w:rPr>
            </w:pPr>
            <w:r w:rsidRPr="00463667">
              <w:rPr>
                <w:bCs/>
              </w:rPr>
              <w:t>18–64 years of age as of December 31 of the measurement year.</w:t>
            </w:r>
          </w:p>
        </w:tc>
      </w:tr>
      <w:tr w:rsidR="00B852BD" w:rsidRPr="00463667" w14:paraId="77621126" w14:textId="77777777" w:rsidTr="00F578E0">
        <w:tc>
          <w:tcPr>
            <w:tcW w:w="1800" w:type="dxa"/>
          </w:tcPr>
          <w:p w14:paraId="4298B43A" w14:textId="77777777" w:rsidR="00B852BD" w:rsidRPr="00463667" w:rsidRDefault="00B852BD" w:rsidP="00F578E0">
            <w:pPr>
              <w:pStyle w:val="MarginSubhead"/>
            </w:pPr>
            <w:r w:rsidRPr="00463667">
              <w:t>Continuous enrollment</w:t>
            </w:r>
          </w:p>
        </w:tc>
        <w:tc>
          <w:tcPr>
            <w:tcW w:w="8010" w:type="dxa"/>
          </w:tcPr>
          <w:p w14:paraId="7746EF95" w14:textId="77777777" w:rsidR="00B852BD" w:rsidRPr="00463667" w:rsidRDefault="00B852BD" w:rsidP="00F578E0">
            <w:pPr>
              <w:pStyle w:val="Body"/>
            </w:pPr>
            <w:r w:rsidRPr="00463667">
              <w:t>The measurement year.</w:t>
            </w:r>
          </w:p>
        </w:tc>
      </w:tr>
      <w:tr w:rsidR="00B852BD" w:rsidRPr="00463667" w14:paraId="5EEDF600" w14:textId="77777777" w:rsidTr="00F578E0">
        <w:tc>
          <w:tcPr>
            <w:tcW w:w="1800" w:type="dxa"/>
          </w:tcPr>
          <w:p w14:paraId="0838DFE9" w14:textId="77777777" w:rsidR="00B852BD" w:rsidRPr="00463667" w:rsidRDefault="00B852BD" w:rsidP="00F578E0">
            <w:pPr>
              <w:pStyle w:val="MarginSubhead"/>
            </w:pPr>
            <w:r w:rsidRPr="00463667">
              <w:t>Allowable gap</w:t>
            </w:r>
          </w:p>
        </w:tc>
        <w:tc>
          <w:tcPr>
            <w:tcW w:w="8010" w:type="dxa"/>
          </w:tcPr>
          <w:p w14:paraId="08F29FED" w14:textId="77777777" w:rsidR="00B852BD" w:rsidRPr="00463667" w:rsidRDefault="00B852BD" w:rsidP="00F578E0">
            <w:pPr>
              <w:pStyle w:val="Body"/>
              <w:rPr>
                <w:rFonts w:cs="Arial"/>
              </w:rPr>
            </w:pPr>
            <w:r w:rsidRPr="00463667">
              <w:rPr>
                <w:rFonts w:cs="Arial"/>
                <w:bCs/>
              </w:rPr>
              <w:t>No more than one gap in enrollment of up to 45 days during the measurement year. To determine continuous enrollment for a Medicaid beneficiary for whom enrollment is verified monthly, the member may not have more than a 1-month gap in coverage (i.e., a member whose coverage lapses for 2 months [60 days] is not considered continuously enrolled).</w:t>
            </w:r>
          </w:p>
        </w:tc>
      </w:tr>
      <w:tr w:rsidR="00B852BD" w:rsidRPr="00463667" w14:paraId="3E8FDC1A" w14:textId="77777777" w:rsidTr="00F578E0">
        <w:tc>
          <w:tcPr>
            <w:tcW w:w="1800" w:type="dxa"/>
          </w:tcPr>
          <w:p w14:paraId="6A0352F6" w14:textId="77777777" w:rsidR="00B852BD" w:rsidRPr="00463667" w:rsidRDefault="00B852BD" w:rsidP="00F578E0">
            <w:pPr>
              <w:pStyle w:val="MarginSubhead"/>
            </w:pPr>
            <w:r w:rsidRPr="00463667">
              <w:t>Anchor date</w:t>
            </w:r>
          </w:p>
        </w:tc>
        <w:tc>
          <w:tcPr>
            <w:tcW w:w="8010" w:type="dxa"/>
          </w:tcPr>
          <w:p w14:paraId="1C9295F7" w14:textId="77777777" w:rsidR="00B852BD" w:rsidRPr="00463667" w:rsidRDefault="00B852BD" w:rsidP="00F578E0">
            <w:pPr>
              <w:pStyle w:val="Body"/>
            </w:pPr>
            <w:r w:rsidRPr="00463667">
              <w:t xml:space="preserve">December 31 of the measurement year. </w:t>
            </w:r>
          </w:p>
        </w:tc>
      </w:tr>
      <w:tr w:rsidR="00B852BD" w:rsidRPr="00463667" w14:paraId="4B15272E" w14:textId="77777777" w:rsidTr="00F578E0">
        <w:tc>
          <w:tcPr>
            <w:tcW w:w="1800" w:type="dxa"/>
          </w:tcPr>
          <w:p w14:paraId="2FFBB434" w14:textId="77777777" w:rsidR="00B852BD" w:rsidRPr="00463667" w:rsidRDefault="00B852BD" w:rsidP="00F578E0">
            <w:pPr>
              <w:pStyle w:val="MarginSubhead"/>
            </w:pPr>
            <w:r w:rsidRPr="00463667">
              <w:t>Benefits</w:t>
            </w:r>
          </w:p>
        </w:tc>
        <w:tc>
          <w:tcPr>
            <w:tcW w:w="8010" w:type="dxa"/>
          </w:tcPr>
          <w:p w14:paraId="663CF1CD" w14:textId="77777777" w:rsidR="00B852BD" w:rsidRPr="00463667" w:rsidRDefault="00B852BD" w:rsidP="00F578E0">
            <w:pPr>
              <w:pStyle w:val="Body"/>
            </w:pPr>
            <w:r w:rsidRPr="00463667">
              <w:t>Medical.</w:t>
            </w:r>
          </w:p>
        </w:tc>
      </w:tr>
      <w:tr w:rsidR="00B852BD" w:rsidRPr="00463667" w14:paraId="374A3D74" w14:textId="77777777" w:rsidTr="00F578E0">
        <w:tc>
          <w:tcPr>
            <w:tcW w:w="1800" w:type="dxa"/>
          </w:tcPr>
          <w:p w14:paraId="058CE429" w14:textId="77777777" w:rsidR="00B852BD" w:rsidRPr="00463667" w:rsidRDefault="00B852BD" w:rsidP="00F578E0">
            <w:pPr>
              <w:pStyle w:val="MarginSubhead"/>
            </w:pPr>
            <w:r w:rsidRPr="00463667">
              <w:t>Event/ diagnosis</w:t>
            </w:r>
          </w:p>
        </w:tc>
        <w:tc>
          <w:tcPr>
            <w:tcW w:w="8010" w:type="dxa"/>
          </w:tcPr>
          <w:p w14:paraId="0919A136" w14:textId="77777777" w:rsidR="00B852BD" w:rsidRPr="00463667" w:rsidRDefault="00B852BD" w:rsidP="00F578E0">
            <w:pPr>
              <w:pStyle w:val="Body"/>
              <w:rPr>
                <w:rFonts w:cs="Arial"/>
                <w:bCs/>
              </w:rPr>
            </w:pPr>
            <w:r w:rsidRPr="00463667">
              <w:rPr>
                <w:rFonts w:cs="Arial"/>
                <w:bCs/>
              </w:rPr>
              <w:t>Follow the steps below to identify the eligible population.</w:t>
            </w:r>
          </w:p>
        </w:tc>
      </w:tr>
      <w:tr w:rsidR="00B852BD" w:rsidRPr="00463667" w14:paraId="444E45CF" w14:textId="77777777" w:rsidTr="00F578E0">
        <w:tc>
          <w:tcPr>
            <w:tcW w:w="1800" w:type="dxa"/>
          </w:tcPr>
          <w:p w14:paraId="362464C1" w14:textId="77777777" w:rsidR="00B852BD" w:rsidRPr="00463667" w:rsidRDefault="00B852BD" w:rsidP="00F578E0">
            <w:pPr>
              <w:pStyle w:val="MarginSubhead"/>
              <w:jc w:val="right"/>
              <w:rPr>
                <w:i/>
              </w:rPr>
            </w:pPr>
            <w:r w:rsidRPr="00463667">
              <w:rPr>
                <w:i/>
              </w:rPr>
              <w:t>Step 1</w:t>
            </w:r>
          </w:p>
        </w:tc>
        <w:tc>
          <w:tcPr>
            <w:tcW w:w="8010" w:type="dxa"/>
          </w:tcPr>
          <w:p w14:paraId="2D3A233F" w14:textId="77777777" w:rsidR="00B852BD" w:rsidRPr="00463667" w:rsidRDefault="00B852BD" w:rsidP="00F578E0">
            <w:pPr>
              <w:pStyle w:val="Body"/>
              <w:rPr>
                <w:rFonts w:cs="Arial"/>
                <w:bCs/>
              </w:rPr>
            </w:pPr>
            <w:r w:rsidRPr="00463667">
              <w:rPr>
                <w:rFonts w:cs="Arial"/>
                <w:bCs/>
              </w:rPr>
              <w:t>Identify members with schizophrenia as those who met at least one of the following criteria during the measurement year:</w:t>
            </w:r>
          </w:p>
          <w:p w14:paraId="2A66E747" w14:textId="090D28BE" w:rsidR="00B852BD" w:rsidRPr="00463667" w:rsidRDefault="00B852BD" w:rsidP="00B852BD">
            <w:pPr>
              <w:pStyle w:val="Bullet"/>
            </w:pPr>
            <w:r w:rsidRPr="00463667">
              <w:t>At least one acute inpatient encounter, with any diagnosis of schizophrenia. Either of the following code combinations meet</w:t>
            </w:r>
            <w:r w:rsidR="00CD2231">
              <w:t>s</w:t>
            </w:r>
            <w:r w:rsidRPr="00463667">
              <w:t xml:space="preserve"> criteria:</w:t>
            </w:r>
          </w:p>
          <w:p w14:paraId="48C35BE5" w14:textId="77777777" w:rsidR="00B852BD" w:rsidRPr="00463667" w:rsidRDefault="00B852BD" w:rsidP="00F578E0">
            <w:pPr>
              <w:pStyle w:val="Dash"/>
            </w:pPr>
            <w:r w:rsidRPr="00463667">
              <w:rPr>
                <w:u w:val="single"/>
              </w:rPr>
              <w:t>BH Stand Alone Acute Inpatient Value Set</w:t>
            </w:r>
            <w:r w:rsidRPr="00463667">
              <w:t xml:space="preserve"> </w:t>
            </w:r>
            <w:r w:rsidRPr="00463667">
              <w:rPr>
                <w:b/>
                <w:i/>
              </w:rPr>
              <w:t>with</w:t>
            </w:r>
            <w:r w:rsidRPr="00463667">
              <w:t xml:space="preserve"> </w:t>
            </w:r>
            <w:r w:rsidRPr="00463667">
              <w:rPr>
                <w:u w:val="single"/>
              </w:rPr>
              <w:t>Schizophrenia Value Set</w:t>
            </w:r>
            <w:r w:rsidRPr="00463667">
              <w:t>.</w:t>
            </w:r>
          </w:p>
          <w:p w14:paraId="09A93683" w14:textId="77777777" w:rsidR="00B852BD" w:rsidRPr="00463667" w:rsidRDefault="00B852BD" w:rsidP="00F578E0">
            <w:pPr>
              <w:pStyle w:val="Dash"/>
            </w:pPr>
            <w:r w:rsidRPr="00463667">
              <w:rPr>
                <w:u w:val="single"/>
              </w:rPr>
              <w:t>BH Acute Inpatient Value Set</w:t>
            </w:r>
            <w:r w:rsidRPr="00463667">
              <w:t xml:space="preserve"> </w:t>
            </w:r>
            <w:r w:rsidRPr="00463667">
              <w:rPr>
                <w:b/>
                <w:i/>
              </w:rPr>
              <w:t>with</w:t>
            </w:r>
            <w:r w:rsidRPr="00463667">
              <w:t xml:space="preserve"> </w:t>
            </w:r>
            <w:r w:rsidRPr="00463667">
              <w:rPr>
                <w:u w:val="single"/>
              </w:rPr>
              <w:t>BH Acute Inpatient POS Value Set</w:t>
            </w:r>
            <w:r w:rsidRPr="00463667">
              <w:t xml:space="preserve"> </w:t>
            </w:r>
            <w:r w:rsidRPr="00463667">
              <w:rPr>
                <w:b/>
                <w:i/>
              </w:rPr>
              <w:t>and</w:t>
            </w:r>
            <w:r w:rsidRPr="00463667">
              <w:t xml:space="preserve"> </w:t>
            </w:r>
            <w:r w:rsidRPr="00463667">
              <w:rPr>
                <w:u w:val="single"/>
              </w:rPr>
              <w:t>Schizophrenia Value Set</w:t>
            </w:r>
            <w:r w:rsidRPr="00463667">
              <w:t>.</w:t>
            </w:r>
          </w:p>
          <w:p w14:paraId="3B9CFCA8" w14:textId="77777777" w:rsidR="00B852BD" w:rsidRPr="00463667" w:rsidRDefault="00B852BD" w:rsidP="00B852BD">
            <w:pPr>
              <w:pStyle w:val="Bullet"/>
            </w:pPr>
            <w:r w:rsidRPr="00463667">
              <w:t>At least two visits in an outpatient, intensive outpatient, partial hospitalization, ED or nonacute inpatient setting, on different dates of service, with any diagnosis of schizophrenia. Any two of the following code combinations meet criteria:</w:t>
            </w:r>
          </w:p>
          <w:p w14:paraId="1095944C" w14:textId="77777777" w:rsidR="00B852BD" w:rsidRPr="00463667" w:rsidRDefault="00B852BD" w:rsidP="00F578E0">
            <w:pPr>
              <w:pStyle w:val="Dash"/>
            </w:pPr>
            <w:r w:rsidRPr="00463667">
              <w:rPr>
                <w:u w:val="single"/>
              </w:rPr>
              <w:t>BH Stand Alone Outpatient/PH/IOP Value Set</w:t>
            </w:r>
            <w:r w:rsidRPr="00463667">
              <w:t xml:space="preserve"> </w:t>
            </w:r>
            <w:r w:rsidRPr="00463667">
              <w:rPr>
                <w:b/>
                <w:i/>
              </w:rPr>
              <w:t>with</w:t>
            </w:r>
            <w:r w:rsidRPr="00463667">
              <w:t xml:space="preserve"> </w:t>
            </w:r>
            <w:r w:rsidRPr="00463667">
              <w:rPr>
                <w:u w:val="single"/>
              </w:rPr>
              <w:t>Schizophrenia Value Set</w:t>
            </w:r>
            <w:r w:rsidRPr="00463667">
              <w:t>.</w:t>
            </w:r>
          </w:p>
          <w:p w14:paraId="5566E43A" w14:textId="77777777" w:rsidR="00B852BD" w:rsidRPr="00463667" w:rsidRDefault="00B852BD" w:rsidP="00F578E0">
            <w:pPr>
              <w:pStyle w:val="Dash"/>
            </w:pPr>
            <w:r w:rsidRPr="00463667">
              <w:rPr>
                <w:u w:val="single"/>
              </w:rPr>
              <w:t>BH Outpatient/PH/IOP Value Set</w:t>
            </w:r>
            <w:r w:rsidRPr="00463667">
              <w:t xml:space="preserve"> </w:t>
            </w:r>
            <w:r w:rsidRPr="00463667">
              <w:rPr>
                <w:b/>
                <w:i/>
              </w:rPr>
              <w:t>with</w:t>
            </w:r>
            <w:r w:rsidRPr="00463667">
              <w:t xml:space="preserve"> </w:t>
            </w:r>
            <w:r w:rsidRPr="00463667">
              <w:rPr>
                <w:u w:val="single"/>
              </w:rPr>
              <w:t>BH Outpatient/PH/IOP POS Value Set</w:t>
            </w:r>
            <w:r w:rsidRPr="00463667">
              <w:t xml:space="preserve"> </w:t>
            </w:r>
            <w:r w:rsidRPr="00463667">
              <w:rPr>
                <w:b/>
                <w:i/>
              </w:rPr>
              <w:t>and</w:t>
            </w:r>
            <w:r w:rsidRPr="00463667">
              <w:t xml:space="preserve"> </w:t>
            </w:r>
            <w:r w:rsidRPr="00463667">
              <w:rPr>
                <w:u w:val="single"/>
              </w:rPr>
              <w:t>Schizophrenia Value Set</w:t>
            </w:r>
            <w:r w:rsidRPr="00463667">
              <w:t>.</w:t>
            </w:r>
          </w:p>
          <w:p w14:paraId="674E5CE2" w14:textId="77777777" w:rsidR="00B852BD" w:rsidRPr="00463667" w:rsidRDefault="00B852BD" w:rsidP="00F578E0">
            <w:pPr>
              <w:pStyle w:val="Dash"/>
            </w:pPr>
            <w:r w:rsidRPr="00463667">
              <w:rPr>
                <w:u w:val="single"/>
              </w:rPr>
              <w:t>ED Value Set</w:t>
            </w:r>
            <w:r w:rsidRPr="00463667">
              <w:t xml:space="preserve"> </w:t>
            </w:r>
            <w:r w:rsidRPr="00463667">
              <w:rPr>
                <w:b/>
                <w:i/>
              </w:rPr>
              <w:t>with</w:t>
            </w:r>
            <w:r w:rsidRPr="00463667">
              <w:t xml:space="preserve"> </w:t>
            </w:r>
            <w:r w:rsidRPr="00463667">
              <w:rPr>
                <w:u w:val="single"/>
              </w:rPr>
              <w:t>Schizophrenia Value Set</w:t>
            </w:r>
            <w:r w:rsidRPr="00463667">
              <w:t>.</w:t>
            </w:r>
          </w:p>
        </w:tc>
      </w:tr>
    </w:tbl>
    <w:p w14:paraId="09D8EBC5" w14:textId="77777777" w:rsidR="00B852BD" w:rsidRPr="00463667" w:rsidRDefault="00B852BD" w:rsidP="00B852BD">
      <w:pPr>
        <w:sectPr w:rsidR="00B852BD" w:rsidRPr="00463667" w:rsidSect="007527F3">
          <w:headerReference w:type="even" r:id="rId63"/>
          <w:headerReference w:type="default" r:id="rId64"/>
          <w:pgSz w:w="12240" w:h="15840" w:code="1"/>
          <w:pgMar w:top="1080" w:right="1080" w:bottom="1080" w:left="1440" w:header="720" w:footer="720" w:gutter="0"/>
          <w:cols w:space="720"/>
          <w:docGrid w:linePitch="360"/>
        </w:sectPr>
      </w:pPr>
    </w:p>
    <w:tbl>
      <w:tblPr>
        <w:tblW w:w="9900" w:type="dxa"/>
        <w:tblInd w:w="-72" w:type="dxa"/>
        <w:tblLook w:val="0000" w:firstRow="0" w:lastRow="0" w:firstColumn="0" w:lastColumn="0" w:noHBand="0" w:noVBand="0"/>
      </w:tblPr>
      <w:tblGrid>
        <w:gridCol w:w="1710"/>
        <w:gridCol w:w="8190"/>
      </w:tblGrid>
      <w:tr w:rsidR="00B852BD" w:rsidRPr="00463667" w14:paraId="5D838077" w14:textId="77777777" w:rsidTr="00F578E0">
        <w:tc>
          <w:tcPr>
            <w:tcW w:w="1710" w:type="dxa"/>
          </w:tcPr>
          <w:p w14:paraId="61D9A8AD" w14:textId="77777777" w:rsidR="00B852BD" w:rsidRPr="00463667" w:rsidRDefault="00B852BD" w:rsidP="00F578E0">
            <w:pPr>
              <w:pStyle w:val="MarginSubhead"/>
              <w:spacing w:before="0"/>
              <w:jc w:val="right"/>
              <w:rPr>
                <w:i/>
              </w:rPr>
            </w:pPr>
          </w:p>
        </w:tc>
        <w:tc>
          <w:tcPr>
            <w:tcW w:w="8190" w:type="dxa"/>
          </w:tcPr>
          <w:p w14:paraId="7628D2F4" w14:textId="77777777" w:rsidR="00B852BD" w:rsidRPr="00463667" w:rsidRDefault="00B852BD" w:rsidP="00B852BD">
            <w:pPr>
              <w:pStyle w:val="Body"/>
              <w:numPr>
                <w:ilvl w:val="0"/>
                <w:numId w:val="2"/>
              </w:numPr>
              <w:spacing w:before="0"/>
              <w:rPr>
                <w:u w:val="single"/>
              </w:rPr>
            </w:pPr>
            <w:r w:rsidRPr="00463667">
              <w:rPr>
                <w:u w:val="single"/>
              </w:rPr>
              <w:t>BH ED Value Set</w:t>
            </w:r>
            <w:r w:rsidRPr="00463667">
              <w:t xml:space="preserve"> </w:t>
            </w:r>
            <w:r w:rsidRPr="00463667">
              <w:rPr>
                <w:b/>
                <w:i/>
              </w:rPr>
              <w:t>with</w:t>
            </w:r>
            <w:r w:rsidRPr="00463667">
              <w:t xml:space="preserve"> </w:t>
            </w:r>
            <w:r w:rsidRPr="00463667">
              <w:rPr>
                <w:u w:val="single"/>
              </w:rPr>
              <w:t>BH ED POS Value Set</w:t>
            </w:r>
            <w:r w:rsidRPr="00463667">
              <w:t xml:space="preserve"> </w:t>
            </w:r>
            <w:r w:rsidRPr="00463667">
              <w:rPr>
                <w:b/>
                <w:i/>
              </w:rPr>
              <w:t>and</w:t>
            </w:r>
            <w:r w:rsidRPr="00463667">
              <w:t xml:space="preserve"> </w:t>
            </w:r>
            <w:r w:rsidRPr="00463667">
              <w:rPr>
                <w:u w:val="single"/>
              </w:rPr>
              <w:t>Schizophrenia Value Set.</w:t>
            </w:r>
          </w:p>
          <w:p w14:paraId="1731E03E" w14:textId="77777777" w:rsidR="00B852BD" w:rsidRPr="00463667" w:rsidRDefault="00B852BD" w:rsidP="00F578E0">
            <w:pPr>
              <w:pStyle w:val="Dash"/>
            </w:pPr>
            <w:r w:rsidRPr="00463667">
              <w:rPr>
                <w:u w:val="single"/>
              </w:rPr>
              <w:t>BH Stand Alone Nonacute Inpatient Value Set</w:t>
            </w:r>
            <w:r w:rsidRPr="00463667">
              <w:t xml:space="preserve"> </w:t>
            </w:r>
            <w:r w:rsidRPr="00463667">
              <w:rPr>
                <w:b/>
                <w:i/>
              </w:rPr>
              <w:t>with</w:t>
            </w:r>
            <w:r w:rsidRPr="00463667">
              <w:t xml:space="preserve"> </w:t>
            </w:r>
            <w:r w:rsidRPr="00463667">
              <w:rPr>
                <w:u w:val="single"/>
              </w:rPr>
              <w:t>Schizophrenia Value Set.</w:t>
            </w:r>
          </w:p>
          <w:p w14:paraId="6F7458E7" w14:textId="77777777" w:rsidR="00B852BD" w:rsidRPr="00463667" w:rsidRDefault="00B852BD" w:rsidP="00F578E0">
            <w:pPr>
              <w:pStyle w:val="Dash"/>
            </w:pPr>
            <w:r w:rsidRPr="00463667">
              <w:rPr>
                <w:u w:val="single"/>
              </w:rPr>
              <w:t>BH Nonacute Inpatient Value Set</w:t>
            </w:r>
            <w:r w:rsidRPr="00463667">
              <w:t xml:space="preserve"> </w:t>
            </w:r>
            <w:r w:rsidRPr="00463667">
              <w:rPr>
                <w:b/>
                <w:i/>
              </w:rPr>
              <w:t>with</w:t>
            </w:r>
            <w:r w:rsidRPr="00463667">
              <w:t xml:space="preserve"> </w:t>
            </w:r>
            <w:r w:rsidRPr="00463667">
              <w:rPr>
                <w:u w:val="single"/>
              </w:rPr>
              <w:t>BH Nonacute Inpatient POS Value Set</w:t>
            </w:r>
            <w:r w:rsidRPr="00463667">
              <w:t xml:space="preserve"> </w:t>
            </w:r>
            <w:r w:rsidRPr="00463667">
              <w:rPr>
                <w:b/>
                <w:i/>
              </w:rPr>
              <w:t>and</w:t>
            </w:r>
            <w:r w:rsidRPr="00463667">
              <w:t xml:space="preserve"> </w:t>
            </w:r>
            <w:r w:rsidRPr="00463667">
              <w:rPr>
                <w:u w:val="single"/>
              </w:rPr>
              <w:t>Schizophrenia Value Set</w:t>
            </w:r>
            <w:r w:rsidRPr="00463667">
              <w:t>.</w:t>
            </w:r>
          </w:p>
        </w:tc>
      </w:tr>
      <w:tr w:rsidR="00B852BD" w:rsidRPr="00463667" w14:paraId="6106587B" w14:textId="77777777" w:rsidTr="00F578E0">
        <w:tc>
          <w:tcPr>
            <w:tcW w:w="1710" w:type="dxa"/>
          </w:tcPr>
          <w:p w14:paraId="18E43A76" w14:textId="77777777" w:rsidR="00B852BD" w:rsidRPr="00463667" w:rsidRDefault="00B852BD" w:rsidP="00F578E0">
            <w:pPr>
              <w:pStyle w:val="MarginSubhead"/>
              <w:jc w:val="right"/>
              <w:rPr>
                <w:i/>
              </w:rPr>
            </w:pPr>
            <w:r w:rsidRPr="00463667">
              <w:rPr>
                <w:i/>
              </w:rPr>
              <w:t>Step 2</w:t>
            </w:r>
          </w:p>
        </w:tc>
        <w:tc>
          <w:tcPr>
            <w:tcW w:w="8190" w:type="dxa"/>
          </w:tcPr>
          <w:p w14:paraId="06A3838F" w14:textId="77777777" w:rsidR="00B852BD" w:rsidRPr="00463667" w:rsidRDefault="00B852BD" w:rsidP="00F578E0">
            <w:pPr>
              <w:pStyle w:val="Body"/>
            </w:pPr>
            <w:r w:rsidRPr="00463667">
              <w:t>Identify members from step 1 who also have diabetes. There are two ways to identify members with diabetes: by claim/encounter data and by pharmacy data. The organization must use both methods to identify the eligible population, but a member need only be identified by one to be included in the measure. Members may be identified as having diabetes during the measurement year or the year prior to the measurement year.</w:t>
            </w:r>
          </w:p>
          <w:p w14:paraId="49FAAB63" w14:textId="77777777" w:rsidR="00B852BD" w:rsidRPr="00463667" w:rsidRDefault="00B852BD" w:rsidP="00F578E0">
            <w:pPr>
              <w:pStyle w:val="Body"/>
            </w:pPr>
            <w:r w:rsidRPr="00463667">
              <w:rPr>
                <w:i/>
                <w:iCs/>
              </w:rPr>
              <w:t>Claim/encounter data.</w:t>
            </w:r>
            <w:r w:rsidRPr="00463667">
              <w:rPr>
                <w:iCs/>
              </w:rPr>
              <w:t xml:space="preserve"> </w:t>
            </w:r>
            <w:r w:rsidRPr="00463667">
              <w:t>Members who met any of the following criteria during the measurement year or the year prior to the measurement year (count services that occur over both years):</w:t>
            </w:r>
          </w:p>
          <w:p w14:paraId="308DD5C6" w14:textId="77777777" w:rsidR="00B852BD" w:rsidRPr="00463667" w:rsidRDefault="00B852BD" w:rsidP="00B852BD">
            <w:pPr>
              <w:pStyle w:val="Bullet"/>
            </w:pPr>
            <w:r w:rsidRPr="00463667">
              <w:t>At least two outpatient visits (</w:t>
            </w:r>
            <w:r w:rsidRPr="00463667">
              <w:rPr>
                <w:u w:val="single"/>
              </w:rPr>
              <w:t>Outpatient Value Set</w:t>
            </w:r>
            <w:r w:rsidRPr="00463667">
              <w:t>), observation visits (</w:t>
            </w:r>
            <w:r w:rsidRPr="00463667">
              <w:rPr>
                <w:u w:val="single"/>
              </w:rPr>
              <w:t>Observation Value Set</w:t>
            </w:r>
            <w:r w:rsidRPr="00463667">
              <w:t>), ED visits (</w:t>
            </w:r>
            <w:r w:rsidRPr="00463667">
              <w:rPr>
                <w:u w:val="single"/>
              </w:rPr>
              <w:t>ED Value Set</w:t>
            </w:r>
            <w:r w:rsidRPr="00463667">
              <w:t>) or nonacute inpatient encounters (</w:t>
            </w:r>
            <w:r w:rsidRPr="00463667">
              <w:rPr>
                <w:u w:val="single"/>
              </w:rPr>
              <w:t>Nonacute Inpatient Value Set</w:t>
            </w:r>
            <w:r w:rsidRPr="00463667">
              <w:t>), on different dates of service, with a diagnosis of diabetes (</w:t>
            </w:r>
            <w:r w:rsidRPr="00463667">
              <w:rPr>
                <w:u w:val="single"/>
              </w:rPr>
              <w:t>Diabetes Value Set</w:t>
            </w:r>
            <w:r w:rsidRPr="00463667">
              <w:t>). Visit type need not be the same for the two encounters.</w:t>
            </w:r>
          </w:p>
          <w:p w14:paraId="4C4EDA7B" w14:textId="77777777" w:rsidR="00B852BD" w:rsidRPr="00463667" w:rsidRDefault="00B852BD" w:rsidP="00B852BD">
            <w:pPr>
              <w:pStyle w:val="Bullet"/>
              <w:rPr>
                <w:rFonts w:ascii="Arial-BoldMT" w:hAnsi="Arial-BoldMT" w:cs="Arial-BoldMT"/>
                <w:bCs/>
              </w:rPr>
            </w:pPr>
            <w:r w:rsidRPr="00463667">
              <w:t>At least one acute inpatient encounter (</w:t>
            </w:r>
            <w:r w:rsidRPr="00463667">
              <w:rPr>
                <w:u w:val="single"/>
              </w:rPr>
              <w:t>Acute Inpatient Value Set</w:t>
            </w:r>
            <w:r w:rsidRPr="00463667">
              <w:t>), with a diagnosis of diabetes (</w:t>
            </w:r>
            <w:r w:rsidRPr="00463667">
              <w:rPr>
                <w:u w:val="single"/>
              </w:rPr>
              <w:t>Diabetes Value Set</w:t>
            </w:r>
            <w:r w:rsidRPr="00463667">
              <w:t>).</w:t>
            </w:r>
          </w:p>
          <w:p w14:paraId="08207A74" w14:textId="532536C1" w:rsidR="00B852BD" w:rsidRPr="00463667" w:rsidRDefault="00B852BD" w:rsidP="00F578E0">
            <w:pPr>
              <w:pStyle w:val="Body"/>
            </w:pPr>
            <w:r w:rsidRPr="00463667">
              <w:rPr>
                <w:i/>
              </w:rPr>
              <w:t>Pharmacy data</w:t>
            </w:r>
            <w:r w:rsidRPr="00463667">
              <w:t xml:space="preserve">. Members who were dispensed insulin or oral hypoglycemics/ antihyperglycemics on an ambulatory basis during the measurement year or </w:t>
            </w:r>
            <w:r w:rsidR="00CD2231">
              <w:t xml:space="preserve">the </w:t>
            </w:r>
            <w:r w:rsidRPr="00463667">
              <w:t>year prior to the measurement year (Table CDC-A).</w:t>
            </w:r>
          </w:p>
        </w:tc>
      </w:tr>
    </w:tbl>
    <w:p w14:paraId="4B7D4432" w14:textId="77777777" w:rsidR="00B852BD" w:rsidRPr="00463667" w:rsidRDefault="00B852BD" w:rsidP="00B53721">
      <w:pPr>
        <w:pStyle w:val="ReverseHead"/>
      </w:pPr>
      <w:r w:rsidRPr="00463667">
        <w:t>Administrative Specification</w:t>
      </w:r>
    </w:p>
    <w:tbl>
      <w:tblPr>
        <w:tblW w:w="9900" w:type="dxa"/>
        <w:tblInd w:w="-72" w:type="dxa"/>
        <w:tblLayout w:type="fixed"/>
        <w:tblLook w:val="0000" w:firstRow="0" w:lastRow="0" w:firstColumn="0" w:lastColumn="0" w:noHBand="0" w:noVBand="0"/>
      </w:tblPr>
      <w:tblGrid>
        <w:gridCol w:w="1710"/>
        <w:gridCol w:w="8190"/>
      </w:tblGrid>
      <w:tr w:rsidR="00B852BD" w:rsidRPr="00463667" w14:paraId="42158827" w14:textId="77777777" w:rsidTr="00F578E0">
        <w:trPr>
          <w:trHeight w:val="80"/>
        </w:trPr>
        <w:tc>
          <w:tcPr>
            <w:tcW w:w="1710" w:type="dxa"/>
          </w:tcPr>
          <w:p w14:paraId="1FAE0004" w14:textId="77777777" w:rsidR="00B852BD" w:rsidRPr="00463667" w:rsidRDefault="00B852BD" w:rsidP="00F578E0">
            <w:pPr>
              <w:pStyle w:val="MarginSubhead"/>
            </w:pPr>
            <w:r w:rsidRPr="00463667">
              <w:t>Denominator</w:t>
            </w:r>
          </w:p>
        </w:tc>
        <w:tc>
          <w:tcPr>
            <w:tcW w:w="8190" w:type="dxa"/>
          </w:tcPr>
          <w:p w14:paraId="714368B9" w14:textId="77777777" w:rsidR="00B852BD" w:rsidRPr="00463667" w:rsidRDefault="00B852BD" w:rsidP="00F578E0">
            <w:pPr>
              <w:pStyle w:val="Body"/>
            </w:pPr>
            <w:r w:rsidRPr="00463667">
              <w:t>The eligible population.</w:t>
            </w:r>
          </w:p>
        </w:tc>
      </w:tr>
      <w:tr w:rsidR="00B852BD" w:rsidRPr="00463667" w14:paraId="1A5866CB" w14:textId="77777777" w:rsidTr="00F578E0">
        <w:tc>
          <w:tcPr>
            <w:tcW w:w="1710" w:type="dxa"/>
          </w:tcPr>
          <w:p w14:paraId="4F151F40" w14:textId="77777777" w:rsidR="00B852BD" w:rsidRPr="00463667" w:rsidRDefault="00B852BD" w:rsidP="00F578E0">
            <w:pPr>
              <w:pStyle w:val="MarginSubhead"/>
            </w:pPr>
            <w:r w:rsidRPr="00463667">
              <w:t>Numerator</w:t>
            </w:r>
          </w:p>
        </w:tc>
        <w:tc>
          <w:tcPr>
            <w:tcW w:w="8190" w:type="dxa"/>
          </w:tcPr>
          <w:p w14:paraId="785CC758" w14:textId="77777777" w:rsidR="00B852BD" w:rsidRPr="00463667" w:rsidRDefault="00B852BD" w:rsidP="00F578E0">
            <w:pPr>
              <w:pStyle w:val="Body"/>
            </w:pPr>
            <w:r w:rsidRPr="00463667">
              <w:t>An HbA1c test (</w:t>
            </w:r>
            <w:r w:rsidRPr="00463667">
              <w:rPr>
                <w:u w:val="single"/>
              </w:rPr>
              <w:t>HbA1c Tests Value Set</w:t>
            </w:r>
            <w:r w:rsidRPr="00463667">
              <w:t>) and an LDL-C test (</w:t>
            </w:r>
            <w:r w:rsidRPr="00463667">
              <w:rPr>
                <w:u w:val="single"/>
              </w:rPr>
              <w:t>LDL-C Tests Value Set</w:t>
            </w:r>
            <w:r w:rsidRPr="00463667">
              <w:t>) performed during the measurement year, as identified by claim/encounter or automated laboratory data. The member must have had both tests to be included in the numerator. The organization may use a calculated or direct LDL.</w:t>
            </w:r>
          </w:p>
        </w:tc>
      </w:tr>
    </w:tbl>
    <w:p w14:paraId="4C6C3BE8" w14:textId="77777777" w:rsidR="00B852BD" w:rsidRPr="00463667" w:rsidRDefault="00B852BD" w:rsidP="00B53721">
      <w:pPr>
        <w:pStyle w:val="SubHead20"/>
      </w:pPr>
      <w:r w:rsidRPr="00463667">
        <w:t xml:space="preserve">Exclusions </w:t>
      </w:r>
      <w:r w:rsidRPr="00463667">
        <w:rPr>
          <w:i/>
        </w:rPr>
        <w:t>(optional)</w:t>
      </w:r>
    </w:p>
    <w:p w14:paraId="6F431C07" w14:textId="7B53970C" w:rsidR="00B852BD" w:rsidRPr="00463667" w:rsidRDefault="00B852BD" w:rsidP="00B852BD">
      <w:pPr>
        <w:pStyle w:val="Body"/>
        <w:tabs>
          <w:tab w:val="left" w:pos="2005"/>
        </w:tabs>
        <w:ind w:left="25"/>
      </w:pPr>
      <w:r w:rsidRPr="00463667">
        <w:t>Identify members who do not have a diagnosis of diabetes (</w:t>
      </w:r>
      <w:r w:rsidRPr="00463667">
        <w:rPr>
          <w:u w:val="single"/>
        </w:rPr>
        <w:t>Diabetes Value Set</w:t>
      </w:r>
      <w:r w:rsidRPr="00463667">
        <w:t xml:space="preserve">), in any setting, during the measurement year or year prior to the measurement year </w:t>
      </w:r>
      <w:r w:rsidRPr="00CD2231">
        <w:rPr>
          <w:b/>
          <w:i/>
        </w:rPr>
        <w:t>and</w:t>
      </w:r>
      <w:r w:rsidRPr="00463667">
        <w:t xml:space="preserve"> who </w:t>
      </w:r>
      <w:r w:rsidR="003979CA">
        <w:t xml:space="preserve">had a diagnosis of </w:t>
      </w:r>
      <w:r w:rsidR="003979CA" w:rsidRPr="00463667">
        <w:t>gestational diabetes or steroid-induced diabetes (</w:t>
      </w:r>
      <w:r w:rsidR="003979CA" w:rsidRPr="00463667">
        <w:rPr>
          <w:u w:val="single"/>
        </w:rPr>
        <w:t>Diabetes Exclusions Value Set</w:t>
      </w:r>
      <w:r w:rsidR="003979CA" w:rsidRPr="00463667">
        <w:t>), in any setting, during the measurement year or the year prior to the measurement year.</w:t>
      </w:r>
    </w:p>
    <w:p w14:paraId="399EED81" w14:textId="77777777" w:rsidR="00B852BD" w:rsidRPr="00463667" w:rsidRDefault="00B852BD" w:rsidP="00B852BD">
      <w:pPr>
        <w:pStyle w:val="Heading3"/>
        <w:ind w:left="1440" w:hanging="1440"/>
        <w:sectPr w:rsidR="00B852BD" w:rsidRPr="00463667" w:rsidSect="007527F3">
          <w:headerReference w:type="even" r:id="rId65"/>
          <w:headerReference w:type="default" r:id="rId66"/>
          <w:pgSz w:w="12240" w:h="15840" w:code="1"/>
          <w:pgMar w:top="1080" w:right="1080" w:bottom="1080" w:left="1440" w:header="720" w:footer="720" w:gutter="0"/>
          <w:cols w:space="720"/>
          <w:docGrid w:linePitch="360"/>
        </w:sectPr>
      </w:pPr>
    </w:p>
    <w:p w14:paraId="210A3233" w14:textId="77777777" w:rsidR="00B852BD" w:rsidRPr="00463667" w:rsidRDefault="00B852BD" w:rsidP="00B53721">
      <w:pPr>
        <w:pStyle w:val="ReverseHead"/>
        <w:spacing w:before="0"/>
      </w:pPr>
      <w:r w:rsidRPr="00463667">
        <w:lastRenderedPageBreak/>
        <w:t xml:space="preserve">Data Elements for Reporting </w:t>
      </w:r>
    </w:p>
    <w:p w14:paraId="1F349B2E" w14:textId="77777777" w:rsidR="00B852BD" w:rsidRPr="00463667" w:rsidRDefault="00B852BD" w:rsidP="00B852BD">
      <w:pPr>
        <w:pStyle w:val="Body"/>
      </w:pPr>
      <w:r w:rsidRPr="00463667">
        <w:t>Organizations that submit HEDIS data to NCQA must provide the following data elements.</w:t>
      </w:r>
    </w:p>
    <w:p w14:paraId="40320695" w14:textId="77777777" w:rsidR="00B852BD" w:rsidRPr="00463667" w:rsidRDefault="00B852BD" w:rsidP="00B53721">
      <w:pPr>
        <w:pStyle w:val="TableHeadNotCondensed"/>
        <w:ind w:left="1440" w:hanging="1440"/>
      </w:pPr>
      <w:r w:rsidRPr="00463667">
        <w:t>Table SMD-1:</w:t>
      </w:r>
      <w:r w:rsidRPr="00463667">
        <w:tab/>
        <w:t xml:space="preserve">Data Elements for Diabetes Monitoring for People </w:t>
      </w:r>
      <w:r w:rsidRPr="00463667">
        <w:br/>
        <w:t xml:space="preserve">With Diabetes and Schizophrenia </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98"/>
        <w:gridCol w:w="2430"/>
      </w:tblGrid>
      <w:tr w:rsidR="00B852BD" w:rsidRPr="00463667" w14:paraId="463B847F" w14:textId="77777777" w:rsidTr="00EB11D9">
        <w:tc>
          <w:tcPr>
            <w:tcW w:w="3698" w:type="dxa"/>
            <w:tcBorders>
              <w:bottom w:val="single" w:sz="6" w:space="0" w:color="auto"/>
              <w:right w:val="nil"/>
            </w:tcBorders>
            <w:shd w:val="clear" w:color="auto" w:fill="000000"/>
          </w:tcPr>
          <w:p w14:paraId="5A3357EC" w14:textId="77777777" w:rsidR="00B852BD" w:rsidRPr="00463667" w:rsidRDefault="00B852BD" w:rsidP="00F578E0">
            <w:pPr>
              <w:pStyle w:val="TableHead"/>
              <w:rPr>
                <w:color w:val="auto"/>
              </w:rPr>
            </w:pPr>
          </w:p>
        </w:tc>
        <w:tc>
          <w:tcPr>
            <w:tcW w:w="2430" w:type="dxa"/>
            <w:tcBorders>
              <w:left w:val="single" w:sz="6" w:space="0" w:color="FFFFFF"/>
              <w:bottom w:val="single" w:sz="6" w:space="0" w:color="auto"/>
              <w:right w:val="single" w:sz="4" w:space="0" w:color="auto"/>
            </w:tcBorders>
            <w:shd w:val="clear" w:color="auto" w:fill="000000"/>
          </w:tcPr>
          <w:p w14:paraId="7EC0D1BF" w14:textId="77777777" w:rsidR="00B852BD" w:rsidRPr="00463667" w:rsidRDefault="00B852BD" w:rsidP="00F578E0">
            <w:pPr>
              <w:pStyle w:val="TableHead"/>
              <w:rPr>
                <w:color w:val="auto"/>
              </w:rPr>
            </w:pPr>
            <w:r w:rsidRPr="00463667">
              <w:rPr>
                <w:color w:val="auto"/>
              </w:rPr>
              <w:t>Administrative</w:t>
            </w:r>
          </w:p>
        </w:tc>
      </w:tr>
      <w:tr w:rsidR="00B852BD" w:rsidRPr="00463667" w14:paraId="39B686B1" w14:textId="77777777" w:rsidTr="00EB11D9">
        <w:tc>
          <w:tcPr>
            <w:tcW w:w="3698" w:type="dxa"/>
            <w:tcBorders>
              <w:bottom w:val="single" w:sz="6" w:space="0" w:color="auto"/>
            </w:tcBorders>
            <w:shd w:val="clear" w:color="auto" w:fill="FFFFFF" w:themeFill="background1"/>
          </w:tcPr>
          <w:p w14:paraId="7456DC91" w14:textId="77777777" w:rsidR="00B852BD" w:rsidRPr="00463667" w:rsidRDefault="00B852BD" w:rsidP="00F578E0">
            <w:pPr>
              <w:pStyle w:val="TableText"/>
            </w:pPr>
            <w:r w:rsidRPr="00463667">
              <w:t>Measurement year</w:t>
            </w:r>
          </w:p>
        </w:tc>
        <w:tc>
          <w:tcPr>
            <w:tcW w:w="2430" w:type="dxa"/>
            <w:tcBorders>
              <w:bottom w:val="single" w:sz="6" w:space="0" w:color="auto"/>
            </w:tcBorders>
            <w:shd w:val="clear" w:color="auto" w:fill="FFFFFF" w:themeFill="background1"/>
            <w:vAlign w:val="center"/>
          </w:tcPr>
          <w:p w14:paraId="43589E1D"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2A8F45A0" w14:textId="77777777" w:rsidTr="00EB11D9">
        <w:tc>
          <w:tcPr>
            <w:tcW w:w="3698" w:type="dxa"/>
            <w:shd w:val="clear" w:color="auto" w:fill="D9D9D9" w:themeFill="background1" w:themeFillShade="D9"/>
          </w:tcPr>
          <w:p w14:paraId="2A5A0B12" w14:textId="77777777" w:rsidR="00B852BD" w:rsidRPr="00463667" w:rsidRDefault="00B852BD" w:rsidP="00F578E0">
            <w:pPr>
              <w:pStyle w:val="TableText"/>
            </w:pPr>
            <w:r w:rsidRPr="00463667">
              <w:t>Data collection methodology (Administrative)</w:t>
            </w:r>
          </w:p>
        </w:tc>
        <w:tc>
          <w:tcPr>
            <w:tcW w:w="2430" w:type="dxa"/>
            <w:shd w:val="clear" w:color="auto" w:fill="D9D9D9" w:themeFill="background1" w:themeFillShade="D9"/>
            <w:vAlign w:val="center"/>
          </w:tcPr>
          <w:p w14:paraId="5B67720D"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5D34C52B" w14:textId="77777777" w:rsidTr="00EB11D9">
        <w:tc>
          <w:tcPr>
            <w:tcW w:w="3698" w:type="dxa"/>
            <w:shd w:val="clear" w:color="auto" w:fill="FFFFFF" w:themeFill="background1"/>
          </w:tcPr>
          <w:p w14:paraId="556EC9FD" w14:textId="77777777" w:rsidR="00B852BD" w:rsidRPr="00463667" w:rsidRDefault="00B852BD" w:rsidP="00F578E0">
            <w:pPr>
              <w:pStyle w:val="TableText"/>
            </w:pPr>
            <w:r w:rsidRPr="00463667">
              <w:t xml:space="preserve">Eligible population </w:t>
            </w:r>
          </w:p>
        </w:tc>
        <w:tc>
          <w:tcPr>
            <w:tcW w:w="2430" w:type="dxa"/>
            <w:shd w:val="clear" w:color="auto" w:fill="FFFFFF" w:themeFill="background1"/>
            <w:vAlign w:val="center"/>
          </w:tcPr>
          <w:p w14:paraId="1647D7F6"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6C3F3B5A" w14:textId="77777777" w:rsidTr="00EB11D9">
        <w:tc>
          <w:tcPr>
            <w:tcW w:w="3698" w:type="dxa"/>
            <w:shd w:val="clear" w:color="auto" w:fill="D9D9D9" w:themeFill="background1" w:themeFillShade="D9"/>
          </w:tcPr>
          <w:p w14:paraId="4C7CE36E" w14:textId="77777777" w:rsidR="00B852BD" w:rsidRPr="00463667" w:rsidRDefault="00B852BD" w:rsidP="00F578E0">
            <w:pPr>
              <w:pStyle w:val="TableText"/>
            </w:pPr>
            <w:r w:rsidRPr="00463667">
              <w:t>Number of optional exclusions</w:t>
            </w:r>
          </w:p>
        </w:tc>
        <w:tc>
          <w:tcPr>
            <w:tcW w:w="2430" w:type="dxa"/>
            <w:shd w:val="clear" w:color="auto" w:fill="D9D9D9" w:themeFill="background1" w:themeFillShade="D9"/>
          </w:tcPr>
          <w:p w14:paraId="6E2DC082"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56C4B832" w14:textId="77777777" w:rsidTr="00EB11D9">
        <w:tc>
          <w:tcPr>
            <w:tcW w:w="3698" w:type="dxa"/>
            <w:shd w:val="clear" w:color="auto" w:fill="FFFFFF" w:themeFill="background1"/>
          </w:tcPr>
          <w:p w14:paraId="50D4DCE9" w14:textId="77777777" w:rsidR="00B852BD" w:rsidRPr="00463667" w:rsidRDefault="00B852BD" w:rsidP="00F578E0">
            <w:pPr>
              <w:pStyle w:val="TableText"/>
            </w:pPr>
            <w:r w:rsidRPr="00463667">
              <w:t>Numerator events by administrative data</w:t>
            </w:r>
          </w:p>
        </w:tc>
        <w:tc>
          <w:tcPr>
            <w:tcW w:w="2430" w:type="dxa"/>
            <w:shd w:val="clear" w:color="auto" w:fill="FFFFFF" w:themeFill="background1"/>
          </w:tcPr>
          <w:p w14:paraId="112BC22B" w14:textId="77777777" w:rsidR="00B852BD" w:rsidRPr="00463667" w:rsidRDefault="00B852BD" w:rsidP="00F578E0">
            <w:pPr>
              <w:pStyle w:val="TableText"/>
              <w:jc w:val="center"/>
              <w:rPr>
                <w:i/>
                <w:iCs/>
              </w:rPr>
            </w:pPr>
            <w:r w:rsidRPr="00463667">
              <w:rPr>
                <w:sz w:val="24"/>
              </w:rPr>
              <w:sym w:font="Wingdings" w:char="F0FC"/>
            </w:r>
          </w:p>
        </w:tc>
      </w:tr>
      <w:tr w:rsidR="00EB00B0" w:rsidRPr="00463667" w14:paraId="42C7D304" w14:textId="77777777" w:rsidTr="00EB11D9">
        <w:tc>
          <w:tcPr>
            <w:tcW w:w="3698" w:type="dxa"/>
            <w:shd w:val="clear" w:color="auto" w:fill="D9D9D9" w:themeFill="background1" w:themeFillShade="D9"/>
          </w:tcPr>
          <w:p w14:paraId="53DB486E" w14:textId="77777777" w:rsidR="00EB00B0" w:rsidRPr="00463667" w:rsidRDefault="00EB00B0" w:rsidP="00F578E0">
            <w:pPr>
              <w:pStyle w:val="TableText"/>
            </w:pPr>
            <w:r w:rsidRPr="00EB00B0">
              <w:t>Numerator events by supplemental data</w:t>
            </w:r>
          </w:p>
        </w:tc>
        <w:tc>
          <w:tcPr>
            <w:tcW w:w="2430" w:type="dxa"/>
            <w:shd w:val="clear" w:color="auto" w:fill="D9D9D9" w:themeFill="background1" w:themeFillShade="D9"/>
          </w:tcPr>
          <w:p w14:paraId="1E767DE1" w14:textId="77777777" w:rsidR="00EB00B0" w:rsidRPr="00463667" w:rsidRDefault="00EB00B0" w:rsidP="00F578E0">
            <w:pPr>
              <w:pStyle w:val="TableText"/>
              <w:jc w:val="center"/>
              <w:rPr>
                <w:sz w:val="24"/>
              </w:rPr>
            </w:pPr>
            <w:r w:rsidRPr="00463667">
              <w:rPr>
                <w:sz w:val="24"/>
              </w:rPr>
              <w:sym w:font="Wingdings" w:char="F0FC"/>
            </w:r>
          </w:p>
        </w:tc>
      </w:tr>
      <w:tr w:rsidR="00B852BD" w:rsidRPr="00463667" w14:paraId="0A6F556F" w14:textId="77777777" w:rsidTr="00EB11D9">
        <w:tc>
          <w:tcPr>
            <w:tcW w:w="3698" w:type="dxa"/>
            <w:shd w:val="clear" w:color="auto" w:fill="FFFFFF" w:themeFill="background1"/>
          </w:tcPr>
          <w:p w14:paraId="06F715BA" w14:textId="77777777" w:rsidR="00B852BD" w:rsidRPr="00463667" w:rsidRDefault="00B852BD" w:rsidP="00F578E0">
            <w:pPr>
              <w:pStyle w:val="TableText"/>
            </w:pPr>
            <w:r w:rsidRPr="00463667">
              <w:t>Reported rate</w:t>
            </w:r>
          </w:p>
        </w:tc>
        <w:tc>
          <w:tcPr>
            <w:tcW w:w="2430" w:type="dxa"/>
            <w:shd w:val="clear" w:color="auto" w:fill="FFFFFF" w:themeFill="background1"/>
          </w:tcPr>
          <w:p w14:paraId="500928CE" w14:textId="77777777" w:rsidR="00B852BD" w:rsidRPr="00463667" w:rsidRDefault="00B852BD" w:rsidP="00F578E0">
            <w:pPr>
              <w:pStyle w:val="TableText"/>
              <w:jc w:val="center"/>
              <w:rPr>
                <w:i/>
                <w:iCs/>
              </w:rPr>
            </w:pPr>
            <w:r w:rsidRPr="00463667">
              <w:rPr>
                <w:sz w:val="24"/>
              </w:rPr>
              <w:sym w:font="Wingdings" w:char="F0FC"/>
            </w:r>
          </w:p>
        </w:tc>
      </w:tr>
      <w:tr w:rsidR="00B852BD" w:rsidRPr="00463667" w14:paraId="710A6F4B" w14:textId="77777777" w:rsidTr="00EB11D9">
        <w:tc>
          <w:tcPr>
            <w:tcW w:w="3698" w:type="dxa"/>
            <w:tcBorders>
              <w:bottom w:val="single" w:sz="6" w:space="0" w:color="auto"/>
            </w:tcBorders>
            <w:shd w:val="clear" w:color="auto" w:fill="D9D9D9" w:themeFill="background1" w:themeFillShade="D9"/>
          </w:tcPr>
          <w:p w14:paraId="6C2D3AB2" w14:textId="77777777" w:rsidR="00B852BD" w:rsidRPr="00463667" w:rsidRDefault="00B852BD" w:rsidP="00F578E0">
            <w:pPr>
              <w:pStyle w:val="TableText"/>
            </w:pPr>
            <w:r w:rsidRPr="00463667">
              <w:t>Lower 95% confidence interval</w:t>
            </w:r>
          </w:p>
        </w:tc>
        <w:tc>
          <w:tcPr>
            <w:tcW w:w="2430" w:type="dxa"/>
            <w:tcBorders>
              <w:bottom w:val="single" w:sz="6" w:space="0" w:color="auto"/>
            </w:tcBorders>
            <w:shd w:val="clear" w:color="auto" w:fill="D9D9D9" w:themeFill="background1" w:themeFillShade="D9"/>
          </w:tcPr>
          <w:p w14:paraId="1E31A16C" w14:textId="77777777" w:rsidR="00B852BD" w:rsidRPr="00463667" w:rsidRDefault="00B852BD" w:rsidP="00F578E0">
            <w:pPr>
              <w:pStyle w:val="TableText"/>
              <w:jc w:val="center"/>
              <w:rPr>
                <w:i/>
                <w:iCs/>
              </w:rPr>
            </w:pPr>
            <w:r w:rsidRPr="00463667">
              <w:rPr>
                <w:sz w:val="24"/>
              </w:rPr>
              <w:sym w:font="Wingdings" w:char="F0FC"/>
            </w:r>
          </w:p>
        </w:tc>
      </w:tr>
      <w:tr w:rsidR="00B852BD" w:rsidRPr="00463667" w14:paraId="3F303412" w14:textId="77777777" w:rsidTr="00EB11D9">
        <w:tc>
          <w:tcPr>
            <w:tcW w:w="3698" w:type="dxa"/>
            <w:tcBorders>
              <w:bottom w:val="single" w:sz="6" w:space="0" w:color="auto"/>
            </w:tcBorders>
            <w:shd w:val="clear" w:color="auto" w:fill="FFFFFF" w:themeFill="background1"/>
          </w:tcPr>
          <w:p w14:paraId="385C7FE4" w14:textId="77777777" w:rsidR="00B852BD" w:rsidRPr="00463667" w:rsidRDefault="00B852BD" w:rsidP="00F578E0">
            <w:pPr>
              <w:pStyle w:val="TableText"/>
            </w:pPr>
            <w:r w:rsidRPr="00463667">
              <w:t>Upper 95% confidence interval</w:t>
            </w:r>
          </w:p>
        </w:tc>
        <w:tc>
          <w:tcPr>
            <w:tcW w:w="2430" w:type="dxa"/>
            <w:tcBorders>
              <w:bottom w:val="single" w:sz="6" w:space="0" w:color="auto"/>
            </w:tcBorders>
            <w:shd w:val="clear" w:color="auto" w:fill="FFFFFF" w:themeFill="background1"/>
          </w:tcPr>
          <w:p w14:paraId="4FA31A2E" w14:textId="77777777" w:rsidR="00B852BD" w:rsidRPr="00463667" w:rsidRDefault="00B852BD" w:rsidP="00F578E0">
            <w:pPr>
              <w:pStyle w:val="TableText"/>
              <w:jc w:val="center"/>
              <w:rPr>
                <w:i/>
                <w:iCs/>
              </w:rPr>
            </w:pPr>
            <w:r w:rsidRPr="00463667">
              <w:rPr>
                <w:sz w:val="24"/>
              </w:rPr>
              <w:sym w:font="Wingdings" w:char="F0FC"/>
            </w:r>
          </w:p>
        </w:tc>
      </w:tr>
    </w:tbl>
    <w:p w14:paraId="374A7CD1" w14:textId="77777777" w:rsidR="00B852BD" w:rsidRPr="00463667" w:rsidRDefault="00B852BD" w:rsidP="00B852BD">
      <w:pPr>
        <w:pStyle w:val="Body"/>
        <w:rPr>
          <w:rFonts w:cs="Arial"/>
          <w:sz w:val="18"/>
          <w:szCs w:val="18"/>
        </w:rPr>
        <w:sectPr w:rsidR="00B852BD" w:rsidRPr="00463667" w:rsidSect="007527F3">
          <w:pgSz w:w="12240" w:h="15840" w:code="1"/>
          <w:pgMar w:top="1080" w:right="1080" w:bottom="1080" w:left="1440" w:header="720" w:footer="720" w:gutter="0"/>
          <w:cols w:space="720"/>
          <w:docGrid w:linePitch="360"/>
        </w:sectPr>
      </w:pPr>
    </w:p>
    <w:p w14:paraId="3FA33571" w14:textId="77777777" w:rsidR="00B852BD" w:rsidRPr="00463667" w:rsidRDefault="00B852BD" w:rsidP="00B852BD">
      <w:pPr>
        <w:pStyle w:val="Heading2"/>
        <w:spacing w:after="320"/>
        <w:rPr>
          <w:rFonts w:cs="Arial"/>
          <w:bCs/>
        </w:rPr>
      </w:pPr>
      <w:bookmarkStart w:id="9" w:name="_Toc400546140"/>
      <w:r w:rsidRPr="003F7CDF">
        <w:rPr>
          <w:rFonts w:cs="Arial"/>
        </w:rPr>
        <w:lastRenderedPageBreak/>
        <w:t xml:space="preserve">Cardiovascular Monitoring for People With </w:t>
      </w:r>
      <w:r w:rsidRPr="003F7CDF">
        <w:rPr>
          <w:rFonts w:cs="Arial"/>
        </w:rPr>
        <w:br/>
        <w:t>Cardiovascular Disease and Schizophrenia (SMC)</w:t>
      </w:r>
      <w:bookmarkEnd w:id="9"/>
    </w:p>
    <w:p w14:paraId="73460FE2" w14:textId="7EE2AF95" w:rsidR="00B852BD" w:rsidRPr="00463667" w:rsidRDefault="00B852BD" w:rsidP="00B53721">
      <w:pPr>
        <w:pStyle w:val="SOC"/>
        <w:rPr>
          <w:i/>
        </w:rPr>
      </w:pPr>
      <w:r w:rsidRPr="00463667">
        <w:t xml:space="preserve">Summary of Changes to HEDIS </w:t>
      </w:r>
      <w:r w:rsidR="00D0464F">
        <w:t>2016</w:t>
      </w:r>
    </w:p>
    <w:p w14:paraId="40D444CC" w14:textId="2ECB7099" w:rsidR="00866766" w:rsidRPr="00866766" w:rsidRDefault="00866766" w:rsidP="00866766">
      <w:pPr>
        <w:pStyle w:val="ProcessBullet"/>
        <w:rPr>
          <w:i/>
          <w:iCs/>
        </w:rPr>
      </w:pPr>
      <w:r>
        <w:rPr>
          <w:iCs/>
        </w:rPr>
        <w:t>Added a method and value sets to identify discharges for</w:t>
      </w:r>
      <w:r w:rsidR="00AC5D8B">
        <w:rPr>
          <w:iCs/>
        </w:rPr>
        <w:t xml:space="preserve"> step 2 of</w:t>
      </w:r>
      <w:r>
        <w:rPr>
          <w:iCs/>
        </w:rPr>
        <w:t xml:space="preserve"> the </w:t>
      </w:r>
      <w:r w:rsidR="001C66E5">
        <w:rPr>
          <w:iCs/>
        </w:rPr>
        <w:t>e</w:t>
      </w:r>
      <w:r>
        <w:rPr>
          <w:iCs/>
        </w:rPr>
        <w:t>vent/diagnosis.</w:t>
      </w:r>
    </w:p>
    <w:p w14:paraId="61DC3727" w14:textId="7424F8D5" w:rsidR="00EB00B0" w:rsidRPr="00463667" w:rsidRDefault="00EB00B0" w:rsidP="00EB11D9">
      <w:pPr>
        <w:pStyle w:val="ProcessBullet"/>
        <w:spacing w:before="60"/>
        <w:rPr>
          <w:i/>
          <w:iCs/>
        </w:rPr>
      </w:pPr>
      <w:r>
        <w:t xml:space="preserve">Added </w:t>
      </w:r>
      <w:r w:rsidR="009F0DF0">
        <w:t>“</w:t>
      </w:r>
      <w:r>
        <w:t>Numerator events by supplemental data</w:t>
      </w:r>
      <w:r w:rsidR="009F0DF0">
        <w:t>”</w:t>
      </w:r>
      <w:r>
        <w:t xml:space="preserve"> to the Data Elements for Reporting table to capture the number of members who met numerator criteria using supplemental data. </w:t>
      </w:r>
    </w:p>
    <w:p w14:paraId="583CBC4B" w14:textId="77777777" w:rsidR="00B852BD" w:rsidRPr="00463667" w:rsidRDefault="00B852BD" w:rsidP="00B53721">
      <w:pPr>
        <w:pStyle w:val="ReverseHead"/>
      </w:pPr>
      <w:r w:rsidRPr="00463667">
        <w:t>Description</w:t>
      </w:r>
    </w:p>
    <w:p w14:paraId="2D105D04" w14:textId="77777777" w:rsidR="00B852BD" w:rsidRPr="00463667" w:rsidRDefault="00B852BD" w:rsidP="00B852BD">
      <w:pPr>
        <w:pStyle w:val="Body"/>
      </w:pPr>
      <w:r w:rsidRPr="00463667">
        <w:t xml:space="preserve">The percentage of members 18–64 years of age with schizophrenia and cardiovascular disease, who had an LDL-C test during the measurement year. </w:t>
      </w:r>
    </w:p>
    <w:p w14:paraId="67CD3F23" w14:textId="77777777" w:rsidR="00B852BD" w:rsidRPr="00463667" w:rsidRDefault="00B852BD" w:rsidP="00B53721">
      <w:pPr>
        <w:pStyle w:val="ReverseHead"/>
      </w:pPr>
      <w:r w:rsidRPr="00463667">
        <w:t>Eligible Population</w:t>
      </w:r>
    </w:p>
    <w:tbl>
      <w:tblPr>
        <w:tblW w:w="9810" w:type="dxa"/>
        <w:tblInd w:w="18" w:type="dxa"/>
        <w:tblLook w:val="0000" w:firstRow="0" w:lastRow="0" w:firstColumn="0" w:lastColumn="0" w:noHBand="0" w:noVBand="0"/>
      </w:tblPr>
      <w:tblGrid>
        <w:gridCol w:w="1774"/>
        <w:gridCol w:w="8036"/>
      </w:tblGrid>
      <w:tr w:rsidR="00B852BD" w:rsidRPr="00463667" w14:paraId="676EE8C5" w14:textId="77777777" w:rsidTr="00F578E0">
        <w:tc>
          <w:tcPr>
            <w:tcW w:w="1774" w:type="dxa"/>
          </w:tcPr>
          <w:p w14:paraId="47FC1601" w14:textId="77777777" w:rsidR="00B852BD" w:rsidRPr="00463667" w:rsidRDefault="00B852BD" w:rsidP="00F578E0">
            <w:pPr>
              <w:pStyle w:val="MarginSubhead"/>
            </w:pPr>
            <w:r w:rsidRPr="00463667">
              <w:t>Product lines</w:t>
            </w:r>
          </w:p>
        </w:tc>
        <w:tc>
          <w:tcPr>
            <w:tcW w:w="8036" w:type="dxa"/>
          </w:tcPr>
          <w:p w14:paraId="2CE4FA9B" w14:textId="77777777" w:rsidR="00B852BD" w:rsidRPr="00463667" w:rsidRDefault="00B852BD" w:rsidP="00F578E0">
            <w:pPr>
              <w:pStyle w:val="Body"/>
            </w:pPr>
            <w:r w:rsidRPr="00463667">
              <w:t>Medicaid.</w:t>
            </w:r>
          </w:p>
        </w:tc>
      </w:tr>
      <w:tr w:rsidR="00B852BD" w:rsidRPr="00463667" w14:paraId="6BE66170" w14:textId="77777777" w:rsidTr="00F578E0">
        <w:tc>
          <w:tcPr>
            <w:tcW w:w="1774" w:type="dxa"/>
          </w:tcPr>
          <w:p w14:paraId="24E4ACF4" w14:textId="77777777" w:rsidR="00B852BD" w:rsidRPr="00463667" w:rsidRDefault="00B852BD" w:rsidP="00F578E0">
            <w:pPr>
              <w:pStyle w:val="MarginSubhead"/>
            </w:pPr>
            <w:r w:rsidRPr="00463667">
              <w:t>Ages</w:t>
            </w:r>
          </w:p>
        </w:tc>
        <w:tc>
          <w:tcPr>
            <w:tcW w:w="8036" w:type="dxa"/>
          </w:tcPr>
          <w:p w14:paraId="73CBC8E1" w14:textId="77777777" w:rsidR="00B852BD" w:rsidRPr="00463667" w:rsidRDefault="00B852BD" w:rsidP="00F578E0">
            <w:pPr>
              <w:pStyle w:val="Body"/>
              <w:rPr>
                <w:bCs/>
              </w:rPr>
            </w:pPr>
            <w:r w:rsidRPr="00463667">
              <w:rPr>
                <w:bCs/>
              </w:rPr>
              <w:t>18–64 years as of December 31 of the measurement year.</w:t>
            </w:r>
          </w:p>
        </w:tc>
      </w:tr>
      <w:tr w:rsidR="00B852BD" w:rsidRPr="00463667" w14:paraId="7C83F11F" w14:textId="77777777" w:rsidTr="00F578E0">
        <w:tc>
          <w:tcPr>
            <w:tcW w:w="1774" w:type="dxa"/>
          </w:tcPr>
          <w:p w14:paraId="0034EFB7" w14:textId="77777777" w:rsidR="00B852BD" w:rsidRPr="00463667" w:rsidRDefault="00B852BD" w:rsidP="00F578E0">
            <w:pPr>
              <w:pStyle w:val="MarginSubhead"/>
            </w:pPr>
            <w:r w:rsidRPr="00463667">
              <w:t>Continuous enrollment</w:t>
            </w:r>
          </w:p>
        </w:tc>
        <w:tc>
          <w:tcPr>
            <w:tcW w:w="8036" w:type="dxa"/>
          </w:tcPr>
          <w:p w14:paraId="09DCF3DC" w14:textId="77777777" w:rsidR="00B852BD" w:rsidRPr="00463667" w:rsidRDefault="00B852BD" w:rsidP="00F578E0">
            <w:pPr>
              <w:pStyle w:val="Body"/>
            </w:pPr>
            <w:r w:rsidRPr="00463667">
              <w:t>The measurement year and the year prior to the measurement year.</w:t>
            </w:r>
          </w:p>
        </w:tc>
      </w:tr>
      <w:tr w:rsidR="00B852BD" w:rsidRPr="00463667" w14:paraId="5B29BDE9" w14:textId="77777777" w:rsidTr="00F578E0">
        <w:tc>
          <w:tcPr>
            <w:tcW w:w="1774" w:type="dxa"/>
          </w:tcPr>
          <w:p w14:paraId="6CC6354D" w14:textId="77777777" w:rsidR="00B852BD" w:rsidRPr="00463667" w:rsidRDefault="00B852BD" w:rsidP="00F578E0">
            <w:pPr>
              <w:pStyle w:val="MarginSubhead"/>
            </w:pPr>
            <w:r w:rsidRPr="00463667">
              <w:t>Allowable gap</w:t>
            </w:r>
          </w:p>
        </w:tc>
        <w:tc>
          <w:tcPr>
            <w:tcW w:w="8036" w:type="dxa"/>
          </w:tcPr>
          <w:p w14:paraId="0AF7B00E" w14:textId="77777777" w:rsidR="00B852BD" w:rsidRPr="00463667" w:rsidRDefault="00B852BD" w:rsidP="00F578E0">
            <w:pPr>
              <w:pStyle w:val="Body"/>
              <w:rPr>
                <w:rFonts w:cs="Arial"/>
              </w:rPr>
            </w:pPr>
            <w:r w:rsidRPr="00463667">
              <w:rPr>
                <w:rFonts w:cs="Arial"/>
                <w:bCs/>
              </w:rPr>
              <w:t>No more than one gap in enrollment of up to 45 days during each year of continuous enrollment. To determine continuous enrollment for a Medicaid beneficiary for whom enrollment is verified monthly, the member may not have more than a 1-month gap in coverage (i.e., a member whose coverage lapses for 2 months [60 days] is not considered continuously enrolled).</w:t>
            </w:r>
          </w:p>
        </w:tc>
      </w:tr>
      <w:tr w:rsidR="00B852BD" w:rsidRPr="00463667" w14:paraId="1F5C0E24" w14:textId="77777777" w:rsidTr="00F578E0">
        <w:tc>
          <w:tcPr>
            <w:tcW w:w="1774" w:type="dxa"/>
          </w:tcPr>
          <w:p w14:paraId="6B676FA7" w14:textId="77777777" w:rsidR="00B852BD" w:rsidRPr="00463667" w:rsidRDefault="00B852BD" w:rsidP="00F578E0">
            <w:pPr>
              <w:pStyle w:val="MarginSubhead"/>
            </w:pPr>
            <w:r w:rsidRPr="00463667">
              <w:t>Anchor date</w:t>
            </w:r>
          </w:p>
        </w:tc>
        <w:tc>
          <w:tcPr>
            <w:tcW w:w="8036" w:type="dxa"/>
          </w:tcPr>
          <w:p w14:paraId="7A335BF7" w14:textId="77777777" w:rsidR="00B852BD" w:rsidRPr="00463667" w:rsidRDefault="00B852BD" w:rsidP="00F578E0">
            <w:pPr>
              <w:pStyle w:val="Body"/>
              <w:rPr>
                <w:rFonts w:cs="Arial"/>
              </w:rPr>
            </w:pPr>
            <w:r w:rsidRPr="00463667">
              <w:rPr>
                <w:rFonts w:cs="Arial"/>
              </w:rPr>
              <w:t xml:space="preserve">December 31 of the measurement year. </w:t>
            </w:r>
          </w:p>
        </w:tc>
      </w:tr>
      <w:tr w:rsidR="00B852BD" w:rsidRPr="00463667" w14:paraId="4BF3AF2E" w14:textId="77777777" w:rsidTr="00F578E0">
        <w:tc>
          <w:tcPr>
            <w:tcW w:w="1774" w:type="dxa"/>
          </w:tcPr>
          <w:p w14:paraId="299734D9" w14:textId="77777777" w:rsidR="00B852BD" w:rsidRPr="00463667" w:rsidRDefault="00B852BD" w:rsidP="00F578E0">
            <w:pPr>
              <w:pStyle w:val="MarginSubhead"/>
            </w:pPr>
            <w:r w:rsidRPr="00463667">
              <w:t>Benefits</w:t>
            </w:r>
          </w:p>
        </w:tc>
        <w:tc>
          <w:tcPr>
            <w:tcW w:w="8036" w:type="dxa"/>
          </w:tcPr>
          <w:p w14:paraId="28D34465" w14:textId="77777777" w:rsidR="00B852BD" w:rsidRPr="00463667" w:rsidRDefault="00B852BD" w:rsidP="00F578E0">
            <w:pPr>
              <w:pStyle w:val="Body"/>
              <w:rPr>
                <w:rFonts w:cs="Arial"/>
              </w:rPr>
            </w:pPr>
            <w:r w:rsidRPr="00463667">
              <w:rPr>
                <w:rFonts w:cs="Arial"/>
              </w:rPr>
              <w:t>Medical.</w:t>
            </w:r>
          </w:p>
        </w:tc>
      </w:tr>
      <w:tr w:rsidR="00B852BD" w:rsidRPr="00463667" w14:paraId="58944A9B" w14:textId="77777777" w:rsidTr="00F578E0">
        <w:tc>
          <w:tcPr>
            <w:tcW w:w="1774" w:type="dxa"/>
          </w:tcPr>
          <w:p w14:paraId="5E946568" w14:textId="77777777" w:rsidR="00B852BD" w:rsidRPr="00463667" w:rsidRDefault="00B852BD" w:rsidP="00F578E0">
            <w:pPr>
              <w:pStyle w:val="MarginSubhead"/>
            </w:pPr>
            <w:r w:rsidRPr="00463667">
              <w:t>Event/ diagnosis</w:t>
            </w:r>
          </w:p>
        </w:tc>
        <w:tc>
          <w:tcPr>
            <w:tcW w:w="8036" w:type="dxa"/>
          </w:tcPr>
          <w:p w14:paraId="7E031D9F" w14:textId="77777777" w:rsidR="00B852BD" w:rsidRPr="00463667" w:rsidRDefault="00B852BD" w:rsidP="00F578E0">
            <w:pPr>
              <w:pStyle w:val="Body"/>
              <w:rPr>
                <w:rFonts w:cs="Arial"/>
              </w:rPr>
            </w:pPr>
            <w:r w:rsidRPr="00463667">
              <w:rPr>
                <w:rFonts w:cs="Arial"/>
                <w:bCs/>
              </w:rPr>
              <w:t>Follow the steps below to identify the eligible population.</w:t>
            </w:r>
          </w:p>
        </w:tc>
      </w:tr>
      <w:tr w:rsidR="00B852BD" w:rsidRPr="00463667" w14:paraId="138FEC00" w14:textId="77777777" w:rsidTr="00F578E0">
        <w:tc>
          <w:tcPr>
            <w:tcW w:w="1774" w:type="dxa"/>
          </w:tcPr>
          <w:p w14:paraId="4BFF013D" w14:textId="77777777" w:rsidR="00B852BD" w:rsidRPr="00463667" w:rsidRDefault="00B852BD" w:rsidP="00F578E0">
            <w:pPr>
              <w:pStyle w:val="MarginSubhead"/>
              <w:jc w:val="right"/>
              <w:rPr>
                <w:i/>
              </w:rPr>
            </w:pPr>
            <w:r w:rsidRPr="00463667">
              <w:rPr>
                <w:i/>
              </w:rPr>
              <w:t>Step 1</w:t>
            </w:r>
          </w:p>
        </w:tc>
        <w:tc>
          <w:tcPr>
            <w:tcW w:w="8036" w:type="dxa"/>
          </w:tcPr>
          <w:p w14:paraId="10DF4E57" w14:textId="77777777" w:rsidR="00B852BD" w:rsidRPr="00463667" w:rsidRDefault="00B852BD" w:rsidP="00F578E0">
            <w:pPr>
              <w:pStyle w:val="Body"/>
              <w:rPr>
                <w:rFonts w:cs="Arial"/>
                <w:bCs/>
              </w:rPr>
            </w:pPr>
            <w:r w:rsidRPr="00463667">
              <w:rPr>
                <w:rFonts w:cs="Arial"/>
                <w:bCs/>
              </w:rPr>
              <w:t>Identify members with schizophrenia as those who met at least one of the following criteria during the measurement year:</w:t>
            </w:r>
          </w:p>
          <w:p w14:paraId="61CD1687" w14:textId="77777777" w:rsidR="00B852BD" w:rsidRPr="00463667" w:rsidRDefault="00B852BD" w:rsidP="00B852BD">
            <w:pPr>
              <w:pStyle w:val="Bullet"/>
            </w:pPr>
            <w:r w:rsidRPr="00463667">
              <w:t>At least one acute inpatient encounter with any diagnosis of schizophrenia. Either of the following code combinations meets criteria:</w:t>
            </w:r>
          </w:p>
          <w:p w14:paraId="13E6185B" w14:textId="77777777" w:rsidR="00B852BD" w:rsidRPr="00463667" w:rsidRDefault="00B852BD" w:rsidP="00F578E0">
            <w:pPr>
              <w:pStyle w:val="Dash"/>
            </w:pPr>
            <w:r w:rsidRPr="00463667">
              <w:rPr>
                <w:u w:val="single"/>
              </w:rPr>
              <w:t>BH Stand Alone Acute Inpatient Value Set</w:t>
            </w:r>
            <w:r w:rsidRPr="00463667">
              <w:t xml:space="preserve"> </w:t>
            </w:r>
            <w:r w:rsidRPr="00463667">
              <w:rPr>
                <w:b/>
                <w:i/>
              </w:rPr>
              <w:t>with</w:t>
            </w:r>
            <w:r w:rsidRPr="00463667">
              <w:t xml:space="preserve"> </w:t>
            </w:r>
            <w:r w:rsidRPr="00463667">
              <w:rPr>
                <w:u w:val="single"/>
              </w:rPr>
              <w:t>Schizophrenia Value Set</w:t>
            </w:r>
            <w:r w:rsidRPr="00463667">
              <w:t>.</w:t>
            </w:r>
          </w:p>
          <w:p w14:paraId="7D411054" w14:textId="77777777" w:rsidR="00B852BD" w:rsidRPr="00463667" w:rsidRDefault="00B852BD" w:rsidP="00F578E0">
            <w:pPr>
              <w:pStyle w:val="Dash"/>
            </w:pPr>
            <w:r w:rsidRPr="00463667">
              <w:rPr>
                <w:u w:val="single"/>
              </w:rPr>
              <w:t>BH Acute Inpatient Value Set</w:t>
            </w:r>
            <w:r w:rsidRPr="00463667">
              <w:t xml:space="preserve"> </w:t>
            </w:r>
            <w:r w:rsidRPr="00463667">
              <w:rPr>
                <w:b/>
                <w:i/>
              </w:rPr>
              <w:t>with</w:t>
            </w:r>
            <w:r w:rsidRPr="00463667">
              <w:t xml:space="preserve"> </w:t>
            </w:r>
            <w:r w:rsidRPr="00463667">
              <w:rPr>
                <w:u w:val="single"/>
              </w:rPr>
              <w:t>BH Acute Inpatient POS Value Set</w:t>
            </w:r>
            <w:r w:rsidRPr="00463667">
              <w:t xml:space="preserve"> </w:t>
            </w:r>
            <w:r w:rsidRPr="00463667">
              <w:rPr>
                <w:b/>
                <w:i/>
              </w:rPr>
              <w:t>and</w:t>
            </w:r>
            <w:r w:rsidRPr="00463667">
              <w:t xml:space="preserve"> </w:t>
            </w:r>
            <w:r w:rsidRPr="00463667">
              <w:rPr>
                <w:u w:val="single"/>
              </w:rPr>
              <w:t>Schizophrenia Value Set</w:t>
            </w:r>
            <w:r w:rsidRPr="00463667">
              <w:t>.</w:t>
            </w:r>
          </w:p>
          <w:p w14:paraId="441C6C56" w14:textId="77777777" w:rsidR="00B852BD" w:rsidRPr="00463667" w:rsidRDefault="00B852BD" w:rsidP="00B852BD">
            <w:pPr>
              <w:pStyle w:val="Bullet"/>
            </w:pPr>
            <w:r w:rsidRPr="00463667">
              <w:t>At least two visits in an outpatient, intensive outpatient, partial hospitalization, ED or nonacute inpatient setting, on different dates of service, with any diagnosis of schizophrenia. Any two of the following code combinations meet criteria:</w:t>
            </w:r>
          </w:p>
          <w:p w14:paraId="117508F8" w14:textId="77777777" w:rsidR="00B852BD" w:rsidRPr="00463667" w:rsidRDefault="00B852BD" w:rsidP="00F578E0">
            <w:pPr>
              <w:pStyle w:val="Dash"/>
            </w:pPr>
            <w:r w:rsidRPr="00463667">
              <w:rPr>
                <w:u w:val="single"/>
              </w:rPr>
              <w:t>BH Stand Alone Outpatient/PH/IOP Value Set</w:t>
            </w:r>
            <w:r w:rsidRPr="00463667">
              <w:t xml:space="preserve"> </w:t>
            </w:r>
            <w:r w:rsidRPr="00463667">
              <w:rPr>
                <w:b/>
                <w:i/>
              </w:rPr>
              <w:t>with</w:t>
            </w:r>
            <w:r w:rsidRPr="00463667">
              <w:t xml:space="preserve"> </w:t>
            </w:r>
            <w:r w:rsidRPr="00463667">
              <w:rPr>
                <w:u w:val="single"/>
              </w:rPr>
              <w:t>Schizophrenia Value Set</w:t>
            </w:r>
            <w:r w:rsidRPr="00463667">
              <w:t>.</w:t>
            </w:r>
          </w:p>
          <w:p w14:paraId="51E5D0E2" w14:textId="77777777" w:rsidR="00B852BD" w:rsidRPr="00463667" w:rsidRDefault="00B852BD" w:rsidP="00F578E0">
            <w:pPr>
              <w:pStyle w:val="Dash"/>
            </w:pPr>
            <w:r w:rsidRPr="00463667">
              <w:rPr>
                <w:u w:val="single"/>
              </w:rPr>
              <w:t>BH Outpatient/PH/IOP Value Set</w:t>
            </w:r>
            <w:r w:rsidRPr="00463667">
              <w:t xml:space="preserve"> </w:t>
            </w:r>
            <w:r w:rsidRPr="00463667">
              <w:rPr>
                <w:b/>
                <w:i/>
              </w:rPr>
              <w:t>with</w:t>
            </w:r>
            <w:r w:rsidRPr="00463667">
              <w:t xml:space="preserve"> </w:t>
            </w:r>
            <w:r w:rsidRPr="00463667">
              <w:rPr>
                <w:u w:val="single"/>
              </w:rPr>
              <w:t>BH Outpatient/PH/IOP POS Value Set</w:t>
            </w:r>
            <w:r w:rsidRPr="00463667">
              <w:t xml:space="preserve"> </w:t>
            </w:r>
            <w:r w:rsidRPr="00463667">
              <w:rPr>
                <w:b/>
                <w:i/>
              </w:rPr>
              <w:t>and</w:t>
            </w:r>
            <w:r w:rsidRPr="00463667">
              <w:t xml:space="preserve"> </w:t>
            </w:r>
            <w:r w:rsidRPr="00463667">
              <w:rPr>
                <w:u w:val="single"/>
              </w:rPr>
              <w:t>Schizophrenia Value Set</w:t>
            </w:r>
            <w:r w:rsidRPr="00463667">
              <w:t>.</w:t>
            </w:r>
          </w:p>
          <w:p w14:paraId="788B502E" w14:textId="77777777" w:rsidR="00B852BD" w:rsidRPr="00463667" w:rsidRDefault="00B852BD" w:rsidP="00F578E0">
            <w:pPr>
              <w:pStyle w:val="Dash"/>
            </w:pPr>
            <w:r w:rsidRPr="00463667">
              <w:rPr>
                <w:u w:val="single"/>
              </w:rPr>
              <w:t>ED Value Set</w:t>
            </w:r>
            <w:r w:rsidRPr="00463667">
              <w:t xml:space="preserve"> </w:t>
            </w:r>
            <w:r w:rsidRPr="00463667">
              <w:rPr>
                <w:b/>
                <w:i/>
              </w:rPr>
              <w:t>with</w:t>
            </w:r>
            <w:r w:rsidRPr="00463667">
              <w:t xml:space="preserve"> </w:t>
            </w:r>
            <w:r w:rsidRPr="00463667">
              <w:rPr>
                <w:u w:val="single"/>
              </w:rPr>
              <w:t>Schizophrenia Value Set</w:t>
            </w:r>
            <w:r w:rsidRPr="00463667">
              <w:t>.</w:t>
            </w:r>
          </w:p>
        </w:tc>
      </w:tr>
    </w:tbl>
    <w:p w14:paraId="135D7613" w14:textId="77777777" w:rsidR="00B852BD" w:rsidRPr="00463667" w:rsidRDefault="00B852BD" w:rsidP="00B852BD">
      <w:pPr>
        <w:sectPr w:rsidR="00B852BD" w:rsidRPr="00463667" w:rsidSect="007527F3">
          <w:headerReference w:type="even" r:id="rId67"/>
          <w:headerReference w:type="default" r:id="rId68"/>
          <w:pgSz w:w="12240" w:h="15840" w:code="1"/>
          <w:pgMar w:top="1080" w:right="1080" w:bottom="1080" w:left="1440" w:header="720" w:footer="720" w:gutter="0"/>
          <w:cols w:space="720"/>
          <w:docGrid w:linePitch="360"/>
        </w:sectPr>
      </w:pPr>
    </w:p>
    <w:tbl>
      <w:tblPr>
        <w:tblW w:w="9810" w:type="dxa"/>
        <w:tblInd w:w="18" w:type="dxa"/>
        <w:tblLook w:val="0000" w:firstRow="0" w:lastRow="0" w:firstColumn="0" w:lastColumn="0" w:noHBand="0" w:noVBand="0"/>
      </w:tblPr>
      <w:tblGrid>
        <w:gridCol w:w="1629"/>
        <w:gridCol w:w="8181"/>
      </w:tblGrid>
      <w:tr w:rsidR="00B852BD" w:rsidRPr="00463667" w14:paraId="0ACCC0CC" w14:textId="77777777" w:rsidTr="00F578E0">
        <w:tc>
          <w:tcPr>
            <w:tcW w:w="1629" w:type="dxa"/>
          </w:tcPr>
          <w:p w14:paraId="0387619E" w14:textId="77777777" w:rsidR="00B852BD" w:rsidRPr="00463667" w:rsidRDefault="00B852BD" w:rsidP="00F578E0">
            <w:pPr>
              <w:pStyle w:val="MarginSubhead"/>
              <w:jc w:val="right"/>
              <w:rPr>
                <w:i/>
              </w:rPr>
            </w:pPr>
          </w:p>
        </w:tc>
        <w:tc>
          <w:tcPr>
            <w:tcW w:w="8181" w:type="dxa"/>
          </w:tcPr>
          <w:p w14:paraId="7BB88C0A" w14:textId="77777777" w:rsidR="00B852BD" w:rsidRPr="00463667" w:rsidRDefault="00B852BD" w:rsidP="00F578E0">
            <w:pPr>
              <w:pStyle w:val="Dash"/>
              <w:spacing w:before="0"/>
            </w:pPr>
            <w:r w:rsidRPr="00463667">
              <w:rPr>
                <w:u w:val="single"/>
              </w:rPr>
              <w:t>BH ED Value Set</w:t>
            </w:r>
            <w:r w:rsidRPr="00463667">
              <w:t xml:space="preserve"> </w:t>
            </w:r>
            <w:r w:rsidRPr="00463667">
              <w:rPr>
                <w:b/>
                <w:i/>
              </w:rPr>
              <w:t>with</w:t>
            </w:r>
            <w:r w:rsidRPr="00463667">
              <w:t xml:space="preserve"> </w:t>
            </w:r>
            <w:r w:rsidRPr="00463667">
              <w:rPr>
                <w:u w:val="single"/>
              </w:rPr>
              <w:t>BH ED POS Value Set</w:t>
            </w:r>
            <w:r w:rsidRPr="00463667">
              <w:t xml:space="preserve"> </w:t>
            </w:r>
            <w:r w:rsidRPr="00463667">
              <w:rPr>
                <w:b/>
                <w:i/>
              </w:rPr>
              <w:t>and</w:t>
            </w:r>
            <w:r w:rsidRPr="00463667">
              <w:t xml:space="preserve"> </w:t>
            </w:r>
            <w:r w:rsidRPr="00463667">
              <w:rPr>
                <w:u w:val="single"/>
              </w:rPr>
              <w:t>Schizophrenia Value Set</w:t>
            </w:r>
            <w:r w:rsidRPr="00463667">
              <w:t>.</w:t>
            </w:r>
          </w:p>
          <w:p w14:paraId="71E14AD3" w14:textId="77777777" w:rsidR="00B852BD" w:rsidRPr="00463667" w:rsidRDefault="00B852BD" w:rsidP="00F578E0">
            <w:pPr>
              <w:pStyle w:val="Dash"/>
            </w:pPr>
            <w:r w:rsidRPr="00463667">
              <w:rPr>
                <w:u w:val="single"/>
              </w:rPr>
              <w:t>BH Stand Alone Nonacute Inpatient Value Set</w:t>
            </w:r>
            <w:r w:rsidRPr="00463667">
              <w:t xml:space="preserve"> </w:t>
            </w:r>
            <w:r w:rsidRPr="00463667">
              <w:rPr>
                <w:b/>
                <w:i/>
              </w:rPr>
              <w:t>with</w:t>
            </w:r>
            <w:r w:rsidRPr="00463667">
              <w:t xml:space="preserve"> </w:t>
            </w:r>
            <w:r w:rsidRPr="00463667">
              <w:rPr>
                <w:u w:val="single"/>
              </w:rPr>
              <w:t>Schizophrenia Value Set</w:t>
            </w:r>
            <w:r w:rsidRPr="00463667">
              <w:t>.</w:t>
            </w:r>
          </w:p>
          <w:p w14:paraId="6B006FC5" w14:textId="77777777" w:rsidR="00B852BD" w:rsidRPr="00463667" w:rsidRDefault="00B852BD" w:rsidP="00F578E0">
            <w:pPr>
              <w:pStyle w:val="Dash"/>
              <w:rPr>
                <w:rFonts w:cs="Arial"/>
                <w:bCs/>
              </w:rPr>
            </w:pPr>
            <w:r w:rsidRPr="00463667">
              <w:rPr>
                <w:u w:val="single"/>
              </w:rPr>
              <w:t>BH Nonacute Inpatient Value Set</w:t>
            </w:r>
            <w:r w:rsidRPr="00463667">
              <w:t xml:space="preserve"> </w:t>
            </w:r>
            <w:r w:rsidRPr="00463667">
              <w:rPr>
                <w:b/>
                <w:i/>
              </w:rPr>
              <w:t>with</w:t>
            </w:r>
            <w:r w:rsidRPr="00463667">
              <w:t xml:space="preserve"> </w:t>
            </w:r>
            <w:r w:rsidRPr="00463667">
              <w:rPr>
                <w:u w:val="single"/>
              </w:rPr>
              <w:t>BH Nonacute Inpatient POS Value Set</w:t>
            </w:r>
            <w:r w:rsidRPr="00463667">
              <w:t xml:space="preserve"> </w:t>
            </w:r>
            <w:r w:rsidRPr="00463667">
              <w:rPr>
                <w:b/>
                <w:i/>
              </w:rPr>
              <w:t>and</w:t>
            </w:r>
            <w:r w:rsidRPr="00463667">
              <w:t xml:space="preserve"> </w:t>
            </w:r>
            <w:r w:rsidRPr="00463667">
              <w:rPr>
                <w:u w:val="single"/>
              </w:rPr>
              <w:t>Schizophrenia Value Set</w:t>
            </w:r>
            <w:r w:rsidRPr="00463667">
              <w:t>.</w:t>
            </w:r>
          </w:p>
        </w:tc>
      </w:tr>
      <w:tr w:rsidR="00B852BD" w:rsidRPr="00463667" w14:paraId="7E2F16FD" w14:textId="77777777" w:rsidTr="00F578E0">
        <w:tc>
          <w:tcPr>
            <w:tcW w:w="1629" w:type="dxa"/>
          </w:tcPr>
          <w:p w14:paraId="6C0CF8B2" w14:textId="77777777" w:rsidR="00B852BD" w:rsidRPr="00463667" w:rsidRDefault="00B852BD" w:rsidP="00F578E0">
            <w:pPr>
              <w:pStyle w:val="MarginSubhead"/>
              <w:jc w:val="right"/>
              <w:rPr>
                <w:i/>
              </w:rPr>
            </w:pPr>
            <w:r w:rsidRPr="00463667">
              <w:rPr>
                <w:i/>
              </w:rPr>
              <w:t>Step 2</w:t>
            </w:r>
          </w:p>
        </w:tc>
        <w:tc>
          <w:tcPr>
            <w:tcW w:w="8181" w:type="dxa"/>
          </w:tcPr>
          <w:p w14:paraId="48ADB368" w14:textId="77777777" w:rsidR="00B852BD" w:rsidRPr="00463667" w:rsidRDefault="00B852BD" w:rsidP="00F578E0">
            <w:pPr>
              <w:pStyle w:val="Body"/>
            </w:pPr>
            <w:r w:rsidRPr="00463667">
              <w:t>Identify members from step 1 who also have cardiovascular disease. Members are identified as having cardiovascular disease in two ways: by event or by diagnosis. The organization must use both methods to identify the eligible population, but a member need only be identified by one to be included in the measure.</w:t>
            </w:r>
          </w:p>
          <w:p w14:paraId="4AC8889A" w14:textId="77777777" w:rsidR="00B852BD" w:rsidRPr="00463667" w:rsidRDefault="00B852BD" w:rsidP="00F578E0">
            <w:pPr>
              <w:pStyle w:val="Body"/>
              <w:rPr>
                <w:szCs w:val="20"/>
              </w:rPr>
            </w:pPr>
            <w:r w:rsidRPr="00463667">
              <w:rPr>
                <w:i/>
                <w:szCs w:val="20"/>
              </w:rPr>
              <w:t>Event.</w:t>
            </w:r>
            <w:r w:rsidRPr="00463667">
              <w:rPr>
                <w:szCs w:val="20"/>
              </w:rPr>
              <w:t xml:space="preserve"> Any of the following during the year prior to the measurement year meet criteria:</w:t>
            </w:r>
          </w:p>
          <w:p w14:paraId="44180A7D" w14:textId="4FFB3560" w:rsidR="003814D9" w:rsidRPr="003814D9" w:rsidRDefault="00B852BD" w:rsidP="003814D9">
            <w:pPr>
              <w:pStyle w:val="Bullet"/>
              <w:rPr>
                <w:rFonts w:eastAsia="SymbolMT" w:cs="Arial"/>
              </w:rPr>
            </w:pPr>
            <w:r w:rsidRPr="00463667">
              <w:rPr>
                <w:rFonts w:eastAsia="SymbolMT" w:cs="Arial"/>
                <w:i/>
                <w:iCs/>
              </w:rPr>
              <w:t>AMI</w:t>
            </w:r>
            <w:r w:rsidRPr="00463667">
              <w:rPr>
                <w:rFonts w:eastAsia="SymbolMT" w:cs="Arial"/>
              </w:rPr>
              <w:t>. Discharged from an inpatient setting with an AMI (</w:t>
            </w:r>
            <w:r w:rsidRPr="00463667">
              <w:rPr>
                <w:rFonts w:eastAsia="SymbolMT" w:cs="Arial"/>
                <w:u w:val="single"/>
              </w:rPr>
              <w:t>AMI Value Set</w:t>
            </w:r>
            <w:r w:rsidRPr="00463667">
              <w:rPr>
                <w:rFonts w:eastAsia="SymbolMT" w:cs="Arial"/>
              </w:rPr>
              <w:t xml:space="preserve">). </w:t>
            </w:r>
            <w:r w:rsidR="003814D9">
              <w:t>To identify discharges:</w:t>
            </w:r>
          </w:p>
          <w:p w14:paraId="69572DBB" w14:textId="77777777" w:rsidR="003814D9" w:rsidRDefault="003814D9" w:rsidP="00EB11D9">
            <w:pPr>
              <w:pStyle w:val="Bullet"/>
              <w:numPr>
                <w:ilvl w:val="0"/>
                <w:numId w:val="28"/>
              </w:numPr>
              <w:spacing w:before="60"/>
              <w:ind w:left="792"/>
            </w:pPr>
            <w:r>
              <w:t>Identify all acute and nonacute inpatient stays (</w:t>
            </w:r>
            <w:r w:rsidRPr="000229E0">
              <w:rPr>
                <w:u w:val="single"/>
              </w:rPr>
              <w:t>Inpatient Stay Value Set</w:t>
            </w:r>
            <w:r>
              <w:t>).</w:t>
            </w:r>
          </w:p>
          <w:p w14:paraId="50825458" w14:textId="77777777" w:rsidR="003814D9" w:rsidRPr="00FB05E0" w:rsidRDefault="003814D9" w:rsidP="00EB11D9">
            <w:pPr>
              <w:pStyle w:val="Bullet"/>
              <w:numPr>
                <w:ilvl w:val="0"/>
                <w:numId w:val="28"/>
              </w:numPr>
              <w:spacing w:before="60"/>
              <w:ind w:left="792"/>
            </w:pPr>
            <w:r>
              <w:t>Identify the discharge date for the stay.</w:t>
            </w:r>
          </w:p>
          <w:p w14:paraId="520A1AEE" w14:textId="4BA90EC8" w:rsidR="003814D9" w:rsidRPr="003814D9" w:rsidRDefault="00B852BD" w:rsidP="003814D9">
            <w:pPr>
              <w:pStyle w:val="Bullet"/>
              <w:rPr>
                <w:rFonts w:eastAsia="SymbolMT" w:cs="Arial"/>
              </w:rPr>
            </w:pPr>
            <w:r w:rsidRPr="00463667">
              <w:rPr>
                <w:rFonts w:eastAsia="SymbolMT" w:cs="Arial"/>
                <w:i/>
                <w:iCs/>
              </w:rPr>
              <w:t>CABG</w:t>
            </w:r>
            <w:r w:rsidRPr="00463667">
              <w:rPr>
                <w:rFonts w:eastAsia="SymbolMT" w:cs="Arial"/>
              </w:rPr>
              <w:t>. Discharged from an inpatient setting with a CABG (</w:t>
            </w:r>
            <w:r w:rsidRPr="00463667">
              <w:rPr>
                <w:rFonts w:eastAsia="SymbolMT" w:cs="Arial"/>
                <w:u w:val="single"/>
              </w:rPr>
              <w:t>CABG Value Set</w:t>
            </w:r>
            <w:r w:rsidRPr="00463667">
              <w:rPr>
                <w:rFonts w:eastAsia="SymbolMT" w:cs="Arial"/>
              </w:rPr>
              <w:t xml:space="preserve">). </w:t>
            </w:r>
            <w:r w:rsidR="003814D9">
              <w:t>To identify discharges:</w:t>
            </w:r>
          </w:p>
          <w:p w14:paraId="68B803C9" w14:textId="77777777" w:rsidR="003814D9" w:rsidRDefault="003814D9" w:rsidP="00EB11D9">
            <w:pPr>
              <w:pStyle w:val="Bullet"/>
              <w:numPr>
                <w:ilvl w:val="0"/>
                <w:numId w:val="29"/>
              </w:numPr>
              <w:spacing w:before="60"/>
              <w:ind w:left="792"/>
            </w:pPr>
            <w:r>
              <w:t>Identify all acute and nonacute inpatient stays (</w:t>
            </w:r>
            <w:r w:rsidRPr="000229E0">
              <w:rPr>
                <w:u w:val="single"/>
              </w:rPr>
              <w:t>Inpatient Stay Value Set</w:t>
            </w:r>
            <w:r>
              <w:t>).</w:t>
            </w:r>
          </w:p>
          <w:p w14:paraId="7AF632DC" w14:textId="40FCD606" w:rsidR="003814D9" w:rsidRPr="00EB11D9" w:rsidRDefault="003814D9" w:rsidP="00EB11D9">
            <w:pPr>
              <w:pStyle w:val="Bullet"/>
              <w:numPr>
                <w:ilvl w:val="0"/>
                <w:numId w:val="29"/>
              </w:numPr>
              <w:spacing w:before="60"/>
              <w:ind w:left="792"/>
            </w:pPr>
            <w:r>
              <w:t>Identify the discharge date for the stay.</w:t>
            </w:r>
          </w:p>
          <w:p w14:paraId="395BF55F" w14:textId="77777777" w:rsidR="00B852BD" w:rsidRPr="00463667" w:rsidRDefault="00B852BD" w:rsidP="00F578E0">
            <w:pPr>
              <w:pStyle w:val="Bullet"/>
              <w:tabs>
                <w:tab w:val="clear" w:pos="576"/>
              </w:tabs>
              <w:rPr>
                <w:rFonts w:cs="Arial"/>
                <w:bCs/>
              </w:rPr>
            </w:pPr>
            <w:r w:rsidRPr="00463667">
              <w:rPr>
                <w:i/>
              </w:rPr>
              <w:t>PCI</w:t>
            </w:r>
            <w:r w:rsidRPr="00463667">
              <w:t>. Members who had PCI (</w:t>
            </w:r>
            <w:r w:rsidRPr="00463667">
              <w:rPr>
                <w:u w:val="single"/>
              </w:rPr>
              <w:t>PCI Value Set</w:t>
            </w:r>
            <w:r w:rsidRPr="00463667">
              <w:t>) in any setting (e.g., inpatient, outpatient, ED).</w:t>
            </w:r>
          </w:p>
          <w:p w14:paraId="17E10811" w14:textId="77777777" w:rsidR="00B852BD" w:rsidRPr="00463667" w:rsidRDefault="00B852BD" w:rsidP="00F578E0">
            <w:pPr>
              <w:pStyle w:val="Body"/>
              <w:rPr>
                <w:szCs w:val="20"/>
              </w:rPr>
            </w:pPr>
            <w:r w:rsidRPr="00463667">
              <w:rPr>
                <w:i/>
              </w:rPr>
              <w:t>Diagnosis</w:t>
            </w:r>
            <w:r w:rsidRPr="00463667">
              <w:t xml:space="preserve">. Identify members with IVD as those who met at least either of the following criteria during both the measurement year and the year prior to the measurement year. Criteria need </w:t>
            </w:r>
            <w:r w:rsidRPr="00463667">
              <w:rPr>
                <w:szCs w:val="20"/>
              </w:rPr>
              <w:t>not be the same across both years.</w:t>
            </w:r>
          </w:p>
          <w:p w14:paraId="2EFF43C0" w14:textId="77777777" w:rsidR="00B852BD" w:rsidRPr="00463667" w:rsidRDefault="00B852BD" w:rsidP="00B852BD">
            <w:pPr>
              <w:pStyle w:val="Bullet"/>
              <w:rPr>
                <w:rFonts w:cs="Arial"/>
                <w:b/>
                <w:i/>
              </w:rPr>
            </w:pPr>
            <w:r w:rsidRPr="00463667">
              <w:rPr>
                <w:rFonts w:cs="Arial"/>
              </w:rPr>
              <w:t>At least one outpatient visit (</w:t>
            </w:r>
            <w:r w:rsidRPr="00463667">
              <w:rPr>
                <w:rFonts w:cs="Arial"/>
                <w:u w:val="single"/>
              </w:rPr>
              <w:t>Outpatient Value Set</w:t>
            </w:r>
            <w:r w:rsidRPr="00463667">
              <w:rPr>
                <w:rFonts w:cs="Arial"/>
              </w:rPr>
              <w:t>) with a diagnosis of IVD (</w:t>
            </w:r>
            <w:r w:rsidRPr="00463667">
              <w:rPr>
                <w:rFonts w:cs="Arial"/>
                <w:u w:val="single"/>
              </w:rPr>
              <w:t>IVD Value Set</w:t>
            </w:r>
            <w:r w:rsidRPr="00463667">
              <w:rPr>
                <w:rFonts w:cs="Arial"/>
              </w:rPr>
              <w:t>).</w:t>
            </w:r>
          </w:p>
          <w:p w14:paraId="11D6F2D9" w14:textId="77777777" w:rsidR="00B852BD" w:rsidRPr="00463667" w:rsidRDefault="00B852BD" w:rsidP="00B852BD">
            <w:pPr>
              <w:pStyle w:val="Bullet"/>
            </w:pPr>
            <w:r w:rsidRPr="00463667">
              <w:t>At least one acute inpatient encounter (</w:t>
            </w:r>
            <w:r w:rsidRPr="00463667">
              <w:rPr>
                <w:u w:val="single"/>
              </w:rPr>
              <w:t>Acute Inpatient Value Set</w:t>
            </w:r>
            <w:r w:rsidRPr="00463667">
              <w:t>) with a diagnosis of IVD (</w:t>
            </w:r>
            <w:r w:rsidRPr="00463667">
              <w:rPr>
                <w:u w:val="single"/>
              </w:rPr>
              <w:t>IVD Value Set</w:t>
            </w:r>
            <w:r w:rsidRPr="00463667">
              <w:t>).</w:t>
            </w:r>
          </w:p>
        </w:tc>
      </w:tr>
    </w:tbl>
    <w:p w14:paraId="6F91F5E6" w14:textId="77777777" w:rsidR="00B852BD" w:rsidRPr="00463667" w:rsidRDefault="00B852BD" w:rsidP="00B53721">
      <w:pPr>
        <w:pStyle w:val="ReverseHead"/>
      </w:pPr>
      <w:r w:rsidRPr="00463667">
        <w:t>Administrative Specification</w:t>
      </w:r>
    </w:p>
    <w:tbl>
      <w:tblPr>
        <w:tblW w:w="9810" w:type="dxa"/>
        <w:tblInd w:w="18" w:type="dxa"/>
        <w:tblLook w:val="0000" w:firstRow="0" w:lastRow="0" w:firstColumn="0" w:lastColumn="0" w:noHBand="0" w:noVBand="0"/>
      </w:tblPr>
      <w:tblGrid>
        <w:gridCol w:w="1666"/>
        <w:gridCol w:w="8144"/>
      </w:tblGrid>
      <w:tr w:rsidR="00B852BD" w:rsidRPr="00463667" w14:paraId="7A675B3C" w14:textId="77777777" w:rsidTr="00F578E0">
        <w:tc>
          <w:tcPr>
            <w:tcW w:w="1666" w:type="dxa"/>
          </w:tcPr>
          <w:p w14:paraId="4D935A7C" w14:textId="77777777" w:rsidR="00B852BD" w:rsidRPr="00463667" w:rsidRDefault="00B852BD" w:rsidP="00F578E0">
            <w:pPr>
              <w:pStyle w:val="MarginSubhead"/>
            </w:pPr>
            <w:r w:rsidRPr="00463667">
              <w:t>Denominator</w:t>
            </w:r>
          </w:p>
        </w:tc>
        <w:tc>
          <w:tcPr>
            <w:tcW w:w="8144" w:type="dxa"/>
          </w:tcPr>
          <w:p w14:paraId="29033079" w14:textId="77777777" w:rsidR="00B852BD" w:rsidRPr="00463667" w:rsidRDefault="00B852BD" w:rsidP="00F578E0">
            <w:pPr>
              <w:pStyle w:val="Body"/>
            </w:pPr>
            <w:r w:rsidRPr="00463667">
              <w:t>The eligible population.</w:t>
            </w:r>
          </w:p>
        </w:tc>
      </w:tr>
      <w:tr w:rsidR="00B852BD" w:rsidRPr="00463667" w14:paraId="16AF59A6" w14:textId="77777777" w:rsidTr="00F578E0">
        <w:tc>
          <w:tcPr>
            <w:tcW w:w="1666" w:type="dxa"/>
          </w:tcPr>
          <w:p w14:paraId="6A23FF5C" w14:textId="77777777" w:rsidR="00B852BD" w:rsidRPr="00463667" w:rsidRDefault="00B852BD" w:rsidP="00F578E0">
            <w:pPr>
              <w:pStyle w:val="MarginSubhead"/>
            </w:pPr>
            <w:r w:rsidRPr="00463667">
              <w:t>Numerator</w:t>
            </w:r>
          </w:p>
        </w:tc>
        <w:tc>
          <w:tcPr>
            <w:tcW w:w="8144" w:type="dxa"/>
          </w:tcPr>
          <w:p w14:paraId="0208624A" w14:textId="77777777" w:rsidR="00B852BD" w:rsidRPr="00463667" w:rsidRDefault="00B852BD" w:rsidP="00F578E0">
            <w:pPr>
              <w:pStyle w:val="Body"/>
            </w:pPr>
          </w:p>
        </w:tc>
      </w:tr>
      <w:tr w:rsidR="00B852BD" w:rsidRPr="00463667" w14:paraId="1AFEF07A" w14:textId="77777777" w:rsidTr="00F578E0">
        <w:tc>
          <w:tcPr>
            <w:tcW w:w="1666" w:type="dxa"/>
          </w:tcPr>
          <w:p w14:paraId="600EE197" w14:textId="77777777" w:rsidR="00B852BD" w:rsidRPr="00463667" w:rsidRDefault="00B852BD" w:rsidP="00F578E0">
            <w:pPr>
              <w:pStyle w:val="MarginSubhead"/>
              <w:spacing w:before="120"/>
              <w:jc w:val="right"/>
              <w:rPr>
                <w:i/>
              </w:rPr>
            </w:pPr>
            <w:r w:rsidRPr="00463667">
              <w:rPr>
                <w:i/>
              </w:rPr>
              <w:t>LDL-C Test</w:t>
            </w:r>
          </w:p>
        </w:tc>
        <w:tc>
          <w:tcPr>
            <w:tcW w:w="8144" w:type="dxa"/>
          </w:tcPr>
          <w:p w14:paraId="35F135BF" w14:textId="77777777" w:rsidR="00B852BD" w:rsidRPr="00463667" w:rsidRDefault="00B852BD" w:rsidP="00F578E0">
            <w:pPr>
              <w:pStyle w:val="Body"/>
              <w:spacing w:before="120"/>
            </w:pPr>
            <w:r w:rsidRPr="00463667">
              <w:t>An LDL-C test (</w:t>
            </w:r>
            <w:r w:rsidRPr="00463667">
              <w:rPr>
                <w:u w:val="single"/>
              </w:rPr>
              <w:t>LDL-C Tests Value Set</w:t>
            </w:r>
            <w:r w:rsidRPr="00463667">
              <w:t xml:space="preserve">) performed during the measurement year, as identified by claim/encounter or automated laboratory data. </w:t>
            </w:r>
          </w:p>
          <w:p w14:paraId="01A7BCB4" w14:textId="77777777" w:rsidR="00B852BD" w:rsidRPr="00463667" w:rsidRDefault="00B852BD" w:rsidP="00F578E0">
            <w:pPr>
              <w:pStyle w:val="Body"/>
            </w:pPr>
            <w:r w:rsidRPr="00463667">
              <w:t xml:space="preserve">The organization may use a calculated or direct LDL. </w:t>
            </w:r>
          </w:p>
        </w:tc>
      </w:tr>
    </w:tbl>
    <w:p w14:paraId="415C3CCE" w14:textId="77777777" w:rsidR="00B852BD" w:rsidRPr="00463667" w:rsidRDefault="00B852BD" w:rsidP="00B852BD">
      <w:pPr>
        <w:sectPr w:rsidR="00B852BD" w:rsidRPr="00463667" w:rsidSect="007527F3">
          <w:pgSz w:w="12240" w:h="15840" w:code="1"/>
          <w:pgMar w:top="1080" w:right="1080" w:bottom="1080" w:left="1440" w:header="720" w:footer="720" w:gutter="0"/>
          <w:cols w:space="720"/>
          <w:docGrid w:linePitch="360"/>
        </w:sectPr>
      </w:pPr>
    </w:p>
    <w:p w14:paraId="0A9590EE" w14:textId="77777777" w:rsidR="00B852BD" w:rsidRPr="00463667" w:rsidRDefault="00B852BD" w:rsidP="00B53721">
      <w:pPr>
        <w:pStyle w:val="ReverseHead"/>
        <w:spacing w:before="0"/>
      </w:pPr>
      <w:r w:rsidRPr="00463667">
        <w:lastRenderedPageBreak/>
        <w:t xml:space="preserve">Data Elements for Reporting </w:t>
      </w:r>
    </w:p>
    <w:p w14:paraId="26E5AD6A" w14:textId="77777777" w:rsidR="00B852BD" w:rsidRPr="00463667" w:rsidRDefault="00B852BD" w:rsidP="00B852BD">
      <w:pPr>
        <w:pStyle w:val="Body"/>
      </w:pPr>
      <w:r w:rsidRPr="00463667">
        <w:t>Organizations that submit HEDIS data to NCQA must provide the following data elements.</w:t>
      </w:r>
    </w:p>
    <w:p w14:paraId="543A82C4" w14:textId="77777777" w:rsidR="00B852BD" w:rsidRPr="00463667" w:rsidRDefault="00B852BD" w:rsidP="00B53721">
      <w:pPr>
        <w:pStyle w:val="TableHeadNotCondensed"/>
        <w:ind w:left="1440" w:hanging="1440"/>
      </w:pPr>
      <w:r w:rsidRPr="00463667">
        <w:t>Table SMC-1:</w:t>
      </w:r>
      <w:r w:rsidRPr="00463667">
        <w:tab/>
        <w:t xml:space="preserve">Data Elements for Cardiovascular Monitoring for </w:t>
      </w:r>
      <w:r w:rsidRPr="00463667">
        <w:br/>
        <w:t>People With Cardiovascular Disease and Schizophrenia</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98"/>
        <w:gridCol w:w="2430"/>
      </w:tblGrid>
      <w:tr w:rsidR="00B852BD" w:rsidRPr="00463667" w14:paraId="526CFC0D" w14:textId="77777777" w:rsidTr="004E5025">
        <w:tc>
          <w:tcPr>
            <w:tcW w:w="3698" w:type="dxa"/>
            <w:tcBorders>
              <w:bottom w:val="single" w:sz="6" w:space="0" w:color="auto"/>
              <w:right w:val="nil"/>
            </w:tcBorders>
            <w:shd w:val="clear" w:color="auto" w:fill="000000"/>
          </w:tcPr>
          <w:p w14:paraId="63B76913" w14:textId="77777777" w:rsidR="00B852BD" w:rsidRPr="00463667" w:rsidRDefault="00B852BD" w:rsidP="00F578E0">
            <w:pPr>
              <w:pStyle w:val="TableHead"/>
              <w:rPr>
                <w:color w:val="auto"/>
              </w:rPr>
            </w:pPr>
          </w:p>
        </w:tc>
        <w:tc>
          <w:tcPr>
            <w:tcW w:w="2430" w:type="dxa"/>
            <w:tcBorders>
              <w:left w:val="single" w:sz="6" w:space="0" w:color="FFFFFF"/>
              <w:bottom w:val="single" w:sz="6" w:space="0" w:color="auto"/>
              <w:right w:val="single" w:sz="4" w:space="0" w:color="auto"/>
            </w:tcBorders>
            <w:shd w:val="clear" w:color="auto" w:fill="000000"/>
          </w:tcPr>
          <w:p w14:paraId="0E46EFDF" w14:textId="77777777" w:rsidR="00B852BD" w:rsidRPr="00463667" w:rsidRDefault="00B852BD" w:rsidP="00F578E0">
            <w:pPr>
              <w:pStyle w:val="TableHead"/>
              <w:rPr>
                <w:color w:val="auto"/>
              </w:rPr>
            </w:pPr>
            <w:r w:rsidRPr="00463667">
              <w:rPr>
                <w:color w:val="auto"/>
              </w:rPr>
              <w:t>Administrative</w:t>
            </w:r>
          </w:p>
        </w:tc>
      </w:tr>
      <w:tr w:rsidR="00B852BD" w:rsidRPr="00463667" w14:paraId="4606C7A2" w14:textId="77777777" w:rsidTr="004E5025">
        <w:tc>
          <w:tcPr>
            <w:tcW w:w="3698" w:type="dxa"/>
            <w:tcBorders>
              <w:bottom w:val="single" w:sz="6" w:space="0" w:color="auto"/>
            </w:tcBorders>
          </w:tcPr>
          <w:p w14:paraId="3A0E67D9" w14:textId="77777777" w:rsidR="00B852BD" w:rsidRPr="00463667" w:rsidRDefault="00B852BD" w:rsidP="00F578E0">
            <w:pPr>
              <w:pStyle w:val="TableText"/>
            </w:pPr>
            <w:r w:rsidRPr="00463667">
              <w:t>Measurement year</w:t>
            </w:r>
          </w:p>
        </w:tc>
        <w:tc>
          <w:tcPr>
            <w:tcW w:w="2430" w:type="dxa"/>
            <w:tcBorders>
              <w:bottom w:val="single" w:sz="6" w:space="0" w:color="auto"/>
            </w:tcBorders>
            <w:vAlign w:val="center"/>
          </w:tcPr>
          <w:p w14:paraId="55B2C39A"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190B033C" w14:textId="77777777" w:rsidTr="004E5025">
        <w:tc>
          <w:tcPr>
            <w:tcW w:w="3698" w:type="dxa"/>
            <w:shd w:val="clear" w:color="auto" w:fill="D9D9D9" w:themeFill="background1" w:themeFillShade="D9"/>
          </w:tcPr>
          <w:p w14:paraId="0D255FC8" w14:textId="77777777" w:rsidR="00B852BD" w:rsidRPr="00463667" w:rsidRDefault="00B852BD" w:rsidP="00F578E0">
            <w:pPr>
              <w:pStyle w:val="TableText"/>
            </w:pPr>
            <w:r w:rsidRPr="00463667">
              <w:t>Data collection methodology (Administrative)</w:t>
            </w:r>
          </w:p>
        </w:tc>
        <w:tc>
          <w:tcPr>
            <w:tcW w:w="2430" w:type="dxa"/>
            <w:shd w:val="clear" w:color="auto" w:fill="D9D9D9" w:themeFill="background1" w:themeFillShade="D9"/>
            <w:vAlign w:val="center"/>
          </w:tcPr>
          <w:p w14:paraId="6DD82B88"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0C6DE987" w14:textId="77777777" w:rsidTr="004E5025">
        <w:tc>
          <w:tcPr>
            <w:tcW w:w="3698" w:type="dxa"/>
          </w:tcPr>
          <w:p w14:paraId="5687CDF7" w14:textId="77777777" w:rsidR="00B852BD" w:rsidRPr="00463667" w:rsidRDefault="00B852BD" w:rsidP="00F578E0">
            <w:pPr>
              <w:pStyle w:val="TableText"/>
            </w:pPr>
            <w:r w:rsidRPr="00463667">
              <w:t xml:space="preserve">Eligible population </w:t>
            </w:r>
          </w:p>
        </w:tc>
        <w:tc>
          <w:tcPr>
            <w:tcW w:w="2430" w:type="dxa"/>
            <w:vAlign w:val="center"/>
          </w:tcPr>
          <w:p w14:paraId="32F56D46"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1413A2C7" w14:textId="77777777" w:rsidTr="004E5025">
        <w:tc>
          <w:tcPr>
            <w:tcW w:w="3698" w:type="dxa"/>
            <w:shd w:val="clear" w:color="auto" w:fill="D9D9D9" w:themeFill="background1" w:themeFillShade="D9"/>
          </w:tcPr>
          <w:p w14:paraId="6FA4A460" w14:textId="77777777" w:rsidR="00B852BD" w:rsidRPr="00463667" w:rsidRDefault="00B852BD" w:rsidP="00F578E0">
            <w:pPr>
              <w:pStyle w:val="TableText"/>
            </w:pPr>
            <w:r w:rsidRPr="00463667">
              <w:t>Numerator events by administrative data</w:t>
            </w:r>
          </w:p>
        </w:tc>
        <w:tc>
          <w:tcPr>
            <w:tcW w:w="2430" w:type="dxa"/>
            <w:shd w:val="clear" w:color="auto" w:fill="D9D9D9" w:themeFill="background1" w:themeFillShade="D9"/>
          </w:tcPr>
          <w:p w14:paraId="1A42E9E4" w14:textId="77777777" w:rsidR="00B852BD" w:rsidRPr="00463667" w:rsidRDefault="00B852BD" w:rsidP="00F578E0">
            <w:pPr>
              <w:pStyle w:val="TableText"/>
              <w:jc w:val="center"/>
              <w:rPr>
                <w:i/>
                <w:iCs/>
              </w:rPr>
            </w:pPr>
            <w:r w:rsidRPr="00463667">
              <w:rPr>
                <w:sz w:val="24"/>
              </w:rPr>
              <w:sym w:font="Wingdings" w:char="F0FC"/>
            </w:r>
          </w:p>
        </w:tc>
      </w:tr>
      <w:tr w:rsidR="00EB00B0" w:rsidRPr="00463667" w14:paraId="43A15149" w14:textId="77777777" w:rsidTr="004E5025">
        <w:tc>
          <w:tcPr>
            <w:tcW w:w="3698" w:type="dxa"/>
            <w:shd w:val="clear" w:color="auto" w:fill="FFFFFF" w:themeFill="background1"/>
          </w:tcPr>
          <w:p w14:paraId="505862B1" w14:textId="77777777" w:rsidR="00EB00B0" w:rsidRPr="00463667" w:rsidRDefault="00EB00B0" w:rsidP="00F578E0">
            <w:pPr>
              <w:pStyle w:val="TableText"/>
            </w:pPr>
            <w:r w:rsidRPr="00EB00B0">
              <w:t>Numerator events by supplemental data</w:t>
            </w:r>
          </w:p>
        </w:tc>
        <w:tc>
          <w:tcPr>
            <w:tcW w:w="2430" w:type="dxa"/>
            <w:shd w:val="clear" w:color="auto" w:fill="FFFFFF" w:themeFill="background1"/>
          </w:tcPr>
          <w:p w14:paraId="69CEF531" w14:textId="77777777" w:rsidR="00EB00B0" w:rsidRPr="00463667" w:rsidRDefault="00EB00B0" w:rsidP="00F578E0">
            <w:pPr>
              <w:pStyle w:val="TableText"/>
              <w:jc w:val="center"/>
              <w:rPr>
                <w:sz w:val="24"/>
              </w:rPr>
            </w:pPr>
            <w:r w:rsidRPr="00463667">
              <w:rPr>
                <w:sz w:val="24"/>
              </w:rPr>
              <w:sym w:font="Wingdings" w:char="F0FC"/>
            </w:r>
          </w:p>
        </w:tc>
      </w:tr>
      <w:tr w:rsidR="00B852BD" w:rsidRPr="00463667" w14:paraId="49FB7BBC" w14:textId="77777777" w:rsidTr="004E5025">
        <w:tc>
          <w:tcPr>
            <w:tcW w:w="3698" w:type="dxa"/>
            <w:shd w:val="clear" w:color="auto" w:fill="D9D9D9" w:themeFill="background1" w:themeFillShade="D9"/>
          </w:tcPr>
          <w:p w14:paraId="1EB83A5C" w14:textId="77777777" w:rsidR="00B852BD" w:rsidRPr="00463667" w:rsidRDefault="00B852BD" w:rsidP="00F578E0">
            <w:pPr>
              <w:pStyle w:val="TableText"/>
            </w:pPr>
            <w:r w:rsidRPr="00463667">
              <w:t>Reported rate</w:t>
            </w:r>
          </w:p>
        </w:tc>
        <w:tc>
          <w:tcPr>
            <w:tcW w:w="2430" w:type="dxa"/>
            <w:shd w:val="clear" w:color="auto" w:fill="D9D9D9" w:themeFill="background1" w:themeFillShade="D9"/>
          </w:tcPr>
          <w:p w14:paraId="1CA390EC" w14:textId="77777777" w:rsidR="00B852BD" w:rsidRPr="00463667" w:rsidRDefault="00B852BD" w:rsidP="00F578E0">
            <w:pPr>
              <w:pStyle w:val="TableText"/>
              <w:jc w:val="center"/>
              <w:rPr>
                <w:i/>
                <w:iCs/>
              </w:rPr>
            </w:pPr>
            <w:r w:rsidRPr="00463667">
              <w:rPr>
                <w:sz w:val="24"/>
              </w:rPr>
              <w:sym w:font="Wingdings" w:char="F0FC"/>
            </w:r>
          </w:p>
        </w:tc>
      </w:tr>
      <w:tr w:rsidR="00B852BD" w:rsidRPr="00463667" w14:paraId="6311396F" w14:textId="77777777" w:rsidTr="004E5025">
        <w:tc>
          <w:tcPr>
            <w:tcW w:w="3698" w:type="dxa"/>
            <w:tcBorders>
              <w:bottom w:val="single" w:sz="6" w:space="0" w:color="auto"/>
            </w:tcBorders>
            <w:shd w:val="clear" w:color="auto" w:fill="FFFFFF" w:themeFill="background1"/>
          </w:tcPr>
          <w:p w14:paraId="4FC6B882" w14:textId="77777777" w:rsidR="00B852BD" w:rsidRPr="00463667" w:rsidRDefault="00B852BD" w:rsidP="00F578E0">
            <w:pPr>
              <w:pStyle w:val="TableText"/>
            </w:pPr>
            <w:r w:rsidRPr="00463667">
              <w:t>Lower 95% confidence interval</w:t>
            </w:r>
          </w:p>
        </w:tc>
        <w:tc>
          <w:tcPr>
            <w:tcW w:w="2430" w:type="dxa"/>
            <w:tcBorders>
              <w:bottom w:val="single" w:sz="6" w:space="0" w:color="auto"/>
            </w:tcBorders>
            <w:shd w:val="clear" w:color="auto" w:fill="FFFFFF" w:themeFill="background1"/>
          </w:tcPr>
          <w:p w14:paraId="15A12B92" w14:textId="77777777" w:rsidR="00B852BD" w:rsidRPr="00463667" w:rsidRDefault="00B852BD" w:rsidP="00F578E0">
            <w:pPr>
              <w:pStyle w:val="TableText"/>
              <w:jc w:val="center"/>
              <w:rPr>
                <w:i/>
                <w:iCs/>
              </w:rPr>
            </w:pPr>
            <w:r w:rsidRPr="00463667">
              <w:rPr>
                <w:sz w:val="24"/>
              </w:rPr>
              <w:sym w:font="Wingdings" w:char="F0FC"/>
            </w:r>
          </w:p>
        </w:tc>
      </w:tr>
      <w:tr w:rsidR="00B852BD" w:rsidRPr="00463667" w14:paraId="601B1D32" w14:textId="77777777" w:rsidTr="004E5025">
        <w:tc>
          <w:tcPr>
            <w:tcW w:w="3698" w:type="dxa"/>
            <w:tcBorders>
              <w:bottom w:val="single" w:sz="6" w:space="0" w:color="auto"/>
            </w:tcBorders>
            <w:shd w:val="clear" w:color="auto" w:fill="D9D9D9" w:themeFill="background1" w:themeFillShade="D9"/>
          </w:tcPr>
          <w:p w14:paraId="26D53669" w14:textId="77777777" w:rsidR="00B852BD" w:rsidRPr="00463667" w:rsidRDefault="00B852BD" w:rsidP="00F578E0">
            <w:pPr>
              <w:pStyle w:val="TableText"/>
            </w:pPr>
            <w:r w:rsidRPr="00463667">
              <w:t>Upper 95% confidence interval</w:t>
            </w:r>
          </w:p>
        </w:tc>
        <w:tc>
          <w:tcPr>
            <w:tcW w:w="2430" w:type="dxa"/>
            <w:tcBorders>
              <w:bottom w:val="single" w:sz="6" w:space="0" w:color="auto"/>
            </w:tcBorders>
            <w:shd w:val="clear" w:color="auto" w:fill="D9D9D9" w:themeFill="background1" w:themeFillShade="D9"/>
          </w:tcPr>
          <w:p w14:paraId="5C9520E0" w14:textId="77777777" w:rsidR="00B852BD" w:rsidRPr="00463667" w:rsidRDefault="00B852BD" w:rsidP="00F578E0">
            <w:pPr>
              <w:pStyle w:val="TableText"/>
              <w:jc w:val="center"/>
              <w:rPr>
                <w:i/>
                <w:iCs/>
              </w:rPr>
            </w:pPr>
            <w:r w:rsidRPr="00463667">
              <w:rPr>
                <w:sz w:val="24"/>
              </w:rPr>
              <w:sym w:font="Wingdings" w:char="F0FC"/>
            </w:r>
          </w:p>
        </w:tc>
      </w:tr>
    </w:tbl>
    <w:p w14:paraId="0B3BEF9E" w14:textId="77777777" w:rsidR="00B852BD" w:rsidRPr="00463667" w:rsidRDefault="00B852BD" w:rsidP="00B852BD">
      <w:pPr>
        <w:pStyle w:val="Body"/>
        <w:sectPr w:rsidR="00B852BD" w:rsidRPr="00463667" w:rsidSect="007527F3">
          <w:pgSz w:w="12240" w:h="15840" w:code="1"/>
          <w:pgMar w:top="1080" w:right="1080" w:bottom="1080" w:left="1440" w:header="720" w:footer="720" w:gutter="0"/>
          <w:cols w:space="720"/>
          <w:docGrid w:linePitch="360"/>
        </w:sectPr>
      </w:pPr>
    </w:p>
    <w:p w14:paraId="15643BD2" w14:textId="77777777" w:rsidR="00B852BD" w:rsidRPr="00463667" w:rsidRDefault="00B852BD" w:rsidP="00B852BD">
      <w:pPr>
        <w:pStyle w:val="Heading2"/>
        <w:spacing w:after="120"/>
        <w:rPr>
          <w:rFonts w:cs="Arial"/>
          <w:bCs/>
          <w:iCs/>
        </w:rPr>
      </w:pPr>
      <w:bookmarkStart w:id="10" w:name="_Toc400546141"/>
      <w:r w:rsidRPr="003F7CDF">
        <w:rPr>
          <w:rFonts w:cs="Arial"/>
          <w:bCs/>
          <w:iCs/>
        </w:rPr>
        <w:lastRenderedPageBreak/>
        <w:t>Adherence to Antipsychotic Medications for Individuals With Schizophrenia (SAA)*</w:t>
      </w:r>
      <w:bookmarkEnd w:id="10"/>
    </w:p>
    <w:p w14:paraId="41579C57" w14:textId="77777777" w:rsidR="00B852BD" w:rsidRPr="00463667" w:rsidRDefault="00B852BD" w:rsidP="00B852BD">
      <w:pPr>
        <w:pStyle w:val="Body"/>
        <w:spacing w:after="360"/>
        <w:jc w:val="center"/>
      </w:pPr>
      <w:r w:rsidRPr="00463667">
        <w:t>*</w:t>
      </w:r>
      <w:r w:rsidRPr="00463667">
        <w:rPr>
          <w:i/>
        </w:rPr>
        <w:t>This CMS measure has been adapted for use in HEDIS.</w:t>
      </w:r>
    </w:p>
    <w:p w14:paraId="59158028" w14:textId="5976DB44" w:rsidR="00B852BD" w:rsidRPr="00463667" w:rsidRDefault="00B852BD" w:rsidP="00B53721">
      <w:pPr>
        <w:pStyle w:val="SOC"/>
        <w:rPr>
          <w:i/>
        </w:rPr>
      </w:pPr>
      <w:r w:rsidRPr="00463667">
        <w:t xml:space="preserve">Summary of Changes to HEDIS </w:t>
      </w:r>
      <w:r w:rsidR="00D0464F">
        <w:t>2016</w:t>
      </w:r>
    </w:p>
    <w:p w14:paraId="28E27478" w14:textId="40225F1D" w:rsidR="00A61681" w:rsidRPr="00A61681" w:rsidRDefault="00A61681" w:rsidP="00EB00B0">
      <w:pPr>
        <w:pStyle w:val="ProcessBullet"/>
        <w:rPr>
          <w:i/>
          <w:iCs/>
        </w:rPr>
      </w:pPr>
      <w:r>
        <w:rPr>
          <w:iCs/>
        </w:rPr>
        <w:t>Revised the IPSD time</w:t>
      </w:r>
      <w:r w:rsidR="00B44B50">
        <w:rPr>
          <w:iCs/>
        </w:rPr>
        <w:t xml:space="preserve"> </w:t>
      </w:r>
      <w:r>
        <w:rPr>
          <w:iCs/>
        </w:rPr>
        <w:t>frame.</w:t>
      </w:r>
    </w:p>
    <w:p w14:paraId="129AF5B1" w14:textId="496B0A40" w:rsidR="00B852BD" w:rsidRPr="00EB00B0" w:rsidRDefault="00EB00B0" w:rsidP="00624FE6">
      <w:pPr>
        <w:pStyle w:val="ProcessBullet"/>
        <w:spacing w:before="60"/>
        <w:rPr>
          <w:i/>
          <w:iCs/>
        </w:rPr>
      </w:pPr>
      <w:r>
        <w:t xml:space="preserve">Added </w:t>
      </w:r>
      <w:r w:rsidR="009F0DF0">
        <w:t>“</w:t>
      </w:r>
      <w:r>
        <w:t>Numerator events by supplemental data</w:t>
      </w:r>
      <w:r w:rsidR="009F0DF0">
        <w:t>”</w:t>
      </w:r>
      <w:r>
        <w:t xml:space="preserve"> to the Data Elements for Reporting table to capture the number of members who met numerator criteria using supplemental data. </w:t>
      </w:r>
    </w:p>
    <w:p w14:paraId="5DD02F76" w14:textId="77777777" w:rsidR="00B852BD" w:rsidRPr="00463667" w:rsidRDefault="00B852BD" w:rsidP="00B53721">
      <w:pPr>
        <w:pStyle w:val="ReverseHead"/>
      </w:pPr>
      <w:r w:rsidRPr="00463667">
        <w:t>Description</w:t>
      </w:r>
    </w:p>
    <w:p w14:paraId="16B9A97F" w14:textId="77777777" w:rsidR="00B852BD" w:rsidRPr="00463667" w:rsidRDefault="00B852BD" w:rsidP="00B852BD">
      <w:pPr>
        <w:pStyle w:val="Body"/>
      </w:pPr>
      <w:r w:rsidRPr="00463667">
        <w:t xml:space="preserve">The percentage of members 19–64 years of age during the measurement year with schizophrenia who were dispensed and </w:t>
      </w:r>
      <w:r w:rsidRPr="00463667">
        <w:rPr>
          <w:rFonts w:cs="Arial"/>
          <w:szCs w:val="20"/>
        </w:rPr>
        <w:t>remained on an antipsychotic medication for at least 80% of their treatment period</w:t>
      </w:r>
      <w:r w:rsidRPr="00463667">
        <w:t xml:space="preserve">. </w:t>
      </w:r>
    </w:p>
    <w:p w14:paraId="6BA828A1" w14:textId="77777777" w:rsidR="00B852BD" w:rsidRPr="00463667" w:rsidRDefault="00B852BD" w:rsidP="00B53721">
      <w:pPr>
        <w:pStyle w:val="ReverseHead"/>
      </w:pPr>
      <w:r w:rsidRPr="00463667">
        <w:t>Definitions</w:t>
      </w:r>
    </w:p>
    <w:tbl>
      <w:tblPr>
        <w:tblW w:w="9900" w:type="dxa"/>
        <w:tblInd w:w="-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2005"/>
        <w:gridCol w:w="7895"/>
      </w:tblGrid>
      <w:tr w:rsidR="00B852BD" w:rsidRPr="00463667" w14:paraId="683FEC3B" w14:textId="77777777" w:rsidTr="00F578E0">
        <w:tc>
          <w:tcPr>
            <w:tcW w:w="2005" w:type="dxa"/>
            <w:tcBorders>
              <w:top w:val="nil"/>
              <w:left w:val="nil"/>
              <w:bottom w:val="nil"/>
              <w:right w:val="nil"/>
            </w:tcBorders>
            <w:tcMar>
              <w:left w:w="115" w:type="dxa"/>
              <w:right w:w="115" w:type="dxa"/>
            </w:tcMar>
          </w:tcPr>
          <w:p w14:paraId="2D2B8ADF" w14:textId="77777777" w:rsidR="00B852BD" w:rsidRPr="00463667" w:rsidRDefault="00B852BD" w:rsidP="00F578E0">
            <w:pPr>
              <w:pStyle w:val="MarginSubhead"/>
            </w:pPr>
            <w:r w:rsidRPr="00463667">
              <w:t>IPSD</w:t>
            </w:r>
          </w:p>
        </w:tc>
        <w:tc>
          <w:tcPr>
            <w:tcW w:w="7895" w:type="dxa"/>
            <w:tcBorders>
              <w:top w:val="nil"/>
              <w:left w:val="nil"/>
              <w:bottom w:val="nil"/>
              <w:right w:val="nil"/>
            </w:tcBorders>
            <w:tcMar>
              <w:left w:w="115" w:type="dxa"/>
              <w:right w:w="115" w:type="dxa"/>
            </w:tcMar>
          </w:tcPr>
          <w:p w14:paraId="7A7B5384" w14:textId="2A75114B" w:rsidR="00B852BD" w:rsidRPr="00463667" w:rsidRDefault="00B852BD" w:rsidP="00A61681">
            <w:pPr>
              <w:pStyle w:val="Body"/>
            </w:pPr>
            <w:r w:rsidRPr="00463667">
              <w:t xml:space="preserve">Index prescription start date. The earliest prescription dispensing date for any antipsychotic medication </w:t>
            </w:r>
            <w:r w:rsidR="00A61681">
              <w:t>during the measurement year</w:t>
            </w:r>
            <w:r w:rsidRPr="00463667">
              <w:t>.</w:t>
            </w:r>
          </w:p>
        </w:tc>
      </w:tr>
      <w:tr w:rsidR="00B852BD" w:rsidRPr="00463667" w14:paraId="4F9BEF9F" w14:textId="77777777" w:rsidTr="00F578E0">
        <w:tc>
          <w:tcPr>
            <w:tcW w:w="2005" w:type="dxa"/>
            <w:tcBorders>
              <w:top w:val="nil"/>
              <w:left w:val="nil"/>
              <w:bottom w:val="nil"/>
              <w:right w:val="nil"/>
            </w:tcBorders>
            <w:tcMar>
              <w:left w:w="115" w:type="dxa"/>
              <w:right w:w="115" w:type="dxa"/>
            </w:tcMar>
          </w:tcPr>
          <w:p w14:paraId="7756883E" w14:textId="77777777" w:rsidR="00B852BD" w:rsidRPr="00463667" w:rsidRDefault="00B852BD" w:rsidP="00F578E0">
            <w:pPr>
              <w:pStyle w:val="MarginSubhead"/>
            </w:pPr>
            <w:r w:rsidRPr="00463667">
              <w:t xml:space="preserve">Treatment period </w:t>
            </w:r>
          </w:p>
        </w:tc>
        <w:tc>
          <w:tcPr>
            <w:tcW w:w="7895" w:type="dxa"/>
            <w:tcBorders>
              <w:top w:val="nil"/>
              <w:left w:val="nil"/>
              <w:bottom w:val="nil"/>
              <w:right w:val="nil"/>
            </w:tcBorders>
            <w:tcMar>
              <w:left w:w="115" w:type="dxa"/>
              <w:right w:w="115" w:type="dxa"/>
            </w:tcMar>
          </w:tcPr>
          <w:p w14:paraId="4DB5B98B" w14:textId="77777777" w:rsidR="00B852BD" w:rsidRPr="00463667" w:rsidRDefault="00B852BD" w:rsidP="00F578E0">
            <w:pPr>
              <w:pStyle w:val="Body"/>
            </w:pPr>
            <w:r w:rsidRPr="00463667">
              <w:t xml:space="preserve">The period of time beginning on the IPSD through the last day of the measurement year. </w:t>
            </w:r>
          </w:p>
        </w:tc>
      </w:tr>
      <w:tr w:rsidR="00B852BD" w:rsidRPr="00463667" w14:paraId="32993D89" w14:textId="77777777" w:rsidTr="00F578E0">
        <w:tc>
          <w:tcPr>
            <w:tcW w:w="2005" w:type="dxa"/>
            <w:tcBorders>
              <w:top w:val="nil"/>
              <w:left w:val="nil"/>
              <w:bottom w:val="nil"/>
              <w:right w:val="nil"/>
            </w:tcBorders>
            <w:tcMar>
              <w:left w:w="115" w:type="dxa"/>
              <w:right w:w="115" w:type="dxa"/>
            </w:tcMar>
          </w:tcPr>
          <w:p w14:paraId="2C4496B5" w14:textId="77777777" w:rsidR="00B852BD" w:rsidRPr="00463667" w:rsidRDefault="00B852BD" w:rsidP="00F578E0">
            <w:pPr>
              <w:pStyle w:val="MarginSubhead"/>
            </w:pPr>
            <w:r w:rsidRPr="00463667">
              <w:t>PDC</w:t>
            </w:r>
          </w:p>
        </w:tc>
        <w:tc>
          <w:tcPr>
            <w:tcW w:w="7895" w:type="dxa"/>
            <w:tcBorders>
              <w:top w:val="nil"/>
              <w:left w:val="nil"/>
              <w:bottom w:val="nil"/>
              <w:right w:val="nil"/>
            </w:tcBorders>
            <w:tcMar>
              <w:left w:w="115" w:type="dxa"/>
              <w:right w:w="115" w:type="dxa"/>
            </w:tcMar>
          </w:tcPr>
          <w:p w14:paraId="5E565F77" w14:textId="77777777" w:rsidR="00B852BD" w:rsidRPr="00463667" w:rsidRDefault="00B852BD" w:rsidP="00F578E0">
            <w:pPr>
              <w:pStyle w:val="Body"/>
            </w:pPr>
            <w:r w:rsidRPr="00463667">
              <w:t>Proportion of days covered. The number of days a member is covered by at least one antipsychotic medication prescription, divided by the number of days in the treatment period.</w:t>
            </w:r>
          </w:p>
        </w:tc>
      </w:tr>
      <w:tr w:rsidR="00B852BD" w:rsidRPr="00463667" w14:paraId="03EC24DA" w14:textId="77777777" w:rsidTr="00F578E0">
        <w:tc>
          <w:tcPr>
            <w:tcW w:w="2005" w:type="dxa"/>
            <w:tcBorders>
              <w:top w:val="nil"/>
              <w:left w:val="nil"/>
              <w:bottom w:val="nil"/>
              <w:right w:val="nil"/>
            </w:tcBorders>
            <w:tcMar>
              <w:left w:w="115" w:type="dxa"/>
              <w:right w:w="115" w:type="dxa"/>
            </w:tcMar>
          </w:tcPr>
          <w:p w14:paraId="3BDA7A6D" w14:textId="77777777" w:rsidR="00B852BD" w:rsidRPr="00463667" w:rsidRDefault="00B852BD" w:rsidP="00F578E0">
            <w:pPr>
              <w:pStyle w:val="MarginSubhead"/>
            </w:pPr>
            <w:r w:rsidRPr="00463667">
              <w:t>Oral medication dispensing event</w:t>
            </w:r>
          </w:p>
        </w:tc>
        <w:tc>
          <w:tcPr>
            <w:tcW w:w="7895" w:type="dxa"/>
            <w:tcBorders>
              <w:top w:val="nil"/>
              <w:left w:val="nil"/>
              <w:bottom w:val="nil"/>
              <w:right w:val="nil"/>
            </w:tcBorders>
            <w:tcMar>
              <w:left w:w="115" w:type="dxa"/>
              <w:right w:w="115" w:type="dxa"/>
            </w:tcMar>
          </w:tcPr>
          <w:p w14:paraId="47977047" w14:textId="77777777" w:rsidR="00B852BD" w:rsidRPr="00463667" w:rsidRDefault="00B852BD" w:rsidP="00F578E0">
            <w:pPr>
              <w:pStyle w:val="Body"/>
            </w:pPr>
            <w:r w:rsidRPr="00463667">
              <w:t xml:space="preserve">One prescription of an amount lasting 30 days or less. To calculate dispensing events for prescriptions longer than 30 days, divide the days supply by 30 and round down to convert. For example, a 100-day prescription is equal to three dispensing events. </w:t>
            </w:r>
          </w:p>
          <w:p w14:paraId="17BB34FA" w14:textId="77777777" w:rsidR="00B852BD" w:rsidRPr="00463667" w:rsidRDefault="00B852BD" w:rsidP="00F578E0">
            <w:pPr>
              <w:pStyle w:val="Body"/>
            </w:pPr>
            <w:r w:rsidRPr="00463667">
              <w:t>Multiple prescriptions for different medications dispensed on the same day are counted as separate dispensing events. If multiple prescriptions for the same medication are dispensed on the same day, use the prescription with the longest days supply. Use the Drug ID to determine if the prescriptions are the same or different.</w:t>
            </w:r>
          </w:p>
        </w:tc>
      </w:tr>
      <w:tr w:rsidR="00B852BD" w:rsidRPr="00463667" w14:paraId="0E53301F" w14:textId="77777777" w:rsidTr="00F578E0">
        <w:tc>
          <w:tcPr>
            <w:tcW w:w="2005" w:type="dxa"/>
            <w:tcBorders>
              <w:top w:val="nil"/>
              <w:left w:val="nil"/>
              <w:bottom w:val="nil"/>
              <w:right w:val="nil"/>
            </w:tcBorders>
            <w:tcMar>
              <w:left w:w="115" w:type="dxa"/>
              <w:right w:w="115" w:type="dxa"/>
            </w:tcMar>
          </w:tcPr>
          <w:p w14:paraId="154E845B" w14:textId="77777777" w:rsidR="00B852BD" w:rsidRPr="00463667" w:rsidRDefault="00B852BD" w:rsidP="00F578E0">
            <w:pPr>
              <w:pStyle w:val="MarginSubhead"/>
            </w:pPr>
            <w:r w:rsidRPr="00463667">
              <w:t>Long-acting injections dispensing event</w:t>
            </w:r>
          </w:p>
        </w:tc>
        <w:tc>
          <w:tcPr>
            <w:tcW w:w="7895" w:type="dxa"/>
            <w:tcBorders>
              <w:top w:val="nil"/>
              <w:left w:val="nil"/>
              <w:bottom w:val="nil"/>
              <w:right w:val="nil"/>
            </w:tcBorders>
            <w:tcMar>
              <w:left w:w="115" w:type="dxa"/>
              <w:right w:w="115" w:type="dxa"/>
            </w:tcMar>
          </w:tcPr>
          <w:p w14:paraId="003863A4" w14:textId="77777777" w:rsidR="00B852BD" w:rsidRPr="00463667" w:rsidRDefault="00B852BD" w:rsidP="00F578E0">
            <w:pPr>
              <w:pStyle w:val="Body"/>
            </w:pPr>
            <w:r w:rsidRPr="00463667">
              <w:t xml:space="preserve">Injections count as one dispensing event. Multiple J codes or NDCs for the same or different medication on the same day are counted as a single dispensing event. </w:t>
            </w:r>
          </w:p>
        </w:tc>
      </w:tr>
      <w:tr w:rsidR="00B852BD" w:rsidRPr="00463667" w14:paraId="5733A097" w14:textId="77777777" w:rsidTr="00F578E0">
        <w:tc>
          <w:tcPr>
            <w:tcW w:w="2005" w:type="dxa"/>
            <w:tcBorders>
              <w:top w:val="nil"/>
              <w:left w:val="nil"/>
              <w:bottom w:val="nil"/>
              <w:right w:val="nil"/>
            </w:tcBorders>
            <w:tcMar>
              <w:left w:w="115" w:type="dxa"/>
              <w:right w:w="115" w:type="dxa"/>
            </w:tcMar>
          </w:tcPr>
          <w:p w14:paraId="2869C8D1" w14:textId="77777777" w:rsidR="00B852BD" w:rsidRPr="00463667" w:rsidRDefault="00B852BD" w:rsidP="00F578E0">
            <w:pPr>
              <w:pStyle w:val="MarginSubhead"/>
            </w:pPr>
            <w:r w:rsidRPr="00463667">
              <w:rPr>
                <w:snapToGrid w:val="0"/>
              </w:rPr>
              <w:t>Calculating number of days covered for oral medications</w:t>
            </w:r>
          </w:p>
        </w:tc>
        <w:tc>
          <w:tcPr>
            <w:tcW w:w="7895" w:type="dxa"/>
            <w:tcBorders>
              <w:top w:val="nil"/>
              <w:left w:val="nil"/>
              <w:bottom w:val="nil"/>
              <w:right w:val="nil"/>
            </w:tcBorders>
            <w:tcMar>
              <w:left w:w="115" w:type="dxa"/>
              <w:right w:w="115" w:type="dxa"/>
            </w:tcMar>
          </w:tcPr>
          <w:p w14:paraId="7D49BA91" w14:textId="77777777" w:rsidR="00B852BD" w:rsidRPr="00463667" w:rsidRDefault="00B852BD" w:rsidP="00F578E0">
            <w:pPr>
              <w:pStyle w:val="Body"/>
            </w:pPr>
            <w:r w:rsidRPr="00EB11D9">
              <w:rPr>
                <w:i/>
              </w:rPr>
              <w:t>If multiple prescriptions for the same or different oral medications are dispensed on the same day,</w:t>
            </w:r>
            <w:r w:rsidRPr="00463667">
              <w:t xml:space="preserve"> calculate number of days covered by an antipsychotic medication (for the numerator) using the prescription with the longest days supply. </w:t>
            </w:r>
          </w:p>
          <w:p w14:paraId="10874B62" w14:textId="77777777" w:rsidR="00B852BD" w:rsidRPr="00463667" w:rsidRDefault="00B852BD" w:rsidP="00F578E0">
            <w:pPr>
              <w:pStyle w:val="Body"/>
            </w:pPr>
            <w:r w:rsidRPr="00EB11D9">
              <w:rPr>
                <w:i/>
              </w:rPr>
              <w:t xml:space="preserve">If multiple prescriptions for different oral medications are dispensed on different days, </w:t>
            </w:r>
            <w:r w:rsidRPr="00463667">
              <w:t xml:space="preserve">count each day within the treatment period only once toward the numerator. </w:t>
            </w:r>
          </w:p>
          <w:p w14:paraId="3163A813" w14:textId="18C1801A" w:rsidR="00B852BD" w:rsidRPr="00463667" w:rsidRDefault="00B852BD" w:rsidP="00624FE6">
            <w:pPr>
              <w:pStyle w:val="Body"/>
            </w:pPr>
            <w:r w:rsidRPr="00EB11D9">
              <w:rPr>
                <w:i/>
              </w:rPr>
              <w:t xml:space="preserve">If multiple prescriptions for the same oral medication are dispensed on different days, </w:t>
            </w:r>
            <w:r w:rsidRPr="00463667">
              <w:t xml:space="preserve">sum the days supply and use the total to calculate the number of days covered by an antipsychotic medication (for the numerator). For example, if three antipsychotic </w:t>
            </w:r>
          </w:p>
        </w:tc>
      </w:tr>
    </w:tbl>
    <w:p w14:paraId="72A4A9D4" w14:textId="77777777" w:rsidR="00B852BD" w:rsidRPr="00463667" w:rsidRDefault="00B852BD" w:rsidP="00B852BD">
      <w:pPr>
        <w:sectPr w:rsidR="00B852BD" w:rsidRPr="00463667" w:rsidSect="007527F3">
          <w:headerReference w:type="even" r:id="rId69"/>
          <w:headerReference w:type="default" r:id="rId70"/>
          <w:pgSz w:w="12240" w:h="15840" w:code="1"/>
          <w:pgMar w:top="1080" w:right="1080" w:bottom="1080" w:left="1440" w:header="720" w:footer="720" w:gutter="0"/>
          <w:cols w:space="720"/>
          <w:docGrid w:linePitch="360"/>
        </w:sectPr>
      </w:pPr>
    </w:p>
    <w:tbl>
      <w:tblPr>
        <w:tblW w:w="9925" w:type="dxa"/>
        <w:tblInd w:w="-9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80" w:type="dxa"/>
          <w:right w:w="180" w:type="dxa"/>
        </w:tblCellMar>
        <w:tblLook w:val="0000" w:firstRow="0" w:lastRow="0" w:firstColumn="0" w:lastColumn="0" w:noHBand="0" w:noVBand="0"/>
      </w:tblPr>
      <w:tblGrid>
        <w:gridCol w:w="2005"/>
        <w:gridCol w:w="7920"/>
      </w:tblGrid>
      <w:tr w:rsidR="00B852BD" w:rsidRPr="00463667" w14:paraId="1F2C9A0A" w14:textId="77777777" w:rsidTr="00F578E0">
        <w:tc>
          <w:tcPr>
            <w:tcW w:w="2005" w:type="dxa"/>
            <w:tcBorders>
              <w:top w:val="nil"/>
              <w:left w:val="nil"/>
              <w:bottom w:val="nil"/>
              <w:right w:val="nil"/>
            </w:tcBorders>
            <w:tcMar>
              <w:left w:w="115" w:type="dxa"/>
              <w:right w:w="115" w:type="dxa"/>
            </w:tcMar>
          </w:tcPr>
          <w:p w14:paraId="32141637" w14:textId="77777777" w:rsidR="00B852BD" w:rsidRPr="00463667" w:rsidRDefault="00B852BD" w:rsidP="00F578E0">
            <w:pPr>
              <w:pStyle w:val="MarginSubhead"/>
              <w:rPr>
                <w:snapToGrid w:val="0"/>
              </w:rPr>
            </w:pPr>
          </w:p>
        </w:tc>
        <w:tc>
          <w:tcPr>
            <w:tcW w:w="7920" w:type="dxa"/>
            <w:tcBorders>
              <w:top w:val="nil"/>
              <w:left w:val="nil"/>
              <w:bottom w:val="nil"/>
              <w:right w:val="nil"/>
            </w:tcBorders>
            <w:tcMar>
              <w:left w:w="115" w:type="dxa"/>
              <w:right w:w="115" w:type="dxa"/>
            </w:tcMar>
          </w:tcPr>
          <w:p w14:paraId="525C32C5" w14:textId="6CA42C94" w:rsidR="00624FE6" w:rsidRDefault="00624FE6" w:rsidP="00F578E0">
            <w:pPr>
              <w:pStyle w:val="Body"/>
              <w:spacing w:before="0"/>
            </w:pPr>
            <w:r w:rsidRPr="00624FE6">
              <w:t>prescriptions for the same oral medication are dispensed on different days, each with a 30-day supply; sum the days supply for a total of 90 days covered by an oral antipsychotic (even if there is overlap).</w:t>
            </w:r>
          </w:p>
          <w:p w14:paraId="47A4FA8C" w14:textId="77777777" w:rsidR="00B852BD" w:rsidRPr="00463667" w:rsidRDefault="00B852BD" w:rsidP="00624FE6">
            <w:pPr>
              <w:pStyle w:val="Body"/>
            </w:pPr>
            <w:r w:rsidRPr="00463667">
              <w:t>Use the Drug ID provided on the NDC list to determine if the prescriptions are the same or different.</w:t>
            </w:r>
          </w:p>
        </w:tc>
      </w:tr>
      <w:tr w:rsidR="00B852BD" w:rsidRPr="00463667" w14:paraId="707062D3" w14:textId="77777777" w:rsidTr="00F578E0">
        <w:tc>
          <w:tcPr>
            <w:tcW w:w="2005" w:type="dxa"/>
            <w:tcBorders>
              <w:top w:val="nil"/>
              <w:left w:val="nil"/>
              <w:bottom w:val="nil"/>
              <w:right w:val="nil"/>
            </w:tcBorders>
            <w:tcMar>
              <w:left w:w="115" w:type="dxa"/>
              <w:right w:w="115" w:type="dxa"/>
            </w:tcMar>
          </w:tcPr>
          <w:p w14:paraId="0D1E288F" w14:textId="77777777" w:rsidR="00B852BD" w:rsidRPr="00463667" w:rsidRDefault="00B852BD" w:rsidP="00F578E0">
            <w:pPr>
              <w:pStyle w:val="MarginSubhead"/>
              <w:rPr>
                <w:snapToGrid w:val="0"/>
              </w:rPr>
            </w:pPr>
            <w:r w:rsidRPr="00463667">
              <w:rPr>
                <w:snapToGrid w:val="0"/>
              </w:rPr>
              <w:t>Calculating number of days covered for long-acting injections</w:t>
            </w:r>
          </w:p>
        </w:tc>
        <w:tc>
          <w:tcPr>
            <w:tcW w:w="7920" w:type="dxa"/>
            <w:tcBorders>
              <w:top w:val="nil"/>
              <w:left w:val="nil"/>
              <w:bottom w:val="nil"/>
              <w:right w:val="nil"/>
            </w:tcBorders>
            <w:tcMar>
              <w:left w:w="115" w:type="dxa"/>
              <w:right w:w="115" w:type="dxa"/>
            </w:tcMar>
          </w:tcPr>
          <w:p w14:paraId="52ADC484" w14:textId="77777777" w:rsidR="00624FE6" w:rsidRDefault="00B852BD" w:rsidP="00F578E0">
            <w:pPr>
              <w:pStyle w:val="Body"/>
            </w:pPr>
            <w:r w:rsidRPr="00463667">
              <w:t>Calculate number of days covered (for the numerator) for long-acting injections using the days supply specified for the medication in Table SAA-A or in the value set name.</w:t>
            </w:r>
          </w:p>
          <w:p w14:paraId="57B411A2" w14:textId="77777777" w:rsidR="00624FE6" w:rsidRDefault="00B852BD" w:rsidP="00F578E0">
            <w:pPr>
              <w:pStyle w:val="Body"/>
            </w:pPr>
            <w:r w:rsidRPr="006740AA">
              <w:rPr>
                <w:i/>
              </w:rPr>
              <w:t>For multiple J Codes or NDCs for the same or different medications on the same day,</w:t>
            </w:r>
            <w:r w:rsidRPr="00463667">
              <w:t xml:space="preserve"> use the medication with the longest days supply. </w:t>
            </w:r>
          </w:p>
          <w:p w14:paraId="5906AEE5" w14:textId="32155928" w:rsidR="00B852BD" w:rsidRPr="00463667" w:rsidRDefault="00B852BD" w:rsidP="00F578E0">
            <w:pPr>
              <w:pStyle w:val="Body"/>
            </w:pPr>
            <w:r w:rsidRPr="006740AA">
              <w:rPr>
                <w:i/>
              </w:rPr>
              <w:t xml:space="preserve">For multiple J Codes or NDCs for the same or different medications on different days </w:t>
            </w:r>
            <w:r w:rsidRPr="00463667">
              <w:t xml:space="preserve">with overlapping days supply, count each day within the treatment period only once toward the numerator. </w:t>
            </w:r>
          </w:p>
        </w:tc>
      </w:tr>
    </w:tbl>
    <w:p w14:paraId="228C3E7A" w14:textId="77777777" w:rsidR="00B852BD" w:rsidRPr="00463667" w:rsidRDefault="00B852BD" w:rsidP="00B53721">
      <w:pPr>
        <w:pStyle w:val="ReverseHead"/>
      </w:pPr>
      <w:r w:rsidRPr="00463667">
        <w:t>Eligible Population</w:t>
      </w:r>
    </w:p>
    <w:tbl>
      <w:tblPr>
        <w:tblW w:w="9918" w:type="dxa"/>
        <w:tblInd w:w="-90" w:type="dxa"/>
        <w:tblLayout w:type="fixed"/>
        <w:tblLook w:val="0000" w:firstRow="0" w:lastRow="0" w:firstColumn="0" w:lastColumn="0" w:noHBand="0" w:noVBand="0"/>
      </w:tblPr>
      <w:tblGrid>
        <w:gridCol w:w="1998"/>
        <w:gridCol w:w="7920"/>
      </w:tblGrid>
      <w:tr w:rsidR="00B852BD" w:rsidRPr="00463667" w14:paraId="03BEC305" w14:textId="77777777" w:rsidTr="00F578E0">
        <w:tc>
          <w:tcPr>
            <w:tcW w:w="1998" w:type="dxa"/>
          </w:tcPr>
          <w:p w14:paraId="794591AD" w14:textId="77777777" w:rsidR="00B852BD" w:rsidRPr="00463667" w:rsidRDefault="00B852BD" w:rsidP="00F578E0">
            <w:pPr>
              <w:pStyle w:val="MarginSubhead"/>
            </w:pPr>
            <w:r w:rsidRPr="00463667">
              <w:t>Product lines</w:t>
            </w:r>
          </w:p>
        </w:tc>
        <w:tc>
          <w:tcPr>
            <w:tcW w:w="7920" w:type="dxa"/>
          </w:tcPr>
          <w:p w14:paraId="7CF2A55C" w14:textId="77777777" w:rsidR="00B852BD" w:rsidRPr="00463667" w:rsidRDefault="00B852BD" w:rsidP="00F578E0">
            <w:pPr>
              <w:pStyle w:val="Body"/>
              <w:tabs>
                <w:tab w:val="left" w:pos="6344"/>
              </w:tabs>
            </w:pPr>
            <w:r w:rsidRPr="00463667">
              <w:t>Medicaid.</w:t>
            </w:r>
          </w:p>
        </w:tc>
      </w:tr>
      <w:tr w:rsidR="00B852BD" w:rsidRPr="00463667" w14:paraId="1C3D6154" w14:textId="77777777" w:rsidTr="00F578E0">
        <w:tc>
          <w:tcPr>
            <w:tcW w:w="1998" w:type="dxa"/>
          </w:tcPr>
          <w:p w14:paraId="484C4F63" w14:textId="77777777" w:rsidR="00B852BD" w:rsidRPr="00463667" w:rsidRDefault="00B852BD" w:rsidP="00F578E0">
            <w:pPr>
              <w:pStyle w:val="MarginSubhead"/>
            </w:pPr>
            <w:r w:rsidRPr="00463667">
              <w:t>Ages</w:t>
            </w:r>
          </w:p>
        </w:tc>
        <w:tc>
          <w:tcPr>
            <w:tcW w:w="7920" w:type="dxa"/>
          </w:tcPr>
          <w:p w14:paraId="328E6820" w14:textId="77777777" w:rsidR="00B852BD" w:rsidRPr="00463667" w:rsidRDefault="00B852BD" w:rsidP="00F578E0">
            <w:pPr>
              <w:pStyle w:val="Body"/>
              <w:rPr>
                <w:bCs/>
              </w:rPr>
            </w:pPr>
            <w:r w:rsidRPr="00463667">
              <w:rPr>
                <w:bCs/>
              </w:rPr>
              <w:t>19–64 years of age as of December 31 of the measurement year.</w:t>
            </w:r>
          </w:p>
        </w:tc>
      </w:tr>
      <w:tr w:rsidR="00B852BD" w:rsidRPr="00463667" w14:paraId="17AF9627" w14:textId="77777777" w:rsidTr="00F578E0">
        <w:tc>
          <w:tcPr>
            <w:tcW w:w="1998" w:type="dxa"/>
          </w:tcPr>
          <w:p w14:paraId="79CB94DA" w14:textId="77777777" w:rsidR="00B852BD" w:rsidRPr="00463667" w:rsidRDefault="00B852BD" w:rsidP="00F578E0">
            <w:pPr>
              <w:pStyle w:val="MarginSubhead"/>
            </w:pPr>
            <w:r w:rsidRPr="00463667">
              <w:t>Continuous enrollment</w:t>
            </w:r>
          </w:p>
        </w:tc>
        <w:tc>
          <w:tcPr>
            <w:tcW w:w="7920" w:type="dxa"/>
          </w:tcPr>
          <w:p w14:paraId="121A5806" w14:textId="77777777" w:rsidR="00B852BD" w:rsidRPr="00463667" w:rsidRDefault="00B852BD" w:rsidP="00F578E0">
            <w:pPr>
              <w:pStyle w:val="Body"/>
            </w:pPr>
            <w:r w:rsidRPr="00463667">
              <w:t>The measurement year.</w:t>
            </w:r>
          </w:p>
        </w:tc>
      </w:tr>
      <w:tr w:rsidR="00B852BD" w:rsidRPr="00463667" w14:paraId="29C1200D" w14:textId="77777777" w:rsidTr="00F578E0">
        <w:tc>
          <w:tcPr>
            <w:tcW w:w="1998" w:type="dxa"/>
          </w:tcPr>
          <w:p w14:paraId="462023F2" w14:textId="77777777" w:rsidR="00B852BD" w:rsidRPr="00463667" w:rsidRDefault="00B852BD" w:rsidP="00F578E0">
            <w:pPr>
              <w:pStyle w:val="MarginSubhead"/>
            </w:pPr>
            <w:r w:rsidRPr="00463667">
              <w:t>Allowable gap</w:t>
            </w:r>
          </w:p>
        </w:tc>
        <w:tc>
          <w:tcPr>
            <w:tcW w:w="7920" w:type="dxa"/>
          </w:tcPr>
          <w:p w14:paraId="5A0FC338" w14:textId="77777777" w:rsidR="00B852BD" w:rsidRPr="00463667" w:rsidRDefault="00B852BD" w:rsidP="00F578E0">
            <w:pPr>
              <w:pStyle w:val="Body"/>
              <w:rPr>
                <w:rFonts w:cs="Arial"/>
              </w:rPr>
            </w:pPr>
            <w:r w:rsidRPr="00463667">
              <w:rPr>
                <w:rFonts w:cs="Arial"/>
                <w:bCs/>
              </w:rPr>
              <w:t xml:space="preserve">No more than one gap in enrollment of up to 45 days during the measurement year. </w:t>
            </w:r>
            <w:r w:rsidRPr="00463667">
              <w:rPr>
                <w:rFonts w:cs="Arial"/>
                <w:bCs/>
              </w:rPr>
              <w:br/>
              <w:t xml:space="preserve">To determine continuous enrollment for a Medicaid beneficiary for whom enrollment is verified monthly, the member may not have more than a 1-month gap in coverage </w:t>
            </w:r>
            <w:r w:rsidRPr="00463667">
              <w:rPr>
                <w:rFonts w:cs="Arial"/>
                <w:bCs/>
              </w:rPr>
              <w:br/>
              <w:t>(i.e., a member whose coverage lapses for 2 months [60 days] is not considered continuously enrolled).</w:t>
            </w:r>
          </w:p>
        </w:tc>
      </w:tr>
      <w:tr w:rsidR="00B852BD" w:rsidRPr="00463667" w14:paraId="0775CB13" w14:textId="77777777" w:rsidTr="00F578E0">
        <w:tc>
          <w:tcPr>
            <w:tcW w:w="1998" w:type="dxa"/>
          </w:tcPr>
          <w:p w14:paraId="70F74AFE" w14:textId="77777777" w:rsidR="00B852BD" w:rsidRPr="00463667" w:rsidRDefault="00B852BD" w:rsidP="00F578E0">
            <w:pPr>
              <w:pStyle w:val="MarginSubhead"/>
            </w:pPr>
            <w:r w:rsidRPr="00463667">
              <w:t>Anchor date</w:t>
            </w:r>
          </w:p>
        </w:tc>
        <w:tc>
          <w:tcPr>
            <w:tcW w:w="7920" w:type="dxa"/>
          </w:tcPr>
          <w:p w14:paraId="5A04DBEC" w14:textId="77777777" w:rsidR="00B852BD" w:rsidRPr="00463667" w:rsidRDefault="00B852BD" w:rsidP="00F578E0">
            <w:pPr>
              <w:pStyle w:val="Body"/>
            </w:pPr>
            <w:r w:rsidRPr="00463667">
              <w:t xml:space="preserve">December 31 of the measurement year. </w:t>
            </w:r>
          </w:p>
        </w:tc>
      </w:tr>
      <w:tr w:rsidR="00B852BD" w:rsidRPr="00463667" w14:paraId="53A8C0A3" w14:textId="77777777" w:rsidTr="00F578E0">
        <w:tc>
          <w:tcPr>
            <w:tcW w:w="1998" w:type="dxa"/>
          </w:tcPr>
          <w:p w14:paraId="4CFC3F50" w14:textId="77777777" w:rsidR="00B852BD" w:rsidRPr="00463667" w:rsidRDefault="00B852BD" w:rsidP="00F578E0">
            <w:pPr>
              <w:pStyle w:val="MarginSubhead"/>
            </w:pPr>
            <w:r w:rsidRPr="00463667">
              <w:t>Benefits</w:t>
            </w:r>
          </w:p>
        </w:tc>
        <w:tc>
          <w:tcPr>
            <w:tcW w:w="7920" w:type="dxa"/>
          </w:tcPr>
          <w:p w14:paraId="0415CEBC" w14:textId="77777777" w:rsidR="00B852BD" w:rsidRPr="00463667" w:rsidRDefault="00B852BD" w:rsidP="00F578E0">
            <w:pPr>
              <w:pStyle w:val="Body"/>
            </w:pPr>
            <w:r w:rsidRPr="00463667">
              <w:t>Medical and pharmacy.</w:t>
            </w:r>
          </w:p>
        </w:tc>
      </w:tr>
      <w:tr w:rsidR="00B852BD" w:rsidRPr="00463667" w14:paraId="3EE6E5DE" w14:textId="77777777" w:rsidTr="00F578E0">
        <w:tc>
          <w:tcPr>
            <w:tcW w:w="1998" w:type="dxa"/>
          </w:tcPr>
          <w:p w14:paraId="0BF30BDA" w14:textId="77777777" w:rsidR="00B852BD" w:rsidRPr="00463667" w:rsidRDefault="00B852BD" w:rsidP="00F578E0">
            <w:pPr>
              <w:pStyle w:val="MarginSubhead"/>
            </w:pPr>
            <w:r w:rsidRPr="00463667">
              <w:t>Event/ diagnosis</w:t>
            </w:r>
          </w:p>
        </w:tc>
        <w:tc>
          <w:tcPr>
            <w:tcW w:w="7920" w:type="dxa"/>
          </w:tcPr>
          <w:p w14:paraId="061A6D7C" w14:textId="77777777" w:rsidR="00B852BD" w:rsidRPr="00463667" w:rsidRDefault="00B852BD" w:rsidP="00F578E0">
            <w:pPr>
              <w:pStyle w:val="Body"/>
              <w:rPr>
                <w:rFonts w:ascii="Arial-BoldMT" w:hAnsi="Arial-BoldMT" w:cs="Arial-BoldMT"/>
                <w:bCs/>
              </w:rPr>
            </w:pPr>
            <w:r w:rsidRPr="00463667">
              <w:t>Follow the steps below to identify the eligible population.</w:t>
            </w:r>
          </w:p>
        </w:tc>
      </w:tr>
      <w:tr w:rsidR="00B852BD" w:rsidRPr="00463667" w14:paraId="34F617F5" w14:textId="77777777" w:rsidTr="00F578E0">
        <w:tc>
          <w:tcPr>
            <w:tcW w:w="1998" w:type="dxa"/>
          </w:tcPr>
          <w:p w14:paraId="3B0D5BDA" w14:textId="77777777" w:rsidR="00B852BD" w:rsidRPr="00463667" w:rsidRDefault="00B852BD" w:rsidP="00F578E0">
            <w:pPr>
              <w:pStyle w:val="MarginSubhead"/>
              <w:jc w:val="right"/>
              <w:rPr>
                <w:i/>
              </w:rPr>
            </w:pPr>
            <w:r w:rsidRPr="00463667">
              <w:rPr>
                <w:i/>
              </w:rPr>
              <w:t>Step 1</w:t>
            </w:r>
          </w:p>
        </w:tc>
        <w:tc>
          <w:tcPr>
            <w:tcW w:w="7920" w:type="dxa"/>
          </w:tcPr>
          <w:p w14:paraId="0A898ABF" w14:textId="77777777" w:rsidR="00B852BD" w:rsidRPr="00463667" w:rsidRDefault="00B852BD" w:rsidP="00F578E0">
            <w:pPr>
              <w:pStyle w:val="Body"/>
              <w:rPr>
                <w:rFonts w:ascii="Arial-BoldMT" w:hAnsi="Arial-BoldMT" w:cs="Arial-BoldMT"/>
                <w:bCs/>
              </w:rPr>
            </w:pPr>
            <w:r w:rsidRPr="00463667">
              <w:rPr>
                <w:rFonts w:ascii="Arial-BoldMT" w:hAnsi="Arial-BoldMT" w:cs="Arial-BoldMT"/>
                <w:bCs/>
              </w:rPr>
              <w:t>Identify members with schizophrenia as those who met at least one of the following criteria during the measurement year:</w:t>
            </w:r>
          </w:p>
          <w:p w14:paraId="599C7EFA" w14:textId="77777777" w:rsidR="00B852BD" w:rsidRPr="00463667" w:rsidRDefault="00B852BD" w:rsidP="00A61681">
            <w:pPr>
              <w:pStyle w:val="Bullet"/>
            </w:pPr>
            <w:r w:rsidRPr="00463667">
              <w:t>At least one acute inpatient encounter with any diagnosis of schizophrenia. Either of the following code combinations meets criteria:</w:t>
            </w:r>
          </w:p>
          <w:p w14:paraId="63C0227F" w14:textId="77777777" w:rsidR="00B852BD" w:rsidRPr="00463667" w:rsidRDefault="00B852BD" w:rsidP="00F578E0">
            <w:pPr>
              <w:pStyle w:val="Dash"/>
            </w:pPr>
            <w:r w:rsidRPr="00463667">
              <w:rPr>
                <w:u w:val="single"/>
              </w:rPr>
              <w:t>BH Stand Alone Acute Inpatient Value Set</w:t>
            </w:r>
            <w:r w:rsidRPr="00463667">
              <w:t xml:space="preserve"> </w:t>
            </w:r>
            <w:r w:rsidRPr="00463667">
              <w:rPr>
                <w:b/>
                <w:i/>
              </w:rPr>
              <w:t>with</w:t>
            </w:r>
            <w:r w:rsidRPr="00463667">
              <w:t xml:space="preserve"> </w:t>
            </w:r>
            <w:r w:rsidRPr="00463667">
              <w:rPr>
                <w:u w:val="single"/>
              </w:rPr>
              <w:t>Schizophrenia Value Set</w:t>
            </w:r>
            <w:r w:rsidRPr="00463667">
              <w:t>.</w:t>
            </w:r>
          </w:p>
          <w:p w14:paraId="5CF84EA2" w14:textId="77777777" w:rsidR="00B852BD" w:rsidRPr="00463667" w:rsidRDefault="00B852BD" w:rsidP="00F578E0">
            <w:pPr>
              <w:pStyle w:val="Dash"/>
            </w:pPr>
            <w:r w:rsidRPr="00463667">
              <w:rPr>
                <w:u w:val="single"/>
              </w:rPr>
              <w:t>BH Acute Inpatient Value Set</w:t>
            </w:r>
            <w:r w:rsidRPr="00463667">
              <w:t xml:space="preserve"> </w:t>
            </w:r>
            <w:r w:rsidRPr="00463667">
              <w:rPr>
                <w:b/>
                <w:i/>
              </w:rPr>
              <w:t>with</w:t>
            </w:r>
            <w:r w:rsidRPr="00463667">
              <w:t xml:space="preserve"> </w:t>
            </w:r>
            <w:r w:rsidRPr="00463667">
              <w:rPr>
                <w:u w:val="single"/>
              </w:rPr>
              <w:t>BH Acute Inpatient POS Value Set</w:t>
            </w:r>
            <w:r w:rsidRPr="00463667">
              <w:t xml:space="preserve"> </w:t>
            </w:r>
            <w:r w:rsidRPr="00463667">
              <w:rPr>
                <w:b/>
                <w:i/>
              </w:rPr>
              <w:t>and</w:t>
            </w:r>
            <w:r w:rsidRPr="00463667">
              <w:t xml:space="preserve"> </w:t>
            </w:r>
            <w:r w:rsidRPr="00463667">
              <w:rPr>
                <w:u w:val="single"/>
              </w:rPr>
              <w:t>Schizophrenia Value Set</w:t>
            </w:r>
            <w:r w:rsidRPr="00463667">
              <w:t>.</w:t>
            </w:r>
          </w:p>
          <w:p w14:paraId="3CED774A" w14:textId="77777777" w:rsidR="00B852BD" w:rsidRPr="00463667" w:rsidRDefault="00B852BD" w:rsidP="00A61681">
            <w:pPr>
              <w:pStyle w:val="Bullet"/>
            </w:pPr>
            <w:r w:rsidRPr="00463667">
              <w:t>At least two visits in an outpatient, intensive outpatient, partial hospitalization, ED or nonacute inpatient setting, on different dates of service, with any diagnosis of schizophrenia. Any two of the following code combinations meet criteria:</w:t>
            </w:r>
          </w:p>
          <w:p w14:paraId="7D0634EF" w14:textId="77777777" w:rsidR="00B852BD" w:rsidRPr="00463667" w:rsidRDefault="00B852BD" w:rsidP="00F578E0">
            <w:pPr>
              <w:pStyle w:val="Dash"/>
            </w:pPr>
            <w:r w:rsidRPr="00463667">
              <w:rPr>
                <w:u w:val="single"/>
              </w:rPr>
              <w:t>BH Stand Alone Outpatient/PH/IOP Value Set</w:t>
            </w:r>
            <w:r w:rsidRPr="00463667">
              <w:t xml:space="preserve"> </w:t>
            </w:r>
            <w:r w:rsidRPr="00463667">
              <w:rPr>
                <w:b/>
                <w:i/>
              </w:rPr>
              <w:t>with</w:t>
            </w:r>
            <w:r w:rsidRPr="00463667">
              <w:t xml:space="preserve"> </w:t>
            </w:r>
            <w:r w:rsidRPr="00463667">
              <w:rPr>
                <w:u w:val="single"/>
              </w:rPr>
              <w:t>Schizophrenia Value Set</w:t>
            </w:r>
            <w:r w:rsidRPr="00463667">
              <w:t>.</w:t>
            </w:r>
          </w:p>
          <w:p w14:paraId="7229B9F8" w14:textId="77777777" w:rsidR="00B852BD" w:rsidRPr="00463667" w:rsidRDefault="00B852BD" w:rsidP="00F578E0">
            <w:pPr>
              <w:pStyle w:val="Dash"/>
            </w:pPr>
            <w:r w:rsidRPr="00463667">
              <w:rPr>
                <w:u w:val="single"/>
              </w:rPr>
              <w:t>BH Outpatient/PH/IOP Value Set</w:t>
            </w:r>
            <w:r w:rsidRPr="00463667">
              <w:t xml:space="preserve"> </w:t>
            </w:r>
            <w:r w:rsidRPr="00463667">
              <w:rPr>
                <w:b/>
                <w:i/>
              </w:rPr>
              <w:t>with</w:t>
            </w:r>
            <w:r w:rsidRPr="00463667">
              <w:t xml:space="preserve"> </w:t>
            </w:r>
            <w:r w:rsidRPr="00463667">
              <w:rPr>
                <w:u w:val="single"/>
              </w:rPr>
              <w:t>BH Outpatient/PH/IOP POS Value Set</w:t>
            </w:r>
            <w:r w:rsidRPr="00463667">
              <w:t xml:space="preserve"> </w:t>
            </w:r>
            <w:r w:rsidRPr="00463667">
              <w:rPr>
                <w:b/>
                <w:i/>
              </w:rPr>
              <w:t>and</w:t>
            </w:r>
            <w:r w:rsidRPr="00463667">
              <w:t xml:space="preserve"> </w:t>
            </w:r>
            <w:r w:rsidRPr="00463667">
              <w:rPr>
                <w:u w:val="single"/>
              </w:rPr>
              <w:t>Schizophrenia Value Set</w:t>
            </w:r>
            <w:r w:rsidRPr="00463667">
              <w:t>.</w:t>
            </w:r>
          </w:p>
          <w:p w14:paraId="0FA12ADD" w14:textId="0F2F4BA8" w:rsidR="00624FE6" w:rsidRPr="00624FE6" w:rsidRDefault="00B852BD" w:rsidP="00624FE6">
            <w:pPr>
              <w:pStyle w:val="Dash"/>
            </w:pPr>
            <w:r w:rsidRPr="00463667">
              <w:rPr>
                <w:u w:val="single"/>
              </w:rPr>
              <w:t>ED Value Set</w:t>
            </w:r>
            <w:r w:rsidRPr="00463667">
              <w:t xml:space="preserve"> </w:t>
            </w:r>
            <w:r w:rsidRPr="00463667">
              <w:rPr>
                <w:b/>
                <w:i/>
              </w:rPr>
              <w:t>with</w:t>
            </w:r>
            <w:r w:rsidRPr="00463667">
              <w:t xml:space="preserve"> </w:t>
            </w:r>
            <w:r w:rsidRPr="00463667">
              <w:rPr>
                <w:u w:val="single"/>
              </w:rPr>
              <w:t>Schizophrenia Value Set</w:t>
            </w:r>
            <w:r w:rsidRPr="00463667">
              <w:t>.</w:t>
            </w:r>
          </w:p>
        </w:tc>
      </w:tr>
    </w:tbl>
    <w:p w14:paraId="26D9D1D7" w14:textId="77777777" w:rsidR="00624FE6" w:rsidRPr="00463667" w:rsidRDefault="00624FE6" w:rsidP="00624FE6">
      <w:pPr>
        <w:sectPr w:rsidR="00624FE6" w:rsidRPr="00463667" w:rsidSect="007527F3">
          <w:pgSz w:w="12240" w:h="15840" w:code="1"/>
          <w:pgMar w:top="1080" w:right="1080" w:bottom="1080" w:left="1440" w:header="720" w:footer="720" w:gutter="0"/>
          <w:cols w:space="720"/>
          <w:docGrid w:linePitch="360"/>
        </w:sectPr>
      </w:pPr>
    </w:p>
    <w:tbl>
      <w:tblPr>
        <w:tblW w:w="9810" w:type="dxa"/>
        <w:tblInd w:w="18" w:type="dxa"/>
        <w:tblLayout w:type="fixed"/>
        <w:tblLook w:val="0000" w:firstRow="0" w:lastRow="0" w:firstColumn="0" w:lastColumn="0" w:noHBand="0" w:noVBand="0"/>
      </w:tblPr>
      <w:tblGrid>
        <w:gridCol w:w="1890"/>
        <w:gridCol w:w="7902"/>
        <w:gridCol w:w="18"/>
      </w:tblGrid>
      <w:tr w:rsidR="00624FE6" w:rsidRPr="00463667" w14:paraId="5DFBE691" w14:textId="77777777" w:rsidTr="00624FE6">
        <w:tc>
          <w:tcPr>
            <w:tcW w:w="1890" w:type="dxa"/>
          </w:tcPr>
          <w:p w14:paraId="32C16A67" w14:textId="77777777" w:rsidR="00624FE6" w:rsidRPr="00463667" w:rsidRDefault="00624FE6" w:rsidP="00F578E0">
            <w:pPr>
              <w:pStyle w:val="MarginSubhead"/>
              <w:jc w:val="right"/>
              <w:rPr>
                <w:i/>
              </w:rPr>
            </w:pPr>
          </w:p>
        </w:tc>
        <w:tc>
          <w:tcPr>
            <w:tcW w:w="7920" w:type="dxa"/>
            <w:gridSpan w:val="2"/>
          </w:tcPr>
          <w:p w14:paraId="51B7A144" w14:textId="675A97AD" w:rsidR="00624FE6" w:rsidRPr="00463667" w:rsidRDefault="00624FE6" w:rsidP="00624FE6">
            <w:pPr>
              <w:pStyle w:val="Dash"/>
              <w:spacing w:before="0"/>
            </w:pPr>
            <w:r w:rsidRPr="00463667">
              <w:rPr>
                <w:u w:val="single"/>
              </w:rPr>
              <w:t>BH ED Value Set</w:t>
            </w:r>
            <w:r w:rsidRPr="00463667">
              <w:t xml:space="preserve"> </w:t>
            </w:r>
            <w:r w:rsidRPr="00463667">
              <w:rPr>
                <w:b/>
                <w:i/>
              </w:rPr>
              <w:t>with</w:t>
            </w:r>
            <w:r w:rsidRPr="00463667">
              <w:t xml:space="preserve"> </w:t>
            </w:r>
            <w:r w:rsidRPr="00463667">
              <w:rPr>
                <w:u w:val="single"/>
              </w:rPr>
              <w:t>BH ED POS Value Set</w:t>
            </w:r>
            <w:r w:rsidRPr="00463667">
              <w:t xml:space="preserve"> </w:t>
            </w:r>
            <w:r w:rsidRPr="00463667">
              <w:rPr>
                <w:b/>
                <w:i/>
              </w:rPr>
              <w:t>and</w:t>
            </w:r>
            <w:r w:rsidRPr="00463667">
              <w:t xml:space="preserve"> </w:t>
            </w:r>
            <w:r w:rsidRPr="00463667">
              <w:rPr>
                <w:u w:val="single"/>
              </w:rPr>
              <w:t>Schizophrenia Value Set</w:t>
            </w:r>
            <w:r w:rsidRPr="00463667">
              <w:t>.</w:t>
            </w:r>
          </w:p>
          <w:p w14:paraId="0CB29A34" w14:textId="77777777" w:rsidR="00624FE6" w:rsidRPr="00463667" w:rsidRDefault="00624FE6" w:rsidP="00624FE6">
            <w:pPr>
              <w:pStyle w:val="Dash"/>
            </w:pPr>
            <w:r w:rsidRPr="00463667">
              <w:rPr>
                <w:u w:val="single"/>
              </w:rPr>
              <w:t>BH Stand Alone Nonacute Inpatient Value Set</w:t>
            </w:r>
            <w:r w:rsidRPr="00463667">
              <w:t xml:space="preserve"> </w:t>
            </w:r>
            <w:r w:rsidRPr="00463667">
              <w:rPr>
                <w:b/>
                <w:i/>
              </w:rPr>
              <w:t>with</w:t>
            </w:r>
            <w:r w:rsidRPr="00463667">
              <w:t xml:space="preserve"> </w:t>
            </w:r>
            <w:r w:rsidRPr="00463667">
              <w:rPr>
                <w:u w:val="single"/>
              </w:rPr>
              <w:t>Schizophrenia Value Set</w:t>
            </w:r>
            <w:r w:rsidRPr="00463667">
              <w:t>.</w:t>
            </w:r>
          </w:p>
          <w:p w14:paraId="411BAE56" w14:textId="537FD7A0" w:rsidR="00624FE6" w:rsidRPr="00624FE6" w:rsidRDefault="00624FE6" w:rsidP="00F578E0">
            <w:pPr>
              <w:pStyle w:val="Dash"/>
              <w:rPr>
                <w:i/>
              </w:rPr>
            </w:pPr>
            <w:r w:rsidRPr="00463667">
              <w:rPr>
                <w:u w:val="single"/>
              </w:rPr>
              <w:t>BH Nonacute Inpatient Value Set</w:t>
            </w:r>
            <w:r w:rsidRPr="00463667">
              <w:t xml:space="preserve"> </w:t>
            </w:r>
            <w:r w:rsidRPr="00463667">
              <w:rPr>
                <w:b/>
                <w:i/>
              </w:rPr>
              <w:t>with</w:t>
            </w:r>
            <w:r w:rsidRPr="00463667">
              <w:t xml:space="preserve"> </w:t>
            </w:r>
            <w:r w:rsidRPr="00463667">
              <w:rPr>
                <w:u w:val="single"/>
              </w:rPr>
              <w:t>BH Nonacute Inpatient POS Value Set</w:t>
            </w:r>
            <w:r w:rsidRPr="00463667">
              <w:t xml:space="preserve"> </w:t>
            </w:r>
            <w:r w:rsidRPr="00463667">
              <w:rPr>
                <w:b/>
                <w:i/>
              </w:rPr>
              <w:t>and</w:t>
            </w:r>
            <w:r w:rsidRPr="00463667">
              <w:t xml:space="preserve"> </w:t>
            </w:r>
            <w:r w:rsidRPr="00463667">
              <w:rPr>
                <w:u w:val="single"/>
              </w:rPr>
              <w:t>Schizophrenia Value Set</w:t>
            </w:r>
            <w:r w:rsidRPr="00463667">
              <w:rPr>
                <w:i/>
              </w:rPr>
              <w:t>.</w:t>
            </w:r>
          </w:p>
        </w:tc>
      </w:tr>
      <w:tr w:rsidR="00B852BD" w:rsidRPr="00463667" w14:paraId="0A23D286" w14:textId="77777777" w:rsidTr="00624FE6">
        <w:trPr>
          <w:gridAfter w:val="1"/>
          <w:wAfter w:w="18" w:type="dxa"/>
          <w:cantSplit/>
        </w:trPr>
        <w:tc>
          <w:tcPr>
            <w:tcW w:w="1890" w:type="dxa"/>
          </w:tcPr>
          <w:p w14:paraId="448531DB" w14:textId="77777777" w:rsidR="00B852BD" w:rsidRPr="00463667" w:rsidRDefault="00B852BD" w:rsidP="00624FE6">
            <w:pPr>
              <w:pStyle w:val="MarginSubhead"/>
              <w:jc w:val="right"/>
              <w:rPr>
                <w:i/>
              </w:rPr>
            </w:pPr>
            <w:r w:rsidRPr="00463667">
              <w:rPr>
                <w:i/>
              </w:rPr>
              <w:t>Step 2: Required exclusions</w:t>
            </w:r>
          </w:p>
        </w:tc>
        <w:tc>
          <w:tcPr>
            <w:tcW w:w="7902" w:type="dxa"/>
          </w:tcPr>
          <w:p w14:paraId="44D681C4" w14:textId="77777777" w:rsidR="00B852BD" w:rsidRPr="00463667" w:rsidRDefault="00B852BD" w:rsidP="00624FE6">
            <w:pPr>
              <w:pStyle w:val="Body"/>
            </w:pPr>
            <w:r w:rsidRPr="00463667">
              <w:t>Exclude members who met at least one of the following during the measurement year.</w:t>
            </w:r>
          </w:p>
          <w:p w14:paraId="743D028F" w14:textId="77777777" w:rsidR="00B852BD" w:rsidRPr="00463667" w:rsidRDefault="00B852BD" w:rsidP="00A61681">
            <w:pPr>
              <w:pStyle w:val="Bullet"/>
            </w:pPr>
            <w:r w:rsidRPr="00463667">
              <w:t>A diagnosis of dementia (</w:t>
            </w:r>
            <w:r w:rsidRPr="00463667">
              <w:rPr>
                <w:u w:val="single"/>
              </w:rPr>
              <w:t>Dementia Value Set</w:t>
            </w:r>
            <w:r w:rsidRPr="00463667">
              <w:t xml:space="preserve">). </w:t>
            </w:r>
          </w:p>
          <w:p w14:paraId="6398174A" w14:textId="77777777" w:rsidR="00B852BD" w:rsidRPr="00463667" w:rsidRDefault="00B852BD" w:rsidP="00A61681">
            <w:pPr>
              <w:pStyle w:val="Bullet"/>
            </w:pPr>
            <w:r w:rsidRPr="00463667">
              <w:rPr>
                <w:i/>
              </w:rPr>
              <w:t>Did not</w:t>
            </w:r>
            <w:r w:rsidRPr="00463667">
              <w:t xml:space="preserve"> have at least two antipsychotic medication dispensing events, with at least one of the events occurring on or between January 1 and September 30. There are two ways to identify dispensing events: by claim/encounter data and by pharmacy data. The organization must use both methods to identify dispensing events, but an event need only be identified by one method to be counted.</w:t>
            </w:r>
          </w:p>
          <w:p w14:paraId="5CC26F16" w14:textId="77777777" w:rsidR="00B852BD" w:rsidRPr="00463667" w:rsidRDefault="00B852BD" w:rsidP="00F578E0">
            <w:pPr>
              <w:pStyle w:val="Dash"/>
            </w:pPr>
            <w:r w:rsidRPr="00463667">
              <w:rPr>
                <w:i/>
              </w:rPr>
              <w:t>Claim/encounter data</w:t>
            </w:r>
            <w:r w:rsidRPr="00463667">
              <w:t>. An antipsychotic medication (</w:t>
            </w:r>
            <w:r w:rsidRPr="00463667">
              <w:rPr>
                <w:u w:val="single"/>
              </w:rPr>
              <w:t>Long-Acting Injections 14 Days Supply Value Set</w:t>
            </w:r>
            <w:r w:rsidRPr="00463667">
              <w:t xml:space="preserve"> or </w:t>
            </w:r>
            <w:r w:rsidRPr="00463667">
              <w:rPr>
                <w:u w:val="single"/>
              </w:rPr>
              <w:t>Long-Acting Injections 28 Days Supply Value Set</w:t>
            </w:r>
            <w:r w:rsidRPr="00463667">
              <w:t>).</w:t>
            </w:r>
          </w:p>
          <w:p w14:paraId="2A2C8CD7" w14:textId="77777777" w:rsidR="00B852BD" w:rsidRPr="00463667" w:rsidRDefault="00B852BD" w:rsidP="00F578E0">
            <w:pPr>
              <w:pStyle w:val="Dash"/>
            </w:pPr>
            <w:r w:rsidRPr="00463667">
              <w:rPr>
                <w:i/>
              </w:rPr>
              <w:t>Pharmacy data</w:t>
            </w:r>
            <w:r w:rsidRPr="00463667">
              <w:t xml:space="preserve">. Dispensed an antipsychotic medication (Table SAA-A) on an ambulatory basis. </w:t>
            </w:r>
          </w:p>
        </w:tc>
      </w:tr>
    </w:tbl>
    <w:p w14:paraId="1B501DEC" w14:textId="77777777" w:rsidR="00B852BD" w:rsidRPr="00463667" w:rsidRDefault="00B852BD" w:rsidP="00B53721">
      <w:pPr>
        <w:pStyle w:val="TableHeadNotCondensed"/>
      </w:pPr>
      <w:r w:rsidRPr="00463667">
        <w:t xml:space="preserve">Table SAA-A: Antipsychotic Medications </w:t>
      </w:r>
    </w:p>
    <w:tbl>
      <w:tblPr>
        <w:tblW w:w="7655" w:type="dxa"/>
        <w:tblInd w:w="-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895"/>
        <w:gridCol w:w="2070"/>
        <w:gridCol w:w="2070"/>
        <w:gridCol w:w="1620"/>
      </w:tblGrid>
      <w:tr w:rsidR="00B852BD" w:rsidRPr="00463667" w14:paraId="4DAB0E07" w14:textId="77777777" w:rsidTr="00EB11D9">
        <w:trPr>
          <w:cantSplit/>
        </w:trPr>
        <w:tc>
          <w:tcPr>
            <w:tcW w:w="1895" w:type="dxa"/>
            <w:tcBorders>
              <w:top w:val="single" w:sz="6" w:space="0" w:color="auto"/>
              <w:left w:val="single" w:sz="4" w:space="0" w:color="auto"/>
              <w:right w:val="single" w:sz="6" w:space="0" w:color="FFFFFF"/>
            </w:tcBorders>
            <w:shd w:val="clear" w:color="auto" w:fill="000000"/>
          </w:tcPr>
          <w:p w14:paraId="6B98A5E6" w14:textId="77777777" w:rsidR="00B852BD" w:rsidRPr="00463667" w:rsidRDefault="00B852BD" w:rsidP="00F578E0">
            <w:pPr>
              <w:pStyle w:val="TableHead"/>
              <w:rPr>
                <w:color w:val="auto"/>
              </w:rPr>
            </w:pPr>
            <w:r w:rsidRPr="00463667">
              <w:rPr>
                <w:color w:val="auto"/>
              </w:rPr>
              <w:t>Description</w:t>
            </w:r>
          </w:p>
        </w:tc>
        <w:tc>
          <w:tcPr>
            <w:tcW w:w="4140" w:type="dxa"/>
            <w:gridSpan w:val="2"/>
            <w:tcBorders>
              <w:top w:val="single" w:sz="6" w:space="0" w:color="auto"/>
              <w:left w:val="single" w:sz="6" w:space="0" w:color="FFFFFF"/>
              <w:bottom w:val="single" w:sz="6" w:space="0" w:color="auto"/>
              <w:right w:val="single" w:sz="4" w:space="0" w:color="auto"/>
            </w:tcBorders>
            <w:shd w:val="clear" w:color="auto" w:fill="000000"/>
          </w:tcPr>
          <w:p w14:paraId="5A21471D" w14:textId="77777777" w:rsidR="00B852BD" w:rsidRPr="00463667" w:rsidRDefault="00B852BD" w:rsidP="00F578E0">
            <w:pPr>
              <w:pStyle w:val="TableHead"/>
              <w:rPr>
                <w:color w:val="auto"/>
              </w:rPr>
            </w:pPr>
            <w:r w:rsidRPr="00463667">
              <w:rPr>
                <w:color w:val="auto"/>
              </w:rPr>
              <w:t>Prescription</w:t>
            </w:r>
          </w:p>
        </w:tc>
        <w:tc>
          <w:tcPr>
            <w:tcW w:w="1620" w:type="dxa"/>
            <w:tcBorders>
              <w:top w:val="single" w:sz="6" w:space="0" w:color="auto"/>
              <w:left w:val="single" w:sz="6" w:space="0" w:color="FFFFFF"/>
              <w:bottom w:val="single" w:sz="6" w:space="0" w:color="auto"/>
              <w:right w:val="single" w:sz="4" w:space="0" w:color="auto"/>
            </w:tcBorders>
            <w:shd w:val="clear" w:color="auto" w:fill="000000"/>
          </w:tcPr>
          <w:p w14:paraId="49B2065E" w14:textId="77777777" w:rsidR="00B852BD" w:rsidRPr="00463667" w:rsidRDefault="00B852BD" w:rsidP="00F578E0">
            <w:pPr>
              <w:pStyle w:val="TableHead"/>
              <w:rPr>
                <w:color w:val="auto"/>
              </w:rPr>
            </w:pPr>
            <w:r w:rsidRPr="00463667">
              <w:rPr>
                <w:color w:val="auto"/>
              </w:rPr>
              <w:t>Days Supply</w:t>
            </w:r>
          </w:p>
        </w:tc>
      </w:tr>
      <w:tr w:rsidR="00B852BD" w:rsidRPr="00463667" w14:paraId="7C9C2168" w14:textId="77777777" w:rsidTr="00EB11D9">
        <w:trPr>
          <w:cantSplit/>
        </w:trPr>
        <w:tc>
          <w:tcPr>
            <w:tcW w:w="1895" w:type="dxa"/>
            <w:tcBorders>
              <w:top w:val="single" w:sz="6" w:space="0" w:color="auto"/>
              <w:left w:val="single" w:sz="4" w:space="0" w:color="auto"/>
              <w:bottom w:val="single" w:sz="6" w:space="0" w:color="auto"/>
              <w:right w:val="single" w:sz="6" w:space="0" w:color="auto"/>
            </w:tcBorders>
          </w:tcPr>
          <w:p w14:paraId="36460021" w14:textId="77777777" w:rsidR="00B852BD" w:rsidRPr="00463667" w:rsidRDefault="00B852BD" w:rsidP="00F578E0">
            <w:pPr>
              <w:pStyle w:val="TableText"/>
            </w:pPr>
            <w:r w:rsidRPr="00463667">
              <w:t>Miscellaneous antipsychotic agents (oral)</w:t>
            </w:r>
          </w:p>
        </w:tc>
        <w:tc>
          <w:tcPr>
            <w:tcW w:w="2070" w:type="dxa"/>
            <w:tcBorders>
              <w:top w:val="single" w:sz="6" w:space="0" w:color="auto"/>
              <w:left w:val="single" w:sz="6" w:space="0" w:color="auto"/>
              <w:bottom w:val="single" w:sz="6" w:space="0" w:color="auto"/>
              <w:right w:val="nil"/>
            </w:tcBorders>
          </w:tcPr>
          <w:p w14:paraId="367FC6CF" w14:textId="77777777" w:rsidR="00B852BD" w:rsidRPr="00463667" w:rsidRDefault="00B852BD" w:rsidP="00B852BD">
            <w:pPr>
              <w:pStyle w:val="TableBullet"/>
            </w:pPr>
            <w:r w:rsidRPr="00463667">
              <w:t>Aripiprazole</w:t>
            </w:r>
          </w:p>
          <w:p w14:paraId="5EFABE5A" w14:textId="77777777" w:rsidR="00B852BD" w:rsidRPr="00463667" w:rsidRDefault="00B852BD" w:rsidP="00B852BD">
            <w:pPr>
              <w:pStyle w:val="TableBullet"/>
            </w:pPr>
            <w:r w:rsidRPr="00463667">
              <w:t>Asenapine</w:t>
            </w:r>
          </w:p>
          <w:p w14:paraId="546563A7" w14:textId="77777777" w:rsidR="00B852BD" w:rsidRPr="00463667" w:rsidRDefault="00B852BD" w:rsidP="00B852BD">
            <w:pPr>
              <w:pStyle w:val="TableBullet"/>
            </w:pPr>
            <w:r w:rsidRPr="00463667">
              <w:t>Clozapine</w:t>
            </w:r>
          </w:p>
          <w:p w14:paraId="50ACD928" w14:textId="77777777" w:rsidR="00B852BD" w:rsidRPr="00463667" w:rsidRDefault="00B852BD" w:rsidP="00B852BD">
            <w:pPr>
              <w:pStyle w:val="TableBullet"/>
            </w:pPr>
            <w:r w:rsidRPr="00463667">
              <w:t>Haloperidol</w:t>
            </w:r>
          </w:p>
          <w:p w14:paraId="1213A50E" w14:textId="77777777" w:rsidR="00B852BD" w:rsidRPr="00463667" w:rsidRDefault="00B852BD" w:rsidP="00B852BD">
            <w:pPr>
              <w:pStyle w:val="TableBullet"/>
            </w:pPr>
            <w:r w:rsidRPr="00463667">
              <w:t>Iloperidone</w:t>
            </w:r>
          </w:p>
          <w:p w14:paraId="16AFD58B" w14:textId="77777777" w:rsidR="00B852BD" w:rsidRPr="00463667" w:rsidRDefault="00B852BD" w:rsidP="00B852BD">
            <w:pPr>
              <w:pStyle w:val="TableBullet"/>
            </w:pPr>
            <w:r w:rsidRPr="00463667">
              <w:t>Loxapine</w:t>
            </w:r>
          </w:p>
          <w:p w14:paraId="729FE599" w14:textId="77777777" w:rsidR="00B852BD" w:rsidRPr="00463667" w:rsidRDefault="00B852BD" w:rsidP="00B852BD">
            <w:pPr>
              <w:pStyle w:val="TableBullet"/>
            </w:pPr>
            <w:r w:rsidRPr="00463667">
              <w:t>Lurisadone</w:t>
            </w:r>
          </w:p>
          <w:p w14:paraId="7B380FF2" w14:textId="77777777" w:rsidR="00B852BD" w:rsidRPr="00463667" w:rsidRDefault="00B852BD" w:rsidP="00B852BD">
            <w:pPr>
              <w:pStyle w:val="TableBullet"/>
            </w:pPr>
            <w:r w:rsidRPr="00463667">
              <w:t>Molindone</w:t>
            </w:r>
          </w:p>
        </w:tc>
        <w:tc>
          <w:tcPr>
            <w:tcW w:w="2070" w:type="dxa"/>
            <w:tcBorders>
              <w:top w:val="single" w:sz="6" w:space="0" w:color="auto"/>
              <w:left w:val="nil"/>
              <w:bottom w:val="single" w:sz="6" w:space="0" w:color="auto"/>
              <w:right w:val="single" w:sz="4" w:space="0" w:color="auto"/>
            </w:tcBorders>
          </w:tcPr>
          <w:p w14:paraId="30C8B060" w14:textId="77777777" w:rsidR="00B852BD" w:rsidRPr="00463667" w:rsidRDefault="00B852BD" w:rsidP="00B852BD">
            <w:pPr>
              <w:pStyle w:val="TableBullet"/>
            </w:pPr>
            <w:r w:rsidRPr="00463667">
              <w:t>Olanzapine</w:t>
            </w:r>
          </w:p>
          <w:p w14:paraId="1E231749" w14:textId="77777777" w:rsidR="00B852BD" w:rsidRPr="00463667" w:rsidRDefault="00B852BD" w:rsidP="00B852BD">
            <w:pPr>
              <w:pStyle w:val="TableBullet"/>
            </w:pPr>
            <w:r w:rsidRPr="00463667">
              <w:t>Paliperidone</w:t>
            </w:r>
          </w:p>
          <w:p w14:paraId="43411F24" w14:textId="77777777" w:rsidR="00B852BD" w:rsidRPr="00463667" w:rsidRDefault="00B852BD" w:rsidP="00B852BD">
            <w:pPr>
              <w:pStyle w:val="TableBullet"/>
            </w:pPr>
            <w:r w:rsidRPr="00463667">
              <w:t>Pimozide</w:t>
            </w:r>
          </w:p>
          <w:p w14:paraId="345476D4" w14:textId="77777777" w:rsidR="00B852BD" w:rsidRPr="00463667" w:rsidRDefault="00B852BD" w:rsidP="00B852BD">
            <w:pPr>
              <w:pStyle w:val="TableBullet"/>
            </w:pPr>
            <w:r w:rsidRPr="00463667">
              <w:t>Quetiapine</w:t>
            </w:r>
          </w:p>
          <w:p w14:paraId="275F792F" w14:textId="77777777" w:rsidR="00B852BD" w:rsidRPr="00463667" w:rsidRDefault="00B852BD" w:rsidP="00B852BD">
            <w:pPr>
              <w:pStyle w:val="TableBullet"/>
            </w:pPr>
            <w:r w:rsidRPr="00463667">
              <w:t>Quetiapine fumarate</w:t>
            </w:r>
          </w:p>
          <w:p w14:paraId="14B8D592" w14:textId="77777777" w:rsidR="00B852BD" w:rsidRPr="00463667" w:rsidRDefault="00B852BD" w:rsidP="00B852BD">
            <w:pPr>
              <w:pStyle w:val="TableBullet"/>
            </w:pPr>
            <w:r w:rsidRPr="00463667">
              <w:t>Risperidone</w:t>
            </w:r>
          </w:p>
          <w:p w14:paraId="11E5FF2F" w14:textId="77777777" w:rsidR="00B852BD" w:rsidRPr="00463667" w:rsidRDefault="00B852BD" w:rsidP="00B852BD">
            <w:pPr>
              <w:pStyle w:val="TableBullet"/>
            </w:pPr>
            <w:r w:rsidRPr="00463667">
              <w:t>Ziprasidone</w:t>
            </w:r>
          </w:p>
        </w:tc>
        <w:tc>
          <w:tcPr>
            <w:tcW w:w="1620" w:type="dxa"/>
            <w:tcBorders>
              <w:top w:val="single" w:sz="6" w:space="0" w:color="auto"/>
              <w:left w:val="single" w:sz="4" w:space="0" w:color="auto"/>
              <w:bottom w:val="single" w:sz="6" w:space="0" w:color="auto"/>
              <w:right w:val="single" w:sz="4" w:space="0" w:color="auto"/>
            </w:tcBorders>
          </w:tcPr>
          <w:p w14:paraId="3F7B69F1" w14:textId="77777777" w:rsidR="00B852BD" w:rsidRPr="00463667" w:rsidRDefault="00B852BD" w:rsidP="004E5025">
            <w:pPr>
              <w:pStyle w:val="TableText"/>
            </w:pPr>
          </w:p>
        </w:tc>
      </w:tr>
      <w:tr w:rsidR="00B852BD" w:rsidRPr="00463667" w14:paraId="670CBBCC" w14:textId="77777777" w:rsidTr="00EB11D9">
        <w:trPr>
          <w:cantSplit/>
        </w:trPr>
        <w:tc>
          <w:tcPr>
            <w:tcW w:w="1895" w:type="dxa"/>
            <w:tcBorders>
              <w:top w:val="single" w:sz="6" w:space="0" w:color="auto"/>
              <w:left w:val="single" w:sz="4" w:space="0" w:color="auto"/>
              <w:bottom w:val="single" w:sz="6" w:space="0" w:color="auto"/>
              <w:right w:val="single" w:sz="6" w:space="0" w:color="auto"/>
            </w:tcBorders>
            <w:shd w:val="clear" w:color="auto" w:fill="D9D9D9" w:themeFill="background1" w:themeFillShade="D9"/>
          </w:tcPr>
          <w:p w14:paraId="0CBA9157" w14:textId="77777777" w:rsidR="00B852BD" w:rsidRPr="00463667" w:rsidRDefault="00B852BD" w:rsidP="00F578E0">
            <w:pPr>
              <w:pStyle w:val="TableText"/>
            </w:pPr>
            <w:r w:rsidRPr="00463667">
              <w:t>Phenothiazine antipsychotics (oral)</w:t>
            </w:r>
          </w:p>
        </w:tc>
        <w:tc>
          <w:tcPr>
            <w:tcW w:w="2070" w:type="dxa"/>
            <w:tcBorders>
              <w:top w:val="single" w:sz="6" w:space="0" w:color="auto"/>
              <w:left w:val="single" w:sz="6" w:space="0" w:color="auto"/>
              <w:bottom w:val="single" w:sz="6" w:space="0" w:color="auto"/>
              <w:right w:val="nil"/>
            </w:tcBorders>
            <w:shd w:val="clear" w:color="auto" w:fill="D9D9D9" w:themeFill="background1" w:themeFillShade="D9"/>
          </w:tcPr>
          <w:p w14:paraId="6C666223" w14:textId="77777777" w:rsidR="00B852BD" w:rsidRPr="00463667" w:rsidRDefault="00B852BD" w:rsidP="00B852BD">
            <w:pPr>
              <w:pStyle w:val="TableBullet"/>
            </w:pPr>
            <w:r w:rsidRPr="00463667">
              <w:t>Chlorpromazine</w:t>
            </w:r>
          </w:p>
          <w:p w14:paraId="2ECFC703" w14:textId="77777777" w:rsidR="00B852BD" w:rsidRPr="00463667" w:rsidRDefault="00B852BD" w:rsidP="00B852BD">
            <w:pPr>
              <w:pStyle w:val="TableBullet"/>
            </w:pPr>
            <w:r w:rsidRPr="00463667">
              <w:t>Fluphenazine</w:t>
            </w:r>
          </w:p>
          <w:p w14:paraId="74127FF3" w14:textId="77777777" w:rsidR="00B852BD" w:rsidRPr="00463667" w:rsidRDefault="00B852BD" w:rsidP="00B852BD">
            <w:pPr>
              <w:pStyle w:val="TableBullet"/>
            </w:pPr>
            <w:r w:rsidRPr="00463667">
              <w:t>Perphenazine</w:t>
            </w:r>
          </w:p>
          <w:p w14:paraId="04C38085" w14:textId="77777777" w:rsidR="00B852BD" w:rsidRPr="00463667" w:rsidRDefault="00B852BD" w:rsidP="00B852BD">
            <w:pPr>
              <w:pStyle w:val="TableBullet"/>
            </w:pPr>
            <w:r w:rsidRPr="00463667">
              <w:t>Perphenazine-amitriptyline</w:t>
            </w:r>
          </w:p>
        </w:tc>
        <w:tc>
          <w:tcPr>
            <w:tcW w:w="2070" w:type="dxa"/>
            <w:tcBorders>
              <w:top w:val="single" w:sz="6" w:space="0" w:color="auto"/>
              <w:left w:val="nil"/>
              <w:bottom w:val="single" w:sz="6" w:space="0" w:color="auto"/>
              <w:right w:val="single" w:sz="4" w:space="0" w:color="auto"/>
            </w:tcBorders>
            <w:shd w:val="clear" w:color="auto" w:fill="D9D9D9" w:themeFill="background1" w:themeFillShade="D9"/>
          </w:tcPr>
          <w:p w14:paraId="5B262FE1" w14:textId="77777777" w:rsidR="00B852BD" w:rsidRPr="00463667" w:rsidRDefault="00B852BD" w:rsidP="00B852BD">
            <w:pPr>
              <w:pStyle w:val="TableBullet"/>
            </w:pPr>
            <w:r w:rsidRPr="00463667">
              <w:t>Prochlorperazine</w:t>
            </w:r>
          </w:p>
          <w:p w14:paraId="6307A21A" w14:textId="77777777" w:rsidR="00B852BD" w:rsidRPr="00463667" w:rsidRDefault="00B852BD" w:rsidP="00B852BD">
            <w:pPr>
              <w:pStyle w:val="TableBullet"/>
            </w:pPr>
            <w:r w:rsidRPr="00463667">
              <w:t>Thioridazine</w:t>
            </w:r>
          </w:p>
          <w:p w14:paraId="36E2B7B5" w14:textId="77777777" w:rsidR="00B852BD" w:rsidRPr="00463667" w:rsidRDefault="00B852BD" w:rsidP="00B852BD">
            <w:pPr>
              <w:pStyle w:val="TableBullet"/>
            </w:pPr>
            <w:r w:rsidRPr="00463667">
              <w:t>Trifluoperazine</w:t>
            </w:r>
          </w:p>
        </w:tc>
        <w:tc>
          <w:tcPr>
            <w:tcW w:w="1620" w:type="dxa"/>
            <w:tcBorders>
              <w:top w:val="single" w:sz="6" w:space="0" w:color="auto"/>
              <w:left w:val="single" w:sz="4" w:space="0" w:color="auto"/>
              <w:bottom w:val="single" w:sz="6" w:space="0" w:color="auto"/>
              <w:right w:val="single" w:sz="4" w:space="0" w:color="auto"/>
            </w:tcBorders>
            <w:shd w:val="clear" w:color="auto" w:fill="D9D9D9" w:themeFill="background1" w:themeFillShade="D9"/>
          </w:tcPr>
          <w:p w14:paraId="32AE62B0" w14:textId="77777777" w:rsidR="00B852BD" w:rsidRPr="00463667" w:rsidRDefault="00B852BD" w:rsidP="004E5025">
            <w:pPr>
              <w:pStyle w:val="TableText"/>
            </w:pPr>
          </w:p>
        </w:tc>
      </w:tr>
      <w:tr w:rsidR="00B852BD" w:rsidRPr="00463667" w14:paraId="1676F011" w14:textId="77777777" w:rsidTr="00EB11D9">
        <w:trPr>
          <w:cantSplit/>
        </w:trPr>
        <w:tc>
          <w:tcPr>
            <w:tcW w:w="1895" w:type="dxa"/>
            <w:tcBorders>
              <w:top w:val="single" w:sz="6" w:space="0" w:color="auto"/>
              <w:left w:val="single" w:sz="4" w:space="0" w:color="auto"/>
              <w:bottom w:val="single" w:sz="6" w:space="0" w:color="auto"/>
              <w:right w:val="single" w:sz="6" w:space="0" w:color="auto"/>
            </w:tcBorders>
          </w:tcPr>
          <w:p w14:paraId="6E8D7459" w14:textId="77777777" w:rsidR="00B852BD" w:rsidRPr="00463667" w:rsidRDefault="00B852BD" w:rsidP="00F578E0">
            <w:pPr>
              <w:pStyle w:val="TableText"/>
            </w:pPr>
            <w:r w:rsidRPr="00463667">
              <w:t>Psychotherapeutic combinations (oral)</w:t>
            </w:r>
          </w:p>
        </w:tc>
        <w:tc>
          <w:tcPr>
            <w:tcW w:w="2070" w:type="dxa"/>
            <w:tcBorders>
              <w:top w:val="single" w:sz="6" w:space="0" w:color="auto"/>
              <w:left w:val="single" w:sz="6" w:space="0" w:color="auto"/>
              <w:bottom w:val="single" w:sz="6" w:space="0" w:color="auto"/>
              <w:right w:val="nil"/>
            </w:tcBorders>
          </w:tcPr>
          <w:p w14:paraId="43B5621C" w14:textId="77777777" w:rsidR="00B852BD" w:rsidRPr="00463667" w:rsidRDefault="00B852BD" w:rsidP="00B852BD">
            <w:pPr>
              <w:pStyle w:val="TableBullet"/>
            </w:pPr>
            <w:r w:rsidRPr="00463667">
              <w:t>Fluoxetine-olanzapine</w:t>
            </w:r>
          </w:p>
        </w:tc>
        <w:tc>
          <w:tcPr>
            <w:tcW w:w="2070" w:type="dxa"/>
            <w:tcBorders>
              <w:top w:val="single" w:sz="6" w:space="0" w:color="auto"/>
              <w:left w:val="nil"/>
              <w:bottom w:val="single" w:sz="6" w:space="0" w:color="auto"/>
              <w:right w:val="single" w:sz="4" w:space="0" w:color="auto"/>
            </w:tcBorders>
          </w:tcPr>
          <w:p w14:paraId="208195AE" w14:textId="77777777" w:rsidR="00B852BD" w:rsidRPr="00463667" w:rsidRDefault="00B852BD" w:rsidP="004E5025">
            <w:pPr>
              <w:pStyle w:val="TableText"/>
            </w:pPr>
          </w:p>
        </w:tc>
        <w:tc>
          <w:tcPr>
            <w:tcW w:w="1620" w:type="dxa"/>
            <w:tcBorders>
              <w:top w:val="single" w:sz="6" w:space="0" w:color="auto"/>
              <w:left w:val="single" w:sz="4" w:space="0" w:color="auto"/>
              <w:bottom w:val="single" w:sz="6" w:space="0" w:color="auto"/>
              <w:right w:val="single" w:sz="4" w:space="0" w:color="auto"/>
            </w:tcBorders>
          </w:tcPr>
          <w:p w14:paraId="2657EEF5" w14:textId="77777777" w:rsidR="00B852BD" w:rsidRPr="00463667" w:rsidRDefault="00B852BD" w:rsidP="004E5025">
            <w:pPr>
              <w:pStyle w:val="TableText"/>
            </w:pPr>
          </w:p>
        </w:tc>
      </w:tr>
      <w:tr w:rsidR="00B852BD" w:rsidRPr="00463667" w14:paraId="063AE14F" w14:textId="77777777" w:rsidTr="00EB11D9">
        <w:trPr>
          <w:cantSplit/>
        </w:trPr>
        <w:tc>
          <w:tcPr>
            <w:tcW w:w="1895" w:type="dxa"/>
            <w:tcBorders>
              <w:top w:val="single" w:sz="6" w:space="0" w:color="auto"/>
              <w:left w:val="single" w:sz="4" w:space="0" w:color="auto"/>
              <w:bottom w:val="single" w:sz="6" w:space="0" w:color="auto"/>
              <w:right w:val="single" w:sz="6" w:space="0" w:color="auto"/>
            </w:tcBorders>
            <w:shd w:val="clear" w:color="auto" w:fill="D9D9D9" w:themeFill="background1" w:themeFillShade="D9"/>
          </w:tcPr>
          <w:p w14:paraId="6BE48574" w14:textId="77777777" w:rsidR="00B852BD" w:rsidRPr="00463667" w:rsidRDefault="00B852BD" w:rsidP="00F578E0">
            <w:pPr>
              <w:pStyle w:val="TableText"/>
            </w:pPr>
            <w:r w:rsidRPr="00463667">
              <w:t>Thioxanthenes (oral)</w:t>
            </w:r>
          </w:p>
        </w:tc>
        <w:tc>
          <w:tcPr>
            <w:tcW w:w="2070" w:type="dxa"/>
            <w:tcBorders>
              <w:top w:val="single" w:sz="6" w:space="0" w:color="auto"/>
              <w:left w:val="single" w:sz="6" w:space="0" w:color="auto"/>
              <w:bottom w:val="single" w:sz="6" w:space="0" w:color="auto"/>
              <w:right w:val="nil"/>
            </w:tcBorders>
            <w:shd w:val="clear" w:color="auto" w:fill="D9D9D9" w:themeFill="background1" w:themeFillShade="D9"/>
          </w:tcPr>
          <w:p w14:paraId="38E0A5B5" w14:textId="77777777" w:rsidR="00B852BD" w:rsidRPr="00463667" w:rsidRDefault="00B852BD" w:rsidP="00B852BD">
            <w:pPr>
              <w:pStyle w:val="TableBullet"/>
            </w:pPr>
            <w:r w:rsidRPr="00463667">
              <w:t>Thiothixene</w:t>
            </w:r>
          </w:p>
        </w:tc>
        <w:tc>
          <w:tcPr>
            <w:tcW w:w="2070" w:type="dxa"/>
            <w:tcBorders>
              <w:top w:val="single" w:sz="6" w:space="0" w:color="auto"/>
              <w:left w:val="nil"/>
              <w:bottom w:val="single" w:sz="6" w:space="0" w:color="auto"/>
              <w:right w:val="single" w:sz="4" w:space="0" w:color="auto"/>
            </w:tcBorders>
            <w:shd w:val="clear" w:color="auto" w:fill="D9D9D9" w:themeFill="background1" w:themeFillShade="D9"/>
          </w:tcPr>
          <w:p w14:paraId="1D41E041" w14:textId="77777777" w:rsidR="00B852BD" w:rsidRPr="00463667" w:rsidRDefault="00B852BD" w:rsidP="004E5025">
            <w:pPr>
              <w:pStyle w:val="TableText"/>
            </w:pPr>
          </w:p>
        </w:tc>
        <w:tc>
          <w:tcPr>
            <w:tcW w:w="1620" w:type="dxa"/>
            <w:tcBorders>
              <w:top w:val="single" w:sz="6" w:space="0" w:color="auto"/>
              <w:left w:val="single" w:sz="4" w:space="0" w:color="auto"/>
              <w:bottom w:val="single" w:sz="6" w:space="0" w:color="auto"/>
              <w:right w:val="single" w:sz="4" w:space="0" w:color="auto"/>
            </w:tcBorders>
            <w:shd w:val="clear" w:color="auto" w:fill="D9D9D9" w:themeFill="background1" w:themeFillShade="D9"/>
          </w:tcPr>
          <w:p w14:paraId="0344ECBE" w14:textId="77777777" w:rsidR="00B852BD" w:rsidRPr="00463667" w:rsidRDefault="00B852BD" w:rsidP="004E5025">
            <w:pPr>
              <w:pStyle w:val="TableText"/>
            </w:pPr>
          </w:p>
        </w:tc>
      </w:tr>
      <w:tr w:rsidR="00B852BD" w:rsidRPr="00463667" w14:paraId="1D724E40" w14:textId="77777777" w:rsidTr="00EB11D9">
        <w:trPr>
          <w:cantSplit/>
        </w:trPr>
        <w:tc>
          <w:tcPr>
            <w:tcW w:w="1895" w:type="dxa"/>
            <w:vMerge w:val="restart"/>
            <w:tcBorders>
              <w:top w:val="single" w:sz="6" w:space="0" w:color="auto"/>
              <w:left w:val="single" w:sz="4" w:space="0" w:color="auto"/>
              <w:right w:val="single" w:sz="6" w:space="0" w:color="auto"/>
            </w:tcBorders>
          </w:tcPr>
          <w:p w14:paraId="1BE25498" w14:textId="77777777" w:rsidR="00B852BD" w:rsidRPr="00463667" w:rsidRDefault="00B852BD" w:rsidP="00F578E0">
            <w:pPr>
              <w:pStyle w:val="TableText"/>
              <w:rPr>
                <w:b/>
              </w:rPr>
            </w:pPr>
            <w:r w:rsidRPr="00463667">
              <w:t>Long-acting injections</w:t>
            </w:r>
          </w:p>
        </w:tc>
        <w:tc>
          <w:tcPr>
            <w:tcW w:w="2070" w:type="dxa"/>
            <w:tcBorders>
              <w:top w:val="single" w:sz="6" w:space="0" w:color="auto"/>
              <w:left w:val="single" w:sz="6" w:space="0" w:color="auto"/>
              <w:bottom w:val="dotted" w:sz="6" w:space="0" w:color="auto"/>
              <w:right w:val="nil"/>
            </w:tcBorders>
          </w:tcPr>
          <w:p w14:paraId="54D3FADD" w14:textId="77777777" w:rsidR="00B852BD" w:rsidRPr="00463667" w:rsidRDefault="00B852BD" w:rsidP="00B852BD">
            <w:pPr>
              <w:pStyle w:val="TableBullet"/>
            </w:pPr>
            <w:r w:rsidRPr="00463667">
              <w:rPr>
                <w:szCs w:val="20"/>
              </w:rPr>
              <w:t>Aripiprazole</w:t>
            </w:r>
          </w:p>
          <w:p w14:paraId="634BCEF5" w14:textId="77777777" w:rsidR="00B852BD" w:rsidRPr="00463667" w:rsidRDefault="00B852BD" w:rsidP="00B852BD">
            <w:pPr>
              <w:pStyle w:val="TableBullet"/>
            </w:pPr>
            <w:r w:rsidRPr="00463667">
              <w:t>Fluphenazine decanoate</w:t>
            </w:r>
          </w:p>
          <w:p w14:paraId="6E4F66EA" w14:textId="77777777" w:rsidR="00B852BD" w:rsidRPr="00463667" w:rsidRDefault="00B852BD" w:rsidP="00B852BD">
            <w:pPr>
              <w:pStyle w:val="TableBullet"/>
            </w:pPr>
            <w:r w:rsidRPr="00463667">
              <w:t>Haloperidol decanoate</w:t>
            </w:r>
          </w:p>
        </w:tc>
        <w:tc>
          <w:tcPr>
            <w:tcW w:w="2070" w:type="dxa"/>
            <w:tcBorders>
              <w:top w:val="single" w:sz="6" w:space="0" w:color="auto"/>
              <w:left w:val="nil"/>
              <w:bottom w:val="dotted" w:sz="6" w:space="0" w:color="auto"/>
              <w:right w:val="single" w:sz="4" w:space="0" w:color="auto"/>
            </w:tcBorders>
          </w:tcPr>
          <w:p w14:paraId="772C1E02" w14:textId="77777777" w:rsidR="00B852BD" w:rsidRPr="00463667" w:rsidRDefault="00B852BD" w:rsidP="00B852BD">
            <w:pPr>
              <w:pStyle w:val="TableBullet"/>
            </w:pPr>
            <w:r w:rsidRPr="00463667">
              <w:t>Olanzapine</w:t>
            </w:r>
          </w:p>
          <w:p w14:paraId="72882E6E" w14:textId="77777777" w:rsidR="00B852BD" w:rsidRPr="00463667" w:rsidRDefault="00B852BD" w:rsidP="00B852BD">
            <w:pPr>
              <w:pStyle w:val="TableBullet"/>
            </w:pPr>
            <w:r w:rsidRPr="00463667">
              <w:t>Paliperidone palmitate</w:t>
            </w:r>
          </w:p>
        </w:tc>
        <w:tc>
          <w:tcPr>
            <w:tcW w:w="1620" w:type="dxa"/>
            <w:tcBorders>
              <w:top w:val="single" w:sz="6" w:space="0" w:color="auto"/>
              <w:left w:val="single" w:sz="4" w:space="0" w:color="auto"/>
              <w:bottom w:val="dotted" w:sz="6" w:space="0" w:color="auto"/>
              <w:right w:val="single" w:sz="4" w:space="0" w:color="auto"/>
            </w:tcBorders>
          </w:tcPr>
          <w:p w14:paraId="6D6A2DF7" w14:textId="77777777" w:rsidR="00B852BD" w:rsidRPr="00463667" w:rsidDel="0016680B" w:rsidRDefault="00B852BD" w:rsidP="004E5025">
            <w:pPr>
              <w:pStyle w:val="TableBullet"/>
            </w:pPr>
            <w:r w:rsidRPr="00463667">
              <w:t>28 days supply</w:t>
            </w:r>
          </w:p>
        </w:tc>
      </w:tr>
      <w:tr w:rsidR="00B852BD" w:rsidRPr="00463667" w14:paraId="0E45FFEC" w14:textId="77777777" w:rsidTr="00EB11D9">
        <w:trPr>
          <w:cantSplit/>
        </w:trPr>
        <w:tc>
          <w:tcPr>
            <w:tcW w:w="1895" w:type="dxa"/>
            <w:vMerge/>
            <w:tcBorders>
              <w:left w:val="single" w:sz="4" w:space="0" w:color="auto"/>
              <w:bottom w:val="single" w:sz="6" w:space="0" w:color="auto"/>
              <w:right w:val="single" w:sz="6" w:space="0" w:color="auto"/>
            </w:tcBorders>
          </w:tcPr>
          <w:p w14:paraId="4530A7EB" w14:textId="77777777" w:rsidR="00B852BD" w:rsidRPr="00463667" w:rsidRDefault="00B852BD" w:rsidP="00F578E0">
            <w:pPr>
              <w:pStyle w:val="TableText"/>
            </w:pPr>
          </w:p>
        </w:tc>
        <w:tc>
          <w:tcPr>
            <w:tcW w:w="2070" w:type="dxa"/>
            <w:tcBorders>
              <w:top w:val="dotted" w:sz="6" w:space="0" w:color="auto"/>
              <w:left w:val="single" w:sz="6" w:space="0" w:color="auto"/>
              <w:bottom w:val="single" w:sz="6" w:space="0" w:color="auto"/>
              <w:right w:val="nil"/>
            </w:tcBorders>
          </w:tcPr>
          <w:p w14:paraId="76A6C4D3" w14:textId="77777777" w:rsidR="00B852BD" w:rsidRPr="00463667" w:rsidRDefault="00B852BD" w:rsidP="00B852BD">
            <w:pPr>
              <w:pStyle w:val="TableBullet"/>
            </w:pPr>
            <w:r w:rsidRPr="00463667">
              <w:t>Risperidone</w:t>
            </w:r>
          </w:p>
        </w:tc>
        <w:tc>
          <w:tcPr>
            <w:tcW w:w="2070" w:type="dxa"/>
            <w:tcBorders>
              <w:top w:val="dotted" w:sz="6" w:space="0" w:color="auto"/>
              <w:left w:val="nil"/>
              <w:bottom w:val="single" w:sz="6" w:space="0" w:color="auto"/>
              <w:right w:val="single" w:sz="4" w:space="0" w:color="auto"/>
            </w:tcBorders>
          </w:tcPr>
          <w:p w14:paraId="76D9C66A" w14:textId="77777777" w:rsidR="00B852BD" w:rsidRPr="00463667" w:rsidRDefault="00B852BD" w:rsidP="004E5025">
            <w:pPr>
              <w:pStyle w:val="TableText"/>
            </w:pPr>
          </w:p>
        </w:tc>
        <w:tc>
          <w:tcPr>
            <w:tcW w:w="1620" w:type="dxa"/>
            <w:tcBorders>
              <w:top w:val="dotted" w:sz="6" w:space="0" w:color="auto"/>
              <w:left w:val="single" w:sz="4" w:space="0" w:color="auto"/>
              <w:bottom w:val="single" w:sz="6" w:space="0" w:color="auto"/>
              <w:right w:val="single" w:sz="4" w:space="0" w:color="auto"/>
            </w:tcBorders>
          </w:tcPr>
          <w:p w14:paraId="1B9DC2C7" w14:textId="77777777" w:rsidR="00B852BD" w:rsidRPr="00463667" w:rsidDel="0016680B" w:rsidRDefault="00B852BD" w:rsidP="004E5025">
            <w:pPr>
              <w:pStyle w:val="TableBullet"/>
              <w:rPr>
                <w:b/>
              </w:rPr>
            </w:pPr>
            <w:r w:rsidRPr="00463667">
              <w:t>14 days supply</w:t>
            </w:r>
          </w:p>
        </w:tc>
      </w:tr>
    </w:tbl>
    <w:p w14:paraId="2E77B9FB" w14:textId="447173D9" w:rsidR="00B852BD" w:rsidRPr="00463667" w:rsidRDefault="00B852BD" w:rsidP="00B852BD">
      <w:pPr>
        <w:pStyle w:val="Note"/>
        <w:sectPr w:rsidR="00B852BD" w:rsidRPr="00463667" w:rsidSect="007527F3">
          <w:pgSz w:w="12240" w:h="15840" w:code="1"/>
          <w:pgMar w:top="1080" w:right="1080" w:bottom="1080" w:left="1440" w:header="720" w:footer="720" w:gutter="0"/>
          <w:cols w:space="720"/>
          <w:docGrid w:linePitch="360"/>
        </w:sectPr>
      </w:pPr>
      <w:r w:rsidRPr="00463667">
        <w:rPr>
          <w:b/>
        </w:rPr>
        <w:t>Note:</w:t>
      </w:r>
      <w:r w:rsidRPr="00463667">
        <w:t xml:space="preserve"> NCQA will post a comprehensive list of medications and NDC codes to www.ncqa.org</w:t>
      </w:r>
      <w:r w:rsidRPr="00463667">
        <w:br/>
        <w:t xml:space="preserve">by November </w:t>
      </w:r>
      <w:r w:rsidR="00D0464F">
        <w:t>2</w:t>
      </w:r>
      <w:r w:rsidRPr="00463667">
        <w:t xml:space="preserve">, </w:t>
      </w:r>
      <w:r w:rsidR="00D0464F">
        <w:t>2015</w:t>
      </w:r>
      <w:r w:rsidRPr="00463667">
        <w:t xml:space="preserve">. </w:t>
      </w:r>
    </w:p>
    <w:p w14:paraId="4226A355" w14:textId="77777777" w:rsidR="00B852BD" w:rsidRPr="00463667" w:rsidRDefault="00B852BD" w:rsidP="00B53721">
      <w:pPr>
        <w:pStyle w:val="ReverseHead"/>
        <w:spacing w:before="0"/>
      </w:pPr>
      <w:r w:rsidRPr="00463667">
        <w:lastRenderedPageBreak/>
        <w:t>Administrative Specification</w:t>
      </w:r>
    </w:p>
    <w:tbl>
      <w:tblPr>
        <w:tblW w:w="9918" w:type="dxa"/>
        <w:tblInd w:w="-90" w:type="dxa"/>
        <w:tblLayout w:type="fixed"/>
        <w:tblLook w:val="0000" w:firstRow="0" w:lastRow="0" w:firstColumn="0" w:lastColumn="0" w:noHBand="0" w:noVBand="0"/>
      </w:tblPr>
      <w:tblGrid>
        <w:gridCol w:w="1818"/>
        <w:gridCol w:w="8100"/>
      </w:tblGrid>
      <w:tr w:rsidR="00B852BD" w:rsidRPr="00463667" w14:paraId="69B0F032" w14:textId="77777777" w:rsidTr="00F578E0">
        <w:tc>
          <w:tcPr>
            <w:tcW w:w="1818" w:type="dxa"/>
          </w:tcPr>
          <w:p w14:paraId="5F54C2DA" w14:textId="77777777" w:rsidR="00B852BD" w:rsidRPr="00463667" w:rsidRDefault="00B852BD" w:rsidP="00F578E0">
            <w:pPr>
              <w:pStyle w:val="MarginSubhead"/>
            </w:pPr>
            <w:r w:rsidRPr="00463667">
              <w:t>Denominator</w:t>
            </w:r>
          </w:p>
        </w:tc>
        <w:tc>
          <w:tcPr>
            <w:tcW w:w="8100" w:type="dxa"/>
          </w:tcPr>
          <w:p w14:paraId="51C41044" w14:textId="77777777" w:rsidR="00B852BD" w:rsidRPr="00463667" w:rsidRDefault="00B852BD" w:rsidP="00F578E0">
            <w:pPr>
              <w:pStyle w:val="Body"/>
            </w:pPr>
            <w:r w:rsidRPr="00463667">
              <w:t xml:space="preserve">The eligible population. </w:t>
            </w:r>
          </w:p>
        </w:tc>
      </w:tr>
      <w:tr w:rsidR="00B852BD" w:rsidRPr="00463667" w14:paraId="2C17C8D2" w14:textId="77777777" w:rsidTr="00F578E0">
        <w:trPr>
          <w:trHeight w:val="1280"/>
        </w:trPr>
        <w:tc>
          <w:tcPr>
            <w:tcW w:w="1818" w:type="dxa"/>
          </w:tcPr>
          <w:p w14:paraId="43FB92CB" w14:textId="77777777" w:rsidR="00B852BD" w:rsidRPr="00463667" w:rsidRDefault="00B852BD" w:rsidP="00F578E0">
            <w:pPr>
              <w:pStyle w:val="MarginSubhead"/>
            </w:pPr>
            <w:r w:rsidRPr="00463667">
              <w:t>Numerator</w:t>
            </w:r>
          </w:p>
        </w:tc>
        <w:tc>
          <w:tcPr>
            <w:tcW w:w="8100" w:type="dxa"/>
          </w:tcPr>
          <w:p w14:paraId="253B4D6A" w14:textId="77777777" w:rsidR="00B852BD" w:rsidRPr="00463667" w:rsidRDefault="00B852BD" w:rsidP="00F578E0">
            <w:pPr>
              <w:pStyle w:val="Body"/>
              <w:rPr>
                <w:i/>
              </w:rPr>
            </w:pPr>
            <w:r w:rsidRPr="00463667">
              <w:t xml:space="preserve">The number of members who achieved a PDC of at least 80% for their antipsychotic medications </w:t>
            </w:r>
            <w:r w:rsidRPr="00463667">
              <w:rPr>
                <w:rFonts w:cs="Arial"/>
              </w:rPr>
              <w:t xml:space="preserve">(Table SAA-A; </w:t>
            </w:r>
            <w:r w:rsidRPr="00463667">
              <w:rPr>
                <w:rFonts w:cs="Arial"/>
                <w:u w:val="single"/>
              </w:rPr>
              <w:t>Long-Acting Injections 14 Days Supply Value Set;</w:t>
            </w:r>
            <w:r w:rsidRPr="00463667">
              <w:rPr>
                <w:rFonts w:cs="Arial"/>
              </w:rPr>
              <w:t xml:space="preserve"> </w:t>
            </w:r>
            <w:r w:rsidRPr="00463667">
              <w:rPr>
                <w:rFonts w:cs="Arial"/>
                <w:u w:val="single"/>
              </w:rPr>
              <w:t>Long-Acting Injections 28 Days Supply Value Set</w:t>
            </w:r>
            <w:r w:rsidRPr="00463667">
              <w:rPr>
                <w:rFonts w:cs="Arial"/>
              </w:rPr>
              <w:t xml:space="preserve">) </w:t>
            </w:r>
            <w:r w:rsidRPr="00463667">
              <w:t xml:space="preserve">during the measurement year. </w:t>
            </w:r>
          </w:p>
          <w:p w14:paraId="6F15A2E9" w14:textId="77777777" w:rsidR="00B852BD" w:rsidRPr="00463667" w:rsidRDefault="00B852BD" w:rsidP="00F578E0">
            <w:pPr>
              <w:pStyle w:val="Body"/>
              <w:rPr>
                <w:i/>
              </w:rPr>
            </w:pPr>
            <w:r w:rsidRPr="00463667">
              <w:t>Follow the steps below to identify numerator compliance.</w:t>
            </w:r>
          </w:p>
        </w:tc>
      </w:tr>
      <w:tr w:rsidR="00B852BD" w:rsidRPr="00463667" w14:paraId="5E153695" w14:textId="77777777" w:rsidTr="00F578E0">
        <w:tc>
          <w:tcPr>
            <w:tcW w:w="1818" w:type="dxa"/>
          </w:tcPr>
          <w:p w14:paraId="277FE3A7" w14:textId="77777777" w:rsidR="00B852BD" w:rsidRPr="00463667" w:rsidRDefault="00B852BD" w:rsidP="00F578E0">
            <w:pPr>
              <w:pStyle w:val="MarginSubhead"/>
              <w:ind w:left="0"/>
              <w:jc w:val="right"/>
              <w:rPr>
                <w:i/>
              </w:rPr>
            </w:pPr>
            <w:r w:rsidRPr="00463667">
              <w:rPr>
                <w:i/>
              </w:rPr>
              <w:t>Step 1</w:t>
            </w:r>
          </w:p>
        </w:tc>
        <w:tc>
          <w:tcPr>
            <w:tcW w:w="8100" w:type="dxa"/>
          </w:tcPr>
          <w:p w14:paraId="704D3C75" w14:textId="77777777" w:rsidR="00B852BD" w:rsidRPr="00463667" w:rsidRDefault="00B852BD" w:rsidP="00F578E0">
            <w:pPr>
              <w:pStyle w:val="Body"/>
            </w:pPr>
            <w:r w:rsidRPr="00463667">
              <w:rPr>
                <w:rFonts w:cs="Arial"/>
              </w:rPr>
              <w:t xml:space="preserve">Identify the IPSD. The IPSD is the earliest dispensing event for any antipsychotic medication (Table SAA-A; </w:t>
            </w:r>
            <w:r w:rsidRPr="00463667">
              <w:rPr>
                <w:rFonts w:cs="Arial"/>
                <w:u w:val="single"/>
              </w:rPr>
              <w:t>Long-Acting Injections 14 Days Supply Value Set</w:t>
            </w:r>
            <w:r w:rsidRPr="00463667">
              <w:rPr>
                <w:rFonts w:cs="Arial"/>
              </w:rPr>
              <w:t xml:space="preserve">; </w:t>
            </w:r>
            <w:r w:rsidRPr="00463667">
              <w:rPr>
                <w:rFonts w:cs="Arial"/>
                <w:u w:val="single"/>
              </w:rPr>
              <w:t>Long-Acting Injections 28 Days Supply Value Set</w:t>
            </w:r>
            <w:r w:rsidRPr="00463667">
              <w:rPr>
                <w:rFonts w:cs="Arial"/>
              </w:rPr>
              <w:t>) during the measurement year.</w:t>
            </w:r>
          </w:p>
        </w:tc>
      </w:tr>
      <w:tr w:rsidR="00B852BD" w:rsidRPr="00463667" w14:paraId="6464C383" w14:textId="77777777" w:rsidTr="00827004">
        <w:trPr>
          <w:trHeight w:val="117"/>
        </w:trPr>
        <w:tc>
          <w:tcPr>
            <w:tcW w:w="1818" w:type="dxa"/>
          </w:tcPr>
          <w:p w14:paraId="6EDBE97D" w14:textId="77777777" w:rsidR="00B852BD" w:rsidRPr="00463667" w:rsidRDefault="00B852BD" w:rsidP="00F578E0">
            <w:pPr>
              <w:pStyle w:val="MarginSubhead"/>
              <w:ind w:left="0"/>
              <w:jc w:val="right"/>
              <w:rPr>
                <w:i/>
              </w:rPr>
            </w:pPr>
            <w:r w:rsidRPr="00463667">
              <w:rPr>
                <w:i/>
              </w:rPr>
              <w:t>Step 2</w:t>
            </w:r>
          </w:p>
        </w:tc>
        <w:tc>
          <w:tcPr>
            <w:tcW w:w="8100" w:type="dxa"/>
          </w:tcPr>
          <w:p w14:paraId="059947D1" w14:textId="225C679B" w:rsidR="00B852BD" w:rsidRPr="00463667" w:rsidRDefault="00B852BD" w:rsidP="00827004">
            <w:pPr>
              <w:pStyle w:val="Body"/>
            </w:pPr>
            <w:r w:rsidRPr="00463667">
              <w:t xml:space="preserve">To determine the treatment period, calculate the number of days </w:t>
            </w:r>
            <w:r w:rsidR="005A0673">
              <w:t xml:space="preserve">beginning on </w:t>
            </w:r>
            <w:r w:rsidRPr="00463667">
              <w:t xml:space="preserve">the IPSD </w:t>
            </w:r>
            <w:r w:rsidR="005A0673">
              <w:t xml:space="preserve">through </w:t>
            </w:r>
            <w:r w:rsidRPr="00463667">
              <w:t>the end of the measurement year.</w:t>
            </w:r>
          </w:p>
        </w:tc>
      </w:tr>
      <w:tr w:rsidR="00B852BD" w:rsidRPr="00463667" w14:paraId="7094E2BC" w14:textId="77777777" w:rsidTr="00F578E0">
        <w:tc>
          <w:tcPr>
            <w:tcW w:w="1818" w:type="dxa"/>
          </w:tcPr>
          <w:p w14:paraId="08AD6756" w14:textId="77777777" w:rsidR="00B852BD" w:rsidRPr="00463667" w:rsidRDefault="00B852BD" w:rsidP="00F578E0">
            <w:pPr>
              <w:pStyle w:val="MarginSubhead"/>
              <w:ind w:left="0"/>
              <w:jc w:val="right"/>
              <w:rPr>
                <w:i/>
              </w:rPr>
            </w:pPr>
            <w:r w:rsidRPr="00463667">
              <w:rPr>
                <w:i/>
              </w:rPr>
              <w:t>Step 3</w:t>
            </w:r>
          </w:p>
        </w:tc>
        <w:tc>
          <w:tcPr>
            <w:tcW w:w="8100" w:type="dxa"/>
          </w:tcPr>
          <w:p w14:paraId="7F62138C" w14:textId="77777777" w:rsidR="00B852BD" w:rsidRPr="00463667" w:rsidRDefault="00B852BD" w:rsidP="00F578E0">
            <w:pPr>
              <w:pStyle w:val="Body"/>
            </w:pPr>
            <w:r w:rsidRPr="00463667">
              <w:t>Count the days covered by at least one antipsychotic medications (Table SAA-A</w:t>
            </w:r>
            <w:r w:rsidRPr="00463667">
              <w:rPr>
                <w:rFonts w:cs="Arial"/>
              </w:rPr>
              <w:t xml:space="preserve">; </w:t>
            </w:r>
            <w:r w:rsidRPr="00463667">
              <w:rPr>
                <w:rFonts w:cs="Arial"/>
                <w:u w:val="single"/>
              </w:rPr>
              <w:t>Long-Acting Injections 14 Days Supply Value Set</w:t>
            </w:r>
            <w:r w:rsidRPr="00463667">
              <w:rPr>
                <w:rFonts w:cs="Arial"/>
              </w:rPr>
              <w:t xml:space="preserve">; </w:t>
            </w:r>
            <w:r w:rsidRPr="00463667">
              <w:rPr>
                <w:rFonts w:cs="Arial"/>
                <w:u w:val="single"/>
              </w:rPr>
              <w:t>Long-Acting Injections 28 Days Supply Value Set</w:t>
            </w:r>
            <w:r w:rsidRPr="00463667">
              <w:t>) during the treatment period. To ensure that days supply that extend beyond the measurement year are not counted, subtract any days supply that extends beyond December 31 of the measurement year.</w:t>
            </w:r>
          </w:p>
        </w:tc>
      </w:tr>
      <w:tr w:rsidR="00B852BD" w:rsidRPr="00463667" w14:paraId="0A93D79D" w14:textId="77777777" w:rsidTr="00F578E0">
        <w:tc>
          <w:tcPr>
            <w:tcW w:w="1818" w:type="dxa"/>
          </w:tcPr>
          <w:p w14:paraId="1ACB3053" w14:textId="77777777" w:rsidR="00B852BD" w:rsidRPr="00463667" w:rsidRDefault="00B852BD" w:rsidP="00F578E0">
            <w:pPr>
              <w:pStyle w:val="MarginSubhead"/>
              <w:ind w:left="0"/>
              <w:jc w:val="right"/>
              <w:rPr>
                <w:i/>
              </w:rPr>
            </w:pPr>
            <w:r w:rsidRPr="00463667">
              <w:rPr>
                <w:i/>
              </w:rPr>
              <w:t>Step 4</w:t>
            </w:r>
          </w:p>
        </w:tc>
        <w:tc>
          <w:tcPr>
            <w:tcW w:w="8100" w:type="dxa"/>
          </w:tcPr>
          <w:p w14:paraId="00099488" w14:textId="77777777" w:rsidR="00B852BD" w:rsidRPr="00463667" w:rsidRDefault="00B852BD" w:rsidP="00F578E0">
            <w:pPr>
              <w:pStyle w:val="Body"/>
            </w:pPr>
            <w:r w:rsidRPr="00463667">
              <w:t>Calculate the member</w:t>
            </w:r>
            <w:r w:rsidR="009F0DF0">
              <w:t>’</w:t>
            </w:r>
            <w:r w:rsidRPr="00463667">
              <w:t>s PDC using the following equation. Round to two decimal places, using the .5 rule.</w:t>
            </w:r>
          </w:p>
        </w:tc>
      </w:tr>
      <w:tr w:rsidR="00B852BD" w:rsidRPr="00463667" w14:paraId="30C194FB" w14:textId="77777777" w:rsidTr="00F578E0">
        <w:tc>
          <w:tcPr>
            <w:tcW w:w="1818" w:type="dxa"/>
          </w:tcPr>
          <w:p w14:paraId="64C349F9" w14:textId="77777777" w:rsidR="00B852BD" w:rsidRPr="00463667" w:rsidRDefault="00B852BD" w:rsidP="00F578E0">
            <w:pPr>
              <w:pStyle w:val="MarginSubhead"/>
              <w:ind w:left="0"/>
              <w:jc w:val="right"/>
              <w:rPr>
                <w:i/>
              </w:rPr>
            </w:pPr>
          </w:p>
        </w:tc>
        <w:tc>
          <w:tcPr>
            <w:tcW w:w="8100" w:type="dxa"/>
            <w:tcBorders>
              <w:bottom w:val="single" w:sz="4" w:space="0" w:color="auto"/>
            </w:tcBorders>
            <w:vAlign w:val="center"/>
          </w:tcPr>
          <w:p w14:paraId="32F9B5D6" w14:textId="77777777" w:rsidR="00B852BD" w:rsidRPr="00463667" w:rsidRDefault="00B852BD" w:rsidP="00F578E0">
            <w:pPr>
              <w:pStyle w:val="Body"/>
              <w:spacing w:before="120"/>
              <w:jc w:val="center"/>
            </w:pPr>
            <w:r w:rsidRPr="00463667">
              <w:t>Total Days Covered by an Antipsychotic Medication in the Treatment Period (step 3)</w:t>
            </w:r>
          </w:p>
        </w:tc>
      </w:tr>
      <w:tr w:rsidR="00B852BD" w:rsidRPr="00463667" w14:paraId="44B252A4" w14:textId="77777777" w:rsidTr="00F578E0">
        <w:tc>
          <w:tcPr>
            <w:tcW w:w="1818" w:type="dxa"/>
          </w:tcPr>
          <w:p w14:paraId="0D7D2A8B" w14:textId="77777777" w:rsidR="00B852BD" w:rsidRPr="00463667" w:rsidRDefault="00B852BD" w:rsidP="00133BB6">
            <w:pPr>
              <w:pStyle w:val="MarginSubhead"/>
              <w:spacing w:before="60"/>
              <w:ind w:left="0"/>
              <w:jc w:val="right"/>
              <w:rPr>
                <w:i/>
              </w:rPr>
            </w:pPr>
          </w:p>
        </w:tc>
        <w:tc>
          <w:tcPr>
            <w:tcW w:w="8100" w:type="dxa"/>
            <w:tcBorders>
              <w:top w:val="single" w:sz="4" w:space="0" w:color="auto"/>
            </w:tcBorders>
            <w:vAlign w:val="center"/>
          </w:tcPr>
          <w:p w14:paraId="15D5C34E" w14:textId="77777777" w:rsidR="00B852BD" w:rsidRPr="00463667" w:rsidRDefault="00B852BD" w:rsidP="00F578E0">
            <w:pPr>
              <w:pStyle w:val="Body"/>
              <w:spacing w:before="60"/>
              <w:jc w:val="center"/>
            </w:pPr>
            <w:r w:rsidRPr="00463667">
              <w:t>Total Days in Treatment Period (step 2)</w:t>
            </w:r>
          </w:p>
        </w:tc>
      </w:tr>
      <w:tr w:rsidR="00B852BD" w:rsidRPr="00463667" w14:paraId="3DD68225" w14:textId="77777777" w:rsidTr="00F578E0">
        <w:tc>
          <w:tcPr>
            <w:tcW w:w="1818" w:type="dxa"/>
          </w:tcPr>
          <w:p w14:paraId="0819261D" w14:textId="77777777" w:rsidR="00B852BD" w:rsidRPr="00463667" w:rsidRDefault="00B852BD" w:rsidP="00F578E0">
            <w:pPr>
              <w:pStyle w:val="MarginSubhead"/>
              <w:ind w:left="0"/>
              <w:jc w:val="right"/>
              <w:rPr>
                <w:i/>
              </w:rPr>
            </w:pPr>
            <w:r w:rsidRPr="00463667">
              <w:rPr>
                <w:i/>
              </w:rPr>
              <w:t>Step 5</w:t>
            </w:r>
          </w:p>
        </w:tc>
        <w:tc>
          <w:tcPr>
            <w:tcW w:w="8100" w:type="dxa"/>
          </w:tcPr>
          <w:p w14:paraId="47D7D36B" w14:textId="77777777" w:rsidR="00B852BD" w:rsidRPr="00463667" w:rsidRDefault="00B852BD" w:rsidP="00F578E0">
            <w:pPr>
              <w:pStyle w:val="Body"/>
            </w:pPr>
            <w:r w:rsidRPr="00463667">
              <w:t>Sum the number of members whose PDC is ≥80% for their treatment period.</w:t>
            </w:r>
          </w:p>
        </w:tc>
      </w:tr>
    </w:tbl>
    <w:p w14:paraId="694B89D9" w14:textId="77777777" w:rsidR="00B852BD" w:rsidRPr="00463667" w:rsidRDefault="00B852BD" w:rsidP="00B53721">
      <w:pPr>
        <w:pStyle w:val="ReverseHead"/>
      </w:pPr>
      <w:r w:rsidRPr="00463667">
        <w:t xml:space="preserve">Data Elements for Reporting </w:t>
      </w:r>
    </w:p>
    <w:p w14:paraId="11F443D2" w14:textId="77777777" w:rsidR="00B852BD" w:rsidRPr="00463667" w:rsidRDefault="00B852BD" w:rsidP="00B852BD">
      <w:pPr>
        <w:pStyle w:val="Body"/>
      </w:pPr>
      <w:r w:rsidRPr="00463667">
        <w:t>Organizations that submit HEDIS data to NCQA must provide the following data elements.</w:t>
      </w:r>
    </w:p>
    <w:p w14:paraId="62DA77AC" w14:textId="77777777" w:rsidR="00B852BD" w:rsidRPr="00463667" w:rsidRDefault="00B852BD" w:rsidP="00B53721">
      <w:pPr>
        <w:pStyle w:val="TableHeadNotCondensed"/>
        <w:ind w:left="1440" w:hanging="1440"/>
      </w:pPr>
      <w:r w:rsidRPr="00463667">
        <w:t>Table SAA-1:</w:t>
      </w:r>
      <w:r w:rsidRPr="00463667">
        <w:tab/>
        <w:t xml:space="preserve">Data Elements for Adherence to Antipsychotic </w:t>
      </w:r>
      <w:r w:rsidRPr="00463667">
        <w:br/>
        <w:t>Medications for Individuals With Schizophrenia</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98"/>
        <w:gridCol w:w="2430"/>
      </w:tblGrid>
      <w:tr w:rsidR="00B852BD" w:rsidRPr="00463667" w14:paraId="0A088B7F" w14:textId="77777777" w:rsidTr="004E5025">
        <w:tc>
          <w:tcPr>
            <w:tcW w:w="3698" w:type="dxa"/>
            <w:tcBorders>
              <w:bottom w:val="single" w:sz="6" w:space="0" w:color="auto"/>
              <w:right w:val="nil"/>
            </w:tcBorders>
            <w:shd w:val="clear" w:color="auto" w:fill="000000"/>
          </w:tcPr>
          <w:p w14:paraId="722DFE03" w14:textId="77777777" w:rsidR="00B852BD" w:rsidRPr="00463667" w:rsidRDefault="00B852BD" w:rsidP="00F578E0">
            <w:pPr>
              <w:pStyle w:val="TableHead"/>
              <w:rPr>
                <w:color w:val="auto"/>
              </w:rPr>
            </w:pPr>
          </w:p>
        </w:tc>
        <w:tc>
          <w:tcPr>
            <w:tcW w:w="2430" w:type="dxa"/>
            <w:tcBorders>
              <w:left w:val="single" w:sz="6" w:space="0" w:color="FFFFFF"/>
              <w:bottom w:val="single" w:sz="6" w:space="0" w:color="auto"/>
              <w:right w:val="single" w:sz="4" w:space="0" w:color="auto"/>
            </w:tcBorders>
            <w:shd w:val="clear" w:color="auto" w:fill="000000"/>
          </w:tcPr>
          <w:p w14:paraId="6976B4F2" w14:textId="77777777" w:rsidR="00B852BD" w:rsidRPr="00463667" w:rsidRDefault="00B852BD" w:rsidP="00F578E0">
            <w:pPr>
              <w:pStyle w:val="TableHead"/>
              <w:rPr>
                <w:color w:val="auto"/>
              </w:rPr>
            </w:pPr>
            <w:r w:rsidRPr="00463667">
              <w:rPr>
                <w:color w:val="auto"/>
              </w:rPr>
              <w:t>Administrative</w:t>
            </w:r>
          </w:p>
        </w:tc>
      </w:tr>
      <w:tr w:rsidR="00B852BD" w:rsidRPr="00463667" w14:paraId="588A46BA" w14:textId="77777777" w:rsidTr="004E5025">
        <w:tc>
          <w:tcPr>
            <w:tcW w:w="3698" w:type="dxa"/>
            <w:tcBorders>
              <w:bottom w:val="single" w:sz="6" w:space="0" w:color="auto"/>
            </w:tcBorders>
          </w:tcPr>
          <w:p w14:paraId="04DC49FA" w14:textId="77777777" w:rsidR="00B852BD" w:rsidRPr="00463667" w:rsidRDefault="00B852BD" w:rsidP="00F578E0">
            <w:pPr>
              <w:pStyle w:val="TableText"/>
            </w:pPr>
            <w:r w:rsidRPr="00463667">
              <w:t>Measurement year</w:t>
            </w:r>
          </w:p>
        </w:tc>
        <w:tc>
          <w:tcPr>
            <w:tcW w:w="2430" w:type="dxa"/>
            <w:tcBorders>
              <w:bottom w:val="single" w:sz="6" w:space="0" w:color="auto"/>
            </w:tcBorders>
            <w:vAlign w:val="center"/>
          </w:tcPr>
          <w:p w14:paraId="120EB033"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45E3182C" w14:textId="77777777" w:rsidTr="004E5025">
        <w:tc>
          <w:tcPr>
            <w:tcW w:w="3698" w:type="dxa"/>
            <w:shd w:val="clear" w:color="auto" w:fill="D9D9D9"/>
          </w:tcPr>
          <w:p w14:paraId="4BC8423C" w14:textId="77777777" w:rsidR="00B852BD" w:rsidRPr="00463667" w:rsidRDefault="00B852BD" w:rsidP="00F578E0">
            <w:pPr>
              <w:pStyle w:val="TableText"/>
            </w:pPr>
            <w:r w:rsidRPr="00463667">
              <w:t>Data collection methodology (Administrative)</w:t>
            </w:r>
          </w:p>
        </w:tc>
        <w:tc>
          <w:tcPr>
            <w:tcW w:w="2430" w:type="dxa"/>
            <w:shd w:val="clear" w:color="auto" w:fill="D9D9D9"/>
            <w:vAlign w:val="center"/>
          </w:tcPr>
          <w:p w14:paraId="5CA1CA84"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33F91DB8" w14:textId="77777777" w:rsidTr="004E5025">
        <w:tc>
          <w:tcPr>
            <w:tcW w:w="3698" w:type="dxa"/>
          </w:tcPr>
          <w:p w14:paraId="3423313E" w14:textId="77777777" w:rsidR="00B852BD" w:rsidRPr="00463667" w:rsidRDefault="00B852BD" w:rsidP="00F578E0">
            <w:pPr>
              <w:pStyle w:val="TableText"/>
            </w:pPr>
            <w:r w:rsidRPr="00463667">
              <w:t xml:space="preserve">Eligible population </w:t>
            </w:r>
          </w:p>
        </w:tc>
        <w:tc>
          <w:tcPr>
            <w:tcW w:w="2430" w:type="dxa"/>
            <w:vAlign w:val="center"/>
          </w:tcPr>
          <w:p w14:paraId="4524E885"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7496813B" w14:textId="77777777" w:rsidTr="004E5025">
        <w:tc>
          <w:tcPr>
            <w:tcW w:w="3698" w:type="dxa"/>
            <w:tcBorders>
              <w:bottom w:val="single" w:sz="6" w:space="0" w:color="auto"/>
            </w:tcBorders>
            <w:shd w:val="clear" w:color="auto" w:fill="D9D9D9"/>
          </w:tcPr>
          <w:p w14:paraId="76F5E8CB" w14:textId="77777777" w:rsidR="00B852BD" w:rsidRPr="00463667" w:rsidRDefault="00B852BD" w:rsidP="00F578E0">
            <w:pPr>
              <w:pStyle w:val="TableText"/>
            </w:pPr>
            <w:r w:rsidRPr="00463667">
              <w:t>Number of required exclusions</w:t>
            </w:r>
          </w:p>
        </w:tc>
        <w:tc>
          <w:tcPr>
            <w:tcW w:w="2430" w:type="dxa"/>
            <w:tcBorders>
              <w:bottom w:val="single" w:sz="6" w:space="0" w:color="auto"/>
            </w:tcBorders>
            <w:shd w:val="clear" w:color="auto" w:fill="D9D9D9"/>
          </w:tcPr>
          <w:p w14:paraId="52F0A27D" w14:textId="77777777" w:rsidR="00B852BD" w:rsidRPr="00463667" w:rsidRDefault="00B852BD" w:rsidP="00F578E0">
            <w:pPr>
              <w:pStyle w:val="TableText"/>
              <w:jc w:val="center"/>
              <w:rPr>
                <w:sz w:val="24"/>
              </w:rPr>
            </w:pPr>
            <w:r w:rsidRPr="00463667">
              <w:rPr>
                <w:sz w:val="24"/>
              </w:rPr>
              <w:sym w:font="Wingdings" w:char="F0FC"/>
            </w:r>
          </w:p>
        </w:tc>
      </w:tr>
      <w:tr w:rsidR="00B852BD" w:rsidRPr="00463667" w14:paraId="6D585841" w14:textId="77777777" w:rsidTr="004E5025">
        <w:tc>
          <w:tcPr>
            <w:tcW w:w="3698" w:type="dxa"/>
            <w:tcBorders>
              <w:bottom w:val="single" w:sz="6" w:space="0" w:color="auto"/>
            </w:tcBorders>
            <w:shd w:val="clear" w:color="auto" w:fill="auto"/>
          </w:tcPr>
          <w:p w14:paraId="4CE89CE2" w14:textId="77777777" w:rsidR="00B852BD" w:rsidRPr="00463667" w:rsidRDefault="00B852BD" w:rsidP="00F578E0">
            <w:pPr>
              <w:pStyle w:val="TableText"/>
            </w:pPr>
            <w:r w:rsidRPr="00463667">
              <w:t>Numerator events by administrative data</w:t>
            </w:r>
          </w:p>
        </w:tc>
        <w:tc>
          <w:tcPr>
            <w:tcW w:w="2430" w:type="dxa"/>
            <w:tcBorders>
              <w:bottom w:val="single" w:sz="6" w:space="0" w:color="auto"/>
            </w:tcBorders>
            <w:shd w:val="clear" w:color="auto" w:fill="auto"/>
          </w:tcPr>
          <w:p w14:paraId="12D76C09" w14:textId="77777777" w:rsidR="00B852BD" w:rsidRPr="00463667" w:rsidRDefault="00B852BD" w:rsidP="00F578E0">
            <w:pPr>
              <w:pStyle w:val="TableText"/>
              <w:jc w:val="center"/>
              <w:rPr>
                <w:i/>
                <w:iCs/>
              </w:rPr>
            </w:pPr>
            <w:r w:rsidRPr="00463667">
              <w:rPr>
                <w:sz w:val="24"/>
              </w:rPr>
              <w:sym w:font="Wingdings" w:char="F0FC"/>
            </w:r>
          </w:p>
        </w:tc>
      </w:tr>
      <w:tr w:rsidR="00EB00B0" w:rsidRPr="00463667" w14:paraId="05E09941" w14:textId="77777777" w:rsidTr="004E5025">
        <w:tc>
          <w:tcPr>
            <w:tcW w:w="3698" w:type="dxa"/>
            <w:tcBorders>
              <w:bottom w:val="single" w:sz="6" w:space="0" w:color="auto"/>
            </w:tcBorders>
            <w:shd w:val="clear" w:color="auto" w:fill="D9D9D9" w:themeFill="background1" w:themeFillShade="D9"/>
          </w:tcPr>
          <w:p w14:paraId="713E9E49" w14:textId="77777777" w:rsidR="00EB00B0" w:rsidRPr="00463667" w:rsidRDefault="00EB00B0" w:rsidP="00F578E0">
            <w:pPr>
              <w:pStyle w:val="TableText"/>
            </w:pPr>
            <w:r w:rsidRPr="00EB00B0">
              <w:t>Numerator events by supplemental data</w:t>
            </w:r>
          </w:p>
        </w:tc>
        <w:tc>
          <w:tcPr>
            <w:tcW w:w="2430" w:type="dxa"/>
            <w:tcBorders>
              <w:bottom w:val="single" w:sz="6" w:space="0" w:color="auto"/>
            </w:tcBorders>
            <w:shd w:val="clear" w:color="auto" w:fill="D9D9D9" w:themeFill="background1" w:themeFillShade="D9"/>
          </w:tcPr>
          <w:p w14:paraId="0A4B4D49" w14:textId="77777777" w:rsidR="00EB00B0" w:rsidRPr="00463667" w:rsidRDefault="00EB00B0" w:rsidP="00F578E0">
            <w:pPr>
              <w:pStyle w:val="TableText"/>
              <w:jc w:val="center"/>
              <w:rPr>
                <w:sz w:val="24"/>
              </w:rPr>
            </w:pPr>
            <w:r w:rsidRPr="00463667">
              <w:rPr>
                <w:sz w:val="24"/>
              </w:rPr>
              <w:sym w:font="Wingdings" w:char="F0FC"/>
            </w:r>
          </w:p>
        </w:tc>
      </w:tr>
      <w:tr w:rsidR="00B852BD" w:rsidRPr="00463667" w14:paraId="237CDA72" w14:textId="77777777" w:rsidTr="004E5025">
        <w:tc>
          <w:tcPr>
            <w:tcW w:w="3698" w:type="dxa"/>
            <w:shd w:val="clear" w:color="auto" w:fill="FFFFFF" w:themeFill="background1"/>
          </w:tcPr>
          <w:p w14:paraId="1463FAC7" w14:textId="77777777" w:rsidR="00B852BD" w:rsidRPr="00463667" w:rsidRDefault="00B852BD" w:rsidP="00F578E0">
            <w:pPr>
              <w:pStyle w:val="TableText"/>
            </w:pPr>
            <w:r w:rsidRPr="00463667">
              <w:t>Reported rate</w:t>
            </w:r>
          </w:p>
        </w:tc>
        <w:tc>
          <w:tcPr>
            <w:tcW w:w="2430" w:type="dxa"/>
            <w:shd w:val="clear" w:color="auto" w:fill="FFFFFF" w:themeFill="background1"/>
          </w:tcPr>
          <w:p w14:paraId="5A98658E" w14:textId="77777777" w:rsidR="00B852BD" w:rsidRPr="00463667" w:rsidRDefault="00B852BD" w:rsidP="00F578E0">
            <w:pPr>
              <w:pStyle w:val="TableText"/>
              <w:jc w:val="center"/>
              <w:rPr>
                <w:i/>
                <w:iCs/>
              </w:rPr>
            </w:pPr>
            <w:r w:rsidRPr="00463667">
              <w:rPr>
                <w:sz w:val="24"/>
              </w:rPr>
              <w:sym w:font="Wingdings" w:char="F0FC"/>
            </w:r>
          </w:p>
        </w:tc>
      </w:tr>
      <w:tr w:rsidR="00B852BD" w:rsidRPr="00463667" w14:paraId="78BF056C" w14:textId="77777777" w:rsidTr="004E5025">
        <w:tc>
          <w:tcPr>
            <w:tcW w:w="3698" w:type="dxa"/>
            <w:tcBorders>
              <w:bottom w:val="single" w:sz="6" w:space="0" w:color="auto"/>
            </w:tcBorders>
            <w:shd w:val="clear" w:color="auto" w:fill="D9D9D9" w:themeFill="background1" w:themeFillShade="D9"/>
          </w:tcPr>
          <w:p w14:paraId="07D5036F" w14:textId="77777777" w:rsidR="00B852BD" w:rsidRPr="00463667" w:rsidRDefault="00B852BD" w:rsidP="00F578E0">
            <w:pPr>
              <w:pStyle w:val="TableText"/>
            </w:pPr>
            <w:r w:rsidRPr="00463667">
              <w:t>Lower 95% confidence interval</w:t>
            </w:r>
          </w:p>
        </w:tc>
        <w:tc>
          <w:tcPr>
            <w:tcW w:w="2430" w:type="dxa"/>
            <w:tcBorders>
              <w:bottom w:val="single" w:sz="6" w:space="0" w:color="auto"/>
            </w:tcBorders>
            <w:shd w:val="clear" w:color="auto" w:fill="D9D9D9" w:themeFill="background1" w:themeFillShade="D9"/>
          </w:tcPr>
          <w:p w14:paraId="11F17FC3" w14:textId="77777777" w:rsidR="00B852BD" w:rsidRPr="00463667" w:rsidRDefault="00B852BD" w:rsidP="00F578E0">
            <w:pPr>
              <w:pStyle w:val="TableText"/>
              <w:jc w:val="center"/>
              <w:rPr>
                <w:i/>
                <w:iCs/>
              </w:rPr>
            </w:pPr>
            <w:r w:rsidRPr="00463667">
              <w:rPr>
                <w:sz w:val="24"/>
              </w:rPr>
              <w:sym w:font="Wingdings" w:char="F0FC"/>
            </w:r>
          </w:p>
        </w:tc>
      </w:tr>
      <w:tr w:rsidR="00B852BD" w:rsidRPr="00463667" w14:paraId="2E4F3529" w14:textId="77777777" w:rsidTr="004E5025">
        <w:tc>
          <w:tcPr>
            <w:tcW w:w="3698" w:type="dxa"/>
            <w:tcBorders>
              <w:bottom w:val="single" w:sz="4" w:space="0" w:color="auto"/>
            </w:tcBorders>
            <w:shd w:val="clear" w:color="auto" w:fill="FFFFFF" w:themeFill="background1"/>
          </w:tcPr>
          <w:p w14:paraId="533FF92B" w14:textId="77777777" w:rsidR="00B852BD" w:rsidRPr="00463667" w:rsidRDefault="00B852BD" w:rsidP="00F578E0">
            <w:pPr>
              <w:pStyle w:val="TableText"/>
            </w:pPr>
            <w:r w:rsidRPr="00463667">
              <w:t>Upper 95% confidence interval</w:t>
            </w:r>
          </w:p>
        </w:tc>
        <w:tc>
          <w:tcPr>
            <w:tcW w:w="2430" w:type="dxa"/>
            <w:tcBorders>
              <w:bottom w:val="single" w:sz="4" w:space="0" w:color="auto"/>
            </w:tcBorders>
            <w:shd w:val="clear" w:color="auto" w:fill="FFFFFF" w:themeFill="background1"/>
          </w:tcPr>
          <w:p w14:paraId="5846C70D" w14:textId="77777777" w:rsidR="00B852BD" w:rsidRPr="00463667" w:rsidRDefault="00B852BD" w:rsidP="00F578E0">
            <w:pPr>
              <w:pStyle w:val="TableText"/>
              <w:jc w:val="center"/>
              <w:rPr>
                <w:i/>
                <w:iCs/>
              </w:rPr>
            </w:pPr>
            <w:r w:rsidRPr="00463667">
              <w:rPr>
                <w:sz w:val="24"/>
              </w:rPr>
              <w:sym w:font="Wingdings" w:char="F0FC"/>
            </w:r>
          </w:p>
        </w:tc>
      </w:tr>
    </w:tbl>
    <w:p w14:paraId="2FB72DE7" w14:textId="77777777" w:rsidR="00B852BD" w:rsidRPr="00463667" w:rsidRDefault="00B852BD" w:rsidP="00B852BD">
      <w:pPr>
        <w:pStyle w:val="Body"/>
        <w:rPr>
          <w:rFonts w:cs="Arial"/>
          <w:sz w:val="18"/>
          <w:szCs w:val="18"/>
        </w:rPr>
        <w:sectPr w:rsidR="00B852BD" w:rsidRPr="00463667" w:rsidSect="007527F3">
          <w:pgSz w:w="12240" w:h="15840" w:code="1"/>
          <w:pgMar w:top="1080" w:right="1080" w:bottom="1080" w:left="1440" w:header="720" w:footer="720" w:gutter="0"/>
          <w:cols w:space="720"/>
          <w:docGrid w:linePitch="360"/>
        </w:sectPr>
      </w:pPr>
    </w:p>
    <w:p w14:paraId="486F2739" w14:textId="77777777" w:rsidR="00B852BD" w:rsidRPr="00463667" w:rsidRDefault="00B852BD" w:rsidP="00B852BD">
      <w:pPr>
        <w:pStyle w:val="Heading2"/>
      </w:pPr>
      <w:bookmarkStart w:id="11" w:name="_Toc400546143"/>
      <w:r w:rsidRPr="003F7CDF">
        <w:lastRenderedPageBreak/>
        <w:t>Metabolic Monitoring for Children and Adolescents on Antipsychotics (APM)</w:t>
      </w:r>
      <w:bookmarkEnd w:id="11"/>
    </w:p>
    <w:p w14:paraId="6B40A007" w14:textId="3FC6AE86" w:rsidR="00B852BD" w:rsidRPr="00463667" w:rsidRDefault="00B852BD" w:rsidP="00B53721">
      <w:pPr>
        <w:pStyle w:val="SOC"/>
        <w:rPr>
          <w:i/>
        </w:rPr>
      </w:pPr>
      <w:r w:rsidRPr="00463667">
        <w:t xml:space="preserve">Summary of Changes to HEDIS </w:t>
      </w:r>
      <w:r w:rsidR="00D0464F">
        <w:t>2016</w:t>
      </w:r>
    </w:p>
    <w:p w14:paraId="29482315" w14:textId="078CDA3B" w:rsidR="00EB00B0" w:rsidRPr="00463667" w:rsidRDefault="00EB00B0" w:rsidP="00EB00B0">
      <w:pPr>
        <w:pStyle w:val="ProcessBullet"/>
        <w:rPr>
          <w:i/>
          <w:iCs/>
        </w:rPr>
      </w:pPr>
      <w:r>
        <w:t xml:space="preserve">Added </w:t>
      </w:r>
      <w:r w:rsidR="009F0DF0">
        <w:t>“</w:t>
      </w:r>
      <w:r>
        <w:t>Numerator events by supplemental data</w:t>
      </w:r>
      <w:r w:rsidR="009F0DF0">
        <w:t>”</w:t>
      </w:r>
      <w:r>
        <w:t xml:space="preserve"> to the Data Elements for Reporting table to capture the number of members who met numerator criteria using supplemental data. </w:t>
      </w:r>
    </w:p>
    <w:p w14:paraId="4F769DE4" w14:textId="77777777" w:rsidR="00B852BD" w:rsidRPr="00463667" w:rsidRDefault="00B852BD" w:rsidP="0012403D">
      <w:pPr>
        <w:pStyle w:val="ReverseHead"/>
        <w:spacing w:before="320"/>
      </w:pPr>
      <w:r w:rsidRPr="00463667">
        <w:t>Description</w:t>
      </w:r>
    </w:p>
    <w:p w14:paraId="149415B0" w14:textId="77777777" w:rsidR="00B852BD" w:rsidRPr="00463667" w:rsidRDefault="00B852BD" w:rsidP="00B852BD">
      <w:pPr>
        <w:pStyle w:val="Body"/>
      </w:pPr>
      <w:r w:rsidRPr="00463667">
        <w:t>The percentage of children and adolescents 1–17 years of age who had two or more antipsychotic prescriptions and had metabolic testing.</w:t>
      </w:r>
    </w:p>
    <w:p w14:paraId="1010BCF5" w14:textId="77777777" w:rsidR="00B852BD" w:rsidRPr="00463667" w:rsidRDefault="00B852BD" w:rsidP="0012403D">
      <w:pPr>
        <w:pStyle w:val="ReverseHead"/>
        <w:spacing w:before="320"/>
      </w:pPr>
      <w:r w:rsidRPr="00463667">
        <w:t xml:space="preserve">Eligible Population </w:t>
      </w:r>
    </w:p>
    <w:tbl>
      <w:tblPr>
        <w:tblW w:w="9810" w:type="dxa"/>
        <w:tblInd w:w="18" w:type="dxa"/>
        <w:tblLayout w:type="fixed"/>
        <w:tblLook w:val="0000" w:firstRow="0" w:lastRow="0" w:firstColumn="0" w:lastColumn="0" w:noHBand="0" w:noVBand="0"/>
      </w:tblPr>
      <w:tblGrid>
        <w:gridCol w:w="1872"/>
        <w:gridCol w:w="2340"/>
        <w:gridCol w:w="5598"/>
      </w:tblGrid>
      <w:tr w:rsidR="00B852BD" w:rsidRPr="00463667" w14:paraId="56CD48DC" w14:textId="77777777" w:rsidTr="00133BB6">
        <w:trPr>
          <w:trHeight w:val="333"/>
        </w:trPr>
        <w:tc>
          <w:tcPr>
            <w:tcW w:w="1872" w:type="dxa"/>
          </w:tcPr>
          <w:p w14:paraId="6D2DC96F" w14:textId="77777777" w:rsidR="00B852BD" w:rsidRPr="00463667" w:rsidRDefault="00B852BD" w:rsidP="00F578E0">
            <w:pPr>
              <w:pStyle w:val="MarginSubhead"/>
            </w:pPr>
            <w:r w:rsidRPr="00463667">
              <w:t>Product lines</w:t>
            </w:r>
          </w:p>
        </w:tc>
        <w:tc>
          <w:tcPr>
            <w:tcW w:w="7938" w:type="dxa"/>
            <w:gridSpan w:val="2"/>
          </w:tcPr>
          <w:p w14:paraId="10959DA4" w14:textId="77777777" w:rsidR="00B852BD" w:rsidRPr="00463667" w:rsidRDefault="00B852BD" w:rsidP="00F578E0">
            <w:pPr>
              <w:pStyle w:val="Body"/>
              <w:rPr>
                <w:rFonts w:cs="Arial"/>
                <w:i/>
                <w:szCs w:val="20"/>
              </w:rPr>
            </w:pPr>
            <w:r w:rsidRPr="00463667">
              <w:rPr>
                <w:rFonts w:cs="Arial"/>
                <w:szCs w:val="20"/>
              </w:rPr>
              <w:t>Commercial, Medicaid (report each product line separately).</w:t>
            </w:r>
          </w:p>
        </w:tc>
      </w:tr>
      <w:tr w:rsidR="00624FE6" w:rsidRPr="00463667" w14:paraId="544AAC6E" w14:textId="77777777" w:rsidTr="00133BB6">
        <w:trPr>
          <w:trHeight w:val="558"/>
        </w:trPr>
        <w:tc>
          <w:tcPr>
            <w:tcW w:w="1872" w:type="dxa"/>
          </w:tcPr>
          <w:p w14:paraId="3CC905B8" w14:textId="02FC47AB" w:rsidR="00624FE6" w:rsidRPr="00463667" w:rsidRDefault="00624FE6" w:rsidP="00F578E0">
            <w:pPr>
              <w:pStyle w:val="MarginSubhead"/>
            </w:pPr>
            <w:r w:rsidRPr="00463667">
              <w:t>Ages</w:t>
            </w:r>
          </w:p>
        </w:tc>
        <w:tc>
          <w:tcPr>
            <w:tcW w:w="7938" w:type="dxa"/>
            <w:gridSpan w:val="2"/>
          </w:tcPr>
          <w:p w14:paraId="06ED2FAD" w14:textId="78B572B4" w:rsidR="00624FE6" w:rsidRPr="00463667" w:rsidRDefault="00624FE6" w:rsidP="00F578E0">
            <w:pPr>
              <w:pStyle w:val="Body"/>
            </w:pPr>
            <w:r w:rsidRPr="00463667">
              <w:t xml:space="preserve">1–17 years as of December 31 of the measurement year. Report three age stratifications and a total rate: </w:t>
            </w:r>
          </w:p>
        </w:tc>
      </w:tr>
      <w:tr w:rsidR="00624FE6" w:rsidRPr="00463667" w14:paraId="014A946C" w14:textId="77777777" w:rsidTr="00EB11D9">
        <w:trPr>
          <w:trHeight w:val="558"/>
        </w:trPr>
        <w:tc>
          <w:tcPr>
            <w:tcW w:w="1872" w:type="dxa"/>
          </w:tcPr>
          <w:p w14:paraId="1C71072D" w14:textId="014303FA" w:rsidR="00624FE6" w:rsidRPr="00463667" w:rsidRDefault="00624FE6" w:rsidP="00F578E0">
            <w:pPr>
              <w:pStyle w:val="MarginSubhead"/>
            </w:pPr>
          </w:p>
        </w:tc>
        <w:tc>
          <w:tcPr>
            <w:tcW w:w="2340" w:type="dxa"/>
          </w:tcPr>
          <w:p w14:paraId="55A6A868" w14:textId="77777777" w:rsidR="00624FE6" w:rsidRPr="00463667" w:rsidRDefault="00624FE6" w:rsidP="0012403D">
            <w:pPr>
              <w:pStyle w:val="Bullet"/>
              <w:spacing w:before="60"/>
            </w:pPr>
            <w:r w:rsidRPr="00463667">
              <w:t>1–5 years.</w:t>
            </w:r>
          </w:p>
          <w:p w14:paraId="351F61B9" w14:textId="0FA1EFF2" w:rsidR="00624FE6" w:rsidRPr="00463667" w:rsidRDefault="00624FE6" w:rsidP="0012403D">
            <w:pPr>
              <w:pStyle w:val="Bullet"/>
              <w:spacing w:before="60"/>
            </w:pPr>
            <w:r w:rsidRPr="00463667">
              <w:t>6–11 years.</w:t>
            </w:r>
          </w:p>
        </w:tc>
        <w:tc>
          <w:tcPr>
            <w:tcW w:w="5598" w:type="dxa"/>
          </w:tcPr>
          <w:p w14:paraId="69A023F8" w14:textId="77777777" w:rsidR="00624FE6" w:rsidRDefault="00624FE6" w:rsidP="00EB11D9">
            <w:pPr>
              <w:pStyle w:val="ProcessBullet"/>
              <w:spacing w:before="60"/>
            </w:pPr>
            <w:r w:rsidRPr="00463667">
              <w:t>12–17 years.</w:t>
            </w:r>
          </w:p>
          <w:p w14:paraId="73A0F7AD" w14:textId="527ECF09" w:rsidR="00624FE6" w:rsidRPr="00463667" w:rsidRDefault="00624FE6" w:rsidP="00EB11D9">
            <w:pPr>
              <w:pStyle w:val="ProcessBullet"/>
              <w:spacing w:before="60"/>
            </w:pPr>
            <w:r w:rsidRPr="00463667">
              <w:t>Total.</w:t>
            </w:r>
          </w:p>
        </w:tc>
      </w:tr>
      <w:tr w:rsidR="00624FE6" w:rsidRPr="00463667" w14:paraId="7FE560F0" w14:textId="77777777" w:rsidTr="00133BB6">
        <w:tc>
          <w:tcPr>
            <w:tcW w:w="1872" w:type="dxa"/>
          </w:tcPr>
          <w:p w14:paraId="3F3BE04B" w14:textId="77777777" w:rsidR="00624FE6" w:rsidRPr="00463667" w:rsidRDefault="00624FE6" w:rsidP="0012403D">
            <w:pPr>
              <w:pStyle w:val="MarginSubhead"/>
              <w:spacing w:before="120"/>
            </w:pPr>
          </w:p>
        </w:tc>
        <w:tc>
          <w:tcPr>
            <w:tcW w:w="7938" w:type="dxa"/>
            <w:gridSpan w:val="2"/>
          </w:tcPr>
          <w:p w14:paraId="77187249" w14:textId="3354E03D" w:rsidR="00624FE6" w:rsidRPr="00463667" w:rsidRDefault="00624FE6" w:rsidP="0012403D">
            <w:pPr>
              <w:pStyle w:val="Body"/>
              <w:spacing w:before="120"/>
            </w:pPr>
            <w:r w:rsidRPr="00463667">
              <w:t>The total is the sum of the age stratifications.</w:t>
            </w:r>
          </w:p>
        </w:tc>
      </w:tr>
      <w:tr w:rsidR="00B852BD" w:rsidRPr="00463667" w14:paraId="5CD00C1F" w14:textId="77777777" w:rsidTr="00133BB6">
        <w:trPr>
          <w:trHeight w:val="630"/>
        </w:trPr>
        <w:tc>
          <w:tcPr>
            <w:tcW w:w="1872" w:type="dxa"/>
          </w:tcPr>
          <w:p w14:paraId="252CAE5B" w14:textId="77777777" w:rsidR="00B852BD" w:rsidRPr="00463667" w:rsidRDefault="00B852BD" w:rsidP="0012403D">
            <w:pPr>
              <w:pStyle w:val="MarginSubhead"/>
              <w:spacing w:before="160"/>
            </w:pPr>
            <w:r w:rsidRPr="00463667">
              <w:t>Continuous enrollment</w:t>
            </w:r>
          </w:p>
        </w:tc>
        <w:tc>
          <w:tcPr>
            <w:tcW w:w="7938" w:type="dxa"/>
            <w:gridSpan w:val="2"/>
          </w:tcPr>
          <w:p w14:paraId="3E299899" w14:textId="77777777" w:rsidR="00B852BD" w:rsidRPr="00463667" w:rsidRDefault="00B852BD" w:rsidP="0012403D">
            <w:pPr>
              <w:pStyle w:val="Body"/>
              <w:spacing w:before="160"/>
            </w:pPr>
            <w:r w:rsidRPr="00463667">
              <w:t>The measurement year.</w:t>
            </w:r>
          </w:p>
        </w:tc>
      </w:tr>
      <w:tr w:rsidR="00B852BD" w:rsidRPr="00463667" w14:paraId="61F7E806" w14:textId="77777777" w:rsidTr="00133BB6">
        <w:trPr>
          <w:trHeight w:val="423"/>
        </w:trPr>
        <w:tc>
          <w:tcPr>
            <w:tcW w:w="1872" w:type="dxa"/>
          </w:tcPr>
          <w:p w14:paraId="346DDE06" w14:textId="77777777" w:rsidR="00B852BD" w:rsidRPr="00463667" w:rsidRDefault="00B852BD" w:rsidP="0012403D">
            <w:pPr>
              <w:pStyle w:val="MarginSubhead"/>
              <w:spacing w:before="160"/>
            </w:pPr>
            <w:r w:rsidRPr="00463667">
              <w:t>Allowable gap</w:t>
            </w:r>
          </w:p>
        </w:tc>
        <w:tc>
          <w:tcPr>
            <w:tcW w:w="7938" w:type="dxa"/>
            <w:gridSpan w:val="2"/>
          </w:tcPr>
          <w:p w14:paraId="75EB6112" w14:textId="77777777" w:rsidR="00B852BD" w:rsidRPr="00463667" w:rsidRDefault="00B852BD" w:rsidP="0012403D">
            <w:pPr>
              <w:pStyle w:val="Body"/>
              <w:spacing w:before="160"/>
            </w:pPr>
            <w:r w:rsidRPr="00463667">
              <w:t>No more than one gap in enrollment of up to 45 days during the measurement year.</w:t>
            </w:r>
          </w:p>
        </w:tc>
      </w:tr>
      <w:tr w:rsidR="00B852BD" w:rsidRPr="00463667" w14:paraId="21371594" w14:textId="77777777" w:rsidTr="00133BB6">
        <w:trPr>
          <w:trHeight w:val="405"/>
        </w:trPr>
        <w:tc>
          <w:tcPr>
            <w:tcW w:w="1872" w:type="dxa"/>
          </w:tcPr>
          <w:p w14:paraId="7E8D0B03" w14:textId="77777777" w:rsidR="00B852BD" w:rsidRPr="00463667" w:rsidRDefault="00B852BD" w:rsidP="0012403D">
            <w:pPr>
              <w:pStyle w:val="MarginSubhead"/>
              <w:spacing w:before="160"/>
            </w:pPr>
            <w:r w:rsidRPr="00463667">
              <w:t>Anchor date</w:t>
            </w:r>
          </w:p>
        </w:tc>
        <w:tc>
          <w:tcPr>
            <w:tcW w:w="7938" w:type="dxa"/>
            <w:gridSpan w:val="2"/>
          </w:tcPr>
          <w:p w14:paraId="03EC7452" w14:textId="77777777" w:rsidR="00B852BD" w:rsidRPr="00463667" w:rsidRDefault="00B852BD" w:rsidP="0012403D">
            <w:pPr>
              <w:pStyle w:val="Body"/>
              <w:spacing w:before="160"/>
            </w:pPr>
            <w:r w:rsidRPr="00463667">
              <w:t>December 31 of the measurement year.</w:t>
            </w:r>
          </w:p>
        </w:tc>
      </w:tr>
      <w:tr w:rsidR="00B852BD" w:rsidRPr="00463667" w14:paraId="26C9224C" w14:textId="77777777" w:rsidTr="00133BB6">
        <w:trPr>
          <w:trHeight w:val="342"/>
        </w:trPr>
        <w:tc>
          <w:tcPr>
            <w:tcW w:w="1872" w:type="dxa"/>
          </w:tcPr>
          <w:p w14:paraId="5943938C" w14:textId="77777777" w:rsidR="00B852BD" w:rsidRPr="00463667" w:rsidRDefault="00B852BD" w:rsidP="0012403D">
            <w:pPr>
              <w:pStyle w:val="MarginSubhead"/>
              <w:spacing w:before="160"/>
            </w:pPr>
            <w:r w:rsidRPr="00463667">
              <w:t>Benefit</w:t>
            </w:r>
          </w:p>
        </w:tc>
        <w:tc>
          <w:tcPr>
            <w:tcW w:w="7938" w:type="dxa"/>
            <w:gridSpan w:val="2"/>
          </w:tcPr>
          <w:p w14:paraId="10805853" w14:textId="77777777" w:rsidR="00B852BD" w:rsidRPr="00463667" w:rsidRDefault="00B852BD" w:rsidP="0012403D">
            <w:pPr>
              <w:pStyle w:val="Body"/>
              <w:spacing w:before="160"/>
            </w:pPr>
            <w:r w:rsidRPr="00463667">
              <w:t>Medical and pharmacy.</w:t>
            </w:r>
          </w:p>
        </w:tc>
      </w:tr>
      <w:tr w:rsidR="00B852BD" w:rsidRPr="00463667" w14:paraId="2CEB6FCB" w14:textId="77777777" w:rsidTr="00133BB6">
        <w:tc>
          <w:tcPr>
            <w:tcW w:w="1872" w:type="dxa"/>
          </w:tcPr>
          <w:p w14:paraId="0D3595A7" w14:textId="1BF59D92" w:rsidR="00B852BD" w:rsidRPr="00463667" w:rsidRDefault="00B852BD" w:rsidP="0012403D">
            <w:pPr>
              <w:pStyle w:val="MarginSubhead"/>
              <w:spacing w:before="160"/>
            </w:pPr>
            <w:r w:rsidRPr="00463667">
              <w:t>Event/</w:t>
            </w:r>
            <w:r w:rsidR="00133BB6">
              <w:t xml:space="preserve"> </w:t>
            </w:r>
            <w:r w:rsidRPr="00463667">
              <w:t>diagnosis</w:t>
            </w:r>
          </w:p>
        </w:tc>
        <w:tc>
          <w:tcPr>
            <w:tcW w:w="7938" w:type="dxa"/>
            <w:gridSpan w:val="2"/>
          </w:tcPr>
          <w:p w14:paraId="5BBAEB8D" w14:textId="77777777" w:rsidR="00B852BD" w:rsidRPr="00463667" w:rsidRDefault="00B852BD" w:rsidP="0012403D">
            <w:pPr>
              <w:pStyle w:val="Body"/>
              <w:spacing w:before="160"/>
            </w:pPr>
            <w:r w:rsidRPr="00463667">
              <w:t xml:space="preserve">At least two antipsychotic medication dispensing events (Table APM-A) of the same or different medications, on different dates of service during the measurement year. </w:t>
            </w:r>
          </w:p>
        </w:tc>
      </w:tr>
    </w:tbl>
    <w:p w14:paraId="49D007BA" w14:textId="77777777" w:rsidR="00B852BD" w:rsidRPr="00463667" w:rsidRDefault="00B852BD" w:rsidP="00C0313E">
      <w:pPr>
        <w:pStyle w:val="TableHeadNotCondensed"/>
        <w:spacing w:before="180"/>
      </w:pPr>
      <w:r w:rsidRPr="00463667">
        <w:t>Table APM-A</w:t>
      </w:r>
      <w:r w:rsidR="00EA1D55">
        <w:t>:</w:t>
      </w:r>
      <w:r w:rsidRPr="00463667">
        <w:t xml:space="preserve"> Antipsychotic Medications</w:t>
      </w:r>
    </w:p>
    <w:tbl>
      <w:tblPr>
        <w:tblStyle w:val="TableGrid"/>
        <w:tblW w:w="0" w:type="auto"/>
        <w:tblInd w:w="-5" w:type="dxa"/>
        <w:tblLook w:val="04A0" w:firstRow="1" w:lastRow="0" w:firstColumn="1" w:lastColumn="0" w:noHBand="0" w:noVBand="1"/>
      </w:tblPr>
      <w:tblGrid>
        <w:gridCol w:w="2426"/>
        <w:gridCol w:w="2433"/>
        <w:gridCol w:w="2425"/>
        <w:gridCol w:w="2431"/>
      </w:tblGrid>
      <w:tr w:rsidR="00B852BD" w:rsidRPr="00463667" w14:paraId="1419E0B0" w14:textId="77777777" w:rsidTr="004E5025">
        <w:tc>
          <w:tcPr>
            <w:tcW w:w="2426" w:type="dxa"/>
            <w:tcBorders>
              <w:right w:val="single" w:sz="4" w:space="0" w:color="FFFFFF" w:themeColor="background1"/>
            </w:tcBorders>
            <w:shd w:val="clear" w:color="auto" w:fill="000000" w:themeFill="text1"/>
          </w:tcPr>
          <w:p w14:paraId="4CC558B7" w14:textId="77777777" w:rsidR="00B852BD" w:rsidRPr="00463667" w:rsidRDefault="00B852BD" w:rsidP="0012403D">
            <w:pPr>
              <w:pStyle w:val="TableHead"/>
              <w:spacing w:before="30" w:after="30"/>
            </w:pPr>
            <w:r w:rsidRPr="00463667">
              <w:t>Description</w:t>
            </w:r>
          </w:p>
        </w:tc>
        <w:tc>
          <w:tcPr>
            <w:tcW w:w="7289" w:type="dxa"/>
            <w:gridSpan w:val="3"/>
            <w:tcBorders>
              <w:left w:val="single" w:sz="4" w:space="0" w:color="FFFFFF" w:themeColor="background1"/>
            </w:tcBorders>
            <w:shd w:val="clear" w:color="auto" w:fill="000000" w:themeFill="text1"/>
          </w:tcPr>
          <w:p w14:paraId="49E93EC5" w14:textId="77777777" w:rsidR="00B852BD" w:rsidRPr="00463667" w:rsidRDefault="00B852BD" w:rsidP="0012403D">
            <w:pPr>
              <w:pStyle w:val="TableHead"/>
              <w:spacing w:before="30" w:after="30"/>
            </w:pPr>
            <w:r w:rsidRPr="00463667">
              <w:t>Prescription</w:t>
            </w:r>
          </w:p>
        </w:tc>
      </w:tr>
      <w:tr w:rsidR="00B852BD" w:rsidRPr="00463667" w14:paraId="49C7A901" w14:textId="77777777" w:rsidTr="004E5025">
        <w:tc>
          <w:tcPr>
            <w:tcW w:w="2426" w:type="dxa"/>
          </w:tcPr>
          <w:p w14:paraId="3FCD809A" w14:textId="77777777" w:rsidR="00B852BD" w:rsidRPr="00463667" w:rsidRDefault="00B852BD" w:rsidP="0012403D">
            <w:pPr>
              <w:pStyle w:val="TableText"/>
              <w:spacing w:before="30" w:after="30"/>
            </w:pPr>
            <w:r w:rsidRPr="00463667">
              <w:t>First-generation antipsychotic medications</w:t>
            </w:r>
          </w:p>
        </w:tc>
        <w:tc>
          <w:tcPr>
            <w:tcW w:w="2433" w:type="dxa"/>
            <w:tcBorders>
              <w:right w:val="nil"/>
            </w:tcBorders>
          </w:tcPr>
          <w:p w14:paraId="49CB646B" w14:textId="77777777" w:rsidR="00B852BD" w:rsidRPr="00463667" w:rsidRDefault="00B852BD" w:rsidP="0012403D">
            <w:pPr>
              <w:pStyle w:val="TableBullet"/>
              <w:spacing w:before="30" w:after="30"/>
            </w:pPr>
            <w:r w:rsidRPr="00463667">
              <w:t>Chlorpromazine HCL</w:t>
            </w:r>
          </w:p>
          <w:p w14:paraId="1AD839DC" w14:textId="77777777" w:rsidR="00B852BD" w:rsidRPr="00463667" w:rsidRDefault="00B852BD" w:rsidP="0012403D">
            <w:pPr>
              <w:pStyle w:val="TableBullet"/>
              <w:spacing w:before="30" w:after="30"/>
            </w:pPr>
            <w:r w:rsidRPr="00463667">
              <w:t>Fluphenazine HCL</w:t>
            </w:r>
          </w:p>
          <w:p w14:paraId="7430705B" w14:textId="77777777" w:rsidR="00B852BD" w:rsidRPr="00463667" w:rsidRDefault="00B852BD" w:rsidP="0012403D">
            <w:pPr>
              <w:pStyle w:val="TableBullet"/>
              <w:spacing w:before="30" w:after="30"/>
            </w:pPr>
            <w:r w:rsidRPr="00463667">
              <w:t xml:space="preserve">Fluphenazine decanoate </w:t>
            </w:r>
          </w:p>
          <w:p w14:paraId="01533F2F" w14:textId="77777777" w:rsidR="00B852BD" w:rsidRPr="00463667" w:rsidRDefault="00B852BD" w:rsidP="0012403D">
            <w:pPr>
              <w:pStyle w:val="TableBullet"/>
              <w:spacing w:before="30" w:after="30"/>
            </w:pPr>
            <w:r w:rsidRPr="00463667">
              <w:t xml:space="preserve">Haloperidol </w:t>
            </w:r>
          </w:p>
          <w:p w14:paraId="610268A7" w14:textId="47059644" w:rsidR="00EB11D9" w:rsidRPr="00463667" w:rsidRDefault="00B852BD" w:rsidP="00EB11D9">
            <w:pPr>
              <w:pStyle w:val="TableBullet"/>
              <w:spacing w:before="30" w:after="30"/>
            </w:pPr>
            <w:r w:rsidRPr="00463667">
              <w:t>Haloperidol decanoate</w:t>
            </w:r>
          </w:p>
        </w:tc>
        <w:tc>
          <w:tcPr>
            <w:tcW w:w="2425" w:type="dxa"/>
            <w:tcBorders>
              <w:left w:val="nil"/>
              <w:right w:val="nil"/>
            </w:tcBorders>
          </w:tcPr>
          <w:p w14:paraId="4DED0917" w14:textId="77777777" w:rsidR="00EB11D9" w:rsidRDefault="00EB11D9" w:rsidP="00EB11D9">
            <w:pPr>
              <w:pStyle w:val="TableBullet"/>
              <w:spacing w:before="30" w:after="30"/>
            </w:pPr>
            <w:r w:rsidRPr="00463667">
              <w:t>Haloperido</w:t>
            </w:r>
            <w:r>
              <w:t>l lactate</w:t>
            </w:r>
            <w:r w:rsidRPr="00463667">
              <w:t xml:space="preserve"> </w:t>
            </w:r>
          </w:p>
          <w:p w14:paraId="3475B2FF" w14:textId="77777777" w:rsidR="00B852BD" w:rsidRPr="00463667" w:rsidRDefault="00B852BD" w:rsidP="0012403D">
            <w:pPr>
              <w:pStyle w:val="TableBullet"/>
              <w:spacing w:before="30" w:after="30"/>
            </w:pPr>
            <w:r w:rsidRPr="00463667">
              <w:t>Loxapine HCL</w:t>
            </w:r>
          </w:p>
          <w:p w14:paraId="2260C2CB" w14:textId="77777777" w:rsidR="00B852BD" w:rsidRPr="00463667" w:rsidRDefault="00B852BD" w:rsidP="0012403D">
            <w:pPr>
              <w:pStyle w:val="TableBullet"/>
              <w:spacing w:before="30" w:after="30"/>
            </w:pPr>
            <w:r w:rsidRPr="00463667">
              <w:t>Loxapine succinate</w:t>
            </w:r>
          </w:p>
          <w:p w14:paraId="751DBDA2" w14:textId="77777777" w:rsidR="00B852BD" w:rsidRPr="00463667" w:rsidRDefault="00B852BD" w:rsidP="0012403D">
            <w:pPr>
              <w:pStyle w:val="TableBullet"/>
              <w:spacing w:before="30" w:after="30"/>
            </w:pPr>
            <w:r w:rsidRPr="00463667">
              <w:t>Molindone HCL</w:t>
            </w:r>
          </w:p>
          <w:p w14:paraId="6C64F67D" w14:textId="0CE84E04" w:rsidR="00EB11D9" w:rsidRPr="00463667" w:rsidRDefault="00B852BD" w:rsidP="00EB11D9">
            <w:pPr>
              <w:pStyle w:val="TableBullet"/>
              <w:spacing w:before="30" w:after="30"/>
            </w:pPr>
            <w:r w:rsidRPr="00463667">
              <w:t xml:space="preserve">Perphenazine </w:t>
            </w:r>
          </w:p>
        </w:tc>
        <w:tc>
          <w:tcPr>
            <w:tcW w:w="2431" w:type="dxa"/>
            <w:tcBorders>
              <w:left w:val="nil"/>
            </w:tcBorders>
          </w:tcPr>
          <w:p w14:paraId="0B27B21A" w14:textId="77777777" w:rsidR="00EB11D9" w:rsidRPr="004E5025" w:rsidRDefault="00EB11D9" w:rsidP="004E5025">
            <w:pPr>
              <w:pStyle w:val="TableBullet"/>
            </w:pPr>
            <w:r w:rsidRPr="004E5025">
              <w:t xml:space="preserve">Pimozide </w:t>
            </w:r>
          </w:p>
          <w:p w14:paraId="78510441" w14:textId="77777777" w:rsidR="00B852BD" w:rsidRPr="004E5025" w:rsidRDefault="00B852BD" w:rsidP="004E5025">
            <w:pPr>
              <w:pStyle w:val="TableBullet"/>
            </w:pPr>
            <w:r w:rsidRPr="004E5025">
              <w:t>Thioridazine HCL</w:t>
            </w:r>
          </w:p>
          <w:p w14:paraId="571D32B7" w14:textId="77777777" w:rsidR="00B852BD" w:rsidRPr="004E5025" w:rsidRDefault="00B852BD" w:rsidP="004E5025">
            <w:pPr>
              <w:pStyle w:val="TableBullet"/>
            </w:pPr>
            <w:r w:rsidRPr="004E5025">
              <w:t xml:space="preserve">Thiothixene </w:t>
            </w:r>
          </w:p>
          <w:p w14:paraId="34C6CD88" w14:textId="577E11E8" w:rsidR="00B852BD" w:rsidRPr="004E5025" w:rsidRDefault="00B852BD" w:rsidP="004E5025">
            <w:pPr>
              <w:pStyle w:val="TableBullet"/>
            </w:pPr>
            <w:r w:rsidRPr="004E5025">
              <w:t>Trifluoperazine HCL</w:t>
            </w:r>
          </w:p>
        </w:tc>
      </w:tr>
      <w:tr w:rsidR="00B852BD" w:rsidRPr="00463667" w14:paraId="0A206093" w14:textId="77777777" w:rsidTr="004E5025">
        <w:tc>
          <w:tcPr>
            <w:tcW w:w="2426" w:type="dxa"/>
            <w:shd w:val="clear" w:color="auto" w:fill="D9D9D9" w:themeFill="background1" w:themeFillShade="D9"/>
          </w:tcPr>
          <w:p w14:paraId="0BAB79F6" w14:textId="77777777" w:rsidR="00B852BD" w:rsidRPr="00463667" w:rsidRDefault="00B852BD" w:rsidP="0012403D">
            <w:pPr>
              <w:pStyle w:val="TableText"/>
              <w:spacing w:before="30" w:after="30"/>
            </w:pPr>
            <w:r w:rsidRPr="00463667">
              <w:t>Second generation antipsychotic medications</w:t>
            </w:r>
          </w:p>
        </w:tc>
        <w:tc>
          <w:tcPr>
            <w:tcW w:w="2433" w:type="dxa"/>
            <w:tcBorders>
              <w:right w:val="nil"/>
            </w:tcBorders>
            <w:shd w:val="clear" w:color="auto" w:fill="D9D9D9" w:themeFill="background1" w:themeFillShade="D9"/>
          </w:tcPr>
          <w:p w14:paraId="4C7289BD" w14:textId="77777777" w:rsidR="00B852BD" w:rsidRPr="00463667" w:rsidRDefault="00B852BD" w:rsidP="0012403D">
            <w:pPr>
              <w:pStyle w:val="TableBullet"/>
              <w:spacing w:before="30" w:after="30"/>
            </w:pPr>
            <w:r w:rsidRPr="00463667">
              <w:t>Aripiprazole</w:t>
            </w:r>
          </w:p>
          <w:p w14:paraId="611AFA6A" w14:textId="77777777" w:rsidR="00B852BD" w:rsidRPr="00463667" w:rsidRDefault="00B852BD" w:rsidP="0012403D">
            <w:pPr>
              <w:pStyle w:val="TableBullet"/>
              <w:spacing w:before="30" w:after="30"/>
            </w:pPr>
            <w:r w:rsidRPr="00463667">
              <w:t xml:space="preserve">Clozapine </w:t>
            </w:r>
          </w:p>
          <w:p w14:paraId="63059DC8" w14:textId="77777777" w:rsidR="0078198D" w:rsidRPr="00C2000A" w:rsidRDefault="00B852BD" w:rsidP="0012403D">
            <w:pPr>
              <w:pStyle w:val="TableBullet"/>
              <w:spacing w:before="30" w:after="30"/>
            </w:pPr>
            <w:r w:rsidRPr="00C2000A">
              <w:t>Iloperidone</w:t>
            </w:r>
          </w:p>
          <w:p w14:paraId="6982E35C" w14:textId="77777777" w:rsidR="00B852BD" w:rsidRPr="00C2000A" w:rsidRDefault="0078198D" w:rsidP="0012403D">
            <w:pPr>
              <w:pStyle w:val="TableBullet"/>
              <w:spacing w:before="30" w:after="30"/>
            </w:pPr>
            <w:r w:rsidRPr="00C2000A">
              <w:rPr>
                <w:rFonts w:cs="Calibri"/>
                <w:szCs w:val="20"/>
              </w:rPr>
              <w:t>Lurasidone</w:t>
            </w:r>
            <w:r w:rsidR="00B852BD" w:rsidRPr="00C2000A">
              <w:t xml:space="preserve"> </w:t>
            </w:r>
          </w:p>
          <w:p w14:paraId="5D593B3A" w14:textId="77777777" w:rsidR="00B852BD" w:rsidRPr="00463667" w:rsidRDefault="00B852BD" w:rsidP="0012403D">
            <w:pPr>
              <w:pStyle w:val="TableBullet"/>
              <w:spacing w:before="30" w:after="30"/>
            </w:pPr>
            <w:r w:rsidRPr="00463667">
              <w:t xml:space="preserve">Olanzapine </w:t>
            </w:r>
          </w:p>
        </w:tc>
        <w:tc>
          <w:tcPr>
            <w:tcW w:w="2425" w:type="dxa"/>
            <w:tcBorders>
              <w:left w:val="nil"/>
              <w:right w:val="nil"/>
            </w:tcBorders>
            <w:shd w:val="clear" w:color="auto" w:fill="D9D9D9" w:themeFill="background1" w:themeFillShade="D9"/>
          </w:tcPr>
          <w:p w14:paraId="4342151C" w14:textId="77777777" w:rsidR="00B852BD" w:rsidRPr="00463667" w:rsidRDefault="00B852BD" w:rsidP="0012403D">
            <w:pPr>
              <w:pStyle w:val="TableBullet"/>
              <w:spacing w:before="30" w:after="30"/>
            </w:pPr>
            <w:r w:rsidRPr="00463667">
              <w:t>Olanzapine pamoate</w:t>
            </w:r>
          </w:p>
          <w:p w14:paraId="5930A25F" w14:textId="77777777" w:rsidR="00B852BD" w:rsidRPr="00463667" w:rsidRDefault="00B852BD" w:rsidP="0012403D">
            <w:pPr>
              <w:pStyle w:val="TableBullet"/>
              <w:spacing w:before="30" w:after="30"/>
            </w:pPr>
            <w:r w:rsidRPr="00463667">
              <w:t xml:space="preserve">Paliperidone </w:t>
            </w:r>
          </w:p>
          <w:p w14:paraId="39D1F020" w14:textId="77777777" w:rsidR="00B852BD" w:rsidRPr="00463667" w:rsidRDefault="00B852BD" w:rsidP="0012403D">
            <w:pPr>
              <w:pStyle w:val="TableBullet"/>
              <w:spacing w:before="30" w:after="30"/>
            </w:pPr>
            <w:r w:rsidRPr="00463667">
              <w:t>Paliperidone palmitate</w:t>
            </w:r>
          </w:p>
          <w:p w14:paraId="45F5DEC1" w14:textId="77777777" w:rsidR="00B852BD" w:rsidRDefault="00B852BD" w:rsidP="0012403D">
            <w:pPr>
              <w:pStyle w:val="TableBullet"/>
              <w:spacing w:before="30" w:after="30"/>
            </w:pPr>
            <w:r w:rsidRPr="00463667">
              <w:t>Quetiapine</w:t>
            </w:r>
            <w:r w:rsidR="002300AB">
              <w:t xml:space="preserve"> </w:t>
            </w:r>
            <w:r w:rsidRPr="00463667">
              <w:t>fumarate</w:t>
            </w:r>
          </w:p>
          <w:p w14:paraId="046F77DF" w14:textId="77777777" w:rsidR="0078198D" w:rsidRPr="00463667" w:rsidRDefault="0078198D" w:rsidP="0012403D">
            <w:pPr>
              <w:pStyle w:val="TableBullet"/>
              <w:spacing w:before="30" w:after="30"/>
            </w:pPr>
            <w:r w:rsidRPr="00463667">
              <w:t xml:space="preserve">Risperidone </w:t>
            </w:r>
          </w:p>
        </w:tc>
        <w:tc>
          <w:tcPr>
            <w:tcW w:w="2431" w:type="dxa"/>
            <w:tcBorders>
              <w:left w:val="nil"/>
            </w:tcBorders>
            <w:shd w:val="clear" w:color="auto" w:fill="D9D9D9" w:themeFill="background1" w:themeFillShade="D9"/>
          </w:tcPr>
          <w:p w14:paraId="43564CC0" w14:textId="77777777" w:rsidR="00B852BD" w:rsidRPr="00463667" w:rsidRDefault="00B852BD" w:rsidP="0012403D">
            <w:pPr>
              <w:pStyle w:val="TableBullet"/>
              <w:spacing w:before="30" w:after="30"/>
            </w:pPr>
            <w:r w:rsidRPr="00463667">
              <w:t xml:space="preserve">Risperidone microspheres </w:t>
            </w:r>
          </w:p>
          <w:p w14:paraId="60CB3811" w14:textId="77777777" w:rsidR="00B852BD" w:rsidRPr="00463667" w:rsidRDefault="00B852BD" w:rsidP="0012403D">
            <w:pPr>
              <w:pStyle w:val="TableBullet"/>
              <w:spacing w:before="30" w:after="30"/>
            </w:pPr>
            <w:r w:rsidRPr="00463667">
              <w:t>Ziprasidone HCL</w:t>
            </w:r>
          </w:p>
          <w:p w14:paraId="6F32C79A" w14:textId="77777777" w:rsidR="00B852BD" w:rsidRPr="00463667" w:rsidRDefault="00B852BD" w:rsidP="0012403D">
            <w:pPr>
              <w:pStyle w:val="TableBullet"/>
              <w:spacing w:before="30" w:after="30"/>
            </w:pPr>
            <w:r w:rsidRPr="00463667">
              <w:t>Ziprasidone mesylate</w:t>
            </w:r>
          </w:p>
        </w:tc>
      </w:tr>
      <w:tr w:rsidR="00B852BD" w:rsidRPr="00463667" w14:paraId="7752E322" w14:textId="77777777" w:rsidTr="004E5025">
        <w:tc>
          <w:tcPr>
            <w:tcW w:w="2426" w:type="dxa"/>
          </w:tcPr>
          <w:p w14:paraId="1725A42C" w14:textId="77777777" w:rsidR="00B852BD" w:rsidRPr="00463667" w:rsidRDefault="00B852BD" w:rsidP="0012403D">
            <w:pPr>
              <w:pStyle w:val="TableText"/>
              <w:spacing w:before="30" w:after="30"/>
            </w:pPr>
            <w:r w:rsidRPr="00463667">
              <w:t>Combinations</w:t>
            </w:r>
          </w:p>
        </w:tc>
        <w:tc>
          <w:tcPr>
            <w:tcW w:w="2433" w:type="dxa"/>
            <w:tcBorders>
              <w:right w:val="nil"/>
            </w:tcBorders>
          </w:tcPr>
          <w:p w14:paraId="1A17EB60" w14:textId="77777777" w:rsidR="00B852BD" w:rsidRPr="00463667" w:rsidRDefault="00B852BD" w:rsidP="0012403D">
            <w:pPr>
              <w:pStyle w:val="TableBullet"/>
              <w:spacing w:before="30" w:after="30"/>
            </w:pPr>
            <w:r w:rsidRPr="00463667">
              <w:t>Olanzapine-fluoxetine HCL (Symbyax)</w:t>
            </w:r>
          </w:p>
        </w:tc>
        <w:tc>
          <w:tcPr>
            <w:tcW w:w="4856" w:type="dxa"/>
            <w:gridSpan w:val="2"/>
            <w:tcBorders>
              <w:left w:val="nil"/>
            </w:tcBorders>
          </w:tcPr>
          <w:p w14:paraId="22AD8EFA" w14:textId="20145D94" w:rsidR="00B852BD" w:rsidRPr="00463667" w:rsidRDefault="00B852BD" w:rsidP="00EB11D9">
            <w:pPr>
              <w:pStyle w:val="TableBullet"/>
              <w:spacing w:before="30" w:after="30"/>
            </w:pPr>
            <w:r w:rsidRPr="00463667">
              <w:t xml:space="preserve">Perphenazine-amitriptyline </w:t>
            </w:r>
            <w:r w:rsidR="008F0FBE">
              <w:br/>
            </w:r>
            <w:r w:rsidRPr="00463667">
              <w:t>HCL (Etrafon, Triavil [various])</w:t>
            </w:r>
          </w:p>
        </w:tc>
      </w:tr>
    </w:tbl>
    <w:p w14:paraId="7B0C398A" w14:textId="77777777" w:rsidR="00C0313E" w:rsidRDefault="00B852BD" w:rsidP="00B852BD">
      <w:pPr>
        <w:pStyle w:val="Note"/>
        <w:sectPr w:rsidR="00C0313E" w:rsidSect="007527F3">
          <w:headerReference w:type="even" r:id="rId71"/>
          <w:headerReference w:type="default" r:id="rId72"/>
          <w:pgSz w:w="12240" w:h="15840" w:code="1"/>
          <w:pgMar w:top="1080" w:right="1080" w:bottom="1080" w:left="1440" w:header="720" w:footer="720" w:gutter="0"/>
          <w:cols w:space="720"/>
          <w:docGrid w:linePitch="360"/>
        </w:sectPr>
      </w:pPr>
      <w:r w:rsidRPr="00463667">
        <w:rPr>
          <w:rFonts w:cs="Arial"/>
          <w:b/>
          <w:bCs/>
        </w:rPr>
        <w:t xml:space="preserve">Note: </w:t>
      </w:r>
      <w:r w:rsidRPr="00463667">
        <w:t xml:space="preserve">NCQA will post a comprehensive list of medications and NDC codes to www.ncqa.org by November </w:t>
      </w:r>
      <w:r w:rsidR="00D0464F">
        <w:t>2</w:t>
      </w:r>
      <w:r w:rsidRPr="00463667">
        <w:t xml:space="preserve">, </w:t>
      </w:r>
      <w:r w:rsidR="00D0464F">
        <w:t>2015</w:t>
      </w:r>
      <w:r w:rsidRPr="00463667">
        <w:t xml:space="preserve">. </w:t>
      </w:r>
    </w:p>
    <w:p w14:paraId="605FFBC7" w14:textId="77777777" w:rsidR="00B852BD" w:rsidRPr="00463667" w:rsidRDefault="00B852BD" w:rsidP="00C0313E">
      <w:pPr>
        <w:pStyle w:val="ReverseHead"/>
        <w:spacing w:before="0"/>
      </w:pPr>
      <w:r w:rsidRPr="00463667">
        <w:lastRenderedPageBreak/>
        <w:t>Administrative Specification</w:t>
      </w:r>
    </w:p>
    <w:tbl>
      <w:tblPr>
        <w:tblW w:w="9810" w:type="dxa"/>
        <w:tblInd w:w="18" w:type="dxa"/>
        <w:tblLayout w:type="fixed"/>
        <w:tblLook w:val="0000" w:firstRow="0" w:lastRow="0" w:firstColumn="0" w:lastColumn="0" w:noHBand="0" w:noVBand="0"/>
      </w:tblPr>
      <w:tblGrid>
        <w:gridCol w:w="1872"/>
        <w:gridCol w:w="7938"/>
      </w:tblGrid>
      <w:tr w:rsidR="00B852BD" w:rsidRPr="00463667" w14:paraId="1EE3A310" w14:textId="77777777" w:rsidTr="00133BB6">
        <w:tc>
          <w:tcPr>
            <w:tcW w:w="1872" w:type="dxa"/>
          </w:tcPr>
          <w:p w14:paraId="5D4AEB3D" w14:textId="77777777" w:rsidR="00B852BD" w:rsidRPr="00463667" w:rsidRDefault="00B852BD" w:rsidP="00F578E0">
            <w:pPr>
              <w:pStyle w:val="MarginSubhead"/>
            </w:pPr>
            <w:r w:rsidRPr="00463667">
              <w:t>Denominator</w:t>
            </w:r>
          </w:p>
        </w:tc>
        <w:tc>
          <w:tcPr>
            <w:tcW w:w="7938" w:type="dxa"/>
          </w:tcPr>
          <w:p w14:paraId="1E2F7D39" w14:textId="77777777" w:rsidR="00B852BD" w:rsidRPr="00463667" w:rsidRDefault="00B852BD" w:rsidP="00F578E0">
            <w:pPr>
              <w:pStyle w:val="Body"/>
            </w:pPr>
            <w:r w:rsidRPr="00463667">
              <w:t>The eligible population.</w:t>
            </w:r>
          </w:p>
        </w:tc>
      </w:tr>
      <w:tr w:rsidR="00B852BD" w:rsidRPr="00463667" w14:paraId="27DDDFAA" w14:textId="77777777" w:rsidTr="00133BB6">
        <w:tc>
          <w:tcPr>
            <w:tcW w:w="1872" w:type="dxa"/>
          </w:tcPr>
          <w:p w14:paraId="1DF36EDD" w14:textId="77777777" w:rsidR="00B852BD" w:rsidRPr="00463667" w:rsidRDefault="00B852BD" w:rsidP="00F578E0">
            <w:pPr>
              <w:pStyle w:val="MarginSubhead"/>
            </w:pPr>
            <w:r w:rsidRPr="00463667">
              <w:t>Numerator</w:t>
            </w:r>
          </w:p>
        </w:tc>
        <w:tc>
          <w:tcPr>
            <w:tcW w:w="7938" w:type="dxa"/>
          </w:tcPr>
          <w:p w14:paraId="1EF0C3CB" w14:textId="77777777" w:rsidR="00B852BD" w:rsidRPr="00463667" w:rsidRDefault="00B852BD" w:rsidP="00F578E0">
            <w:pPr>
              <w:pStyle w:val="Body"/>
            </w:pPr>
            <w:r w:rsidRPr="00463667">
              <w:t>Both of the following during the measurement year.</w:t>
            </w:r>
          </w:p>
          <w:p w14:paraId="1593FC5E" w14:textId="77777777" w:rsidR="00B852BD" w:rsidRPr="00463667" w:rsidRDefault="00B852BD" w:rsidP="00B852BD">
            <w:pPr>
              <w:pStyle w:val="Bullet"/>
              <w:spacing w:before="40"/>
              <w:rPr>
                <w:b/>
                <w:bCs/>
                <w:szCs w:val="20"/>
              </w:rPr>
            </w:pPr>
            <w:r w:rsidRPr="00463667">
              <w:t>At least one test for blood glucose (</w:t>
            </w:r>
            <w:r w:rsidRPr="00463667">
              <w:rPr>
                <w:u w:val="single"/>
              </w:rPr>
              <w:t>Glucose Tests Value Set</w:t>
            </w:r>
            <w:r w:rsidRPr="00463667">
              <w:t>) or HbA1c (</w:t>
            </w:r>
            <w:r w:rsidRPr="00463667">
              <w:rPr>
                <w:u w:val="single"/>
              </w:rPr>
              <w:t>HbA1c Tests Value Set</w:t>
            </w:r>
            <w:r w:rsidRPr="00463667">
              <w:t>).</w:t>
            </w:r>
          </w:p>
          <w:p w14:paraId="69456FC6" w14:textId="77777777" w:rsidR="00B852BD" w:rsidRPr="00463667" w:rsidRDefault="00B852BD" w:rsidP="00B852BD">
            <w:pPr>
              <w:pStyle w:val="Bullet"/>
              <w:spacing w:before="40"/>
            </w:pPr>
            <w:r w:rsidRPr="00463667">
              <w:t>At least one test for LDL-C (</w:t>
            </w:r>
            <w:r w:rsidRPr="00463667">
              <w:rPr>
                <w:u w:val="single"/>
              </w:rPr>
              <w:t>LDL-C Tests Value Set</w:t>
            </w:r>
            <w:r w:rsidRPr="00463667">
              <w:t>) or cholesterol (</w:t>
            </w:r>
            <w:r w:rsidRPr="00463667">
              <w:rPr>
                <w:u w:val="single"/>
              </w:rPr>
              <w:t>Cholesterol Tests Other Than LDL Value Set</w:t>
            </w:r>
            <w:r w:rsidRPr="00463667">
              <w:t>).</w:t>
            </w:r>
          </w:p>
        </w:tc>
      </w:tr>
    </w:tbl>
    <w:p w14:paraId="05DA4358" w14:textId="77777777" w:rsidR="00B852BD" w:rsidRPr="00463667" w:rsidRDefault="00B852BD" w:rsidP="00B53721">
      <w:pPr>
        <w:pStyle w:val="ReverseHead"/>
      </w:pPr>
      <w:r w:rsidRPr="00463667">
        <w:t xml:space="preserve">Data Elements for Reporting </w:t>
      </w:r>
    </w:p>
    <w:p w14:paraId="21563E7E" w14:textId="77777777" w:rsidR="00B852BD" w:rsidRPr="00463667" w:rsidRDefault="00B852BD" w:rsidP="00B852BD">
      <w:pPr>
        <w:pStyle w:val="Body"/>
      </w:pPr>
      <w:r w:rsidRPr="00463667">
        <w:t>Organizations that submit HEDIS data to NCQA must provide the following data elements.</w:t>
      </w:r>
    </w:p>
    <w:p w14:paraId="04A8321B" w14:textId="77777777" w:rsidR="00B852BD" w:rsidRPr="00463667" w:rsidRDefault="00B852BD" w:rsidP="00B53721">
      <w:pPr>
        <w:pStyle w:val="TableHeadNotCondensed"/>
        <w:ind w:left="1620" w:hanging="1620"/>
      </w:pPr>
      <w:r w:rsidRPr="00463667">
        <w:t>Table APM-1/2:</w:t>
      </w:r>
      <w:r w:rsidRPr="00463667">
        <w:tab/>
        <w:t xml:space="preserve">Data Elements for Metabolic Monitoring for Children and </w:t>
      </w:r>
      <w:r w:rsidRPr="00463667">
        <w:br/>
        <w:t>Adolescents on Antipsychotics</w:t>
      </w:r>
    </w:p>
    <w:tbl>
      <w:tblPr>
        <w:tblW w:w="0" w:type="auto"/>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140"/>
        <w:gridCol w:w="3420"/>
      </w:tblGrid>
      <w:tr w:rsidR="00B852BD" w:rsidRPr="00463667" w14:paraId="266B51B2" w14:textId="77777777" w:rsidTr="009550A0">
        <w:tc>
          <w:tcPr>
            <w:tcW w:w="4140" w:type="dxa"/>
            <w:tcBorders>
              <w:bottom w:val="single" w:sz="6" w:space="0" w:color="auto"/>
              <w:right w:val="single" w:sz="6" w:space="0" w:color="FFFFFF"/>
            </w:tcBorders>
            <w:shd w:val="clear" w:color="auto" w:fill="000000"/>
          </w:tcPr>
          <w:p w14:paraId="4396F07A" w14:textId="77777777" w:rsidR="00B852BD" w:rsidRPr="00463667" w:rsidRDefault="00B852BD" w:rsidP="00F578E0">
            <w:pPr>
              <w:pStyle w:val="TableHead"/>
              <w:rPr>
                <w:color w:val="auto"/>
              </w:rPr>
            </w:pPr>
          </w:p>
        </w:tc>
        <w:tc>
          <w:tcPr>
            <w:tcW w:w="3420" w:type="dxa"/>
            <w:tcBorders>
              <w:left w:val="single" w:sz="6" w:space="0" w:color="FFFFFF"/>
              <w:bottom w:val="single" w:sz="6" w:space="0" w:color="auto"/>
              <w:right w:val="single" w:sz="4" w:space="0" w:color="auto"/>
            </w:tcBorders>
            <w:shd w:val="clear" w:color="auto" w:fill="000000"/>
          </w:tcPr>
          <w:p w14:paraId="10945AC8" w14:textId="77777777" w:rsidR="00B852BD" w:rsidRPr="00463667" w:rsidRDefault="00B852BD" w:rsidP="00F578E0">
            <w:pPr>
              <w:pStyle w:val="TableHead"/>
              <w:rPr>
                <w:color w:val="auto"/>
              </w:rPr>
            </w:pPr>
            <w:r w:rsidRPr="00463667">
              <w:rPr>
                <w:color w:val="auto"/>
              </w:rPr>
              <w:t>Administrative</w:t>
            </w:r>
          </w:p>
        </w:tc>
      </w:tr>
      <w:tr w:rsidR="00B852BD" w:rsidRPr="00463667" w14:paraId="025AA0AF" w14:textId="77777777" w:rsidTr="009550A0">
        <w:tc>
          <w:tcPr>
            <w:tcW w:w="4140" w:type="dxa"/>
            <w:tcBorders>
              <w:bottom w:val="single" w:sz="6" w:space="0" w:color="auto"/>
            </w:tcBorders>
            <w:vAlign w:val="center"/>
          </w:tcPr>
          <w:p w14:paraId="7E29E57D" w14:textId="77777777" w:rsidR="00B852BD" w:rsidRPr="00463667" w:rsidRDefault="00B852BD" w:rsidP="00F578E0">
            <w:pPr>
              <w:pStyle w:val="TableText"/>
            </w:pPr>
            <w:r w:rsidRPr="00463667">
              <w:t>Measurement year</w:t>
            </w:r>
          </w:p>
        </w:tc>
        <w:tc>
          <w:tcPr>
            <w:tcW w:w="3420" w:type="dxa"/>
            <w:tcBorders>
              <w:bottom w:val="single" w:sz="6" w:space="0" w:color="auto"/>
            </w:tcBorders>
            <w:vAlign w:val="center"/>
          </w:tcPr>
          <w:p w14:paraId="2855E5B9" w14:textId="77777777" w:rsidR="00B852BD" w:rsidRPr="00463667" w:rsidRDefault="00B852BD" w:rsidP="00F578E0">
            <w:pPr>
              <w:jc w:val="center"/>
              <w:rPr>
                <w:sz w:val="24"/>
              </w:rPr>
            </w:pPr>
            <w:r w:rsidRPr="00463667">
              <w:rPr>
                <w:sz w:val="24"/>
              </w:rPr>
              <w:sym w:font="Wingdings" w:char="F0FC"/>
            </w:r>
          </w:p>
        </w:tc>
      </w:tr>
      <w:tr w:rsidR="00B852BD" w:rsidRPr="00463667" w14:paraId="5C4CA721" w14:textId="77777777" w:rsidTr="009550A0">
        <w:tc>
          <w:tcPr>
            <w:tcW w:w="4140" w:type="dxa"/>
            <w:shd w:val="clear" w:color="auto" w:fill="D9D9D9" w:themeFill="background1" w:themeFillShade="D9"/>
            <w:vAlign w:val="center"/>
          </w:tcPr>
          <w:p w14:paraId="69D30F12" w14:textId="77777777" w:rsidR="00B852BD" w:rsidRPr="00463667" w:rsidRDefault="00B852BD" w:rsidP="00F578E0">
            <w:pPr>
              <w:pStyle w:val="TableText"/>
            </w:pPr>
            <w:r w:rsidRPr="00463667">
              <w:t>Data collection methodology (Administrative)</w:t>
            </w:r>
          </w:p>
        </w:tc>
        <w:tc>
          <w:tcPr>
            <w:tcW w:w="3420" w:type="dxa"/>
            <w:shd w:val="clear" w:color="auto" w:fill="D9D9D9" w:themeFill="background1" w:themeFillShade="D9"/>
            <w:vAlign w:val="center"/>
          </w:tcPr>
          <w:p w14:paraId="60F619E7" w14:textId="77777777" w:rsidR="00B852BD" w:rsidRPr="00463667" w:rsidRDefault="00B852BD" w:rsidP="00F578E0">
            <w:pPr>
              <w:jc w:val="center"/>
              <w:rPr>
                <w:sz w:val="24"/>
              </w:rPr>
            </w:pPr>
            <w:r w:rsidRPr="00463667">
              <w:rPr>
                <w:sz w:val="24"/>
              </w:rPr>
              <w:sym w:font="Wingdings" w:char="F0FC"/>
            </w:r>
          </w:p>
        </w:tc>
      </w:tr>
      <w:tr w:rsidR="00B852BD" w:rsidRPr="00463667" w14:paraId="1677D2C4" w14:textId="77777777" w:rsidTr="009550A0">
        <w:tc>
          <w:tcPr>
            <w:tcW w:w="4140" w:type="dxa"/>
            <w:shd w:val="clear" w:color="auto" w:fill="auto"/>
            <w:vAlign w:val="center"/>
          </w:tcPr>
          <w:p w14:paraId="03B492A1" w14:textId="77777777" w:rsidR="00B852BD" w:rsidRPr="00463667" w:rsidRDefault="00B852BD" w:rsidP="00F578E0">
            <w:pPr>
              <w:pStyle w:val="TableText"/>
            </w:pPr>
            <w:r w:rsidRPr="00463667">
              <w:t xml:space="preserve">Eligible population </w:t>
            </w:r>
          </w:p>
        </w:tc>
        <w:tc>
          <w:tcPr>
            <w:tcW w:w="3420" w:type="dxa"/>
            <w:shd w:val="clear" w:color="auto" w:fill="auto"/>
          </w:tcPr>
          <w:p w14:paraId="4169E4B5" w14:textId="77777777" w:rsidR="00B852BD" w:rsidRPr="00C0313E" w:rsidRDefault="00B852BD" w:rsidP="00F578E0">
            <w:pPr>
              <w:pStyle w:val="TableText"/>
              <w:jc w:val="center"/>
              <w:rPr>
                <w:i/>
              </w:rPr>
            </w:pPr>
            <w:r w:rsidRPr="00C0313E">
              <w:rPr>
                <w:i/>
              </w:rPr>
              <w:t>For each age stratification and total</w:t>
            </w:r>
          </w:p>
        </w:tc>
      </w:tr>
      <w:tr w:rsidR="00B852BD" w:rsidRPr="00463667" w14:paraId="56FC9D8F" w14:textId="77777777" w:rsidTr="009550A0">
        <w:tc>
          <w:tcPr>
            <w:tcW w:w="4140" w:type="dxa"/>
            <w:shd w:val="clear" w:color="auto" w:fill="D9D9D9" w:themeFill="background1" w:themeFillShade="D9"/>
            <w:vAlign w:val="center"/>
          </w:tcPr>
          <w:p w14:paraId="0DDD68F8" w14:textId="77777777" w:rsidR="00B852BD" w:rsidRPr="00463667" w:rsidRDefault="00B852BD" w:rsidP="00F578E0">
            <w:pPr>
              <w:pStyle w:val="TableText"/>
            </w:pPr>
            <w:r w:rsidRPr="00463667">
              <w:t>Numerator events by administrative data</w:t>
            </w:r>
          </w:p>
        </w:tc>
        <w:tc>
          <w:tcPr>
            <w:tcW w:w="3420" w:type="dxa"/>
            <w:shd w:val="clear" w:color="auto" w:fill="D9D9D9" w:themeFill="background1" w:themeFillShade="D9"/>
          </w:tcPr>
          <w:p w14:paraId="0210BBAD" w14:textId="77777777" w:rsidR="00B852BD" w:rsidRPr="00C0313E" w:rsidRDefault="00B852BD" w:rsidP="00F578E0">
            <w:pPr>
              <w:pStyle w:val="TableText"/>
              <w:jc w:val="center"/>
              <w:rPr>
                <w:i/>
              </w:rPr>
            </w:pPr>
            <w:r w:rsidRPr="00C0313E">
              <w:rPr>
                <w:i/>
              </w:rPr>
              <w:t>For each age stratification and total</w:t>
            </w:r>
          </w:p>
        </w:tc>
      </w:tr>
      <w:tr w:rsidR="00EB00B0" w:rsidRPr="00463667" w14:paraId="5493DF0B" w14:textId="77777777" w:rsidTr="009550A0">
        <w:tc>
          <w:tcPr>
            <w:tcW w:w="4140" w:type="dxa"/>
            <w:shd w:val="clear" w:color="auto" w:fill="FFFFFF" w:themeFill="background1"/>
            <w:vAlign w:val="center"/>
          </w:tcPr>
          <w:p w14:paraId="34355C41" w14:textId="77777777" w:rsidR="00EB00B0" w:rsidRPr="00463667" w:rsidRDefault="00EB00B0" w:rsidP="00F578E0">
            <w:pPr>
              <w:pStyle w:val="TableText"/>
            </w:pPr>
            <w:r w:rsidRPr="00EB00B0">
              <w:t>Numerator events by supplemental data</w:t>
            </w:r>
          </w:p>
        </w:tc>
        <w:tc>
          <w:tcPr>
            <w:tcW w:w="3420" w:type="dxa"/>
            <w:shd w:val="clear" w:color="auto" w:fill="FFFFFF" w:themeFill="background1"/>
          </w:tcPr>
          <w:p w14:paraId="7E210A44" w14:textId="77777777" w:rsidR="00EB00B0" w:rsidRPr="00C0313E" w:rsidRDefault="009F5224" w:rsidP="00F578E0">
            <w:pPr>
              <w:pStyle w:val="TableText"/>
              <w:jc w:val="center"/>
              <w:rPr>
                <w:i/>
              </w:rPr>
            </w:pPr>
            <w:r w:rsidRPr="00C0313E">
              <w:rPr>
                <w:i/>
              </w:rPr>
              <w:t>For each age stratification and total</w:t>
            </w:r>
          </w:p>
        </w:tc>
      </w:tr>
      <w:tr w:rsidR="00B852BD" w:rsidRPr="00463667" w14:paraId="339EC4DF" w14:textId="77777777" w:rsidTr="009550A0">
        <w:tc>
          <w:tcPr>
            <w:tcW w:w="4140" w:type="dxa"/>
            <w:shd w:val="clear" w:color="auto" w:fill="D9D9D9" w:themeFill="background1" w:themeFillShade="D9"/>
            <w:vAlign w:val="center"/>
          </w:tcPr>
          <w:p w14:paraId="47E08B14" w14:textId="77777777" w:rsidR="00B852BD" w:rsidRPr="00463667" w:rsidRDefault="00B852BD" w:rsidP="00F578E0">
            <w:pPr>
              <w:pStyle w:val="TableText"/>
            </w:pPr>
            <w:r w:rsidRPr="00463667">
              <w:t>Reported rate</w:t>
            </w:r>
          </w:p>
        </w:tc>
        <w:tc>
          <w:tcPr>
            <w:tcW w:w="3420" w:type="dxa"/>
            <w:shd w:val="clear" w:color="auto" w:fill="D9D9D9" w:themeFill="background1" w:themeFillShade="D9"/>
          </w:tcPr>
          <w:p w14:paraId="0C444F31" w14:textId="77777777" w:rsidR="00B852BD" w:rsidRPr="00C0313E" w:rsidRDefault="00B852BD" w:rsidP="00F578E0">
            <w:pPr>
              <w:pStyle w:val="TableText"/>
              <w:jc w:val="center"/>
              <w:rPr>
                <w:i/>
              </w:rPr>
            </w:pPr>
            <w:r w:rsidRPr="00C0313E">
              <w:rPr>
                <w:i/>
              </w:rPr>
              <w:t>For each age stratification and total</w:t>
            </w:r>
          </w:p>
        </w:tc>
      </w:tr>
      <w:tr w:rsidR="00B852BD" w:rsidRPr="00463667" w14:paraId="27AEFCE8" w14:textId="77777777" w:rsidTr="009550A0">
        <w:tc>
          <w:tcPr>
            <w:tcW w:w="4140" w:type="dxa"/>
            <w:tcBorders>
              <w:bottom w:val="single" w:sz="6" w:space="0" w:color="auto"/>
            </w:tcBorders>
            <w:shd w:val="clear" w:color="auto" w:fill="FFFFFF" w:themeFill="background1"/>
            <w:vAlign w:val="center"/>
          </w:tcPr>
          <w:p w14:paraId="6CF37015" w14:textId="77777777" w:rsidR="00B852BD" w:rsidRPr="00463667" w:rsidRDefault="00B852BD" w:rsidP="00F578E0">
            <w:pPr>
              <w:pStyle w:val="TableText"/>
            </w:pPr>
            <w:r w:rsidRPr="00463667">
              <w:t>Lower 95% confidence interval</w:t>
            </w:r>
          </w:p>
        </w:tc>
        <w:tc>
          <w:tcPr>
            <w:tcW w:w="3420" w:type="dxa"/>
            <w:tcBorders>
              <w:bottom w:val="single" w:sz="6" w:space="0" w:color="auto"/>
            </w:tcBorders>
            <w:shd w:val="clear" w:color="auto" w:fill="FFFFFF" w:themeFill="background1"/>
          </w:tcPr>
          <w:p w14:paraId="521FC3FF" w14:textId="77777777" w:rsidR="00B852BD" w:rsidRPr="00C0313E" w:rsidRDefault="00B852BD" w:rsidP="00F578E0">
            <w:pPr>
              <w:pStyle w:val="TableText"/>
              <w:jc w:val="center"/>
              <w:rPr>
                <w:i/>
              </w:rPr>
            </w:pPr>
            <w:r w:rsidRPr="00C0313E">
              <w:rPr>
                <w:i/>
              </w:rPr>
              <w:t>For each age stratification and total</w:t>
            </w:r>
          </w:p>
        </w:tc>
      </w:tr>
      <w:tr w:rsidR="00B852BD" w:rsidRPr="00463667" w14:paraId="723EAB0C" w14:textId="77777777" w:rsidTr="009550A0">
        <w:tc>
          <w:tcPr>
            <w:tcW w:w="4140" w:type="dxa"/>
            <w:tcBorders>
              <w:bottom w:val="single" w:sz="6" w:space="0" w:color="auto"/>
            </w:tcBorders>
            <w:shd w:val="clear" w:color="auto" w:fill="D9D9D9" w:themeFill="background1" w:themeFillShade="D9"/>
            <w:vAlign w:val="center"/>
          </w:tcPr>
          <w:p w14:paraId="7F292000" w14:textId="77777777" w:rsidR="00B852BD" w:rsidRPr="00463667" w:rsidRDefault="00B852BD" w:rsidP="00F578E0">
            <w:pPr>
              <w:pStyle w:val="TableText"/>
            </w:pPr>
            <w:r w:rsidRPr="00463667">
              <w:t>Upper 95% confidence interval</w:t>
            </w:r>
          </w:p>
        </w:tc>
        <w:tc>
          <w:tcPr>
            <w:tcW w:w="3420" w:type="dxa"/>
            <w:tcBorders>
              <w:bottom w:val="single" w:sz="6" w:space="0" w:color="auto"/>
            </w:tcBorders>
            <w:shd w:val="clear" w:color="auto" w:fill="D9D9D9" w:themeFill="background1" w:themeFillShade="D9"/>
          </w:tcPr>
          <w:p w14:paraId="67BDAA64" w14:textId="77777777" w:rsidR="00B852BD" w:rsidRPr="00C0313E" w:rsidRDefault="00B852BD" w:rsidP="00F578E0">
            <w:pPr>
              <w:pStyle w:val="TableText"/>
              <w:jc w:val="center"/>
              <w:rPr>
                <w:i/>
              </w:rPr>
            </w:pPr>
            <w:r w:rsidRPr="00C0313E">
              <w:rPr>
                <w:i/>
              </w:rPr>
              <w:t>For each age stratification and total</w:t>
            </w:r>
          </w:p>
        </w:tc>
      </w:tr>
    </w:tbl>
    <w:p w14:paraId="6934DAB3" w14:textId="77777777" w:rsidR="00B852BD" w:rsidRPr="00463667" w:rsidRDefault="00B852BD" w:rsidP="00B852BD">
      <w:pPr>
        <w:sectPr w:rsidR="00B852BD" w:rsidRPr="00463667" w:rsidSect="007527F3">
          <w:pgSz w:w="12240" w:h="15840" w:code="1"/>
          <w:pgMar w:top="1080" w:right="1080" w:bottom="1080" w:left="1440" w:header="720" w:footer="720" w:gutter="0"/>
          <w:cols w:space="720"/>
          <w:docGrid w:linePitch="360"/>
        </w:sectPr>
      </w:pPr>
    </w:p>
    <w:p w14:paraId="2BB7023C" w14:textId="77777777" w:rsidR="00DE38AC" w:rsidRPr="00463667" w:rsidRDefault="00DE38AC" w:rsidP="00B41953"/>
    <w:sectPr w:rsidR="00DE38AC" w:rsidRPr="00463667" w:rsidSect="007527F3">
      <w:headerReference w:type="even" r:id="rId73"/>
      <w:pgSz w:w="12240" w:h="15840" w:code="1"/>
      <w:pgMar w:top="1080" w:right="1080" w:bottom="1080" w:left="144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248" wne:kcmSecondary="0032">
      <wne:acd wne:acdName="acd2"/>
    </wne:keymap>
    <wne:keymap wne:kcmPrimary="0252" wne:kcmSecondary="0048">
      <wne:acd wne:acdName="acd1"/>
    </wne:keymap>
    <wne:keymap wne:kcmPrimary="0254" wne:kcmSecondary="0048">
      <wne:acd wne:acdName="acd0"/>
    </wne:keymap>
  </wne:keymaps>
  <wne:toolbars>
    <wne:acdManifest>
      <wne:acdEntry wne:acdName="acd0"/>
      <wne:acdEntry wne:acdName="acd1"/>
      <wne:acdEntry wne:acdName="acd2"/>
    </wne:acdManifest>
  </wne:toolbars>
  <wne:acds>
    <wne:acd wne:argValue="AgBUAGEAYgBsAGUAIABIAGUAYQBkACAATgBvAHQAIABDAG8AbgBkAGUAbgBzAGUAZAA=" wne:acdName="acd0" wne:fciIndexBasedOn="0065"/>
    <wne:acd wne:argValue="AgBSAGUAdgBlAHIAcwBlACAASABlAGEAZAA=" wne:acdName="acd1" wne:fciIndexBasedOn="0065"/>
    <wne:acd wne:argValue="AgBIAGUAYQBkAGkAbgBnADIATgBPAFQATwBDA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FF3C8" w14:textId="77777777" w:rsidR="00F63BDD" w:rsidRDefault="00F63BDD">
      <w:r>
        <w:separator/>
      </w:r>
    </w:p>
  </w:endnote>
  <w:endnote w:type="continuationSeparator" w:id="0">
    <w:p w14:paraId="3425691F" w14:textId="77777777" w:rsidR="00F63BDD" w:rsidRDefault="00F63BDD">
      <w:r>
        <w:continuationSeparator/>
      </w:r>
    </w:p>
  </w:endnote>
  <w:endnote w:type="continuationNotice" w:id="1">
    <w:p w14:paraId="6BEBBC00" w14:textId="77777777" w:rsidR="00F63BDD" w:rsidRDefault="00F63B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Bold">
    <w:altName w:val="Arial Narrow"/>
    <w:panose1 w:val="020B0706020202030204"/>
    <w:charset w:val="00"/>
    <w:family w:val="auto"/>
    <w:pitch w:val="variable"/>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MT">
    <w:altName w:val="Arial Unicode MS"/>
    <w:panose1 w:val="00000000000000000000"/>
    <w:charset w:val="88"/>
    <w:family w:val="auto"/>
    <w:notTrueType/>
    <w:pitch w:val="default"/>
    <w:sig w:usb0="00000001" w:usb1="08080000" w:usb2="00000010" w:usb3="00000000" w:csb0="00100000" w:csb1="00000000"/>
  </w:font>
  <w:font w:name="Arial-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60BD8" w14:textId="77777777" w:rsidR="00F63BDD" w:rsidRDefault="00F63BDD">
    <w:pPr>
      <w:pStyle w:val="Footer"/>
    </w:pPr>
    <w:r>
      <w:t>HEDIS 2016, Volume 2</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E4235" w14:textId="77777777" w:rsidR="00F63BDD" w:rsidRPr="00184DD0" w:rsidRDefault="00F63BDD" w:rsidP="00F578E0">
    <w:pPr>
      <w:pStyle w:val="Footer"/>
      <w:jc w:val="right"/>
    </w:pPr>
    <w:r>
      <w:t>HEDIS 2016, Volume 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766CE" w14:textId="77777777" w:rsidR="00F63BDD" w:rsidRDefault="00F63BDD" w:rsidP="00F578E0">
    <w:pPr>
      <w:pStyle w:val="Footer"/>
      <w:jc w:val="right"/>
    </w:pPr>
    <w:r>
      <w:t>HEDIS 2016, Volume 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B86C4" w14:textId="77777777" w:rsidR="00F63BDD" w:rsidRDefault="00F63BDD" w:rsidP="00F578E0">
    <w:pPr>
      <w:pStyle w:val="Footer"/>
    </w:pPr>
    <w:r>
      <w:t xml:space="preserve">HEDIS </w:t>
    </w:r>
    <w:r>
      <w:rPr>
        <w:iCs/>
      </w:rPr>
      <w:t>2016</w:t>
    </w:r>
    <w:r>
      <w:t>, Volume 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31A22" w14:textId="77777777" w:rsidR="00F63BDD" w:rsidRDefault="00F63BDD" w:rsidP="00F578E0">
    <w:pPr>
      <w:pStyle w:val="Footer"/>
      <w:jc w:val="right"/>
    </w:pPr>
    <w:r>
      <w:t xml:space="preserve">HEDIS </w:t>
    </w:r>
    <w:r>
      <w:rPr>
        <w:iCs/>
      </w:rPr>
      <w:t>2016</w:t>
    </w:r>
    <w:r>
      <w:t>, Volume 2</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03A26A" w14:textId="77777777" w:rsidR="00F63BDD" w:rsidRDefault="00F63BDD"/>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4725A" w14:textId="77777777" w:rsidR="00F63BDD" w:rsidRPr="00E2647C" w:rsidRDefault="00F63BDD" w:rsidP="00F578E0"/>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677C6" w14:textId="77777777" w:rsidR="00F63BDD" w:rsidRDefault="00F63BDD">
    <w:pPr>
      <w:pStyle w:val="Footer"/>
    </w:pPr>
    <w:r>
      <w:t xml:space="preserve">HEDIS </w:t>
    </w:r>
    <w:r>
      <w:rPr>
        <w:iCs/>
      </w:rPr>
      <w:t>2016</w:t>
    </w:r>
    <w:r>
      <w:t>, Volume 2</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ACE96" w14:textId="77777777" w:rsidR="00F63BDD" w:rsidRPr="00E2647C" w:rsidRDefault="00F63BDD" w:rsidP="00F578E0">
    <w:pPr>
      <w:pStyle w:val="Footer"/>
      <w:jc w:val="right"/>
    </w:pPr>
    <w:r>
      <w:t xml:space="preserve">HEDIS </w:t>
    </w:r>
    <w:r>
      <w:rPr>
        <w:iCs/>
      </w:rPr>
      <w:t>2016</w:t>
    </w:r>
    <w:r>
      <w:t>, Volume 2</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75F01" w14:textId="77777777" w:rsidR="00F63BDD" w:rsidRPr="00184DD0" w:rsidRDefault="00F63BDD" w:rsidP="00F578E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1BA6C" w14:textId="77777777" w:rsidR="00F63BDD" w:rsidRDefault="00F63BDD">
      <w:pPr>
        <w:pStyle w:val="AnswerText"/>
        <w:ind w:left="0"/>
        <w:rPr>
          <w:rFonts w:ascii="Times New Roman" w:hAnsi="Times New Roman"/>
        </w:rPr>
      </w:pPr>
      <w:r>
        <w:separator/>
      </w:r>
    </w:p>
  </w:footnote>
  <w:footnote w:type="continuationSeparator" w:id="0">
    <w:p w14:paraId="573939D5" w14:textId="77777777" w:rsidR="00F63BDD" w:rsidRDefault="00F63BDD">
      <w:r>
        <w:continuationSeparator/>
      </w:r>
    </w:p>
  </w:footnote>
  <w:footnote w:type="continuationNotice" w:id="1">
    <w:p w14:paraId="62C47A90" w14:textId="77777777" w:rsidR="00F63BDD" w:rsidRDefault="00F63BD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A5389" w14:textId="77777777" w:rsidR="00F63BDD" w:rsidRDefault="00F63BDD" w:rsidP="00F578E0">
    <w:pPr>
      <w:pStyle w:val="Header"/>
      <w:tabs>
        <w:tab w:val="left" w:pos="720"/>
      </w:tabs>
    </w:pPr>
    <w:r>
      <w:fldChar w:fldCharType="begin"/>
    </w:r>
    <w:r>
      <w:instrText xml:space="preserve"> PAGE </w:instrText>
    </w:r>
    <w:r>
      <w:fldChar w:fldCharType="separate"/>
    </w:r>
    <w:r w:rsidR="002E062C">
      <w:rPr>
        <w:noProof/>
      </w:rPr>
      <w:t>132</w:t>
    </w:r>
    <w:r>
      <w:rPr>
        <w:noProof/>
      </w:rPr>
      <w:fldChar w:fldCharType="end"/>
    </w:r>
    <w:r>
      <w:tab/>
      <w:t>Comprehensive Diabetes Care</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329892"/>
      <w:docPartObj>
        <w:docPartGallery w:val="Page Numbers (Top of Page)"/>
        <w:docPartUnique/>
      </w:docPartObj>
    </w:sdtPr>
    <w:sdtEndPr>
      <w:rPr>
        <w:noProof/>
      </w:rPr>
    </w:sdtEndPr>
    <w:sdtContent>
      <w:p w14:paraId="0B8C528F" w14:textId="4F02CE37" w:rsidR="00F63BDD" w:rsidRDefault="00F63BDD" w:rsidP="007527F3">
        <w:pPr>
          <w:pStyle w:val="Header"/>
          <w:tabs>
            <w:tab w:val="left" w:pos="720"/>
          </w:tabs>
        </w:pPr>
        <w:r>
          <w:fldChar w:fldCharType="begin"/>
        </w:r>
        <w:r>
          <w:instrText xml:space="preserve"> PAGE   \* MERGEFORMAT </w:instrText>
        </w:r>
        <w:r>
          <w:fldChar w:fldCharType="separate"/>
        </w:r>
        <w:r w:rsidR="002E062C">
          <w:rPr>
            <w:noProof/>
          </w:rPr>
          <w:t>148</w:t>
        </w:r>
        <w:r>
          <w:rPr>
            <w:noProof/>
          </w:rPr>
          <w:fldChar w:fldCharType="end"/>
        </w:r>
        <w:r>
          <w:tab/>
        </w:r>
        <w:r w:rsidRPr="007527F3">
          <w:rPr>
            <w:lang w:val="pt-BR"/>
          </w:rPr>
          <w:t>Statin Therapy for Patients With Diabetes</w:t>
        </w:r>
      </w:p>
    </w:sdtContent>
  </w:sdt>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CCA46" w14:textId="4B2CF2DA" w:rsidR="00F63BDD" w:rsidRPr="00163884" w:rsidRDefault="00F63BDD" w:rsidP="00F578E0">
    <w:pPr>
      <w:pStyle w:val="Header"/>
    </w:pPr>
    <w:r w:rsidRPr="00163884">
      <w:tab/>
    </w:r>
    <w:r w:rsidRPr="007527F3">
      <w:rPr>
        <w:lang w:val="pt-BR"/>
      </w:rPr>
      <w:t>Statin Therapy for Patients With Diabetes</w:t>
    </w:r>
    <w:r w:rsidRPr="00163884">
      <w:tab/>
    </w:r>
    <w:r>
      <w:fldChar w:fldCharType="begin"/>
    </w:r>
    <w:r>
      <w:instrText xml:space="preserve"> PAGE </w:instrText>
    </w:r>
    <w:r>
      <w:fldChar w:fldCharType="separate"/>
    </w:r>
    <w:r w:rsidR="002E062C">
      <w:rPr>
        <w:noProof/>
      </w:rPr>
      <w:t>147</w:t>
    </w:r>
    <w:r>
      <w:rPr>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AB1B4F" w14:textId="1D67E537" w:rsidR="00F63BDD" w:rsidRDefault="00F63BDD">
    <w:pPr>
      <w:pStyle w:val="Header"/>
    </w:pPr>
    <w:r>
      <w:tab/>
    </w:r>
    <w:r w:rsidR="00343062" w:rsidRPr="00343062">
      <w:rPr>
        <w:lang w:val="pt-BR"/>
      </w:rPr>
      <w:t>Statin Therapy for Patients With Diabetes</w:t>
    </w:r>
    <w:r>
      <w:tab/>
    </w:r>
    <w:r>
      <w:fldChar w:fldCharType="begin"/>
    </w:r>
    <w:r>
      <w:instrText xml:space="preserve"> PAGE </w:instrText>
    </w:r>
    <w:r>
      <w:fldChar w:fldCharType="separate"/>
    </w:r>
    <w:r w:rsidR="002E062C">
      <w:rPr>
        <w:noProof/>
      </w:rPr>
      <w:t>149</w:t>
    </w:r>
    <w:r>
      <w:rPr>
        <w:noProof/>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8B5A4" w14:textId="77777777" w:rsidR="00F63BDD" w:rsidRDefault="00F63BDD"/>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908818" w14:textId="77777777" w:rsidR="00F63BDD" w:rsidRPr="00C12A8F" w:rsidRDefault="00F63BDD" w:rsidP="00F578E0"/>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94E34" w14:textId="77777777" w:rsidR="00F63BDD" w:rsidRDefault="00F63BDD" w:rsidP="00F578E0">
    <w:pPr>
      <w:pStyle w:val="Header"/>
      <w:ind w:left="720" w:hanging="720"/>
    </w:pPr>
    <w:r>
      <w:fldChar w:fldCharType="begin"/>
    </w:r>
    <w:r>
      <w:instrText xml:space="preserve"> PAGE </w:instrText>
    </w:r>
    <w:r>
      <w:fldChar w:fldCharType="separate"/>
    </w:r>
    <w:r w:rsidR="002E062C">
      <w:rPr>
        <w:noProof/>
      </w:rPr>
      <w:t>154</w:t>
    </w:r>
    <w:r>
      <w:rPr>
        <w:noProof/>
      </w:rPr>
      <w:fldChar w:fldCharType="end"/>
    </w:r>
    <w:r>
      <w:tab/>
      <w:t>Disease-Modifying Anti-Rheumatic Drug Therapy for Rheumatoid Arthritis</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7633A0" w14:textId="77777777" w:rsidR="00F63BDD" w:rsidRPr="00E2647C" w:rsidRDefault="00F63BDD" w:rsidP="00F578E0">
    <w:pPr>
      <w:pStyle w:val="Header"/>
    </w:pPr>
    <w:r>
      <w:tab/>
      <w:t>Disease-Modifying Anti-Rheumatic Drug Therapy for Rheumatoid Arthritis</w:t>
    </w:r>
    <w:r>
      <w:tab/>
    </w:r>
    <w:r>
      <w:fldChar w:fldCharType="begin"/>
    </w:r>
    <w:r>
      <w:instrText xml:space="preserve"> PAGE </w:instrText>
    </w:r>
    <w:r>
      <w:fldChar w:fldCharType="separate"/>
    </w:r>
    <w:r w:rsidR="004E5025">
      <w:rPr>
        <w:noProof/>
      </w:rPr>
      <w:t>153</w:t>
    </w:r>
    <w:r>
      <w:rPr>
        <w:noProof/>
      </w:rP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4D0A9" w14:textId="77777777" w:rsidR="00F63BDD" w:rsidRPr="00E2647C" w:rsidRDefault="00F63BDD" w:rsidP="00F578E0">
    <w:pPr>
      <w:pStyle w:val="Header"/>
    </w:pPr>
    <w:r>
      <w:tab/>
      <w:t>Disease-Modifying Anti-Rheumatic Drug Therapy for Rheumatoid Arthritis</w:t>
    </w:r>
    <w:r>
      <w:tab/>
    </w:r>
    <w:r>
      <w:fldChar w:fldCharType="begin"/>
    </w:r>
    <w:r>
      <w:instrText xml:space="preserve"> PAGE </w:instrText>
    </w:r>
    <w:r>
      <w:fldChar w:fldCharType="separate"/>
    </w:r>
    <w:r w:rsidR="002E062C">
      <w:rPr>
        <w:noProof/>
      </w:rPr>
      <w:t>153</w:t>
    </w:r>
    <w:r>
      <w:rPr>
        <w:noProof/>
      </w:rPr>
      <w:fldChar w:fldCharType="end"/>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63B6D" w14:textId="77777777" w:rsidR="00F63BDD" w:rsidRDefault="00F63BDD">
    <w:pPr>
      <w:pStyle w:val="Header"/>
      <w:tabs>
        <w:tab w:val="left" w:pos="720"/>
      </w:tabs>
    </w:pPr>
    <w:r>
      <w:fldChar w:fldCharType="begin"/>
    </w:r>
    <w:r>
      <w:instrText xml:space="preserve"> PAGE </w:instrText>
    </w:r>
    <w:r>
      <w:fldChar w:fldCharType="separate"/>
    </w:r>
    <w:r w:rsidR="004E5025">
      <w:rPr>
        <w:noProof/>
      </w:rPr>
      <w:t>156</w:t>
    </w:r>
    <w:r>
      <w:rPr>
        <w:noProof/>
      </w:rPr>
      <w:fldChar w:fldCharType="end"/>
    </w:r>
    <w:r>
      <w:t xml:space="preserve"> </w:t>
    </w:r>
    <w:r>
      <w:tab/>
      <w:t>Osteoporosis Management in Women Who Had a Fracture</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A676CC" w14:textId="50FECD63" w:rsidR="00F63BDD" w:rsidRPr="00E2647C" w:rsidRDefault="00F63BDD" w:rsidP="00F578E0">
    <w:pPr>
      <w:pStyle w:val="Header"/>
    </w:pPr>
    <w:r>
      <w:tab/>
    </w:r>
    <w:r w:rsidRPr="00BE13D8">
      <w:t>Osteoporosis Management in Women Who Had a Fracture (OMW)</w:t>
    </w:r>
    <w:r>
      <w:tab/>
    </w:r>
    <w:r>
      <w:fldChar w:fldCharType="begin"/>
    </w:r>
    <w:r>
      <w:instrText xml:space="preserve"> PAGE </w:instrText>
    </w:r>
    <w:r>
      <w:fldChar w:fldCharType="separate"/>
    </w:r>
    <w:r w:rsidR="002E062C">
      <w:rPr>
        <w:noProof/>
      </w:rPr>
      <w:t>155</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09854" w14:textId="77777777" w:rsidR="00F63BDD" w:rsidRDefault="00F63BDD" w:rsidP="00F578E0">
    <w:pPr>
      <w:pStyle w:val="Header"/>
      <w:jc w:val="right"/>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A6917" w14:textId="77777777" w:rsidR="00F63BDD" w:rsidRDefault="00F63BDD">
    <w:pPr>
      <w:pStyle w:val="Header"/>
      <w:tabs>
        <w:tab w:val="left" w:pos="720"/>
      </w:tabs>
    </w:pPr>
    <w:r>
      <w:fldChar w:fldCharType="begin"/>
    </w:r>
    <w:r>
      <w:instrText xml:space="preserve"> PAGE </w:instrText>
    </w:r>
    <w:r>
      <w:fldChar w:fldCharType="separate"/>
    </w:r>
    <w:r w:rsidR="002E062C">
      <w:rPr>
        <w:noProof/>
      </w:rPr>
      <w:t>158</w:t>
    </w:r>
    <w:r>
      <w:rPr>
        <w:noProof/>
      </w:rPr>
      <w:fldChar w:fldCharType="end"/>
    </w:r>
    <w:r>
      <w:t xml:space="preserve"> </w:t>
    </w:r>
    <w:r>
      <w:tab/>
      <w:t>Osteoporosis Management in Women Who Had a Fracture</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98AD7A" w14:textId="77777777" w:rsidR="00F63BDD" w:rsidRPr="00E2647C" w:rsidRDefault="00F63BDD" w:rsidP="00F578E0">
    <w:pPr>
      <w:pStyle w:val="Header"/>
    </w:pPr>
    <w:r>
      <w:tab/>
    </w:r>
    <w:r w:rsidRPr="00EB297B">
      <w:t>Osteoporosis Management in Women Who Had a Fracture</w:t>
    </w:r>
    <w:r>
      <w:tab/>
    </w:r>
    <w:r>
      <w:fldChar w:fldCharType="begin"/>
    </w:r>
    <w:r>
      <w:instrText xml:space="preserve"> PAGE </w:instrText>
    </w:r>
    <w:r>
      <w:fldChar w:fldCharType="separate"/>
    </w:r>
    <w:r w:rsidR="004E5025">
      <w:rPr>
        <w:noProof/>
      </w:rPr>
      <w:t>157</w:t>
    </w:r>
    <w:r>
      <w:rPr>
        <w:noProof/>
      </w:rPr>
      <w:fldChar w:fldCharType="end"/>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79164" w14:textId="77777777" w:rsidR="00F63BDD" w:rsidRPr="00E2647C" w:rsidRDefault="00F63BDD" w:rsidP="00F578E0">
    <w:pPr>
      <w:pStyle w:val="Header"/>
    </w:pPr>
    <w:r>
      <w:tab/>
    </w:r>
    <w:r w:rsidRPr="00EB297B">
      <w:t>Osteoporosis Management in Women Who Had a Fracture</w:t>
    </w:r>
    <w:r>
      <w:tab/>
    </w:r>
    <w:r>
      <w:fldChar w:fldCharType="begin"/>
    </w:r>
    <w:r>
      <w:instrText xml:space="preserve"> PAGE </w:instrText>
    </w:r>
    <w:r>
      <w:fldChar w:fldCharType="separate"/>
    </w:r>
    <w:r w:rsidR="002E062C">
      <w:rPr>
        <w:noProof/>
      </w:rPr>
      <w:t>157</w:t>
    </w:r>
    <w:r>
      <w:rPr>
        <w:noProof/>
      </w:rPr>
      <w:fldChar w:fldCharType="end"/>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0742506"/>
      <w:docPartObj>
        <w:docPartGallery w:val="Page Numbers (Top of Page)"/>
        <w:docPartUnique/>
      </w:docPartObj>
    </w:sdtPr>
    <w:sdtEndPr/>
    <w:sdtContent>
      <w:p w14:paraId="7AC2F427" w14:textId="77777777" w:rsidR="00F63BDD" w:rsidRPr="001C5FE4" w:rsidRDefault="00F63BDD" w:rsidP="00F578E0">
        <w:pPr>
          <w:pStyle w:val="Header"/>
          <w:jc w:val="right"/>
        </w:pPr>
        <w:r>
          <w:tab/>
        </w:r>
        <w:r w:rsidRPr="00235DFC">
          <w:t xml:space="preserve">Use of Imaging Studies for Low Back Pain </w:t>
        </w:r>
        <w:r>
          <w:tab/>
        </w:r>
        <w:r>
          <w:fldChar w:fldCharType="begin"/>
        </w:r>
        <w:r>
          <w:instrText xml:space="preserve"> PAGE   \* MERGEFORMAT </w:instrText>
        </w:r>
        <w:r>
          <w:fldChar w:fldCharType="separate"/>
        </w:r>
        <w:r w:rsidR="004E5025">
          <w:rPr>
            <w:noProof/>
          </w:rPr>
          <w:t>159</w:t>
        </w:r>
        <w:r>
          <w:rPr>
            <w:noProof/>
          </w:rPr>
          <w:fldChar w:fldCharType="end"/>
        </w:r>
      </w:p>
    </w:sdtContent>
  </w:sdt>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3385F4" w14:textId="77777777" w:rsidR="00F63BDD" w:rsidRPr="002F1D27" w:rsidRDefault="00F63BDD" w:rsidP="00F578E0"/>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361477" w14:textId="77777777" w:rsidR="00F63BDD" w:rsidRDefault="00F63BDD">
    <w:pPr>
      <w:pStyle w:val="Header"/>
      <w:tabs>
        <w:tab w:val="left" w:pos="720"/>
      </w:tabs>
    </w:pPr>
    <w:r>
      <w:fldChar w:fldCharType="begin"/>
    </w:r>
    <w:r>
      <w:instrText xml:space="preserve"> PAGE </w:instrText>
    </w:r>
    <w:r>
      <w:fldChar w:fldCharType="separate"/>
    </w:r>
    <w:r w:rsidR="002E062C">
      <w:rPr>
        <w:noProof/>
      </w:rPr>
      <w:t>162</w:t>
    </w:r>
    <w:r>
      <w:rPr>
        <w:noProof/>
      </w:rPr>
      <w:fldChar w:fldCharType="end"/>
    </w:r>
    <w:r>
      <w:t xml:space="preserve"> </w:t>
    </w:r>
    <w:r>
      <w:tab/>
      <w:t>Antidepressant Medication Management</w:t>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A3A33" w14:textId="77777777" w:rsidR="00F63BDD" w:rsidRPr="00574627" w:rsidRDefault="00F63BDD" w:rsidP="00F578E0">
    <w:pPr>
      <w:pStyle w:val="Header"/>
    </w:pPr>
    <w:r w:rsidRPr="00574627">
      <w:tab/>
    </w:r>
    <w:r>
      <w:t>Antidepressant Medication Management</w:t>
    </w:r>
    <w:r w:rsidRPr="00574627">
      <w:tab/>
    </w:r>
    <w:r>
      <w:fldChar w:fldCharType="begin"/>
    </w:r>
    <w:r>
      <w:instrText xml:space="preserve"> PAGE </w:instrText>
    </w:r>
    <w:r>
      <w:fldChar w:fldCharType="separate"/>
    </w:r>
    <w:r w:rsidR="009F1193">
      <w:rPr>
        <w:noProof/>
      </w:rPr>
      <w:t>161</w:t>
    </w:r>
    <w:r>
      <w:rPr>
        <w:noProof/>
      </w:rPr>
      <w:fldChar w:fldCharType="end"/>
    </w: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FC7CD" w14:textId="77777777" w:rsidR="00F63BDD" w:rsidRPr="00574627" w:rsidRDefault="00F63BDD" w:rsidP="00F578E0">
    <w:pPr>
      <w:pStyle w:val="Header"/>
    </w:pPr>
    <w:r w:rsidRPr="00574627">
      <w:tab/>
    </w:r>
    <w:r>
      <w:t>Antidepressant Medication Management</w:t>
    </w:r>
    <w:r w:rsidRPr="00574627">
      <w:tab/>
    </w:r>
    <w:r>
      <w:fldChar w:fldCharType="begin"/>
    </w:r>
    <w:r>
      <w:instrText xml:space="preserve"> PAGE </w:instrText>
    </w:r>
    <w:r>
      <w:fldChar w:fldCharType="separate"/>
    </w:r>
    <w:r w:rsidR="002E062C">
      <w:rPr>
        <w:noProof/>
      </w:rPr>
      <w:t>163</w:t>
    </w:r>
    <w:r>
      <w:rPr>
        <w:noProof/>
      </w:rPr>
      <w:fldChar w:fldCharType="end"/>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58D9D" w14:textId="77777777" w:rsidR="00F63BDD" w:rsidRDefault="00F63BDD" w:rsidP="00F578E0">
    <w:pPr>
      <w:pStyle w:val="Header"/>
      <w:tabs>
        <w:tab w:val="left" w:pos="720"/>
      </w:tabs>
    </w:pPr>
    <w:r>
      <w:fldChar w:fldCharType="begin"/>
    </w:r>
    <w:r>
      <w:instrText xml:space="preserve"> PAGE </w:instrText>
    </w:r>
    <w:r>
      <w:fldChar w:fldCharType="separate"/>
    </w:r>
    <w:r w:rsidR="002E062C">
      <w:rPr>
        <w:noProof/>
      </w:rPr>
      <w:t>164</w:t>
    </w:r>
    <w:r>
      <w:rPr>
        <w:noProof/>
      </w:rPr>
      <w:fldChar w:fldCharType="end"/>
    </w:r>
    <w:r>
      <w:tab/>
    </w:r>
    <w:r w:rsidRPr="00C54D30">
      <w:t>Follow-Up Care for Children Prescribed ADHD Medication</w:t>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0BCD9" w14:textId="77777777" w:rsidR="00F63BDD" w:rsidRPr="00574627" w:rsidRDefault="00F63BDD" w:rsidP="00F578E0">
    <w:pPr>
      <w:pStyle w:val="Header"/>
    </w:pPr>
    <w:r w:rsidRPr="00574627">
      <w:tab/>
    </w:r>
    <w:r>
      <w:t>Follow-Up Care for Children Prescribed ADHD Medication</w:t>
    </w:r>
    <w:r w:rsidRPr="00574627">
      <w:tab/>
    </w:r>
    <w:r>
      <w:fldChar w:fldCharType="begin"/>
    </w:r>
    <w:r>
      <w:instrText xml:space="preserve"> PAGE </w:instrText>
    </w:r>
    <w:r>
      <w:fldChar w:fldCharType="separate"/>
    </w:r>
    <w:r w:rsidR="009F1193">
      <w:rPr>
        <w:noProof/>
      </w:rPr>
      <w:t>165</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70A06" w14:textId="77777777" w:rsidR="00F63BDD" w:rsidRDefault="00F63BDD" w:rsidP="00F578E0">
    <w:pPr>
      <w:pStyle w:val="Header"/>
      <w:tabs>
        <w:tab w:val="left" w:pos="720"/>
      </w:tabs>
    </w:pPr>
    <w:r>
      <w:fldChar w:fldCharType="begin"/>
    </w:r>
    <w:r>
      <w:instrText xml:space="preserve"> PAGE </w:instrText>
    </w:r>
    <w:r>
      <w:fldChar w:fldCharType="separate"/>
    </w:r>
    <w:r w:rsidR="002E062C">
      <w:rPr>
        <w:noProof/>
      </w:rPr>
      <w:t>134</w:t>
    </w:r>
    <w:r>
      <w:rPr>
        <w:noProof/>
      </w:rPr>
      <w:fldChar w:fldCharType="end"/>
    </w:r>
    <w:r>
      <w:tab/>
      <w:t>Comprehensive Diabetes Care</w:t>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E911A" w14:textId="77777777" w:rsidR="00F63BDD" w:rsidRDefault="00F63BDD">
    <w:pPr>
      <w:pStyle w:val="Header"/>
      <w:tabs>
        <w:tab w:val="left" w:pos="720"/>
      </w:tabs>
    </w:pPr>
    <w:r>
      <w:fldChar w:fldCharType="begin"/>
    </w:r>
    <w:r>
      <w:instrText xml:space="preserve"> PAGE </w:instrText>
    </w:r>
    <w:r>
      <w:fldChar w:fldCharType="separate"/>
    </w:r>
    <w:r w:rsidR="002E062C">
      <w:rPr>
        <w:noProof/>
      </w:rPr>
      <w:t>168</w:t>
    </w:r>
    <w:r>
      <w:rPr>
        <w:noProof/>
      </w:rPr>
      <w:fldChar w:fldCharType="end"/>
    </w:r>
    <w:r>
      <w:tab/>
      <w:t>Follow-Up Care for Children Prescribed ADHD Medication</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5DF26" w14:textId="77777777" w:rsidR="00F63BDD" w:rsidRPr="00574627" w:rsidRDefault="00F63BDD" w:rsidP="00F578E0">
    <w:pPr>
      <w:pStyle w:val="Header"/>
    </w:pPr>
    <w:r w:rsidRPr="00574627">
      <w:tab/>
    </w:r>
    <w:r>
      <w:t>Follow-Up Care for Children Prescribed ADHD Medication</w:t>
    </w:r>
    <w:r w:rsidRPr="00574627">
      <w:tab/>
    </w:r>
    <w:r>
      <w:fldChar w:fldCharType="begin"/>
    </w:r>
    <w:r>
      <w:instrText xml:space="preserve"> PAGE </w:instrText>
    </w:r>
    <w:r>
      <w:fldChar w:fldCharType="separate"/>
    </w:r>
    <w:r w:rsidR="002E062C">
      <w:rPr>
        <w:noProof/>
      </w:rPr>
      <w:t>167</w:t>
    </w:r>
    <w:r>
      <w:rPr>
        <w:noProof/>
      </w:rPr>
      <w:fldChar w:fldCharType="end"/>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43A8B1" w14:textId="77777777" w:rsidR="00F63BDD" w:rsidRDefault="00F63BDD">
    <w:pPr>
      <w:pStyle w:val="Header"/>
      <w:tabs>
        <w:tab w:val="left" w:pos="720"/>
      </w:tabs>
    </w:pPr>
    <w:r>
      <w:fldChar w:fldCharType="begin"/>
    </w:r>
    <w:r>
      <w:instrText xml:space="preserve"> PAGE </w:instrText>
    </w:r>
    <w:r>
      <w:fldChar w:fldCharType="separate"/>
    </w:r>
    <w:r w:rsidR="009F1193">
      <w:rPr>
        <w:noProof/>
      </w:rPr>
      <w:t>170</w:t>
    </w:r>
    <w:r>
      <w:rPr>
        <w:noProof/>
      </w:rPr>
      <w:fldChar w:fldCharType="end"/>
    </w:r>
    <w:r>
      <w:tab/>
    </w:r>
    <w:r w:rsidRPr="001E3D4C">
      <w:t>Follow-Up After Hospitalization for Mental Illness</w:t>
    </w: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8691" w14:textId="77777777" w:rsidR="00F63BDD" w:rsidRDefault="00F63BDD">
    <w:pPr>
      <w:pStyle w:val="Header"/>
    </w:pPr>
    <w:r>
      <w:tab/>
      <w:t>Follow-Up After Hospitalization for Mental Illness</w:t>
    </w:r>
    <w:r>
      <w:tab/>
    </w:r>
    <w:r>
      <w:fldChar w:fldCharType="begin"/>
    </w:r>
    <w:r>
      <w:instrText xml:space="preserve"> PAGE </w:instrText>
    </w:r>
    <w:r>
      <w:fldChar w:fldCharType="separate"/>
    </w:r>
    <w:r w:rsidR="002E062C">
      <w:rPr>
        <w:noProof/>
      </w:rPr>
      <w:t>171</w:t>
    </w:r>
    <w:r>
      <w:rPr>
        <w:noProof/>
      </w:rPr>
      <w:fldChar w:fldCharType="end"/>
    </w:r>
  </w:p>
</w:hdr>
</file>

<file path=word/header3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6439941"/>
      <w:docPartObj>
        <w:docPartGallery w:val="Page Numbers (Top of Page)"/>
        <w:docPartUnique/>
      </w:docPartObj>
    </w:sdtPr>
    <w:sdtEndPr/>
    <w:sdtContent>
      <w:p w14:paraId="5E3F7276" w14:textId="77777777" w:rsidR="00F63BDD" w:rsidRPr="00CE7CBD" w:rsidRDefault="00F63BDD" w:rsidP="00F578E0">
        <w:pPr>
          <w:pStyle w:val="Header"/>
          <w:tabs>
            <w:tab w:val="left" w:pos="720"/>
          </w:tabs>
        </w:pPr>
        <w:r>
          <w:fldChar w:fldCharType="begin"/>
        </w:r>
        <w:r>
          <w:instrText xml:space="preserve"> PAGE   \* MERGEFORMAT </w:instrText>
        </w:r>
        <w:r>
          <w:fldChar w:fldCharType="separate"/>
        </w:r>
        <w:r w:rsidR="002E062C">
          <w:rPr>
            <w:noProof/>
          </w:rPr>
          <w:t>170</w:t>
        </w:r>
        <w:r>
          <w:rPr>
            <w:noProof/>
          </w:rPr>
          <w:fldChar w:fldCharType="end"/>
        </w:r>
        <w:r w:rsidRPr="00CE7CBD">
          <w:tab/>
          <w:t>Follow-Up After Hospitalization for Mental Illness</w:t>
        </w:r>
      </w:p>
    </w:sdtContent>
  </w:sdt>
</w:hdr>
</file>

<file path=word/header3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4312127"/>
      <w:docPartObj>
        <w:docPartGallery w:val="Page Numbers (Top of Page)"/>
        <w:docPartUnique/>
      </w:docPartObj>
    </w:sdtPr>
    <w:sdtEndPr/>
    <w:sdtContent>
      <w:p w14:paraId="564CFA38" w14:textId="77777777" w:rsidR="00F63BDD" w:rsidRPr="00CE7CBD" w:rsidRDefault="00F63BDD" w:rsidP="00F578E0">
        <w:pPr>
          <w:pStyle w:val="Header"/>
          <w:tabs>
            <w:tab w:val="left" w:pos="720"/>
          </w:tabs>
        </w:pPr>
        <w:r>
          <w:fldChar w:fldCharType="begin"/>
        </w:r>
        <w:r>
          <w:instrText xml:space="preserve"> PAGE   \* MERGEFORMAT </w:instrText>
        </w:r>
        <w:r>
          <w:fldChar w:fldCharType="separate"/>
        </w:r>
        <w:r w:rsidR="009F1193">
          <w:rPr>
            <w:noProof/>
          </w:rPr>
          <w:t>172</w:t>
        </w:r>
        <w:r>
          <w:rPr>
            <w:noProof/>
          </w:rPr>
          <w:fldChar w:fldCharType="end"/>
        </w:r>
        <w:r w:rsidRPr="00CE7CBD">
          <w:tab/>
          <w:t>Follow-Up After Hospitalization for Mental Illness</w:t>
        </w:r>
      </w:p>
    </w:sdtContent>
  </w:sdt>
</w:hdr>
</file>

<file path=word/header3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6668623"/>
      <w:docPartObj>
        <w:docPartGallery w:val="Page Numbers (Top of Page)"/>
        <w:docPartUnique/>
      </w:docPartObj>
    </w:sdtPr>
    <w:sdtEndPr/>
    <w:sdtContent>
      <w:p w14:paraId="38B0ADD7" w14:textId="77777777" w:rsidR="00F63BDD" w:rsidRPr="00CE7CBD" w:rsidRDefault="00F63BDD" w:rsidP="00F578E0">
        <w:pPr>
          <w:pStyle w:val="Header"/>
          <w:tabs>
            <w:tab w:val="left" w:pos="720"/>
          </w:tabs>
        </w:pPr>
        <w:r>
          <w:tab/>
        </w:r>
        <w:r w:rsidRPr="00CE7CBD">
          <w:rPr>
            <w:bCs/>
          </w:rPr>
          <w:t xml:space="preserve">Diabetes Screening for People With Schizophrenia or Bipolar Disorder </w:t>
        </w:r>
        <w:r w:rsidRPr="00CE7CBD">
          <w:rPr>
            <w:bCs/>
          </w:rPr>
          <w:br/>
        </w:r>
        <w:r>
          <w:fldChar w:fldCharType="begin"/>
        </w:r>
        <w:r>
          <w:instrText xml:space="preserve"> PAGE   \* MERGEFORMAT </w:instrText>
        </w:r>
        <w:r>
          <w:fldChar w:fldCharType="separate"/>
        </w:r>
        <w:r w:rsidR="002E062C">
          <w:rPr>
            <w:noProof/>
          </w:rPr>
          <w:t>172</w:t>
        </w:r>
        <w:r>
          <w:rPr>
            <w:noProof/>
          </w:rPr>
          <w:fldChar w:fldCharType="end"/>
        </w:r>
        <w:r w:rsidRPr="00CE7CBD">
          <w:tab/>
        </w:r>
        <w:r w:rsidRPr="00CE7CBD">
          <w:rPr>
            <w:bCs/>
          </w:rPr>
          <w:t>Who Are Using Antipsychotic Medications</w:t>
        </w:r>
      </w:p>
    </w:sdtContent>
  </w:sdt>
</w:hdr>
</file>

<file path=word/header3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A9154" w14:textId="1B921C8D" w:rsidR="00F63BDD" w:rsidRDefault="00F63BDD">
    <w:pPr>
      <w:pStyle w:val="Header"/>
    </w:pPr>
    <w:r>
      <w:tab/>
    </w:r>
    <w:r w:rsidRPr="00EB11D9">
      <w:rPr>
        <w:bCs/>
      </w:rPr>
      <w:t xml:space="preserve">Diabetes Screening for People With Schizophrenia or Bipolar Disorder </w:t>
    </w:r>
    <w:r w:rsidRPr="00EB11D9">
      <w:rPr>
        <w:bCs/>
      </w:rPr>
      <w:br/>
    </w:r>
    <w:r w:rsidRPr="00EB11D9">
      <w:tab/>
    </w:r>
    <w:r w:rsidRPr="00EB11D9">
      <w:rPr>
        <w:bCs/>
      </w:rPr>
      <w:t>Who Are Using Antipsychotic Medications</w:t>
    </w:r>
    <w:r>
      <w:tab/>
    </w:r>
    <w:r>
      <w:fldChar w:fldCharType="begin"/>
    </w:r>
    <w:r>
      <w:instrText xml:space="preserve"> PAGE </w:instrText>
    </w:r>
    <w:r>
      <w:fldChar w:fldCharType="separate"/>
    </w:r>
    <w:r w:rsidR="002E062C">
      <w:rPr>
        <w:noProof/>
      </w:rPr>
      <w:t>175</w:t>
    </w:r>
    <w:r>
      <w:rPr>
        <w:noProof/>
      </w:rPr>
      <w:fldChar w:fldCharType="end"/>
    </w:r>
  </w:p>
</w:hdr>
</file>

<file path=word/header3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5302197"/>
      <w:docPartObj>
        <w:docPartGallery w:val="Page Numbers (Top of Page)"/>
        <w:docPartUnique/>
      </w:docPartObj>
    </w:sdtPr>
    <w:sdtEndPr/>
    <w:sdtContent>
      <w:p w14:paraId="79A6C315" w14:textId="77777777" w:rsidR="00F63BDD" w:rsidRDefault="00F63BDD" w:rsidP="00F578E0">
        <w:pPr>
          <w:pStyle w:val="Header"/>
          <w:tabs>
            <w:tab w:val="left" w:pos="720"/>
          </w:tabs>
        </w:pPr>
        <w:r>
          <w:tab/>
        </w:r>
        <w:r w:rsidRPr="00800049">
          <w:rPr>
            <w:bCs/>
          </w:rPr>
          <w:t>Diabetes Screening for People With Schizophrenia or Bipolar Disorder</w:t>
        </w:r>
        <w:r>
          <w:rPr>
            <w:bCs/>
          </w:rPr>
          <w:br/>
        </w:r>
        <w:r>
          <w:fldChar w:fldCharType="begin"/>
        </w:r>
        <w:r>
          <w:instrText xml:space="preserve"> PAGE   \* MERGEFORMAT </w:instrText>
        </w:r>
        <w:r>
          <w:fldChar w:fldCharType="separate"/>
        </w:r>
        <w:r w:rsidR="002E062C">
          <w:rPr>
            <w:noProof/>
          </w:rPr>
          <w:t>174</w:t>
        </w:r>
        <w:r>
          <w:rPr>
            <w:noProof/>
          </w:rPr>
          <w:fldChar w:fldCharType="end"/>
        </w:r>
        <w:r>
          <w:rPr>
            <w:bCs/>
          </w:rPr>
          <w:tab/>
        </w:r>
        <w:r w:rsidRPr="00800049">
          <w:rPr>
            <w:bCs/>
          </w:rPr>
          <w:t>Who Are Using Antipsychotic Medications</w:t>
        </w:r>
      </w:p>
    </w:sdtContent>
  </w:sdt>
</w:hdr>
</file>

<file path=word/header3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4687656"/>
      <w:docPartObj>
        <w:docPartGallery w:val="Page Numbers (Top of Page)"/>
        <w:docPartUnique/>
      </w:docPartObj>
    </w:sdtPr>
    <w:sdtEndPr/>
    <w:sdtContent>
      <w:p w14:paraId="74296328" w14:textId="77777777" w:rsidR="00F63BDD" w:rsidRPr="006327C3" w:rsidRDefault="00F63BDD" w:rsidP="00F578E0">
        <w:pPr>
          <w:pStyle w:val="Header"/>
          <w:ind w:left="720" w:hanging="720"/>
        </w:pPr>
        <w:r>
          <w:fldChar w:fldCharType="begin"/>
        </w:r>
        <w:r>
          <w:instrText xml:space="preserve"> PAGE   \* MERGEFORMAT </w:instrText>
        </w:r>
        <w:r>
          <w:fldChar w:fldCharType="separate"/>
        </w:r>
        <w:r w:rsidR="002E062C">
          <w:rPr>
            <w:noProof/>
          </w:rPr>
          <w:t>176</w:t>
        </w:r>
        <w:r>
          <w:rPr>
            <w:noProof/>
          </w:rPr>
          <w:fldChar w:fldCharType="end"/>
        </w:r>
        <w:r>
          <w:tab/>
        </w:r>
        <w:r>
          <w:rPr>
            <w:bCs/>
          </w:rPr>
          <w:t>Diabetes Monitoring for People With Diabetes and Schizophrenia</w:t>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097124"/>
      <w:docPartObj>
        <w:docPartGallery w:val="Page Numbers (Top of Page)"/>
        <w:docPartUnique/>
      </w:docPartObj>
    </w:sdtPr>
    <w:sdtEndPr>
      <w:rPr>
        <w:noProof/>
      </w:rPr>
    </w:sdtEndPr>
    <w:sdtContent>
      <w:p w14:paraId="3E236FE3" w14:textId="77777777" w:rsidR="00F63BDD" w:rsidRDefault="00F63BDD" w:rsidP="00F578E0">
        <w:pPr>
          <w:pStyle w:val="Header"/>
          <w:jc w:val="right"/>
        </w:pPr>
        <w:r>
          <w:tab/>
          <w:t>Comprehensive Diabetes Care</w:t>
        </w:r>
        <w:r>
          <w:tab/>
        </w:r>
        <w:r>
          <w:fldChar w:fldCharType="begin"/>
        </w:r>
        <w:r>
          <w:instrText xml:space="preserve"> PAGE   \* MERGEFORMAT </w:instrText>
        </w:r>
        <w:r>
          <w:fldChar w:fldCharType="separate"/>
        </w:r>
        <w:r w:rsidR="002E062C">
          <w:rPr>
            <w:noProof/>
          </w:rPr>
          <w:t>135</w:t>
        </w:r>
        <w:r>
          <w:rPr>
            <w:noProof/>
          </w:rPr>
          <w:fldChar w:fldCharType="end"/>
        </w:r>
      </w:p>
    </w:sdtContent>
  </w:sdt>
</w:hdr>
</file>

<file path=word/header4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6002619"/>
      <w:docPartObj>
        <w:docPartGallery w:val="Page Numbers (Top of Page)"/>
        <w:docPartUnique/>
      </w:docPartObj>
    </w:sdtPr>
    <w:sdtEndPr/>
    <w:sdtContent>
      <w:p w14:paraId="5E7F0B53" w14:textId="77777777" w:rsidR="00F63BDD" w:rsidRPr="00A91169" w:rsidRDefault="00F63BDD" w:rsidP="00F578E0">
        <w:pPr>
          <w:pStyle w:val="Header"/>
        </w:pPr>
        <w:r w:rsidRPr="00A91169">
          <w:tab/>
        </w:r>
        <w:r>
          <w:t>Diabetes Monitoring for People With Diabetes and Schizophrenia</w:t>
        </w:r>
        <w:r>
          <w:tab/>
        </w:r>
        <w:r>
          <w:fldChar w:fldCharType="begin"/>
        </w:r>
        <w:r>
          <w:instrText xml:space="preserve"> PAGE   \* MERGEFORMAT </w:instrText>
        </w:r>
        <w:r>
          <w:fldChar w:fldCharType="separate"/>
        </w:r>
        <w:r w:rsidR="009F1193">
          <w:rPr>
            <w:noProof/>
          </w:rPr>
          <w:t>177</w:t>
        </w:r>
        <w:r>
          <w:rPr>
            <w:noProof/>
          </w:rPr>
          <w:fldChar w:fldCharType="end"/>
        </w:r>
      </w:p>
    </w:sdtContent>
  </w:sdt>
</w:hdr>
</file>

<file path=word/header4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1682910"/>
      <w:docPartObj>
        <w:docPartGallery w:val="Page Numbers (Top of Page)"/>
        <w:docPartUnique/>
      </w:docPartObj>
    </w:sdtPr>
    <w:sdtEndPr/>
    <w:sdtContent>
      <w:p w14:paraId="6AE55297" w14:textId="77777777" w:rsidR="00F63BDD" w:rsidRPr="006327C3" w:rsidRDefault="00F63BDD" w:rsidP="00F578E0">
        <w:pPr>
          <w:pStyle w:val="Header"/>
          <w:ind w:left="720" w:hanging="720"/>
        </w:pPr>
        <w:r>
          <w:fldChar w:fldCharType="begin"/>
        </w:r>
        <w:r>
          <w:instrText xml:space="preserve"> PAGE   \* MERGEFORMAT </w:instrText>
        </w:r>
        <w:r>
          <w:fldChar w:fldCharType="separate"/>
        </w:r>
        <w:r w:rsidR="002E062C">
          <w:rPr>
            <w:noProof/>
          </w:rPr>
          <w:t>178</w:t>
        </w:r>
        <w:r>
          <w:rPr>
            <w:noProof/>
          </w:rPr>
          <w:fldChar w:fldCharType="end"/>
        </w:r>
        <w:r>
          <w:tab/>
        </w:r>
        <w:r>
          <w:rPr>
            <w:bCs/>
          </w:rPr>
          <w:t>Diabetes Monitoring for People With Diabetes and Schizophrenia</w:t>
        </w:r>
      </w:p>
    </w:sdtContent>
  </w:sdt>
</w:hdr>
</file>

<file path=word/header4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4812122"/>
      <w:docPartObj>
        <w:docPartGallery w:val="Page Numbers (Top of Page)"/>
        <w:docPartUnique/>
      </w:docPartObj>
    </w:sdtPr>
    <w:sdtEndPr/>
    <w:sdtContent>
      <w:p w14:paraId="2A8F2F6C" w14:textId="77777777" w:rsidR="00F63BDD" w:rsidRPr="000974F2" w:rsidRDefault="00F63BDD" w:rsidP="00F578E0">
        <w:pPr>
          <w:pStyle w:val="Header"/>
        </w:pPr>
        <w:r>
          <w:tab/>
        </w:r>
        <w:r w:rsidRPr="000974F2">
          <w:t xml:space="preserve">Diabetes Monitoring for People With Diabetes and Schizophrenia </w:t>
        </w:r>
        <w:r>
          <w:tab/>
        </w:r>
        <w:r>
          <w:fldChar w:fldCharType="begin"/>
        </w:r>
        <w:r>
          <w:instrText xml:space="preserve"> PAGE   \* MERGEFORMAT </w:instrText>
        </w:r>
        <w:r>
          <w:fldChar w:fldCharType="separate"/>
        </w:r>
        <w:r w:rsidR="002E062C">
          <w:rPr>
            <w:noProof/>
          </w:rPr>
          <w:t>177</w:t>
        </w:r>
        <w:r>
          <w:rPr>
            <w:noProof/>
          </w:rPr>
          <w:fldChar w:fldCharType="end"/>
        </w:r>
      </w:p>
    </w:sdtContent>
  </w:sdt>
</w:hdr>
</file>

<file path=word/header4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7855593"/>
      <w:docPartObj>
        <w:docPartGallery w:val="Page Numbers (Top of Page)"/>
        <w:docPartUnique/>
      </w:docPartObj>
    </w:sdtPr>
    <w:sdtEndPr/>
    <w:sdtContent>
      <w:p w14:paraId="725935DE" w14:textId="77777777" w:rsidR="00F63BDD" w:rsidRPr="00C80CDB" w:rsidRDefault="00F63BDD" w:rsidP="00F578E0">
        <w:pPr>
          <w:pStyle w:val="Header"/>
          <w:ind w:left="720" w:hanging="720"/>
        </w:pPr>
        <w:r>
          <w:fldChar w:fldCharType="begin"/>
        </w:r>
        <w:r>
          <w:instrText xml:space="preserve"> PAGE   \* MERGEFORMAT </w:instrText>
        </w:r>
        <w:r>
          <w:fldChar w:fldCharType="separate"/>
        </w:r>
        <w:r w:rsidR="002E062C">
          <w:rPr>
            <w:noProof/>
          </w:rPr>
          <w:t>180</w:t>
        </w:r>
        <w:r>
          <w:rPr>
            <w:noProof/>
          </w:rPr>
          <w:fldChar w:fldCharType="end"/>
        </w:r>
        <w:r>
          <w:tab/>
        </w:r>
        <w:r w:rsidRPr="00974F3E">
          <w:rPr>
            <w:bCs/>
          </w:rPr>
          <w:tab/>
          <w:t>Cardiovascular Monitoring for People With Cardiovascular Disease and Schizophrenia</w:t>
        </w:r>
      </w:p>
    </w:sdtContent>
  </w:sdt>
</w:hdr>
</file>

<file path=word/header4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3201124"/>
      <w:docPartObj>
        <w:docPartGallery w:val="Page Numbers (Top of Page)"/>
        <w:docPartUnique/>
      </w:docPartObj>
    </w:sdtPr>
    <w:sdtEndPr/>
    <w:sdtContent>
      <w:p w14:paraId="0828CEFB" w14:textId="77777777" w:rsidR="00F63BDD" w:rsidRPr="00974F3E" w:rsidRDefault="00F63BDD" w:rsidP="00F578E0">
        <w:pPr>
          <w:pStyle w:val="Header"/>
        </w:pPr>
        <w:r>
          <w:tab/>
        </w:r>
        <w:r>
          <w:rPr>
            <w:bCs/>
          </w:rPr>
          <w:t>Cardiovascular Monitoring for People With Cardiovascular Disease and Schizophrenia</w:t>
        </w:r>
        <w:r>
          <w:tab/>
        </w:r>
        <w:r>
          <w:fldChar w:fldCharType="begin"/>
        </w:r>
        <w:r>
          <w:instrText xml:space="preserve"> PAGE   \* MERGEFORMAT </w:instrText>
        </w:r>
        <w:r>
          <w:fldChar w:fldCharType="separate"/>
        </w:r>
        <w:r w:rsidR="002E062C">
          <w:rPr>
            <w:noProof/>
          </w:rPr>
          <w:t>181</w:t>
        </w:r>
        <w:r>
          <w:rPr>
            <w:noProof/>
          </w:rPr>
          <w:fldChar w:fldCharType="end"/>
        </w:r>
      </w:p>
    </w:sdtContent>
  </w:sdt>
</w:hdr>
</file>

<file path=word/header4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1267947"/>
      <w:docPartObj>
        <w:docPartGallery w:val="Page Numbers (Top of Page)"/>
        <w:docPartUnique/>
      </w:docPartObj>
    </w:sdtPr>
    <w:sdtEndPr/>
    <w:sdtContent>
      <w:p w14:paraId="2E981121" w14:textId="77777777" w:rsidR="00F63BDD" w:rsidRPr="00C80CDB" w:rsidRDefault="00F63BDD" w:rsidP="00F578E0">
        <w:pPr>
          <w:pStyle w:val="Header"/>
          <w:ind w:left="720" w:hanging="720"/>
        </w:pPr>
        <w:r>
          <w:fldChar w:fldCharType="begin"/>
        </w:r>
        <w:r>
          <w:instrText xml:space="preserve"> PAGE   \* MERGEFORMAT </w:instrText>
        </w:r>
        <w:r>
          <w:fldChar w:fldCharType="separate"/>
        </w:r>
        <w:r w:rsidR="002E062C">
          <w:rPr>
            <w:noProof/>
          </w:rPr>
          <w:t>184</w:t>
        </w:r>
        <w:r>
          <w:rPr>
            <w:noProof/>
          </w:rPr>
          <w:fldChar w:fldCharType="end"/>
        </w:r>
        <w:r>
          <w:tab/>
        </w:r>
        <w:r w:rsidRPr="0087637D">
          <w:rPr>
            <w:bCs/>
            <w:iCs/>
          </w:rPr>
          <w:t>Adherence to Antipsychotic Medications for Individuals With Schizophrenia</w:t>
        </w:r>
      </w:p>
    </w:sdtContent>
  </w:sdt>
</w:hdr>
</file>

<file path=word/header4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6209534"/>
      <w:docPartObj>
        <w:docPartGallery w:val="Page Numbers (Top of Page)"/>
        <w:docPartUnique/>
      </w:docPartObj>
    </w:sdtPr>
    <w:sdtEndPr/>
    <w:sdtContent>
      <w:p w14:paraId="1A22B7F2" w14:textId="77777777" w:rsidR="00F63BDD" w:rsidRPr="00901C50" w:rsidRDefault="00F63BDD" w:rsidP="00F578E0">
        <w:pPr>
          <w:pStyle w:val="Header"/>
        </w:pPr>
        <w:r>
          <w:tab/>
        </w:r>
        <w:r>
          <w:rPr>
            <w:bCs/>
          </w:rPr>
          <w:t>Adherence to Antipsychotic Medications for Individuals With Schizophrenia</w:t>
        </w:r>
        <w:r>
          <w:tab/>
        </w:r>
        <w:r>
          <w:fldChar w:fldCharType="begin"/>
        </w:r>
        <w:r>
          <w:instrText xml:space="preserve"> PAGE   \* MERGEFORMAT </w:instrText>
        </w:r>
        <w:r>
          <w:fldChar w:fldCharType="separate"/>
        </w:r>
        <w:r w:rsidR="002E062C">
          <w:rPr>
            <w:noProof/>
          </w:rPr>
          <w:t>185</w:t>
        </w:r>
        <w:r>
          <w:rPr>
            <w:noProof/>
          </w:rPr>
          <w:fldChar w:fldCharType="end"/>
        </w:r>
      </w:p>
    </w:sdtContent>
  </w:sdt>
</w:hdr>
</file>

<file path=word/header4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2271760"/>
      <w:docPartObj>
        <w:docPartGallery w:val="Page Numbers (Top of Page)"/>
        <w:docPartUnique/>
      </w:docPartObj>
    </w:sdtPr>
    <w:sdtEndPr/>
    <w:sdtContent>
      <w:p w14:paraId="37307D43" w14:textId="77777777" w:rsidR="00F63BDD" w:rsidRPr="00C80CDB" w:rsidRDefault="00F63BDD" w:rsidP="00F578E0">
        <w:pPr>
          <w:pStyle w:val="Header"/>
          <w:ind w:left="720" w:hanging="720"/>
        </w:pPr>
        <w:r>
          <w:fldChar w:fldCharType="begin"/>
        </w:r>
        <w:r>
          <w:instrText xml:space="preserve"> PAGE   \* MERGEFORMAT </w:instrText>
        </w:r>
        <w:r>
          <w:fldChar w:fldCharType="separate"/>
        </w:r>
        <w:r w:rsidR="002E062C">
          <w:rPr>
            <w:noProof/>
          </w:rPr>
          <w:t>186</w:t>
        </w:r>
        <w:r>
          <w:rPr>
            <w:noProof/>
          </w:rPr>
          <w:fldChar w:fldCharType="end"/>
        </w:r>
        <w:r>
          <w:tab/>
        </w:r>
        <w:r w:rsidRPr="00045F21">
          <w:rPr>
            <w:bCs/>
            <w:iCs/>
          </w:rPr>
          <w:t>Metabolic Monitoring for Children and Adolescents on Antipsychotics</w:t>
        </w:r>
      </w:p>
    </w:sdtContent>
  </w:sdt>
</w:hdr>
</file>

<file path=word/header4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926828"/>
      <w:docPartObj>
        <w:docPartGallery w:val="Page Numbers (Top of Page)"/>
        <w:docPartUnique/>
      </w:docPartObj>
    </w:sdtPr>
    <w:sdtEndPr>
      <w:rPr>
        <w:noProof/>
      </w:rPr>
    </w:sdtEndPr>
    <w:sdtContent>
      <w:p w14:paraId="3D5286FA" w14:textId="77777777" w:rsidR="00F63BDD" w:rsidRDefault="00F63BDD" w:rsidP="00F578E0">
        <w:pPr>
          <w:pStyle w:val="Header"/>
          <w:jc w:val="right"/>
        </w:pPr>
        <w:r>
          <w:tab/>
        </w:r>
        <w:r w:rsidRPr="000A4DF9">
          <w:t xml:space="preserve">Metabolic Monitoring for Children and Adolescents on Antipsychotics </w:t>
        </w:r>
        <w:r>
          <w:tab/>
        </w:r>
        <w:r>
          <w:fldChar w:fldCharType="begin"/>
        </w:r>
        <w:r>
          <w:instrText xml:space="preserve"> PAGE   \* MERGEFORMAT </w:instrText>
        </w:r>
        <w:r>
          <w:fldChar w:fldCharType="separate"/>
        </w:r>
        <w:r w:rsidR="002E062C">
          <w:rPr>
            <w:noProof/>
          </w:rPr>
          <w:t>187</w:t>
        </w:r>
        <w:r>
          <w:rPr>
            <w:noProof/>
          </w:rPr>
          <w:fldChar w:fldCharType="end"/>
        </w:r>
      </w:p>
    </w:sdtContent>
  </w:sdt>
</w:hdr>
</file>

<file path=word/header4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F0AAF" w14:textId="77777777" w:rsidR="00F63BDD" w:rsidRDefault="00F63BDD">
    <w:pPr>
      <w:pStyle w:val="Header"/>
      <w:tabs>
        <w:tab w:val="left" w:pos="720"/>
      </w:tabs>
    </w:pPr>
    <w:r>
      <w:rPr>
        <w:rStyle w:val="PageNumber"/>
      </w:rPr>
      <w:fldChar w:fldCharType="begin"/>
    </w:r>
    <w:r>
      <w:rPr>
        <w:rStyle w:val="PageNumber"/>
      </w:rPr>
      <w:instrText xml:space="preserve"> PAGE </w:instrText>
    </w:r>
    <w:r>
      <w:rPr>
        <w:rStyle w:val="PageNumber"/>
      </w:rPr>
      <w:fldChar w:fldCharType="separate"/>
    </w:r>
    <w:r w:rsidR="002E062C">
      <w:rPr>
        <w:rStyle w:val="PageNumber"/>
        <w:noProof/>
      </w:rPr>
      <w:t>188</w:t>
    </w:r>
    <w:r>
      <w:rPr>
        <w:rStyle w:val="PageNumber"/>
      </w:rPr>
      <w:fldChar w:fldCharType="end"/>
    </w:r>
    <w:r>
      <w:t xml:space="preserve"> </w:t>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13C8E" w14:textId="77777777" w:rsidR="00F63BDD" w:rsidRDefault="00F63BDD" w:rsidP="00F578E0">
    <w:pPr>
      <w:pStyle w:val="Header"/>
      <w:tabs>
        <w:tab w:val="left" w:pos="720"/>
      </w:tabs>
    </w:pPr>
    <w:r>
      <w:fldChar w:fldCharType="begin"/>
    </w:r>
    <w:r>
      <w:instrText xml:space="preserve"> PAGE </w:instrText>
    </w:r>
    <w:r>
      <w:fldChar w:fldCharType="separate"/>
    </w:r>
    <w:r w:rsidR="002E062C">
      <w:rPr>
        <w:noProof/>
      </w:rPr>
      <w:t>144</w:t>
    </w:r>
    <w:r>
      <w:rPr>
        <w:noProof/>
      </w:rPr>
      <w:fldChar w:fldCharType="end"/>
    </w:r>
    <w:r>
      <w:tab/>
      <w:t>Comprehensive Diabetes Care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36BD6" w14:textId="77777777" w:rsidR="00F63BDD" w:rsidRDefault="00F63BDD">
    <w:pPr>
      <w:pStyle w:val="Header"/>
    </w:pPr>
    <w:r>
      <w:tab/>
      <w:t>Comprehensive Diabetes Care</w:t>
    </w:r>
    <w:r>
      <w:tab/>
    </w:r>
    <w:r>
      <w:rPr>
        <w:rStyle w:val="PageNumber"/>
      </w:rPr>
      <w:fldChar w:fldCharType="begin"/>
    </w:r>
    <w:r>
      <w:rPr>
        <w:rStyle w:val="PageNumber"/>
      </w:rPr>
      <w:instrText xml:space="preserve"> PAGE </w:instrText>
    </w:r>
    <w:r>
      <w:rPr>
        <w:rStyle w:val="PageNumber"/>
      </w:rPr>
      <w:fldChar w:fldCharType="separate"/>
    </w:r>
    <w:r w:rsidR="00621275">
      <w:rPr>
        <w:rStyle w:val="PageNumber"/>
        <w:noProof/>
      </w:rPr>
      <w:t>135</w:t>
    </w:r>
    <w:r>
      <w:rPr>
        <w:rStyle w:val="PageNumber"/>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710433" w14:textId="77777777" w:rsidR="00F63BDD" w:rsidRPr="00163884" w:rsidRDefault="00F63BDD" w:rsidP="00F578E0">
    <w:pPr>
      <w:pStyle w:val="Header"/>
    </w:pPr>
    <w:r w:rsidRPr="00163884">
      <w:tab/>
      <w:t>Comprehensive Diabetes Care</w:t>
    </w:r>
    <w:r w:rsidRPr="00163884">
      <w:tab/>
    </w:r>
    <w:r>
      <w:fldChar w:fldCharType="begin"/>
    </w:r>
    <w:r>
      <w:instrText xml:space="preserve"> PAGE </w:instrText>
    </w:r>
    <w:r>
      <w:fldChar w:fldCharType="separate"/>
    </w:r>
    <w:r w:rsidR="002E062C">
      <w:rPr>
        <w:noProof/>
      </w:rPr>
      <w:t>137</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E2E03" w14:textId="77777777" w:rsidR="00F63BDD" w:rsidRPr="00163884" w:rsidRDefault="00F63BDD" w:rsidP="00F578E0">
    <w:pPr>
      <w:pStyle w:val="Header"/>
    </w:pPr>
    <w:r w:rsidRPr="00163884">
      <w:tab/>
      <w:t>Comprehensive Diabetes Care</w:t>
    </w:r>
    <w:r w:rsidRPr="00163884">
      <w:tab/>
    </w:r>
    <w:r>
      <w:fldChar w:fldCharType="begin"/>
    </w:r>
    <w:r>
      <w:instrText xml:space="preserve"> PAGE </w:instrText>
    </w:r>
    <w:r>
      <w:fldChar w:fldCharType="separate"/>
    </w:r>
    <w:r w:rsidR="002E062C">
      <w:rPr>
        <w:noProof/>
      </w:rPr>
      <w:t>145</w:t>
    </w:r>
    <w:r>
      <w:rPr>
        <w:noProof/>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5587101"/>
      <w:docPartObj>
        <w:docPartGallery w:val="Page Numbers (Top of Page)"/>
        <w:docPartUnique/>
      </w:docPartObj>
    </w:sdtPr>
    <w:sdtEndPr>
      <w:rPr>
        <w:noProof/>
      </w:rPr>
    </w:sdtEndPr>
    <w:sdtContent>
      <w:p w14:paraId="32690C3B" w14:textId="41B47B2B" w:rsidR="00F63BDD" w:rsidRDefault="00F63BDD">
        <w:pPr>
          <w:pStyle w:val="Header"/>
        </w:pPr>
        <w:r>
          <w:fldChar w:fldCharType="begin"/>
        </w:r>
        <w:r>
          <w:instrText xml:space="preserve"> PAGE   \* MERGEFORMAT </w:instrText>
        </w:r>
        <w:r>
          <w:fldChar w:fldCharType="separate"/>
        </w:r>
        <w:r>
          <w:rPr>
            <w:noProof/>
          </w:rPr>
          <w:t>144</w:t>
        </w:r>
        <w:r>
          <w:rPr>
            <w:noProof/>
          </w:rPr>
          <w:fldChar w:fldCharType="end"/>
        </w:r>
      </w:p>
    </w:sdtContent>
  </w:sdt>
  <w:p w14:paraId="6E3220DA" w14:textId="77777777" w:rsidR="00F63BDD" w:rsidRDefault="00F63BDD" w:rsidP="003814D9">
    <w:pPr>
      <w:pStyle w:val="Header"/>
      <w:tabs>
        <w:tab w:val="left" w:pos="72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27485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55CD69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9C80E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F8278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EF0860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68433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0CEA4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2261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F6DE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64B7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933862"/>
    <w:multiLevelType w:val="hybridMultilevel"/>
    <w:tmpl w:val="2EB8D128"/>
    <w:lvl w:ilvl="0" w:tplc="4000BC2A">
      <w:start w:val="1"/>
      <w:numFmt w:val="bullet"/>
      <w:pStyle w:val="DocuBullet"/>
      <w:lvlText w:val=""/>
      <w:lvlJc w:val="left"/>
      <w:pPr>
        <w:ind w:left="778" w:hanging="360"/>
      </w:pPr>
      <w:rPr>
        <w:rFonts w:ascii="Symbol" w:hAnsi="Symbol" w:hint="default"/>
        <w:sz w:val="20"/>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11" w15:restartNumberingAfterBreak="0">
    <w:nsid w:val="0CA67732"/>
    <w:multiLevelType w:val="hybridMultilevel"/>
    <w:tmpl w:val="27A67448"/>
    <w:lvl w:ilvl="0" w:tplc="0409000F">
      <w:start w:val="1"/>
      <w:numFmt w:val="decimal"/>
      <w:lvlText w:val="%1."/>
      <w:lvlJc w:val="left"/>
      <w:pPr>
        <w:tabs>
          <w:tab w:val="num" w:pos="576"/>
        </w:tabs>
        <w:ind w:left="936" w:hanging="216"/>
      </w:pPr>
      <w:rPr>
        <w:rFonts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D052CB6"/>
    <w:multiLevelType w:val="hybridMultilevel"/>
    <w:tmpl w:val="1990E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1634E1"/>
    <w:multiLevelType w:val="hybridMultilevel"/>
    <w:tmpl w:val="A2D68078"/>
    <w:lvl w:ilvl="0" w:tplc="707CB0F4">
      <w:start w:val="1"/>
      <w:numFmt w:val="bullet"/>
      <w:pStyle w:val="Table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8163AC4"/>
    <w:multiLevelType w:val="hybridMultilevel"/>
    <w:tmpl w:val="415A83FA"/>
    <w:lvl w:ilvl="0" w:tplc="BFB07F1E">
      <w:start w:val="1"/>
      <w:numFmt w:val="bullet"/>
      <w:pStyle w:val="Dash"/>
      <w:lvlText w:val="–"/>
      <w:lvlJc w:val="left"/>
      <w:pPr>
        <w:tabs>
          <w:tab w:val="num" w:pos="792"/>
        </w:tabs>
        <w:ind w:left="79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B914FBF"/>
    <w:multiLevelType w:val="hybridMultilevel"/>
    <w:tmpl w:val="25628A82"/>
    <w:lvl w:ilvl="0" w:tplc="46CECBE2">
      <w:start w:val="1"/>
      <w:numFmt w:val="bullet"/>
      <w:pStyle w:val="ProcessDash"/>
      <w:lvlText w:val="–"/>
      <w:lvlJc w:val="left"/>
      <w:pPr>
        <w:tabs>
          <w:tab w:val="num" w:pos="432"/>
        </w:tabs>
        <w:ind w:left="432" w:hanging="216"/>
      </w:pPr>
      <w:rPr>
        <w:rFonts w:ascii="Arial" w:hAnsi="Aria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2034AF"/>
    <w:multiLevelType w:val="hybridMultilevel"/>
    <w:tmpl w:val="C77EA10A"/>
    <w:lvl w:ilvl="0" w:tplc="0409000F">
      <w:start w:val="1"/>
      <w:numFmt w:val="decimal"/>
      <w:lvlText w:val="%1."/>
      <w:lvlJc w:val="left"/>
      <w:pPr>
        <w:tabs>
          <w:tab w:val="num" w:pos="576"/>
        </w:tabs>
        <w:ind w:left="936" w:hanging="216"/>
      </w:pPr>
      <w:rPr>
        <w:rFonts w:hint="default"/>
        <w:sz w:val="20"/>
        <w:szCs w:val="20"/>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294211C7"/>
    <w:multiLevelType w:val="hybridMultilevel"/>
    <w:tmpl w:val="40764108"/>
    <w:lvl w:ilvl="0" w:tplc="0409000F">
      <w:start w:val="1"/>
      <w:numFmt w:val="decimal"/>
      <w:lvlText w:val="%1."/>
      <w:lvlJc w:val="left"/>
      <w:pPr>
        <w:tabs>
          <w:tab w:val="num" w:pos="792"/>
        </w:tabs>
        <w:ind w:left="792" w:hanging="216"/>
      </w:pPr>
      <w:rPr>
        <w:rFonts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0246A0"/>
    <w:multiLevelType w:val="hybridMultilevel"/>
    <w:tmpl w:val="CBFE6D46"/>
    <w:lvl w:ilvl="0" w:tplc="0409000F">
      <w:start w:val="1"/>
      <w:numFmt w:val="decimal"/>
      <w:lvlText w:val="%1."/>
      <w:lvlJc w:val="left"/>
      <w:pPr>
        <w:tabs>
          <w:tab w:val="num" w:pos="576"/>
        </w:tabs>
        <w:ind w:left="936" w:hanging="216"/>
      </w:pPr>
      <w:rPr>
        <w:rFonts w:hint="default"/>
        <w:sz w:val="20"/>
        <w:szCs w:val="20"/>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2C351E12"/>
    <w:multiLevelType w:val="hybridMultilevel"/>
    <w:tmpl w:val="AFC46A34"/>
    <w:lvl w:ilvl="0" w:tplc="9DA44C80">
      <w:start w:val="1"/>
      <w:numFmt w:val="bullet"/>
      <w:pStyle w:val="Margin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D414CB3"/>
    <w:multiLevelType w:val="hybridMultilevel"/>
    <w:tmpl w:val="852082E4"/>
    <w:lvl w:ilvl="0" w:tplc="0409000F">
      <w:start w:val="1"/>
      <w:numFmt w:val="decimal"/>
      <w:lvlText w:val="%1."/>
      <w:lvlJc w:val="left"/>
      <w:pPr>
        <w:tabs>
          <w:tab w:val="num" w:pos="576"/>
        </w:tabs>
        <w:ind w:left="936" w:hanging="216"/>
      </w:pPr>
      <w:rPr>
        <w:rFonts w:hint="default"/>
        <w:sz w:val="20"/>
        <w:szCs w:val="20"/>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34A83FBC"/>
    <w:multiLevelType w:val="hybridMultilevel"/>
    <w:tmpl w:val="8C96FF84"/>
    <w:lvl w:ilvl="0" w:tplc="0409000F">
      <w:start w:val="1"/>
      <w:numFmt w:val="decimal"/>
      <w:lvlText w:val="%1."/>
      <w:lvlJc w:val="left"/>
      <w:pPr>
        <w:tabs>
          <w:tab w:val="num" w:pos="576"/>
        </w:tabs>
        <w:ind w:left="936" w:hanging="216"/>
      </w:pPr>
      <w:rPr>
        <w:rFonts w:hint="default"/>
        <w:sz w:val="20"/>
        <w:szCs w:val="20"/>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6C736FD"/>
    <w:multiLevelType w:val="hybridMultilevel"/>
    <w:tmpl w:val="AB321962"/>
    <w:lvl w:ilvl="0" w:tplc="04090005">
      <w:start w:val="1"/>
      <w:numFmt w:val="bullet"/>
      <w:lvlText w:val=""/>
      <w:lvlJc w:val="left"/>
      <w:pPr>
        <w:tabs>
          <w:tab w:val="num" w:pos="576"/>
        </w:tabs>
        <w:ind w:left="936" w:hanging="216"/>
      </w:pPr>
      <w:rPr>
        <w:rFonts w:ascii="Wingdings" w:hAnsi="Wingdings"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37601FBC"/>
    <w:multiLevelType w:val="hybridMultilevel"/>
    <w:tmpl w:val="3FAE49A6"/>
    <w:lvl w:ilvl="0" w:tplc="04090005">
      <w:start w:val="1"/>
      <w:numFmt w:val="bullet"/>
      <w:lvlText w:val=""/>
      <w:lvlJc w:val="left"/>
      <w:pPr>
        <w:tabs>
          <w:tab w:val="num" w:pos="576"/>
        </w:tabs>
        <w:ind w:left="936" w:hanging="216"/>
      </w:pPr>
      <w:rPr>
        <w:rFonts w:ascii="Wingdings" w:hAnsi="Wingdings"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3B346E40"/>
    <w:multiLevelType w:val="hybridMultilevel"/>
    <w:tmpl w:val="43F46B7A"/>
    <w:lvl w:ilvl="0" w:tplc="1C96E838">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C45453"/>
    <w:multiLevelType w:val="singleLevel"/>
    <w:tmpl w:val="1D1AF1D8"/>
    <w:lvl w:ilvl="0">
      <w:start w:val="1"/>
      <w:numFmt w:val="bullet"/>
      <w:pStyle w:val="Bullet2"/>
      <w:lvlText w:val=""/>
      <w:lvlJc w:val="left"/>
      <w:pPr>
        <w:tabs>
          <w:tab w:val="num" w:pos="360"/>
        </w:tabs>
        <w:ind w:left="360" w:hanging="360"/>
      </w:pPr>
      <w:rPr>
        <w:rFonts w:ascii="Symbol" w:hAnsi="Symbol" w:hint="default"/>
      </w:rPr>
    </w:lvl>
  </w:abstractNum>
  <w:abstractNum w:abstractNumId="26" w15:restartNumberingAfterBreak="0">
    <w:nsid w:val="4182518C"/>
    <w:multiLevelType w:val="hybridMultilevel"/>
    <w:tmpl w:val="41001998"/>
    <w:lvl w:ilvl="0" w:tplc="0409000F">
      <w:start w:val="1"/>
      <w:numFmt w:val="decimal"/>
      <w:lvlText w:val="%1."/>
      <w:lvlJc w:val="left"/>
      <w:pPr>
        <w:tabs>
          <w:tab w:val="num" w:pos="792"/>
        </w:tabs>
        <w:ind w:left="792" w:hanging="216"/>
      </w:pPr>
      <w:rPr>
        <w:rFonts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1A76474"/>
    <w:multiLevelType w:val="hybridMultilevel"/>
    <w:tmpl w:val="F5FC76BA"/>
    <w:lvl w:ilvl="0" w:tplc="84C4D046">
      <w:start w:val="1"/>
      <w:numFmt w:val="bullet"/>
      <w:lvlText w:val=""/>
      <w:lvlJc w:val="left"/>
      <w:pPr>
        <w:tabs>
          <w:tab w:val="num" w:pos="576"/>
        </w:tabs>
        <w:ind w:left="936" w:hanging="216"/>
      </w:pPr>
      <w:rPr>
        <w:rFonts w:ascii="Symbol" w:hAnsi="Symbol" w:hint="default"/>
        <w:sz w:val="20"/>
        <w:szCs w:val="20"/>
      </w:rPr>
    </w:lvl>
    <w:lvl w:ilvl="1" w:tplc="04090005">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41BA4BF3"/>
    <w:multiLevelType w:val="hybridMultilevel"/>
    <w:tmpl w:val="02609B32"/>
    <w:lvl w:ilvl="0" w:tplc="0409000F">
      <w:start w:val="1"/>
      <w:numFmt w:val="decimal"/>
      <w:lvlText w:val="%1."/>
      <w:lvlJc w:val="left"/>
      <w:pPr>
        <w:tabs>
          <w:tab w:val="num" w:pos="792"/>
        </w:tabs>
        <w:ind w:left="792" w:hanging="216"/>
      </w:pPr>
      <w:rPr>
        <w:rFonts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5477BB2"/>
    <w:multiLevelType w:val="hybridMultilevel"/>
    <w:tmpl w:val="7DB05C92"/>
    <w:lvl w:ilvl="0" w:tplc="04090005">
      <w:start w:val="1"/>
      <w:numFmt w:val="bullet"/>
      <w:lvlText w:val=""/>
      <w:lvlJc w:val="left"/>
      <w:pPr>
        <w:tabs>
          <w:tab w:val="num" w:pos="576"/>
        </w:tabs>
        <w:ind w:left="936" w:hanging="216"/>
      </w:pPr>
      <w:rPr>
        <w:rFonts w:ascii="Wingdings" w:hAnsi="Wingdings"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466C709B"/>
    <w:multiLevelType w:val="hybridMultilevel"/>
    <w:tmpl w:val="51164F52"/>
    <w:lvl w:ilvl="0" w:tplc="D6E259D4">
      <w:start w:val="1"/>
      <w:numFmt w:val="bullet"/>
      <w:pStyle w:val="ProcessBullet"/>
      <w:lvlText w:val=""/>
      <w:lvlJc w:val="left"/>
      <w:pPr>
        <w:tabs>
          <w:tab w:val="num" w:pos="216"/>
        </w:tabs>
        <w:ind w:left="21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74260CC"/>
    <w:multiLevelType w:val="hybridMultilevel"/>
    <w:tmpl w:val="8D46489A"/>
    <w:lvl w:ilvl="0" w:tplc="BB68F55C">
      <w:start w:val="1"/>
      <w:numFmt w:val="bullet"/>
      <w:pStyle w:val="MarginDash"/>
      <w:lvlText w:val="–"/>
      <w:lvlJc w:val="left"/>
      <w:pPr>
        <w:tabs>
          <w:tab w:val="num" w:pos="0"/>
        </w:tabs>
        <w:ind w:left="317" w:hanging="159"/>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FAC4955"/>
    <w:multiLevelType w:val="hybridMultilevel"/>
    <w:tmpl w:val="2CC042B2"/>
    <w:lvl w:ilvl="0" w:tplc="2168F9A4">
      <w:start w:val="1"/>
      <w:numFmt w:val="decimal"/>
      <w:lvlText w:val="%1."/>
      <w:lvlJc w:val="left"/>
      <w:pPr>
        <w:tabs>
          <w:tab w:val="num" w:pos="576"/>
        </w:tabs>
        <w:ind w:left="936" w:hanging="216"/>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1DF17B8"/>
    <w:multiLevelType w:val="hybridMultilevel"/>
    <w:tmpl w:val="FBC2D5FE"/>
    <w:lvl w:ilvl="0" w:tplc="966651C2">
      <w:start w:val="1"/>
      <w:numFmt w:val="bullet"/>
      <w:pStyle w:val="marginbullet0"/>
      <w:lvlText w:val=""/>
      <w:lvlJc w:val="left"/>
      <w:pPr>
        <w:ind w:left="418" w:hanging="360"/>
      </w:pPr>
      <w:rPr>
        <w:rFonts w:ascii="Symbol" w:hAnsi="Symbol" w:hint="default"/>
        <w:sz w:val="20"/>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34" w15:restartNumberingAfterBreak="0">
    <w:nsid w:val="55B36E43"/>
    <w:multiLevelType w:val="hybridMultilevel"/>
    <w:tmpl w:val="BBE6FC5E"/>
    <w:lvl w:ilvl="0" w:tplc="0409000F">
      <w:start w:val="1"/>
      <w:numFmt w:val="decimal"/>
      <w:lvlText w:val="%1."/>
      <w:lvlJc w:val="left"/>
      <w:pPr>
        <w:tabs>
          <w:tab w:val="num" w:pos="792"/>
        </w:tabs>
        <w:ind w:left="792" w:hanging="216"/>
      </w:pPr>
      <w:rPr>
        <w:rFonts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A32050A"/>
    <w:multiLevelType w:val="hybridMultilevel"/>
    <w:tmpl w:val="136EBDBA"/>
    <w:lvl w:ilvl="0" w:tplc="84C4D046">
      <w:start w:val="1"/>
      <w:numFmt w:val="bullet"/>
      <w:pStyle w:val="Bullet"/>
      <w:lvlText w:val=""/>
      <w:lvlJc w:val="left"/>
      <w:pPr>
        <w:tabs>
          <w:tab w:val="num" w:pos="576"/>
        </w:tabs>
        <w:ind w:left="936" w:hanging="216"/>
      </w:pPr>
      <w:rPr>
        <w:rFonts w:ascii="Symbol" w:hAnsi="Symbol"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008535F"/>
    <w:multiLevelType w:val="hybridMultilevel"/>
    <w:tmpl w:val="50A0855E"/>
    <w:lvl w:ilvl="0" w:tplc="66F2BEDE">
      <w:start w:val="1"/>
      <w:numFmt w:val="decimal"/>
      <w:lvlText w:val="%1."/>
      <w:lvlJc w:val="left"/>
      <w:pPr>
        <w:tabs>
          <w:tab w:val="num" w:pos="576"/>
        </w:tabs>
        <w:ind w:left="936" w:hanging="216"/>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921B29"/>
    <w:multiLevelType w:val="hybridMultilevel"/>
    <w:tmpl w:val="548841C4"/>
    <w:lvl w:ilvl="0" w:tplc="04090005">
      <w:start w:val="1"/>
      <w:numFmt w:val="bullet"/>
      <w:lvlText w:val=""/>
      <w:lvlJc w:val="left"/>
      <w:pPr>
        <w:tabs>
          <w:tab w:val="num" w:pos="576"/>
        </w:tabs>
        <w:ind w:left="936" w:hanging="216"/>
      </w:pPr>
      <w:rPr>
        <w:rFonts w:ascii="Wingdings" w:hAnsi="Wingdings" w:hint="default"/>
        <w:sz w:val="20"/>
        <w:szCs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63946E49"/>
    <w:multiLevelType w:val="hybridMultilevel"/>
    <w:tmpl w:val="6DCEDFA6"/>
    <w:lvl w:ilvl="0" w:tplc="227EB83E">
      <w:start w:val="1"/>
      <w:numFmt w:val="bullet"/>
      <w:pStyle w:val="Table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76592B"/>
    <w:multiLevelType w:val="hybridMultilevel"/>
    <w:tmpl w:val="20DCFFB2"/>
    <w:lvl w:ilvl="0" w:tplc="6B52AC34">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096051"/>
    <w:multiLevelType w:val="hybridMultilevel"/>
    <w:tmpl w:val="A122FFA4"/>
    <w:lvl w:ilvl="0" w:tplc="0409000F">
      <w:start w:val="1"/>
      <w:numFmt w:val="decimal"/>
      <w:lvlText w:val="%1."/>
      <w:lvlJc w:val="left"/>
      <w:pPr>
        <w:tabs>
          <w:tab w:val="num" w:pos="792"/>
        </w:tabs>
        <w:ind w:left="792" w:hanging="216"/>
      </w:pPr>
      <w:rPr>
        <w:rFonts w:hint="default"/>
        <w:sz w:val="20"/>
        <w:szCs w:val="20"/>
      </w:rPr>
    </w:lvl>
    <w:lvl w:ilvl="1" w:tplc="04090001">
      <w:start w:val="1"/>
      <w:numFmt w:val="bullet"/>
      <w:lvlText w:val=""/>
      <w:lvlJc w:val="left"/>
      <w:pPr>
        <w:tabs>
          <w:tab w:val="num" w:pos="1440"/>
        </w:tabs>
        <w:ind w:left="1440" w:hanging="360"/>
      </w:pPr>
      <w:rPr>
        <w:rFonts w:ascii="Symbol" w:hAnsi="Symbol" w:hint="default"/>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0F528B1"/>
    <w:multiLevelType w:val="hybridMultilevel"/>
    <w:tmpl w:val="71067A7E"/>
    <w:lvl w:ilvl="0" w:tplc="A9FA5B50">
      <w:start w:val="1"/>
      <w:numFmt w:val="bullet"/>
      <w:lvlText w:val=""/>
      <w:lvlJc w:val="left"/>
      <w:pPr>
        <w:ind w:left="360" w:hanging="360"/>
      </w:pPr>
      <w:rPr>
        <w:rFonts w:ascii="Symbol" w:hAnsi="Symbol" w:hint="default"/>
        <w:caps w:val="0"/>
        <w:strike w:val="0"/>
        <w:dstrike w:val="0"/>
        <w:vanish w:val="0"/>
        <w:spacing w:val="0"/>
        <w:w w:val="100"/>
        <w:sz w:val="20"/>
        <w:szCs w:val="21"/>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866AE7"/>
    <w:multiLevelType w:val="hybridMultilevel"/>
    <w:tmpl w:val="BD724074"/>
    <w:lvl w:ilvl="0" w:tplc="CEC2A072">
      <w:start w:val="1"/>
      <w:numFmt w:val="decimal"/>
      <w:lvlText w:val="%1."/>
      <w:lvlJc w:val="left"/>
      <w:pPr>
        <w:tabs>
          <w:tab w:val="num" w:pos="576"/>
        </w:tabs>
        <w:ind w:left="936" w:hanging="216"/>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3B63E7"/>
    <w:multiLevelType w:val="hybridMultilevel"/>
    <w:tmpl w:val="A21A2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277585"/>
    <w:multiLevelType w:val="hybridMultilevel"/>
    <w:tmpl w:val="75AA714E"/>
    <w:lvl w:ilvl="0" w:tplc="0409000F">
      <w:start w:val="1"/>
      <w:numFmt w:val="decimal"/>
      <w:lvlText w:val="%1."/>
      <w:lvlJc w:val="left"/>
      <w:pPr>
        <w:tabs>
          <w:tab w:val="num" w:pos="576"/>
        </w:tabs>
        <w:ind w:left="936" w:hanging="216"/>
      </w:pPr>
      <w:rPr>
        <w:rFonts w:hint="default"/>
        <w:sz w:val="20"/>
        <w:szCs w:val="20"/>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8162B61"/>
    <w:multiLevelType w:val="hybridMultilevel"/>
    <w:tmpl w:val="D3D07836"/>
    <w:lvl w:ilvl="0" w:tplc="A15E0C30">
      <w:start w:val="1"/>
      <w:numFmt w:val="bullet"/>
      <w:pStyle w:val="Bullet3"/>
      <w:lvlText w:val=""/>
      <w:lvlJc w:val="left"/>
      <w:pPr>
        <w:tabs>
          <w:tab w:val="num" w:pos="360"/>
        </w:tabs>
        <w:ind w:left="576" w:firstLine="144"/>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B622B75"/>
    <w:multiLevelType w:val="hybridMultilevel"/>
    <w:tmpl w:val="AC8AC2E0"/>
    <w:lvl w:ilvl="0" w:tplc="0409000F">
      <w:start w:val="1"/>
      <w:numFmt w:val="decimal"/>
      <w:lvlText w:val="%1."/>
      <w:lvlJc w:val="left"/>
      <w:pPr>
        <w:tabs>
          <w:tab w:val="num" w:pos="576"/>
        </w:tabs>
        <w:ind w:left="936" w:hanging="216"/>
      </w:pPr>
      <w:rPr>
        <w:rFonts w:hint="default"/>
        <w:sz w:val="20"/>
        <w:szCs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7" w15:restartNumberingAfterBreak="0">
    <w:nsid w:val="7B7B6517"/>
    <w:multiLevelType w:val="hybridMultilevel"/>
    <w:tmpl w:val="C144F888"/>
    <w:lvl w:ilvl="0" w:tplc="0409000F">
      <w:start w:val="1"/>
      <w:numFmt w:val="decimal"/>
      <w:lvlText w:val="%1."/>
      <w:lvlJc w:val="left"/>
      <w:pPr>
        <w:tabs>
          <w:tab w:val="num" w:pos="576"/>
        </w:tabs>
        <w:ind w:left="936" w:hanging="216"/>
      </w:pPr>
      <w:rPr>
        <w:rFonts w:hint="default"/>
        <w:sz w:val="20"/>
        <w:szCs w:val="20"/>
      </w:rPr>
    </w:lvl>
    <w:lvl w:ilvl="1" w:tplc="0409000F">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8" w15:restartNumberingAfterBreak="0">
    <w:nsid w:val="7EE27812"/>
    <w:multiLevelType w:val="singleLevel"/>
    <w:tmpl w:val="4E9C22FE"/>
    <w:lvl w:ilvl="0">
      <w:start w:val="1"/>
      <w:numFmt w:val="bullet"/>
      <w:pStyle w:val="BulletedText"/>
      <w:lvlText w:val=""/>
      <w:lvlJc w:val="left"/>
      <w:pPr>
        <w:tabs>
          <w:tab w:val="num" w:pos="360"/>
        </w:tabs>
        <w:ind w:left="360" w:hanging="360"/>
      </w:pPr>
      <w:rPr>
        <w:rFonts w:ascii="Symbol" w:hAnsi="Symbol" w:hint="default"/>
      </w:rPr>
    </w:lvl>
  </w:abstractNum>
  <w:num w:numId="1">
    <w:abstractNumId w:val="35"/>
  </w:num>
  <w:num w:numId="2">
    <w:abstractNumId w:val="14"/>
  </w:num>
  <w:num w:numId="3">
    <w:abstractNumId w:val="13"/>
  </w:num>
  <w:num w:numId="4">
    <w:abstractNumId w:val="30"/>
  </w:num>
  <w:num w:numId="5">
    <w:abstractNumId w:val="15"/>
  </w:num>
  <w:num w:numId="6">
    <w:abstractNumId w:val="25"/>
  </w:num>
  <w:num w:numId="7">
    <w:abstractNumId w:val="48"/>
  </w:num>
  <w:num w:numId="8">
    <w:abstractNumId w:val="31"/>
  </w:num>
  <w:num w:numId="9">
    <w:abstractNumId w:val="45"/>
  </w:num>
  <w:num w:numId="10">
    <w:abstractNumId w:val="19"/>
  </w:num>
  <w:num w:numId="11">
    <w:abstractNumId w:val="10"/>
  </w:num>
  <w:num w:numId="12">
    <w:abstractNumId w:val="33"/>
  </w:num>
  <w:num w:numId="13">
    <w:abstractNumId w:val="27"/>
  </w:num>
  <w:num w:numId="14">
    <w:abstractNumId w:val="26"/>
  </w:num>
  <w:num w:numId="15">
    <w:abstractNumId w:val="34"/>
  </w:num>
  <w:num w:numId="16">
    <w:abstractNumId w:val="40"/>
  </w:num>
  <w:num w:numId="17">
    <w:abstractNumId w:val="17"/>
  </w:num>
  <w:num w:numId="18">
    <w:abstractNumId w:val="20"/>
  </w:num>
  <w:num w:numId="19">
    <w:abstractNumId w:val="47"/>
  </w:num>
  <w:num w:numId="20">
    <w:abstractNumId w:val="21"/>
  </w:num>
  <w:num w:numId="21">
    <w:abstractNumId w:val="44"/>
  </w:num>
  <w:num w:numId="22">
    <w:abstractNumId w:val="12"/>
  </w:num>
  <w:num w:numId="23">
    <w:abstractNumId w:val="39"/>
  </w:num>
  <w:num w:numId="24">
    <w:abstractNumId w:val="43"/>
  </w:num>
  <w:num w:numId="25">
    <w:abstractNumId w:val="18"/>
  </w:num>
  <w:num w:numId="26">
    <w:abstractNumId w:val="16"/>
  </w:num>
  <w:num w:numId="27">
    <w:abstractNumId w:val="42"/>
  </w:num>
  <w:num w:numId="28">
    <w:abstractNumId w:val="36"/>
  </w:num>
  <w:num w:numId="29">
    <w:abstractNumId w:val="32"/>
  </w:num>
  <w:num w:numId="30">
    <w:abstractNumId w:val="41"/>
  </w:num>
  <w:num w:numId="31">
    <w:abstractNumId w:val="28"/>
  </w:num>
  <w:num w:numId="32">
    <w:abstractNumId w:val="46"/>
  </w:num>
  <w:num w:numId="33">
    <w:abstractNumId w:val="11"/>
  </w:num>
  <w:num w:numId="34">
    <w:abstractNumId w:val="24"/>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 w:numId="45">
    <w:abstractNumId w:val="38"/>
  </w:num>
  <w:num w:numId="46">
    <w:abstractNumId w:val="29"/>
  </w:num>
  <w:num w:numId="47">
    <w:abstractNumId w:val="37"/>
  </w:num>
  <w:num w:numId="48">
    <w:abstractNumId w:val="22"/>
  </w:num>
  <w:num w:numId="49">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120"/>
  <w:embedSystemFonts/>
  <w:mirrorMargins/>
  <w:activeWritingStyle w:appName="MSWord" w:lang="en-US" w:vendorID="64" w:dllVersion="131078" w:nlCheck="1" w:checkStyle="0"/>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evenAndOddHeaders/>
  <w:displayHorizontalDrawingGridEvery w:val="0"/>
  <w:displayVerticalDrawingGridEvery w:val="0"/>
  <w:doNotUseMarginsForDrawingGridOrigin/>
  <w:noPunctuationKerning/>
  <w:characterSpacingControl w:val="doNotCompress"/>
  <w:hdrShapeDefaults>
    <o:shapedefaults v:ext="edit" spidmax="9768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8AC"/>
    <w:rsid w:val="000002C0"/>
    <w:rsid w:val="000004DC"/>
    <w:rsid w:val="000009A6"/>
    <w:rsid w:val="00000AEF"/>
    <w:rsid w:val="0000193D"/>
    <w:rsid w:val="0000246F"/>
    <w:rsid w:val="00003401"/>
    <w:rsid w:val="000037D1"/>
    <w:rsid w:val="00006AB3"/>
    <w:rsid w:val="000071C3"/>
    <w:rsid w:val="00007907"/>
    <w:rsid w:val="00010491"/>
    <w:rsid w:val="00010721"/>
    <w:rsid w:val="00010C49"/>
    <w:rsid w:val="000111CA"/>
    <w:rsid w:val="00011985"/>
    <w:rsid w:val="00011D92"/>
    <w:rsid w:val="00013D68"/>
    <w:rsid w:val="000145B7"/>
    <w:rsid w:val="00015DCE"/>
    <w:rsid w:val="00016519"/>
    <w:rsid w:val="0001755F"/>
    <w:rsid w:val="00017DA9"/>
    <w:rsid w:val="00017DE6"/>
    <w:rsid w:val="00020125"/>
    <w:rsid w:val="00020833"/>
    <w:rsid w:val="00020EB6"/>
    <w:rsid w:val="00021920"/>
    <w:rsid w:val="000225B1"/>
    <w:rsid w:val="00022719"/>
    <w:rsid w:val="000229E0"/>
    <w:rsid w:val="000230CE"/>
    <w:rsid w:val="0002312B"/>
    <w:rsid w:val="00023C68"/>
    <w:rsid w:val="000240FB"/>
    <w:rsid w:val="00024510"/>
    <w:rsid w:val="0002493F"/>
    <w:rsid w:val="00024E75"/>
    <w:rsid w:val="000257A6"/>
    <w:rsid w:val="00025E03"/>
    <w:rsid w:val="00025FDA"/>
    <w:rsid w:val="000264C3"/>
    <w:rsid w:val="00026812"/>
    <w:rsid w:val="00026A37"/>
    <w:rsid w:val="00026DEC"/>
    <w:rsid w:val="0002700F"/>
    <w:rsid w:val="0002766E"/>
    <w:rsid w:val="00030468"/>
    <w:rsid w:val="00030720"/>
    <w:rsid w:val="00031075"/>
    <w:rsid w:val="00031624"/>
    <w:rsid w:val="00031FBB"/>
    <w:rsid w:val="00033210"/>
    <w:rsid w:val="00034067"/>
    <w:rsid w:val="000341ED"/>
    <w:rsid w:val="0003492B"/>
    <w:rsid w:val="000349AA"/>
    <w:rsid w:val="00035501"/>
    <w:rsid w:val="000355E0"/>
    <w:rsid w:val="00036B3A"/>
    <w:rsid w:val="0003723D"/>
    <w:rsid w:val="000376A2"/>
    <w:rsid w:val="0004035C"/>
    <w:rsid w:val="00040AC1"/>
    <w:rsid w:val="00040F9D"/>
    <w:rsid w:val="00040FB3"/>
    <w:rsid w:val="00041047"/>
    <w:rsid w:val="00041969"/>
    <w:rsid w:val="00041B2B"/>
    <w:rsid w:val="000429B0"/>
    <w:rsid w:val="0004324F"/>
    <w:rsid w:val="00043374"/>
    <w:rsid w:val="00043AEA"/>
    <w:rsid w:val="00043B24"/>
    <w:rsid w:val="00043E18"/>
    <w:rsid w:val="000440B5"/>
    <w:rsid w:val="00044BF8"/>
    <w:rsid w:val="00044DC2"/>
    <w:rsid w:val="00044E71"/>
    <w:rsid w:val="000454F8"/>
    <w:rsid w:val="00045953"/>
    <w:rsid w:val="00047AC1"/>
    <w:rsid w:val="00050100"/>
    <w:rsid w:val="00050617"/>
    <w:rsid w:val="00050D96"/>
    <w:rsid w:val="000515EB"/>
    <w:rsid w:val="0005204C"/>
    <w:rsid w:val="00052102"/>
    <w:rsid w:val="000522E0"/>
    <w:rsid w:val="000522E2"/>
    <w:rsid w:val="0005295A"/>
    <w:rsid w:val="000538DA"/>
    <w:rsid w:val="00054060"/>
    <w:rsid w:val="00054D31"/>
    <w:rsid w:val="00054DD6"/>
    <w:rsid w:val="00054F67"/>
    <w:rsid w:val="000552AF"/>
    <w:rsid w:val="00055408"/>
    <w:rsid w:val="00055F72"/>
    <w:rsid w:val="00056267"/>
    <w:rsid w:val="00056668"/>
    <w:rsid w:val="00056E53"/>
    <w:rsid w:val="00057A2A"/>
    <w:rsid w:val="00057B40"/>
    <w:rsid w:val="00057EB2"/>
    <w:rsid w:val="00057F8B"/>
    <w:rsid w:val="000600D8"/>
    <w:rsid w:val="00061640"/>
    <w:rsid w:val="00062F3F"/>
    <w:rsid w:val="00063242"/>
    <w:rsid w:val="0006370B"/>
    <w:rsid w:val="00064E47"/>
    <w:rsid w:val="00065309"/>
    <w:rsid w:val="00065833"/>
    <w:rsid w:val="00066168"/>
    <w:rsid w:val="00066651"/>
    <w:rsid w:val="00066673"/>
    <w:rsid w:val="00067E0E"/>
    <w:rsid w:val="000701A1"/>
    <w:rsid w:val="000705D6"/>
    <w:rsid w:val="0007064B"/>
    <w:rsid w:val="000711F0"/>
    <w:rsid w:val="00071DBC"/>
    <w:rsid w:val="00071FD5"/>
    <w:rsid w:val="0007422B"/>
    <w:rsid w:val="00074231"/>
    <w:rsid w:val="00074876"/>
    <w:rsid w:val="00074A36"/>
    <w:rsid w:val="00074BA8"/>
    <w:rsid w:val="00074F00"/>
    <w:rsid w:val="00074F23"/>
    <w:rsid w:val="00075081"/>
    <w:rsid w:val="000750A5"/>
    <w:rsid w:val="000756F2"/>
    <w:rsid w:val="00075F51"/>
    <w:rsid w:val="000765F6"/>
    <w:rsid w:val="00076685"/>
    <w:rsid w:val="0007753C"/>
    <w:rsid w:val="000775BC"/>
    <w:rsid w:val="000777CB"/>
    <w:rsid w:val="000779A9"/>
    <w:rsid w:val="00077C41"/>
    <w:rsid w:val="00077DB0"/>
    <w:rsid w:val="00081B91"/>
    <w:rsid w:val="00081D64"/>
    <w:rsid w:val="00081EA9"/>
    <w:rsid w:val="00081F45"/>
    <w:rsid w:val="00082F1E"/>
    <w:rsid w:val="00083782"/>
    <w:rsid w:val="000837CA"/>
    <w:rsid w:val="000841B7"/>
    <w:rsid w:val="00084358"/>
    <w:rsid w:val="0008448D"/>
    <w:rsid w:val="00084C8B"/>
    <w:rsid w:val="00084FE2"/>
    <w:rsid w:val="000852A4"/>
    <w:rsid w:val="000854CD"/>
    <w:rsid w:val="00085637"/>
    <w:rsid w:val="00086601"/>
    <w:rsid w:val="000868CE"/>
    <w:rsid w:val="00090B16"/>
    <w:rsid w:val="00090B92"/>
    <w:rsid w:val="00090CC6"/>
    <w:rsid w:val="00090E95"/>
    <w:rsid w:val="00091579"/>
    <w:rsid w:val="000919DF"/>
    <w:rsid w:val="00091AFE"/>
    <w:rsid w:val="00092178"/>
    <w:rsid w:val="00093CDA"/>
    <w:rsid w:val="0009440F"/>
    <w:rsid w:val="00094F4D"/>
    <w:rsid w:val="00095148"/>
    <w:rsid w:val="00095379"/>
    <w:rsid w:val="0009622D"/>
    <w:rsid w:val="000964E7"/>
    <w:rsid w:val="00097B3B"/>
    <w:rsid w:val="000A0D3F"/>
    <w:rsid w:val="000A142F"/>
    <w:rsid w:val="000A17E5"/>
    <w:rsid w:val="000A1AB9"/>
    <w:rsid w:val="000A2490"/>
    <w:rsid w:val="000A33C5"/>
    <w:rsid w:val="000A37C0"/>
    <w:rsid w:val="000A3C2E"/>
    <w:rsid w:val="000A4B96"/>
    <w:rsid w:val="000A4C70"/>
    <w:rsid w:val="000A4EA1"/>
    <w:rsid w:val="000A5C9F"/>
    <w:rsid w:val="000A5D15"/>
    <w:rsid w:val="000A6D3C"/>
    <w:rsid w:val="000A7838"/>
    <w:rsid w:val="000A7FCF"/>
    <w:rsid w:val="000B0050"/>
    <w:rsid w:val="000B0084"/>
    <w:rsid w:val="000B097C"/>
    <w:rsid w:val="000B0A66"/>
    <w:rsid w:val="000B0D0E"/>
    <w:rsid w:val="000B1BCC"/>
    <w:rsid w:val="000B2182"/>
    <w:rsid w:val="000B26AE"/>
    <w:rsid w:val="000B2804"/>
    <w:rsid w:val="000B2824"/>
    <w:rsid w:val="000B3D33"/>
    <w:rsid w:val="000B41CB"/>
    <w:rsid w:val="000B4F57"/>
    <w:rsid w:val="000B528B"/>
    <w:rsid w:val="000B529C"/>
    <w:rsid w:val="000B554F"/>
    <w:rsid w:val="000B57CC"/>
    <w:rsid w:val="000B58E7"/>
    <w:rsid w:val="000B5D4D"/>
    <w:rsid w:val="000B5EB4"/>
    <w:rsid w:val="000B685D"/>
    <w:rsid w:val="000B68AB"/>
    <w:rsid w:val="000B6A8D"/>
    <w:rsid w:val="000B74DF"/>
    <w:rsid w:val="000B7D65"/>
    <w:rsid w:val="000C03D1"/>
    <w:rsid w:val="000C0618"/>
    <w:rsid w:val="000C0AE7"/>
    <w:rsid w:val="000C0F86"/>
    <w:rsid w:val="000C1431"/>
    <w:rsid w:val="000C1E2E"/>
    <w:rsid w:val="000C2333"/>
    <w:rsid w:val="000C2A8B"/>
    <w:rsid w:val="000C2B83"/>
    <w:rsid w:val="000C30A7"/>
    <w:rsid w:val="000C33BF"/>
    <w:rsid w:val="000C39F5"/>
    <w:rsid w:val="000C3C9D"/>
    <w:rsid w:val="000C3D7F"/>
    <w:rsid w:val="000C3E6D"/>
    <w:rsid w:val="000C4B10"/>
    <w:rsid w:val="000C4EA6"/>
    <w:rsid w:val="000C5163"/>
    <w:rsid w:val="000C51B8"/>
    <w:rsid w:val="000C550F"/>
    <w:rsid w:val="000C62C7"/>
    <w:rsid w:val="000D0A0B"/>
    <w:rsid w:val="000D0B41"/>
    <w:rsid w:val="000D152D"/>
    <w:rsid w:val="000D25ED"/>
    <w:rsid w:val="000D270E"/>
    <w:rsid w:val="000D29EB"/>
    <w:rsid w:val="000D2AAF"/>
    <w:rsid w:val="000D2CF8"/>
    <w:rsid w:val="000D3212"/>
    <w:rsid w:val="000D3B0D"/>
    <w:rsid w:val="000D4226"/>
    <w:rsid w:val="000D4660"/>
    <w:rsid w:val="000D4B43"/>
    <w:rsid w:val="000D5780"/>
    <w:rsid w:val="000D5BF4"/>
    <w:rsid w:val="000D5F24"/>
    <w:rsid w:val="000D67E9"/>
    <w:rsid w:val="000D692F"/>
    <w:rsid w:val="000D74B9"/>
    <w:rsid w:val="000D74DC"/>
    <w:rsid w:val="000E1538"/>
    <w:rsid w:val="000E19AC"/>
    <w:rsid w:val="000E2327"/>
    <w:rsid w:val="000E2BB8"/>
    <w:rsid w:val="000E3784"/>
    <w:rsid w:val="000E5E16"/>
    <w:rsid w:val="000E68C6"/>
    <w:rsid w:val="000E7002"/>
    <w:rsid w:val="000E731B"/>
    <w:rsid w:val="000F0547"/>
    <w:rsid w:val="000F1989"/>
    <w:rsid w:val="000F1C38"/>
    <w:rsid w:val="000F2D22"/>
    <w:rsid w:val="000F38B9"/>
    <w:rsid w:val="000F39EE"/>
    <w:rsid w:val="000F49EE"/>
    <w:rsid w:val="000F4F1F"/>
    <w:rsid w:val="000F50A1"/>
    <w:rsid w:val="000F5148"/>
    <w:rsid w:val="000F621A"/>
    <w:rsid w:val="000F6CE8"/>
    <w:rsid w:val="00100EFD"/>
    <w:rsid w:val="00101F4E"/>
    <w:rsid w:val="00102245"/>
    <w:rsid w:val="0010335A"/>
    <w:rsid w:val="0010413A"/>
    <w:rsid w:val="00104A30"/>
    <w:rsid w:val="001052BF"/>
    <w:rsid w:val="0010572A"/>
    <w:rsid w:val="00105811"/>
    <w:rsid w:val="00105ABD"/>
    <w:rsid w:val="00105DB3"/>
    <w:rsid w:val="0010699C"/>
    <w:rsid w:val="001069E8"/>
    <w:rsid w:val="00107F95"/>
    <w:rsid w:val="0011077E"/>
    <w:rsid w:val="00110BAC"/>
    <w:rsid w:val="0011121C"/>
    <w:rsid w:val="0011210B"/>
    <w:rsid w:val="0011265F"/>
    <w:rsid w:val="001126FA"/>
    <w:rsid w:val="0011297E"/>
    <w:rsid w:val="001162A0"/>
    <w:rsid w:val="00116328"/>
    <w:rsid w:val="0011717E"/>
    <w:rsid w:val="00117AB7"/>
    <w:rsid w:val="00117CA3"/>
    <w:rsid w:val="00117DC9"/>
    <w:rsid w:val="00120B7B"/>
    <w:rsid w:val="00120C57"/>
    <w:rsid w:val="001213CB"/>
    <w:rsid w:val="001228D2"/>
    <w:rsid w:val="00123280"/>
    <w:rsid w:val="00123F4F"/>
    <w:rsid w:val="0012403D"/>
    <w:rsid w:val="00124897"/>
    <w:rsid w:val="00125739"/>
    <w:rsid w:val="001274D1"/>
    <w:rsid w:val="00127585"/>
    <w:rsid w:val="00127B2E"/>
    <w:rsid w:val="00127D58"/>
    <w:rsid w:val="001301B1"/>
    <w:rsid w:val="00131315"/>
    <w:rsid w:val="00132DF4"/>
    <w:rsid w:val="00132F0A"/>
    <w:rsid w:val="001331B5"/>
    <w:rsid w:val="001336C4"/>
    <w:rsid w:val="00133A03"/>
    <w:rsid w:val="00133B2B"/>
    <w:rsid w:val="00133BB6"/>
    <w:rsid w:val="0013402C"/>
    <w:rsid w:val="0013510F"/>
    <w:rsid w:val="001351C5"/>
    <w:rsid w:val="0013524C"/>
    <w:rsid w:val="001353AB"/>
    <w:rsid w:val="00135598"/>
    <w:rsid w:val="001368FC"/>
    <w:rsid w:val="0013714F"/>
    <w:rsid w:val="00137374"/>
    <w:rsid w:val="00137B69"/>
    <w:rsid w:val="00137C63"/>
    <w:rsid w:val="00140192"/>
    <w:rsid w:val="001414C7"/>
    <w:rsid w:val="00141559"/>
    <w:rsid w:val="0014159D"/>
    <w:rsid w:val="00141B45"/>
    <w:rsid w:val="001421F5"/>
    <w:rsid w:val="001438B8"/>
    <w:rsid w:val="00144A9C"/>
    <w:rsid w:val="00144C19"/>
    <w:rsid w:val="00144C22"/>
    <w:rsid w:val="00144DDB"/>
    <w:rsid w:val="00145821"/>
    <w:rsid w:val="00145975"/>
    <w:rsid w:val="0014598D"/>
    <w:rsid w:val="001462FA"/>
    <w:rsid w:val="0014675A"/>
    <w:rsid w:val="001469BA"/>
    <w:rsid w:val="00146DB3"/>
    <w:rsid w:val="0014735D"/>
    <w:rsid w:val="00150A77"/>
    <w:rsid w:val="00150EC5"/>
    <w:rsid w:val="0015286B"/>
    <w:rsid w:val="001528AD"/>
    <w:rsid w:val="00152979"/>
    <w:rsid w:val="001532CB"/>
    <w:rsid w:val="00153CF5"/>
    <w:rsid w:val="00153DBE"/>
    <w:rsid w:val="001547BC"/>
    <w:rsid w:val="001551CD"/>
    <w:rsid w:val="001553C3"/>
    <w:rsid w:val="00155BD2"/>
    <w:rsid w:val="0015722E"/>
    <w:rsid w:val="00157430"/>
    <w:rsid w:val="00157667"/>
    <w:rsid w:val="00160611"/>
    <w:rsid w:val="00161334"/>
    <w:rsid w:val="0016211B"/>
    <w:rsid w:val="001623ED"/>
    <w:rsid w:val="001632E6"/>
    <w:rsid w:val="00163469"/>
    <w:rsid w:val="001634DC"/>
    <w:rsid w:val="001637C2"/>
    <w:rsid w:val="00163FA3"/>
    <w:rsid w:val="00164548"/>
    <w:rsid w:val="001647C2"/>
    <w:rsid w:val="00164BCD"/>
    <w:rsid w:val="00166BE9"/>
    <w:rsid w:val="001670B2"/>
    <w:rsid w:val="0016711E"/>
    <w:rsid w:val="00167548"/>
    <w:rsid w:val="0017029C"/>
    <w:rsid w:val="0017095C"/>
    <w:rsid w:val="00171D75"/>
    <w:rsid w:val="00171F26"/>
    <w:rsid w:val="001729DA"/>
    <w:rsid w:val="00172E2B"/>
    <w:rsid w:val="00173BA5"/>
    <w:rsid w:val="00173C60"/>
    <w:rsid w:val="00174649"/>
    <w:rsid w:val="00175C13"/>
    <w:rsid w:val="00175FBA"/>
    <w:rsid w:val="001763AD"/>
    <w:rsid w:val="00176676"/>
    <w:rsid w:val="00176E50"/>
    <w:rsid w:val="0018012D"/>
    <w:rsid w:val="001802CD"/>
    <w:rsid w:val="00180316"/>
    <w:rsid w:val="001818EF"/>
    <w:rsid w:val="00181FCD"/>
    <w:rsid w:val="00182BD6"/>
    <w:rsid w:val="00182C22"/>
    <w:rsid w:val="0018300E"/>
    <w:rsid w:val="001832F0"/>
    <w:rsid w:val="001843FC"/>
    <w:rsid w:val="0018462F"/>
    <w:rsid w:val="001850D4"/>
    <w:rsid w:val="0018566F"/>
    <w:rsid w:val="001856EE"/>
    <w:rsid w:val="001857DE"/>
    <w:rsid w:val="00185B1E"/>
    <w:rsid w:val="00186418"/>
    <w:rsid w:val="00186B40"/>
    <w:rsid w:val="00186D82"/>
    <w:rsid w:val="00187F6D"/>
    <w:rsid w:val="0019005E"/>
    <w:rsid w:val="001902AE"/>
    <w:rsid w:val="00190454"/>
    <w:rsid w:val="0019088F"/>
    <w:rsid w:val="0019136B"/>
    <w:rsid w:val="00191602"/>
    <w:rsid w:val="00191E56"/>
    <w:rsid w:val="001926F6"/>
    <w:rsid w:val="00192B1C"/>
    <w:rsid w:val="00192DF3"/>
    <w:rsid w:val="00195E10"/>
    <w:rsid w:val="00196034"/>
    <w:rsid w:val="0019685E"/>
    <w:rsid w:val="00197091"/>
    <w:rsid w:val="001970C0"/>
    <w:rsid w:val="00197CAC"/>
    <w:rsid w:val="001A0801"/>
    <w:rsid w:val="001A08CF"/>
    <w:rsid w:val="001A0A65"/>
    <w:rsid w:val="001A287C"/>
    <w:rsid w:val="001A2A56"/>
    <w:rsid w:val="001A378D"/>
    <w:rsid w:val="001A4450"/>
    <w:rsid w:val="001A45B8"/>
    <w:rsid w:val="001A48F9"/>
    <w:rsid w:val="001A4D7E"/>
    <w:rsid w:val="001A53DE"/>
    <w:rsid w:val="001A6085"/>
    <w:rsid w:val="001A65F2"/>
    <w:rsid w:val="001A76BE"/>
    <w:rsid w:val="001A79C4"/>
    <w:rsid w:val="001A7D87"/>
    <w:rsid w:val="001A7D88"/>
    <w:rsid w:val="001B0AFC"/>
    <w:rsid w:val="001B1030"/>
    <w:rsid w:val="001B1684"/>
    <w:rsid w:val="001B1AC0"/>
    <w:rsid w:val="001B2A35"/>
    <w:rsid w:val="001B2C9E"/>
    <w:rsid w:val="001B2F56"/>
    <w:rsid w:val="001B2FCD"/>
    <w:rsid w:val="001B307D"/>
    <w:rsid w:val="001B3746"/>
    <w:rsid w:val="001B3796"/>
    <w:rsid w:val="001B37D4"/>
    <w:rsid w:val="001B3837"/>
    <w:rsid w:val="001B4625"/>
    <w:rsid w:val="001B4BD4"/>
    <w:rsid w:val="001B4FA9"/>
    <w:rsid w:val="001B5586"/>
    <w:rsid w:val="001B59B0"/>
    <w:rsid w:val="001B5BEA"/>
    <w:rsid w:val="001B5EBA"/>
    <w:rsid w:val="001B5F3F"/>
    <w:rsid w:val="001C0F12"/>
    <w:rsid w:val="001C131F"/>
    <w:rsid w:val="001C1DA9"/>
    <w:rsid w:val="001C24D3"/>
    <w:rsid w:val="001C2C46"/>
    <w:rsid w:val="001C2CA5"/>
    <w:rsid w:val="001C2E21"/>
    <w:rsid w:val="001C3801"/>
    <w:rsid w:val="001C49FD"/>
    <w:rsid w:val="001C4A5A"/>
    <w:rsid w:val="001C5205"/>
    <w:rsid w:val="001C545C"/>
    <w:rsid w:val="001C66E5"/>
    <w:rsid w:val="001C6A6B"/>
    <w:rsid w:val="001C6AA8"/>
    <w:rsid w:val="001C7301"/>
    <w:rsid w:val="001C7C90"/>
    <w:rsid w:val="001D0250"/>
    <w:rsid w:val="001D0812"/>
    <w:rsid w:val="001D0B2D"/>
    <w:rsid w:val="001D1117"/>
    <w:rsid w:val="001D1A06"/>
    <w:rsid w:val="001D1F86"/>
    <w:rsid w:val="001D268E"/>
    <w:rsid w:val="001D3166"/>
    <w:rsid w:val="001D3509"/>
    <w:rsid w:val="001D3C38"/>
    <w:rsid w:val="001D3DFD"/>
    <w:rsid w:val="001D3E38"/>
    <w:rsid w:val="001D4193"/>
    <w:rsid w:val="001D461E"/>
    <w:rsid w:val="001D5562"/>
    <w:rsid w:val="001D5EB7"/>
    <w:rsid w:val="001D6316"/>
    <w:rsid w:val="001D6DD4"/>
    <w:rsid w:val="001D78B4"/>
    <w:rsid w:val="001E1067"/>
    <w:rsid w:val="001E1398"/>
    <w:rsid w:val="001E1A07"/>
    <w:rsid w:val="001E2457"/>
    <w:rsid w:val="001E2538"/>
    <w:rsid w:val="001E27EA"/>
    <w:rsid w:val="001E285C"/>
    <w:rsid w:val="001E2A16"/>
    <w:rsid w:val="001E300F"/>
    <w:rsid w:val="001E5335"/>
    <w:rsid w:val="001E5B57"/>
    <w:rsid w:val="001E69E6"/>
    <w:rsid w:val="001E6C4D"/>
    <w:rsid w:val="001E739D"/>
    <w:rsid w:val="001E77A3"/>
    <w:rsid w:val="001E77D6"/>
    <w:rsid w:val="001E77EC"/>
    <w:rsid w:val="001F0260"/>
    <w:rsid w:val="001F093F"/>
    <w:rsid w:val="001F0A88"/>
    <w:rsid w:val="001F1649"/>
    <w:rsid w:val="001F1DD0"/>
    <w:rsid w:val="001F2A65"/>
    <w:rsid w:val="001F2ECF"/>
    <w:rsid w:val="001F3031"/>
    <w:rsid w:val="001F388F"/>
    <w:rsid w:val="001F4204"/>
    <w:rsid w:val="001F4921"/>
    <w:rsid w:val="001F4CC0"/>
    <w:rsid w:val="001F5BBD"/>
    <w:rsid w:val="001F6015"/>
    <w:rsid w:val="001F64F1"/>
    <w:rsid w:val="001F655F"/>
    <w:rsid w:val="001F7018"/>
    <w:rsid w:val="001F70B3"/>
    <w:rsid w:val="001F70B7"/>
    <w:rsid w:val="001F7202"/>
    <w:rsid w:val="001F740E"/>
    <w:rsid w:val="001F7A9E"/>
    <w:rsid w:val="00200CE7"/>
    <w:rsid w:val="00200FB6"/>
    <w:rsid w:val="00201B3B"/>
    <w:rsid w:val="00202CAE"/>
    <w:rsid w:val="00203F2B"/>
    <w:rsid w:val="00203F98"/>
    <w:rsid w:val="002044EC"/>
    <w:rsid w:val="00204C17"/>
    <w:rsid w:val="002055A1"/>
    <w:rsid w:val="0020582A"/>
    <w:rsid w:val="0020599C"/>
    <w:rsid w:val="00205A0B"/>
    <w:rsid w:val="002063F3"/>
    <w:rsid w:val="0020701F"/>
    <w:rsid w:val="002070EC"/>
    <w:rsid w:val="002070F6"/>
    <w:rsid w:val="002109D4"/>
    <w:rsid w:val="00210B4C"/>
    <w:rsid w:val="00211549"/>
    <w:rsid w:val="00211AC1"/>
    <w:rsid w:val="00211E7B"/>
    <w:rsid w:val="0021280C"/>
    <w:rsid w:val="00213E72"/>
    <w:rsid w:val="00213EB9"/>
    <w:rsid w:val="00214DD6"/>
    <w:rsid w:val="00214E88"/>
    <w:rsid w:val="00215819"/>
    <w:rsid w:val="0021657C"/>
    <w:rsid w:val="00216A58"/>
    <w:rsid w:val="00216B26"/>
    <w:rsid w:val="002170F2"/>
    <w:rsid w:val="00217CD7"/>
    <w:rsid w:val="00217E96"/>
    <w:rsid w:val="00220017"/>
    <w:rsid w:val="00220908"/>
    <w:rsid w:val="002211F4"/>
    <w:rsid w:val="002212E6"/>
    <w:rsid w:val="002214EE"/>
    <w:rsid w:val="002227A4"/>
    <w:rsid w:val="00222941"/>
    <w:rsid w:val="00222A9F"/>
    <w:rsid w:val="00222DEA"/>
    <w:rsid w:val="002235B0"/>
    <w:rsid w:val="00223B00"/>
    <w:rsid w:val="0022457E"/>
    <w:rsid w:val="002250A1"/>
    <w:rsid w:val="0022566A"/>
    <w:rsid w:val="002261F4"/>
    <w:rsid w:val="0022659A"/>
    <w:rsid w:val="00226A54"/>
    <w:rsid w:val="0022717E"/>
    <w:rsid w:val="0022723E"/>
    <w:rsid w:val="002272D6"/>
    <w:rsid w:val="002279B7"/>
    <w:rsid w:val="00227F31"/>
    <w:rsid w:val="002300AB"/>
    <w:rsid w:val="00230843"/>
    <w:rsid w:val="00231275"/>
    <w:rsid w:val="0023174B"/>
    <w:rsid w:val="00231D7B"/>
    <w:rsid w:val="00231DA4"/>
    <w:rsid w:val="00231DB2"/>
    <w:rsid w:val="00232457"/>
    <w:rsid w:val="00232731"/>
    <w:rsid w:val="00232C2B"/>
    <w:rsid w:val="00232CDC"/>
    <w:rsid w:val="0023306C"/>
    <w:rsid w:val="00233353"/>
    <w:rsid w:val="002356F5"/>
    <w:rsid w:val="00236AC3"/>
    <w:rsid w:val="00240519"/>
    <w:rsid w:val="002406DC"/>
    <w:rsid w:val="002410CD"/>
    <w:rsid w:val="002411AF"/>
    <w:rsid w:val="002415C2"/>
    <w:rsid w:val="00241731"/>
    <w:rsid w:val="002419E2"/>
    <w:rsid w:val="00241C1A"/>
    <w:rsid w:val="00242964"/>
    <w:rsid w:val="0024336C"/>
    <w:rsid w:val="00243FD3"/>
    <w:rsid w:val="002447F6"/>
    <w:rsid w:val="0024498C"/>
    <w:rsid w:val="002452E4"/>
    <w:rsid w:val="00245B05"/>
    <w:rsid w:val="00246109"/>
    <w:rsid w:val="0024663D"/>
    <w:rsid w:val="00246AF3"/>
    <w:rsid w:val="00246C78"/>
    <w:rsid w:val="00246D03"/>
    <w:rsid w:val="00246F0F"/>
    <w:rsid w:val="002505A3"/>
    <w:rsid w:val="0025072F"/>
    <w:rsid w:val="002516E0"/>
    <w:rsid w:val="00251B4C"/>
    <w:rsid w:val="00252AA3"/>
    <w:rsid w:val="00252CE4"/>
    <w:rsid w:val="00252DDE"/>
    <w:rsid w:val="002534A3"/>
    <w:rsid w:val="00253596"/>
    <w:rsid w:val="00254596"/>
    <w:rsid w:val="00255023"/>
    <w:rsid w:val="002556A2"/>
    <w:rsid w:val="002566FC"/>
    <w:rsid w:val="00256EDB"/>
    <w:rsid w:val="0026022C"/>
    <w:rsid w:val="0026043C"/>
    <w:rsid w:val="0026094D"/>
    <w:rsid w:val="00261076"/>
    <w:rsid w:val="002611F4"/>
    <w:rsid w:val="0026180E"/>
    <w:rsid w:val="00262082"/>
    <w:rsid w:val="00262535"/>
    <w:rsid w:val="00262584"/>
    <w:rsid w:val="00262BCF"/>
    <w:rsid w:val="00262E85"/>
    <w:rsid w:val="00263C91"/>
    <w:rsid w:val="00263ECD"/>
    <w:rsid w:val="00264472"/>
    <w:rsid w:val="00264D96"/>
    <w:rsid w:val="00265750"/>
    <w:rsid w:val="0026619D"/>
    <w:rsid w:val="00270B5D"/>
    <w:rsid w:val="0027210A"/>
    <w:rsid w:val="002727E3"/>
    <w:rsid w:val="0027287E"/>
    <w:rsid w:val="00272C16"/>
    <w:rsid w:val="00272D3B"/>
    <w:rsid w:val="00273E0D"/>
    <w:rsid w:val="00275098"/>
    <w:rsid w:val="00275732"/>
    <w:rsid w:val="00275796"/>
    <w:rsid w:val="00277F47"/>
    <w:rsid w:val="002805DB"/>
    <w:rsid w:val="002809FE"/>
    <w:rsid w:val="00280D83"/>
    <w:rsid w:val="00282561"/>
    <w:rsid w:val="00282CFC"/>
    <w:rsid w:val="00283F36"/>
    <w:rsid w:val="0028463B"/>
    <w:rsid w:val="00285F40"/>
    <w:rsid w:val="0028662C"/>
    <w:rsid w:val="00286CE1"/>
    <w:rsid w:val="00286DCE"/>
    <w:rsid w:val="002903A4"/>
    <w:rsid w:val="00290E12"/>
    <w:rsid w:val="00291BE3"/>
    <w:rsid w:val="00292452"/>
    <w:rsid w:val="00292666"/>
    <w:rsid w:val="00292F96"/>
    <w:rsid w:val="002959D8"/>
    <w:rsid w:val="00295E66"/>
    <w:rsid w:val="002969EF"/>
    <w:rsid w:val="00296CD1"/>
    <w:rsid w:val="00297F0E"/>
    <w:rsid w:val="002A1DDD"/>
    <w:rsid w:val="002A2722"/>
    <w:rsid w:val="002A2E1D"/>
    <w:rsid w:val="002A2E39"/>
    <w:rsid w:val="002A333C"/>
    <w:rsid w:val="002A3AE1"/>
    <w:rsid w:val="002A3CE2"/>
    <w:rsid w:val="002A4466"/>
    <w:rsid w:val="002A4510"/>
    <w:rsid w:val="002A464B"/>
    <w:rsid w:val="002A5A95"/>
    <w:rsid w:val="002A5B03"/>
    <w:rsid w:val="002A5D9B"/>
    <w:rsid w:val="002A66EA"/>
    <w:rsid w:val="002A6A6B"/>
    <w:rsid w:val="002A6C21"/>
    <w:rsid w:val="002A6CC8"/>
    <w:rsid w:val="002A6FA1"/>
    <w:rsid w:val="002A77D6"/>
    <w:rsid w:val="002A7B9B"/>
    <w:rsid w:val="002A7BA1"/>
    <w:rsid w:val="002A7EA0"/>
    <w:rsid w:val="002B0820"/>
    <w:rsid w:val="002B0821"/>
    <w:rsid w:val="002B0BF0"/>
    <w:rsid w:val="002B0FB6"/>
    <w:rsid w:val="002B1341"/>
    <w:rsid w:val="002B1C6A"/>
    <w:rsid w:val="002B1E1B"/>
    <w:rsid w:val="002B2223"/>
    <w:rsid w:val="002B2447"/>
    <w:rsid w:val="002B27D5"/>
    <w:rsid w:val="002B2821"/>
    <w:rsid w:val="002B2952"/>
    <w:rsid w:val="002B2A0C"/>
    <w:rsid w:val="002B32AF"/>
    <w:rsid w:val="002B52F2"/>
    <w:rsid w:val="002B5782"/>
    <w:rsid w:val="002B57D3"/>
    <w:rsid w:val="002B741C"/>
    <w:rsid w:val="002B7792"/>
    <w:rsid w:val="002C0529"/>
    <w:rsid w:val="002C1338"/>
    <w:rsid w:val="002C18E2"/>
    <w:rsid w:val="002C1D3C"/>
    <w:rsid w:val="002C2334"/>
    <w:rsid w:val="002C29F9"/>
    <w:rsid w:val="002C416D"/>
    <w:rsid w:val="002C48EA"/>
    <w:rsid w:val="002C509C"/>
    <w:rsid w:val="002C50A7"/>
    <w:rsid w:val="002C528D"/>
    <w:rsid w:val="002C52AD"/>
    <w:rsid w:val="002C6518"/>
    <w:rsid w:val="002C6A76"/>
    <w:rsid w:val="002C6E51"/>
    <w:rsid w:val="002D1291"/>
    <w:rsid w:val="002D183F"/>
    <w:rsid w:val="002D1860"/>
    <w:rsid w:val="002D1B22"/>
    <w:rsid w:val="002D202A"/>
    <w:rsid w:val="002D2FE7"/>
    <w:rsid w:val="002D3292"/>
    <w:rsid w:val="002D33A3"/>
    <w:rsid w:val="002D33CE"/>
    <w:rsid w:val="002D3C40"/>
    <w:rsid w:val="002D3E3B"/>
    <w:rsid w:val="002D3F0A"/>
    <w:rsid w:val="002D428B"/>
    <w:rsid w:val="002D5569"/>
    <w:rsid w:val="002D62B2"/>
    <w:rsid w:val="002D6599"/>
    <w:rsid w:val="002D7636"/>
    <w:rsid w:val="002D7AD1"/>
    <w:rsid w:val="002E0199"/>
    <w:rsid w:val="002E062C"/>
    <w:rsid w:val="002E223F"/>
    <w:rsid w:val="002E2B31"/>
    <w:rsid w:val="002E3AF6"/>
    <w:rsid w:val="002E3D4A"/>
    <w:rsid w:val="002E4303"/>
    <w:rsid w:val="002E471E"/>
    <w:rsid w:val="002E4C87"/>
    <w:rsid w:val="002E628C"/>
    <w:rsid w:val="002E63BB"/>
    <w:rsid w:val="002E6665"/>
    <w:rsid w:val="002E669A"/>
    <w:rsid w:val="002E7A48"/>
    <w:rsid w:val="002F035F"/>
    <w:rsid w:val="002F0380"/>
    <w:rsid w:val="002F1239"/>
    <w:rsid w:val="002F16B6"/>
    <w:rsid w:val="002F21C4"/>
    <w:rsid w:val="002F22AD"/>
    <w:rsid w:val="002F2901"/>
    <w:rsid w:val="002F2ACB"/>
    <w:rsid w:val="002F2E55"/>
    <w:rsid w:val="002F31D0"/>
    <w:rsid w:val="002F435E"/>
    <w:rsid w:val="002F4FF2"/>
    <w:rsid w:val="002F792C"/>
    <w:rsid w:val="002F7ED4"/>
    <w:rsid w:val="00301646"/>
    <w:rsid w:val="003016C7"/>
    <w:rsid w:val="00302C87"/>
    <w:rsid w:val="00302D25"/>
    <w:rsid w:val="0030476F"/>
    <w:rsid w:val="003047B1"/>
    <w:rsid w:val="0030505D"/>
    <w:rsid w:val="003064DD"/>
    <w:rsid w:val="00306899"/>
    <w:rsid w:val="00306B95"/>
    <w:rsid w:val="00306BA6"/>
    <w:rsid w:val="00307A77"/>
    <w:rsid w:val="00310143"/>
    <w:rsid w:val="00310B7E"/>
    <w:rsid w:val="00311F52"/>
    <w:rsid w:val="00312661"/>
    <w:rsid w:val="00312C1F"/>
    <w:rsid w:val="003131D2"/>
    <w:rsid w:val="00314377"/>
    <w:rsid w:val="00314F3C"/>
    <w:rsid w:val="00315358"/>
    <w:rsid w:val="003157BB"/>
    <w:rsid w:val="003158C9"/>
    <w:rsid w:val="00315BD1"/>
    <w:rsid w:val="00315EE8"/>
    <w:rsid w:val="00316A47"/>
    <w:rsid w:val="00320634"/>
    <w:rsid w:val="00320B85"/>
    <w:rsid w:val="00320BF6"/>
    <w:rsid w:val="00320D14"/>
    <w:rsid w:val="00323238"/>
    <w:rsid w:val="00323A7D"/>
    <w:rsid w:val="00323E71"/>
    <w:rsid w:val="0032408F"/>
    <w:rsid w:val="00324329"/>
    <w:rsid w:val="00325019"/>
    <w:rsid w:val="003258DA"/>
    <w:rsid w:val="00326CA8"/>
    <w:rsid w:val="00327CC7"/>
    <w:rsid w:val="00327FAF"/>
    <w:rsid w:val="00330C9A"/>
    <w:rsid w:val="003330C6"/>
    <w:rsid w:val="00333B76"/>
    <w:rsid w:val="003341E5"/>
    <w:rsid w:val="00334742"/>
    <w:rsid w:val="003349B1"/>
    <w:rsid w:val="00335377"/>
    <w:rsid w:val="00335767"/>
    <w:rsid w:val="00335AB4"/>
    <w:rsid w:val="00336573"/>
    <w:rsid w:val="0033717A"/>
    <w:rsid w:val="00341259"/>
    <w:rsid w:val="00341952"/>
    <w:rsid w:val="0034240C"/>
    <w:rsid w:val="003428D6"/>
    <w:rsid w:val="00342932"/>
    <w:rsid w:val="00342E2F"/>
    <w:rsid w:val="00343062"/>
    <w:rsid w:val="00343088"/>
    <w:rsid w:val="00343766"/>
    <w:rsid w:val="003447C6"/>
    <w:rsid w:val="003457E1"/>
    <w:rsid w:val="00345CF2"/>
    <w:rsid w:val="00345DA0"/>
    <w:rsid w:val="003469B8"/>
    <w:rsid w:val="00347472"/>
    <w:rsid w:val="003509B6"/>
    <w:rsid w:val="00350D22"/>
    <w:rsid w:val="00350F22"/>
    <w:rsid w:val="00351C6C"/>
    <w:rsid w:val="00352823"/>
    <w:rsid w:val="003528AD"/>
    <w:rsid w:val="00352C2A"/>
    <w:rsid w:val="00352DED"/>
    <w:rsid w:val="00354549"/>
    <w:rsid w:val="003545C0"/>
    <w:rsid w:val="003548C5"/>
    <w:rsid w:val="0035594C"/>
    <w:rsid w:val="00356FE3"/>
    <w:rsid w:val="00360201"/>
    <w:rsid w:val="003607A1"/>
    <w:rsid w:val="0036160B"/>
    <w:rsid w:val="0036199A"/>
    <w:rsid w:val="003619B1"/>
    <w:rsid w:val="00361FF0"/>
    <w:rsid w:val="003620BD"/>
    <w:rsid w:val="0036286B"/>
    <w:rsid w:val="00362F7A"/>
    <w:rsid w:val="00363588"/>
    <w:rsid w:val="0036421F"/>
    <w:rsid w:val="00364FFF"/>
    <w:rsid w:val="003653EE"/>
    <w:rsid w:val="00365B0F"/>
    <w:rsid w:val="00366B2B"/>
    <w:rsid w:val="00366D4D"/>
    <w:rsid w:val="00367E6B"/>
    <w:rsid w:val="003701D3"/>
    <w:rsid w:val="003701E5"/>
    <w:rsid w:val="00370A1D"/>
    <w:rsid w:val="0037189A"/>
    <w:rsid w:val="00371B3A"/>
    <w:rsid w:val="003720CA"/>
    <w:rsid w:val="00372B1F"/>
    <w:rsid w:val="00372C59"/>
    <w:rsid w:val="00372EBA"/>
    <w:rsid w:val="0037319E"/>
    <w:rsid w:val="00373203"/>
    <w:rsid w:val="003741F8"/>
    <w:rsid w:val="00374910"/>
    <w:rsid w:val="00374AB2"/>
    <w:rsid w:val="003753E7"/>
    <w:rsid w:val="00375480"/>
    <w:rsid w:val="00375F2A"/>
    <w:rsid w:val="00376080"/>
    <w:rsid w:val="00376331"/>
    <w:rsid w:val="003764F4"/>
    <w:rsid w:val="00376612"/>
    <w:rsid w:val="00377661"/>
    <w:rsid w:val="00377B8E"/>
    <w:rsid w:val="0038106C"/>
    <w:rsid w:val="003814D9"/>
    <w:rsid w:val="003816B4"/>
    <w:rsid w:val="00381926"/>
    <w:rsid w:val="00381CD9"/>
    <w:rsid w:val="00381EC4"/>
    <w:rsid w:val="0038290A"/>
    <w:rsid w:val="003839C4"/>
    <w:rsid w:val="00383ECD"/>
    <w:rsid w:val="00384578"/>
    <w:rsid w:val="003845BE"/>
    <w:rsid w:val="00384634"/>
    <w:rsid w:val="003846E9"/>
    <w:rsid w:val="0038494E"/>
    <w:rsid w:val="00384DF7"/>
    <w:rsid w:val="003855B9"/>
    <w:rsid w:val="003868D7"/>
    <w:rsid w:val="00386E4F"/>
    <w:rsid w:val="003875A0"/>
    <w:rsid w:val="00387DA5"/>
    <w:rsid w:val="00390117"/>
    <w:rsid w:val="0039073C"/>
    <w:rsid w:val="003911C5"/>
    <w:rsid w:val="003916A8"/>
    <w:rsid w:val="0039238C"/>
    <w:rsid w:val="003926E6"/>
    <w:rsid w:val="0039278F"/>
    <w:rsid w:val="003927E5"/>
    <w:rsid w:val="00393529"/>
    <w:rsid w:val="00393603"/>
    <w:rsid w:val="00393A36"/>
    <w:rsid w:val="00393A6E"/>
    <w:rsid w:val="00393F4B"/>
    <w:rsid w:val="00394125"/>
    <w:rsid w:val="00394236"/>
    <w:rsid w:val="003979CA"/>
    <w:rsid w:val="003A0142"/>
    <w:rsid w:val="003A08F6"/>
    <w:rsid w:val="003A105E"/>
    <w:rsid w:val="003A1E60"/>
    <w:rsid w:val="003A3504"/>
    <w:rsid w:val="003A3535"/>
    <w:rsid w:val="003A3A7E"/>
    <w:rsid w:val="003A3B55"/>
    <w:rsid w:val="003A443E"/>
    <w:rsid w:val="003A4994"/>
    <w:rsid w:val="003A5312"/>
    <w:rsid w:val="003A53E9"/>
    <w:rsid w:val="003A5823"/>
    <w:rsid w:val="003A5D4A"/>
    <w:rsid w:val="003A65CD"/>
    <w:rsid w:val="003A668C"/>
    <w:rsid w:val="003A671D"/>
    <w:rsid w:val="003A732B"/>
    <w:rsid w:val="003A79E0"/>
    <w:rsid w:val="003B0D85"/>
    <w:rsid w:val="003B0E0D"/>
    <w:rsid w:val="003B1459"/>
    <w:rsid w:val="003B1D92"/>
    <w:rsid w:val="003B24B4"/>
    <w:rsid w:val="003B3102"/>
    <w:rsid w:val="003B329F"/>
    <w:rsid w:val="003B4418"/>
    <w:rsid w:val="003B47CE"/>
    <w:rsid w:val="003B483F"/>
    <w:rsid w:val="003B4CF3"/>
    <w:rsid w:val="003B6593"/>
    <w:rsid w:val="003B6729"/>
    <w:rsid w:val="003B7048"/>
    <w:rsid w:val="003B7FBC"/>
    <w:rsid w:val="003C0792"/>
    <w:rsid w:val="003C083C"/>
    <w:rsid w:val="003C0E10"/>
    <w:rsid w:val="003C1E60"/>
    <w:rsid w:val="003C253E"/>
    <w:rsid w:val="003C2996"/>
    <w:rsid w:val="003C2FA5"/>
    <w:rsid w:val="003C3562"/>
    <w:rsid w:val="003C3EA1"/>
    <w:rsid w:val="003C55FA"/>
    <w:rsid w:val="003C5FF2"/>
    <w:rsid w:val="003C68B1"/>
    <w:rsid w:val="003C6A71"/>
    <w:rsid w:val="003C7037"/>
    <w:rsid w:val="003C73FF"/>
    <w:rsid w:val="003D01FA"/>
    <w:rsid w:val="003D0241"/>
    <w:rsid w:val="003D1697"/>
    <w:rsid w:val="003D16F0"/>
    <w:rsid w:val="003D1857"/>
    <w:rsid w:val="003D198F"/>
    <w:rsid w:val="003D225F"/>
    <w:rsid w:val="003D2B0E"/>
    <w:rsid w:val="003D2BA1"/>
    <w:rsid w:val="003D324C"/>
    <w:rsid w:val="003D3590"/>
    <w:rsid w:val="003D3F6C"/>
    <w:rsid w:val="003D4D1F"/>
    <w:rsid w:val="003D4F99"/>
    <w:rsid w:val="003D5BB9"/>
    <w:rsid w:val="003D60DC"/>
    <w:rsid w:val="003D697B"/>
    <w:rsid w:val="003D69C1"/>
    <w:rsid w:val="003D6B67"/>
    <w:rsid w:val="003D79BB"/>
    <w:rsid w:val="003E0ABE"/>
    <w:rsid w:val="003E0BC2"/>
    <w:rsid w:val="003E121B"/>
    <w:rsid w:val="003E13DC"/>
    <w:rsid w:val="003E1D75"/>
    <w:rsid w:val="003E3481"/>
    <w:rsid w:val="003E3574"/>
    <w:rsid w:val="003E361B"/>
    <w:rsid w:val="003E4729"/>
    <w:rsid w:val="003E4B47"/>
    <w:rsid w:val="003E4BB6"/>
    <w:rsid w:val="003E534F"/>
    <w:rsid w:val="003E5635"/>
    <w:rsid w:val="003E6CEE"/>
    <w:rsid w:val="003E72BE"/>
    <w:rsid w:val="003E76AC"/>
    <w:rsid w:val="003F0264"/>
    <w:rsid w:val="003F175E"/>
    <w:rsid w:val="003F1C16"/>
    <w:rsid w:val="003F1D03"/>
    <w:rsid w:val="003F2B77"/>
    <w:rsid w:val="003F2EA6"/>
    <w:rsid w:val="003F3075"/>
    <w:rsid w:val="003F34A7"/>
    <w:rsid w:val="003F36FA"/>
    <w:rsid w:val="003F3A5D"/>
    <w:rsid w:val="003F3EF2"/>
    <w:rsid w:val="003F469B"/>
    <w:rsid w:val="003F617A"/>
    <w:rsid w:val="003F6306"/>
    <w:rsid w:val="003F7500"/>
    <w:rsid w:val="003F7CDF"/>
    <w:rsid w:val="00401670"/>
    <w:rsid w:val="0040169C"/>
    <w:rsid w:val="00401B2E"/>
    <w:rsid w:val="004024B6"/>
    <w:rsid w:val="004025AB"/>
    <w:rsid w:val="00402B45"/>
    <w:rsid w:val="004030BD"/>
    <w:rsid w:val="00403FFE"/>
    <w:rsid w:val="00404005"/>
    <w:rsid w:val="00404073"/>
    <w:rsid w:val="00404089"/>
    <w:rsid w:val="00404259"/>
    <w:rsid w:val="004044D7"/>
    <w:rsid w:val="004046A5"/>
    <w:rsid w:val="004048C8"/>
    <w:rsid w:val="0040493F"/>
    <w:rsid w:val="00405079"/>
    <w:rsid w:val="0040581E"/>
    <w:rsid w:val="00405B78"/>
    <w:rsid w:val="00405D65"/>
    <w:rsid w:val="00405E0F"/>
    <w:rsid w:val="00405F13"/>
    <w:rsid w:val="00405F9B"/>
    <w:rsid w:val="00406F7C"/>
    <w:rsid w:val="004070AA"/>
    <w:rsid w:val="004071D4"/>
    <w:rsid w:val="004115A3"/>
    <w:rsid w:val="004116BD"/>
    <w:rsid w:val="00411953"/>
    <w:rsid w:val="004119A8"/>
    <w:rsid w:val="00413A7D"/>
    <w:rsid w:val="004140C0"/>
    <w:rsid w:val="004157FE"/>
    <w:rsid w:val="00415A8B"/>
    <w:rsid w:val="00415C87"/>
    <w:rsid w:val="00415D77"/>
    <w:rsid w:val="0041600C"/>
    <w:rsid w:val="00416243"/>
    <w:rsid w:val="00416264"/>
    <w:rsid w:val="00416664"/>
    <w:rsid w:val="0041703F"/>
    <w:rsid w:val="00417503"/>
    <w:rsid w:val="00417A1C"/>
    <w:rsid w:val="00420252"/>
    <w:rsid w:val="0042048E"/>
    <w:rsid w:val="00420684"/>
    <w:rsid w:val="00420FDE"/>
    <w:rsid w:val="004210D7"/>
    <w:rsid w:val="00421F90"/>
    <w:rsid w:val="00422539"/>
    <w:rsid w:val="00422B15"/>
    <w:rsid w:val="00422BD0"/>
    <w:rsid w:val="004234C0"/>
    <w:rsid w:val="00423A47"/>
    <w:rsid w:val="00423AA9"/>
    <w:rsid w:val="00424746"/>
    <w:rsid w:val="004248E4"/>
    <w:rsid w:val="004253A2"/>
    <w:rsid w:val="00425BBF"/>
    <w:rsid w:val="00425C64"/>
    <w:rsid w:val="004264BD"/>
    <w:rsid w:val="004270F5"/>
    <w:rsid w:val="0042712E"/>
    <w:rsid w:val="00427166"/>
    <w:rsid w:val="0042748C"/>
    <w:rsid w:val="00427748"/>
    <w:rsid w:val="00427AF8"/>
    <w:rsid w:val="00427FA4"/>
    <w:rsid w:val="004300D7"/>
    <w:rsid w:val="00430157"/>
    <w:rsid w:val="0043015D"/>
    <w:rsid w:val="00430D53"/>
    <w:rsid w:val="00430F53"/>
    <w:rsid w:val="004310D5"/>
    <w:rsid w:val="004310DA"/>
    <w:rsid w:val="00432014"/>
    <w:rsid w:val="00433BA9"/>
    <w:rsid w:val="004344ED"/>
    <w:rsid w:val="00434A7C"/>
    <w:rsid w:val="00434EF0"/>
    <w:rsid w:val="0043545C"/>
    <w:rsid w:val="0043630E"/>
    <w:rsid w:val="004364F0"/>
    <w:rsid w:val="00436B15"/>
    <w:rsid w:val="00436E1C"/>
    <w:rsid w:val="00440434"/>
    <w:rsid w:val="004404D3"/>
    <w:rsid w:val="00440BE0"/>
    <w:rsid w:val="00440DCA"/>
    <w:rsid w:val="0044166E"/>
    <w:rsid w:val="00442252"/>
    <w:rsid w:val="004428C7"/>
    <w:rsid w:val="004429B6"/>
    <w:rsid w:val="00443322"/>
    <w:rsid w:val="00443738"/>
    <w:rsid w:val="004439BB"/>
    <w:rsid w:val="00444AD7"/>
    <w:rsid w:val="00445B1B"/>
    <w:rsid w:val="00445CA5"/>
    <w:rsid w:val="00445FF7"/>
    <w:rsid w:val="00446066"/>
    <w:rsid w:val="004460FF"/>
    <w:rsid w:val="0044613A"/>
    <w:rsid w:val="0044704A"/>
    <w:rsid w:val="00447263"/>
    <w:rsid w:val="00447BB9"/>
    <w:rsid w:val="00447F00"/>
    <w:rsid w:val="004502C5"/>
    <w:rsid w:val="004504D9"/>
    <w:rsid w:val="00450CD6"/>
    <w:rsid w:val="00451ED8"/>
    <w:rsid w:val="00452255"/>
    <w:rsid w:val="00452358"/>
    <w:rsid w:val="0045243C"/>
    <w:rsid w:val="0045251F"/>
    <w:rsid w:val="00452ACE"/>
    <w:rsid w:val="00453CCF"/>
    <w:rsid w:val="00453E25"/>
    <w:rsid w:val="00453F25"/>
    <w:rsid w:val="004541A8"/>
    <w:rsid w:val="00454EE7"/>
    <w:rsid w:val="00455195"/>
    <w:rsid w:val="004555AB"/>
    <w:rsid w:val="0045580F"/>
    <w:rsid w:val="00456F2A"/>
    <w:rsid w:val="00457544"/>
    <w:rsid w:val="00457C6E"/>
    <w:rsid w:val="00460880"/>
    <w:rsid w:val="00460A42"/>
    <w:rsid w:val="0046161D"/>
    <w:rsid w:val="00461AB4"/>
    <w:rsid w:val="00461B4A"/>
    <w:rsid w:val="00462390"/>
    <w:rsid w:val="004625FE"/>
    <w:rsid w:val="00462BA8"/>
    <w:rsid w:val="004632D9"/>
    <w:rsid w:val="00463667"/>
    <w:rsid w:val="004637FD"/>
    <w:rsid w:val="00463B6F"/>
    <w:rsid w:val="00463BCC"/>
    <w:rsid w:val="0046416F"/>
    <w:rsid w:val="0046510F"/>
    <w:rsid w:val="00465B63"/>
    <w:rsid w:val="00465D1E"/>
    <w:rsid w:val="00466582"/>
    <w:rsid w:val="00466A41"/>
    <w:rsid w:val="00466DB4"/>
    <w:rsid w:val="004671BE"/>
    <w:rsid w:val="00467268"/>
    <w:rsid w:val="00467637"/>
    <w:rsid w:val="00467A69"/>
    <w:rsid w:val="00470A0E"/>
    <w:rsid w:val="00471241"/>
    <w:rsid w:val="004712C4"/>
    <w:rsid w:val="004718DB"/>
    <w:rsid w:val="004719F0"/>
    <w:rsid w:val="00471FCA"/>
    <w:rsid w:val="004725A7"/>
    <w:rsid w:val="00473C2D"/>
    <w:rsid w:val="00474BA8"/>
    <w:rsid w:val="0047538C"/>
    <w:rsid w:val="004756B8"/>
    <w:rsid w:val="00475D8A"/>
    <w:rsid w:val="0047640D"/>
    <w:rsid w:val="004764FA"/>
    <w:rsid w:val="00477855"/>
    <w:rsid w:val="0047788A"/>
    <w:rsid w:val="00481B96"/>
    <w:rsid w:val="00482199"/>
    <w:rsid w:val="0048240C"/>
    <w:rsid w:val="00482DDD"/>
    <w:rsid w:val="00483D20"/>
    <w:rsid w:val="00484BBD"/>
    <w:rsid w:val="00484C42"/>
    <w:rsid w:val="00484C9D"/>
    <w:rsid w:val="00486605"/>
    <w:rsid w:val="0048668B"/>
    <w:rsid w:val="00486851"/>
    <w:rsid w:val="0048759B"/>
    <w:rsid w:val="00487783"/>
    <w:rsid w:val="0049080F"/>
    <w:rsid w:val="004909C0"/>
    <w:rsid w:val="00491211"/>
    <w:rsid w:val="00491A97"/>
    <w:rsid w:val="00492A1D"/>
    <w:rsid w:val="00493852"/>
    <w:rsid w:val="00494719"/>
    <w:rsid w:val="0049482B"/>
    <w:rsid w:val="00495044"/>
    <w:rsid w:val="00495FD4"/>
    <w:rsid w:val="004960B0"/>
    <w:rsid w:val="00496231"/>
    <w:rsid w:val="00496C1F"/>
    <w:rsid w:val="004970A4"/>
    <w:rsid w:val="0049786B"/>
    <w:rsid w:val="004A0177"/>
    <w:rsid w:val="004A0515"/>
    <w:rsid w:val="004A208B"/>
    <w:rsid w:val="004A2DEA"/>
    <w:rsid w:val="004A41E4"/>
    <w:rsid w:val="004A4AF4"/>
    <w:rsid w:val="004A4C26"/>
    <w:rsid w:val="004A51C7"/>
    <w:rsid w:val="004A5327"/>
    <w:rsid w:val="004A5BCB"/>
    <w:rsid w:val="004A64AD"/>
    <w:rsid w:val="004A6874"/>
    <w:rsid w:val="004A6AC2"/>
    <w:rsid w:val="004A70A4"/>
    <w:rsid w:val="004A77F8"/>
    <w:rsid w:val="004B0594"/>
    <w:rsid w:val="004B0A41"/>
    <w:rsid w:val="004B1295"/>
    <w:rsid w:val="004B1666"/>
    <w:rsid w:val="004B2C83"/>
    <w:rsid w:val="004B3403"/>
    <w:rsid w:val="004B3515"/>
    <w:rsid w:val="004B40BC"/>
    <w:rsid w:val="004B46DD"/>
    <w:rsid w:val="004B510A"/>
    <w:rsid w:val="004B569C"/>
    <w:rsid w:val="004B5904"/>
    <w:rsid w:val="004B74E4"/>
    <w:rsid w:val="004B7648"/>
    <w:rsid w:val="004C07C6"/>
    <w:rsid w:val="004C1384"/>
    <w:rsid w:val="004C2655"/>
    <w:rsid w:val="004C2B07"/>
    <w:rsid w:val="004C2DC9"/>
    <w:rsid w:val="004C2EC9"/>
    <w:rsid w:val="004C33EB"/>
    <w:rsid w:val="004C3768"/>
    <w:rsid w:val="004C37F2"/>
    <w:rsid w:val="004C3BC3"/>
    <w:rsid w:val="004C43B7"/>
    <w:rsid w:val="004C4806"/>
    <w:rsid w:val="004C4FDE"/>
    <w:rsid w:val="004C5FEA"/>
    <w:rsid w:val="004C77FC"/>
    <w:rsid w:val="004C7E2A"/>
    <w:rsid w:val="004D0797"/>
    <w:rsid w:val="004D0AA6"/>
    <w:rsid w:val="004D0ED4"/>
    <w:rsid w:val="004D107B"/>
    <w:rsid w:val="004D1B80"/>
    <w:rsid w:val="004D3B1C"/>
    <w:rsid w:val="004D4628"/>
    <w:rsid w:val="004D4C87"/>
    <w:rsid w:val="004D52EE"/>
    <w:rsid w:val="004D5921"/>
    <w:rsid w:val="004D6FA3"/>
    <w:rsid w:val="004D7C9A"/>
    <w:rsid w:val="004E0095"/>
    <w:rsid w:val="004E01F6"/>
    <w:rsid w:val="004E0DC3"/>
    <w:rsid w:val="004E25CA"/>
    <w:rsid w:val="004E272B"/>
    <w:rsid w:val="004E30CD"/>
    <w:rsid w:val="004E393B"/>
    <w:rsid w:val="004E5025"/>
    <w:rsid w:val="004E5037"/>
    <w:rsid w:val="004E5153"/>
    <w:rsid w:val="004E69FB"/>
    <w:rsid w:val="004E6D59"/>
    <w:rsid w:val="004E6D80"/>
    <w:rsid w:val="004E7341"/>
    <w:rsid w:val="004E7A2E"/>
    <w:rsid w:val="004E7CDC"/>
    <w:rsid w:val="004F0256"/>
    <w:rsid w:val="004F0A61"/>
    <w:rsid w:val="004F15B9"/>
    <w:rsid w:val="004F2340"/>
    <w:rsid w:val="004F2482"/>
    <w:rsid w:val="004F29A5"/>
    <w:rsid w:val="004F34A6"/>
    <w:rsid w:val="004F40FA"/>
    <w:rsid w:val="004F42EB"/>
    <w:rsid w:val="004F4578"/>
    <w:rsid w:val="004F458B"/>
    <w:rsid w:val="004F4C9D"/>
    <w:rsid w:val="004F5655"/>
    <w:rsid w:val="004F5990"/>
    <w:rsid w:val="004F599D"/>
    <w:rsid w:val="004F6632"/>
    <w:rsid w:val="004F6BFC"/>
    <w:rsid w:val="004F6DE6"/>
    <w:rsid w:val="004F6ED6"/>
    <w:rsid w:val="004F7994"/>
    <w:rsid w:val="005003E9"/>
    <w:rsid w:val="00500C37"/>
    <w:rsid w:val="00501D57"/>
    <w:rsid w:val="00501D7E"/>
    <w:rsid w:val="005037D3"/>
    <w:rsid w:val="00504560"/>
    <w:rsid w:val="0050540A"/>
    <w:rsid w:val="00505EC8"/>
    <w:rsid w:val="00506449"/>
    <w:rsid w:val="0050660F"/>
    <w:rsid w:val="0050684B"/>
    <w:rsid w:val="00506F94"/>
    <w:rsid w:val="00507BA3"/>
    <w:rsid w:val="00507E79"/>
    <w:rsid w:val="00507F7D"/>
    <w:rsid w:val="00510F3E"/>
    <w:rsid w:val="0051155E"/>
    <w:rsid w:val="00511902"/>
    <w:rsid w:val="005128D6"/>
    <w:rsid w:val="00512BD5"/>
    <w:rsid w:val="00513C0A"/>
    <w:rsid w:val="00513C0D"/>
    <w:rsid w:val="00513F4B"/>
    <w:rsid w:val="00513F51"/>
    <w:rsid w:val="00514250"/>
    <w:rsid w:val="005143C8"/>
    <w:rsid w:val="005146BC"/>
    <w:rsid w:val="00514CF9"/>
    <w:rsid w:val="005151B4"/>
    <w:rsid w:val="005153E8"/>
    <w:rsid w:val="005155B0"/>
    <w:rsid w:val="00515AF4"/>
    <w:rsid w:val="00515B06"/>
    <w:rsid w:val="00515D75"/>
    <w:rsid w:val="005160E4"/>
    <w:rsid w:val="005168B7"/>
    <w:rsid w:val="00516F32"/>
    <w:rsid w:val="00517CCE"/>
    <w:rsid w:val="00520961"/>
    <w:rsid w:val="00521110"/>
    <w:rsid w:val="00521D8D"/>
    <w:rsid w:val="00521F7D"/>
    <w:rsid w:val="00522007"/>
    <w:rsid w:val="00522120"/>
    <w:rsid w:val="005229CF"/>
    <w:rsid w:val="0052326F"/>
    <w:rsid w:val="00523E5F"/>
    <w:rsid w:val="00524531"/>
    <w:rsid w:val="00524EAC"/>
    <w:rsid w:val="0052515F"/>
    <w:rsid w:val="0052592F"/>
    <w:rsid w:val="00525B3E"/>
    <w:rsid w:val="00525C76"/>
    <w:rsid w:val="005262D2"/>
    <w:rsid w:val="00526340"/>
    <w:rsid w:val="005263BD"/>
    <w:rsid w:val="00526540"/>
    <w:rsid w:val="00526BA6"/>
    <w:rsid w:val="0052701D"/>
    <w:rsid w:val="00527222"/>
    <w:rsid w:val="005278FB"/>
    <w:rsid w:val="005303E2"/>
    <w:rsid w:val="005304C4"/>
    <w:rsid w:val="0053090A"/>
    <w:rsid w:val="00530B0A"/>
    <w:rsid w:val="00530B6E"/>
    <w:rsid w:val="00531DE7"/>
    <w:rsid w:val="0053241F"/>
    <w:rsid w:val="00533472"/>
    <w:rsid w:val="00533D29"/>
    <w:rsid w:val="005340F5"/>
    <w:rsid w:val="00534EE9"/>
    <w:rsid w:val="00535875"/>
    <w:rsid w:val="005364B9"/>
    <w:rsid w:val="00536EF3"/>
    <w:rsid w:val="005371CC"/>
    <w:rsid w:val="00537EDC"/>
    <w:rsid w:val="005402BF"/>
    <w:rsid w:val="00540877"/>
    <w:rsid w:val="00540A99"/>
    <w:rsid w:val="00541570"/>
    <w:rsid w:val="005415A7"/>
    <w:rsid w:val="0054223C"/>
    <w:rsid w:val="005423F6"/>
    <w:rsid w:val="0054268A"/>
    <w:rsid w:val="00542804"/>
    <w:rsid w:val="00542CC2"/>
    <w:rsid w:val="00542D3B"/>
    <w:rsid w:val="00542F7E"/>
    <w:rsid w:val="00544C2F"/>
    <w:rsid w:val="0054525B"/>
    <w:rsid w:val="00545655"/>
    <w:rsid w:val="005464EF"/>
    <w:rsid w:val="0054652A"/>
    <w:rsid w:val="005469C3"/>
    <w:rsid w:val="00547AA2"/>
    <w:rsid w:val="00550698"/>
    <w:rsid w:val="00550C9B"/>
    <w:rsid w:val="005517F1"/>
    <w:rsid w:val="005518A3"/>
    <w:rsid w:val="005518E2"/>
    <w:rsid w:val="00551D4D"/>
    <w:rsid w:val="005522B0"/>
    <w:rsid w:val="0055237D"/>
    <w:rsid w:val="0055276F"/>
    <w:rsid w:val="0055367A"/>
    <w:rsid w:val="0055371E"/>
    <w:rsid w:val="00553B31"/>
    <w:rsid w:val="00554600"/>
    <w:rsid w:val="00554609"/>
    <w:rsid w:val="00554EA5"/>
    <w:rsid w:val="00555195"/>
    <w:rsid w:val="0055527B"/>
    <w:rsid w:val="00555D79"/>
    <w:rsid w:val="00555FE5"/>
    <w:rsid w:val="005572DF"/>
    <w:rsid w:val="0055766B"/>
    <w:rsid w:val="005577C2"/>
    <w:rsid w:val="00557F0D"/>
    <w:rsid w:val="00560AF5"/>
    <w:rsid w:val="00560CFD"/>
    <w:rsid w:val="00560EA1"/>
    <w:rsid w:val="00560FA1"/>
    <w:rsid w:val="0056197C"/>
    <w:rsid w:val="00561A8B"/>
    <w:rsid w:val="00562AFA"/>
    <w:rsid w:val="0056314B"/>
    <w:rsid w:val="005632C4"/>
    <w:rsid w:val="005638C9"/>
    <w:rsid w:val="00563DC5"/>
    <w:rsid w:val="0056404A"/>
    <w:rsid w:val="005650B2"/>
    <w:rsid w:val="005653A4"/>
    <w:rsid w:val="00565A47"/>
    <w:rsid w:val="0056631A"/>
    <w:rsid w:val="00567505"/>
    <w:rsid w:val="00567842"/>
    <w:rsid w:val="00567AEE"/>
    <w:rsid w:val="0057086B"/>
    <w:rsid w:val="00570A80"/>
    <w:rsid w:val="005713B7"/>
    <w:rsid w:val="005714DF"/>
    <w:rsid w:val="00571EB7"/>
    <w:rsid w:val="00573857"/>
    <w:rsid w:val="00573D80"/>
    <w:rsid w:val="005749E7"/>
    <w:rsid w:val="0057567E"/>
    <w:rsid w:val="00575A7E"/>
    <w:rsid w:val="00576299"/>
    <w:rsid w:val="00576A68"/>
    <w:rsid w:val="00577BCB"/>
    <w:rsid w:val="00577C48"/>
    <w:rsid w:val="00577D55"/>
    <w:rsid w:val="005805C6"/>
    <w:rsid w:val="00581623"/>
    <w:rsid w:val="00581891"/>
    <w:rsid w:val="00581B7A"/>
    <w:rsid w:val="00581D35"/>
    <w:rsid w:val="00581DC3"/>
    <w:rsid w:val="00582618"/>
    <w:rsid w:val="00582A36"/>
    <w:rsid w:val="00583E01"/>
    <w:rsid w:val="00583E36"/>
    <w:rsid w:val="005843F2"/>
    <w:rsid w:val="00584517"/>
    <w:rsid w:val="00584524"/>
    <w:rsid w:val="0058466B"/>
    <w:rsid w:val="0058477F"/>
    <w:rsid w:val="005847F3"/>
    <w:rsid w:val="005858C6"/>
    <w:rsid w:val="00585AF1"/>
    <w:rsid w:val="005871E7"/>
    <w:rsid w:val="0058778F"/>
    <w:rsid w:val="0058795C"/>
    <w:rsid w:val="005905FC"/>
    <w:rsid w:val="00590E4D"/>
    <w:rsid w:val="00591961"/>
    <w:rsid w:val="005919E5"/>
    <w:rsid w:val="00591E63"/>
    <w:rsid w:val="0059542A"/>
    <w:rsid w:val="005954D2"/>
    <w:rsid w:val="00595B22"/>
    <w:rsid w:val="00596CE7"/>
    <w:rsid w:val="00597C6D"/>
    <w:rsid w:val="005A015B"/>
    <w:rsid w:val="005A0673"/>
    <w:rsid w:val="005A0AC1"/>
    <w:rsid w:val="005A0D70"/>
    <w:rsid w:val="005A0FFC"/>
    <w:rsid w:val="005A149D"/>
    <w:rsid w:val="005A20C1"/>
    <w:rsid w:val="005A23F2"/>
    <w:rsid w:val="005A269C"/>
    <w:rsid w:val="005A2854"/>
    <w:rsid w:val="005A2D66"/>
    <w:rsid w:val="005A2F2C"/>
    <w:rsid w:val="005A3931"/>
    <w:rsid w:val="005A42FE"/>
    <w:rsid w:val="005A4624"/>
    <w:rsid w:val="005A5C73"/>
    <w:rsid w:val="005A6617"/>
    <w:rsid w:val="005A6972"/>
    <w:rsid w:val="005A6C34"/>
    <w:rsid w:val="005A6E3C"/>
    <w:rsid w:val="005A71DD"/>
    <w:rsid w:val="005A738B"/>
    <w:rsid w:val="005A7747"/>
    <w:rsid w:val="005B0B60"/>
    <w:rsid w:val="005B0C79"/>
    <w:rsid w:val="005B12D2"/>
    <w:rsid w:val="005B15E4"/>
    <w:rsid w:val="005B16DE"/>
    <w:rsid w:val="005B1D9A"/>
    <w:rsid w:val="005B27D3"/>
    <w:rsid w:val="005B3025"/>
    <w:rsid w:val="005B3CD7"/>
    <w:rsid w:val="005B4404"/>
    <w:rsid w:val="005B488D"/>
    <w:rsid w:val="005B6C80"/>
    <w:rsid w:val="005B77F3"/>
    <w:rsid w:val="005B7F06"/>
    <w:rsid w:val="005C09A8"/>
    <w:rsid w:val="005C0DC6"/>
    <w:rsid w:val="005C1C57"/>
    <w:rsid w:val="005C1FE3"/>
    <w:rsid w:val="005C3C05"/>
    <w:rsid w:val="005C4568"/>
    <w:rsid w:val="005C583B"/>
    <w:rsid w:val="005C59A7"/>
    <w:rsid w:val="005C7365"/>
    <w:rsid w:val="005D0562"/>
    <w:rsid w:val="005D0710"/>
    <w:rsid w:val="005D1C78"/>
    <w:rsid w:val="005D1EC7"/>
    <w:rsid w:val="005D330D"/>
    <w:rsid w:val="005D3E64"/>
    <w:rsid w:val="005D44DD"/>
    <w:rsid w:val="005D4A5F"/>
    <w:rsid w:val="005D4D5C"/>
    <w:rsid w:val="005D541D"/>
    <w:rsid w:val="005D5975"/>
    <w:rsid w:val="005D5C46"/>
    <w:rsid w:val="005D5D3F"/>
    <w:rsid w:val="005D6045"/>
    <w:rsid w:val="005D6451"/>
    <w:rsid w:val="005D66A6"/>
    <w:rsid w:val="005D6D58"/>
    <w:rsid w:val="005D7A97"/>
    <w:rsid w:val="005D7E23"/>
    <w:rsid w:val="005E0823"/>
    <w:rsid w:val="005E140D"/>
    <w:rsid w:val="005E148E"/>
    <w:rsid w:val="005E240C"/>
    <w:rsid w:val="005E24AC"/>
    <w:rsid w:val="005E24D8"/>
    <w:rsid w:val="005E2932"/>
    <w:rsid w:val="005E2BFE"/>
    <w:rsid w:val="005E2F0E"/>
    <w:rsid w:val="005E34EB"/>
    <w:rsid w:val="005E3546"/>
    <w:rsid w:val="005E36DA"/>
    <w:rsid w:val="005E387A"/>
    <w:rsid w:val="005E3AD6"/>
    <w:rsid w:val="005E3DB9"/>
    <w:rsid w:val="005E4A1C"/>
    <w:rsid w:val="005E56F2"/>
    <w:rsid w:val="005E58DF"/>
    <w:rsid w:val="005E6EC0"/>
    <w:rsid w:val="005E7305"/>
    <w:rsid w:val="005E7BA4"/>
    <w:rsid w:val="005F04EF"/>
    <w:rsid w:val="005F05A8"/>
    <w:rsid w:val="005F07E7"/>
    <w:rsid w:val="005F10D2"/>
    <w:rsid w:val="005F14C2"/>
    <w:rsid w:val="005F1785"/>
    <w:rsid w:val="005F1880"/>
    <w:rsid w:val="005F24D1"/>
    <w:rsid w:val="005F256C"/>
    <w:rsid w:val="005F2919"/>
    <w:rsid w:val="005F35AB"/>
    <w:rsid w:val="005F35F6"/>
    <w:rsid w:val="005F3CBA"/>
    <w:rsid w:val="005F3EEC"/>
    <w:rsid w:val="005F3F5F"/>
    <w:rsid w:val="005F40C0"/>
    <w:rsid w:val="005F474C"/>
    <w:rsid w:val="005F4ADA"/>
    <w:rsid w:val="005F4ADC"/>
    <w:rsid w:val="005F4BD3"/>
    <w:rsid w:val="005F60B8"/>
    <w:rsid w:val="005F621D"/>
    <w:rsid w:val="005F6231"/>
    <w:rsid w:val="005F6AF9"/>
    <w:rsid w:val="005F7AF9"/>
    <w:rsid w:val="005F7FB0"/>
    <w:rsid w:val="00600262"/>
    <w:rsid w:val="00601548"/>
    <w:rsid w:val="00601990"/>
    <w:rsid w:val="006027C4"/>
    <w:rsid w:val="00603491"/>
    <w:rsid w:val="00603BAC"/>
    <w:rsid w:val="00603BF5"/>
    <w:rsid w:val="006041E8"/>
    <w:rsid w:val="00604958"/>
    <w:rsid w:val="006050F1"/>
    <w:rsid w:val="00605D83"/>
    <w:rsid w:val="00606EF8"/>
    <w:rsid w:val="00607AD4"/>
    <w:rsid w:val="00607E49"/>
    <w:rsid w:val="00611297"/>
    <w:rsid w:val="006112A4"/>
    <w:rsid w:val="00612EDD"/>
    <w:rsid w:val="00613036"/>
    <w:rsid w:val="00613502"/>
    <w:rsid w:val="0061378B"/>
    <w:rsid w:val="00613865"/>
    <w:rsid w:val="00613CB5"/>
    <w:rsid w:val="00613DB3"/>
    <w:rsid w:val="00613EA7"/>
    <w:rsid w:val="00614223"/>
    <w:rsid w:val="0061492D"/>
    <w:rsid w:val="00614CD6"/>
    <w:rsid w:val="0061566D"/>
    <w:rsid w:val="006166C1"/>
    <w:rsid w:val="00617A9F"/>
    <w:rsid w:val="00621275"/>
    <w:rsid w:val="00622431"/>
    <w:rsid w:val="00623E8E"/>
    <w:rsid w:val="006244EC"/>
    <w:rsid w:val="00624529"/>
    <w:rsid w:val="00624667"/>
    <w:rsid w:val="006248EF"/>
    <w:rsid w:val="00624FE6"/>
    <w:rsid w:val="00625257"/>
    <w:rsid w:val="0062562B"/>
    <w:rsid w:val="006262FC"/>
    <w:rsid w:val="00626914"/>
    <w:rsid w:val="0062726D"/>
    <w:rsid w:val="00630292"/>
    <w:rsid w:val="00630C1D"/>
    <w:rsid w:val="0063127A"/>
    <w:rsid w:val="00632474"/>
    <w:rsid w:val="00633030"/>
    <w:rsid w:val="006332E2"/>
    <w:rsid w:val="0063339D"/>
    <w:rsid w:val="006337ED"/>
    <w:rsid w:val="006343EB"/>
    <w:rsid w:val="00634DF9"/>
    <w:rsid w:val="00635880"/>
    <w:rsid w:val="00636468"/>
    <w:rsid w:val="00636831"/>
    <w:rsid w:val="00636DAF"/>
    <w:rsid w:val="00636EA3"/>
    <w:rsid w:val="006372AF"/>
    <w:rsid w:val="00642311"/>
    <w:rsid w:val="006440D6"/>
    <w:rsid w:val="00646260"/>
    <w:rsid w:val="00646C35"/>
    <w:rsid w:val="00646EF3"/>
    <w:rsid w:val="0064771F"/>
    <w:rsid w:val="0064782B"/>
    <w:rsid w:val="00647B6C"/>
    <w:rsid w:val="0065117A"/>
    <w:rsid w:val="006512C8"/>
    <w:rsid w:val="006515A2"/>
    <w:rsid w:val="00651B2B"/>
    <w:rsid w:val="00653422"/>
    <w:rsid w:val="006534CB"/>
    <w:rsid w:val="00653CF1"/>
    <w:rsid w:val="006558A2"/>
    <w:rsid w:val="00655975"/>
    <w:rsid w:val="00655A27"/>
    <w:rsid w:val="0065617E"/>
    <w:rsid w:val="0065681E"/>
    <w:rsid w:val="00656CDE"/>
    <w:rsid w:val="00656D9F"/>
    <w:rsid w:val="0065701B"/>
    <w:rsid w:val="00657EAA"/>
    <w:rsid w:val="00660343"/>
    <w:rsid w:val="00660708"/>
    <w:rsid w:val="00660C64"/>
    <w:rsid w:val="006614FC"/>
    <w:rsid w:val="006616B1"/>
    <w:rsid w:val="00661CA2"/>
    <w:rsid w:val="00662269"/>
    <w:rsid w:val="0066279C"/>
    <w:rsid w:val="006627D1"/>
    <w:rsid w:val="006628F0"/>
    <w:rsid w:val="006630B8"/>
    <w:rsid w:val="00663381"/>
    <w:rsid w:val="00663AFE"/>
    <w:rsid w:val="00664967"/>
    <w:rsid w:val="00665B06"/>
    <w:rsid w:val="006667ED"/>
    <w:rsid w:val="00666E47"/>
    <w:rsid w:val="00666F1F"/>
    <w:rsid w:val="00667765"/>
    <w:rsid w:val="00667A2E"/>
    <w:rsid w:val="00667C5D"/>
    <w:rsid w:val="00670214"/>
    <w:rsid w:val="00670515"/>
    <w:rsid w:val="006705D1"/>
    <w:rsid w:val="00670870"/>
    <w:rsid w:val="00670C9A"/>
    <w:rsid w:val="006711A8"/>
    <w:rsid w:val="006715AB"/>
    <w:rsid w:val="00671942"/>
    <w:rsid w:val="006726EE"/>
    <w:rsid w:val="00672EA6"/>
    <w:rsid w:val="00673B6E"/>
    <w:rsid w:val="00673DF6"/>
    <w:rsid w:val="006740AA"/>
    <w:rsid w:val="006745C1"/>
    <w:rsid w:val="0067496B"/>
    <w:rsid w:val="00674F30"/>
    <w:rsid w:val="00675B47"/>
    <w:rsid w:val="00676041"/>
    <w:rsid w:val="006768B0"/>
    <w:rsid w:val="00677653"/>
    <w:rsid w:val="006778DE"/>
    <w:rsid w:val="00680778"/>
    <w:rsid w:val="00681588"/>
    <w:rsid w:val="00681871"/>
    <w:rsid w:val="00681944"/>
    <w:rsid w:val="00682136"/>
    <w:rsid w:val="00682B22"/>
    <w:rsid w:val="00683E12"/>
    <w:rsid w:val="00684428"/>
    <w:rsid w:val="0068488E"/>
    <w:rsid w:val="0068495B"/>
    <w:rsid w:val="00684C73"/>
    <w:rsid w:val="00685709"/>
    <w:rsid w:val="00686C1A"/>
    <w:rsid w:val="00687357"/>
    <w:rsid w:val="00687746"/>
    <w:rsid w:val="00687B73"/>
    <w:rsid w:val="00690BD3"/>
    <w:rsid w:val="00690FC7"/>
    <w:rsid w:val="00692C0B"/>
    <w:rsid w:val="00692F96"/>
    <w:rsid w:val="006930A8"/>
    <w:rsid w:val="00693383"/>
    <w:rsid w:val="00693795"/>
    <w:rsid w:val="0069380E"/>
    <w:rsid w:val="00694611"/>
    <w:rsid w:val="00694B87"/>
    <w:rsid w:val="00694CFE"/>
    <w:rsid w:val="0069506E"/>
    <w:rsid w:val="00695AE8"/>
    <w:rsid w:val="0069622E"/>
    <w:rsid w:val="0069645D"/>
    <w:rsid w:val="00696E17"/>
    <w:rsid w:val="0069796E"/>
    <w:rsid w:val="00697CE0"/>
    <w:rsid w:val="00697D15"/>
    <w:rsid w:val="006A0C83"/>
    <w:rsid w:val="006A10E3"/>
    <w:rsid w:val="006A1450"/>
    <w:rsid w:val="006A1690"/>
    <w:rsid w:val="006A1741"/>
    <w:rsid w:val="006A24C8"/>
    <w:rsid w:val="006A29B6"/>
    <w:rsid w:val="006A3D47"/>
    <w:rsid w:val="006A4273"/>
    <w:rsid w:val="006A468E"/>
    <w:rsid w:val="006A4B6D"/>
    <w:rsid w:val="006A501D"/>
    <w:rsid w:val="006A550D"/>
    <w:rsid w:val="006A571B"/>
    <w:rsid w:val="006A58C4"/>
    <w:rsid w:val="006A591C"/>
    <w:rsid w:val="006A5A36"/>
    <w:rsid w:val="006A5DCA"/>
    <w:rsid w:val="006A63D6"/>
    <w:rsid w:val="006A6DAC"/>
    <w:rsid w:val="006A6E1E"/>
    <w:rsid w:val="006A71BB"/>
    <w:rsid w:val="006A7AF3"/>
    <w:rsid w:val="006A7D04"/>
    <w:rsid w:val="006B06E7"/>
    <w:rsid w:val="006B13AB"/>
    <w:rsid w:val="006B197D"/>
    <w:rsid w:val="006B256D"/>
    <w:rsid w:val="006B2BFD"/>
    <w:rsid w:val="006B360B"/>
    <w:rsid w:val="006B418D"/>
    <w:rsid w:val="006B4632"/>
    <w:rsid w:val="006B486E"/>
    <w:rsid w:val="006B51CA"/>
    <w:rsid w:val="006B5ABA"/>
    <w:rsid w:val="006B5BFD"/>
    <w:rsid w:val="006B6754"/>
    <w:rsid w:val="006B69E5"/>
    <w:rsid w:val="006B6C54"/>
    <w:rsid w:val="006B6CAA"/>
    <w:rsid w:val="006B7B19"/>
    <w:rsid w:val="006B7C42"/>
    <w:rsid w:val="006C080D"/>
    <w:rsid w:val="006C0F09"/>
    <w:rsid w:val="006C10C2"/>
    <w:rsid w:val="006C13EC"/>
    <w:rsid w:val="006C1899"/>
    <w:rsid w:val="006C2389"/>
    <w:rsid w:val="006C2B07"/>
    <w:rsid w:val="006C2E8D"/>
    <w:rsid w:val="006C2F5D"/>
    <w:rsid w:val="006C400A"/>
    <w:rsid w:val="006C4784"/>
    <w:rsid w:val="006C4891"/>
    <w:rsid w:val="006C4E2D"/>
    <w:rsid w:val="006C5210"/>
    <w:rsid w:val="006C5608"/>
    <w:rsid w:val="006C58A9"/>
    <w:rsid w:val="006C602A"/>
    <w:rsid w:val="006C6E4B"/>
    <w:rsid w:val="006C79CD"/>
    <w:rsid w:val="006D0946"/>
    <w:rsid w:val="006D0A3C"/>
    <w:rsid w:val="006D0B52"/>
    <w:rsid w:val="006D1E96"/>
    <w:rsid w:val="006D2D74"/>
    <w:rsid w:val="006D37E3"/>
    <w:rsid w:val="006D3C9A"/>
    <w:rsid w:val="006D423F"/>
    <w:rsid w:val="006D4B0C"/>
    <w:rsid w:val="006D4D44"/>
    <w:rsid w:val="006D5A4D"/>
    <w:rsid w:val="006D5DDD"/>
    <w:rsid w:val="006D6B84"/>
    <w:rsid w:val="006D78BC"/>
    <w:rsid w:val="006E00D3"/>
    <w:rsid w:val="006E00F2"/>
    <w:rsid w:val="006E03C9"/>
    <w:rsid w:val="006E0901"/>
    <w:rsid w:val="006E0925"/>
    <w:rsid w:val="006E0A69"/>
    <w:rsid w:val="006E0D36"/>
    <w:rsid w:val="006E1C87"/>
    <w:rsid w:val="006E328D"/>
    <w:rsid w:val="006E3F1C"/>
    <w:rsid w:val="006E5C7D"/>
    <w:rsid w:val="006E6153"/>
    <w:rsid w:val="006E671C"/>
    <w:rsid w:val="006E6A10"/>
    <w:rsid w:val="006E7A36"/>
    <w:rsid w:val="006F01E7"/>
    <w:rsid w:val="006F02F0"/>
    <w:rsid w:val="006F132A"/>
    <w:rsid w:val="006F1DC0"/>
    <w:rsid w:val="006F2140"/>
    <w:rsid w:val="006F2271"/>
    <w:rsid w:val="006F22E5"/>
    <w:rsid w:val="006F2DB6"/>
    <w:rsid w:val="006F3306"/>
    <w:rsid w:val="006F372A"/>
    <w:rsid w:val="006F461F"/>
    <w:rsid w:val="006F49F8"/>
    <w:rsid w:val="006F5067"/>
    <w:rsid w:val="006F5240"/>
    <w:rsid w:val="006F5CF3"/>
    <w:rsid w:val="006F635E"/>
    <w:rsid w:val="006F639A"/>
    <w:rsid w:val="006F69EE"/>
    <w:rsid w:val="006F7063"/>
    <w:rsid w:val="0070004A"/>
    <w:rsid w:val="00700942"/>
    <w:rsid w:val="00700B65"/>
    <w:rsid w:val="00700E78"/>
    <w:rsid w:val="00701847"/>
    <w:rsid w:val="00701A0E"/>
    <w:rsid w:val="00702242"/>
    <w:rsid w:val="00703073"/>
    <w:rsid w:val="00703817"/>
    <w:rsid w:val="0070444F"/>
    <w:rsid w:val="00704599"/>
    <w:rsid w:val="00704984"/>
    <w:rsid w:val="0070531B"/>
    <w:rsid w:val="007059A6"/>
    <w:rsid w:val="00705FF6"/>
    <w:rsid w:val="007062CF"/>
    <w:rsid w:val="007067DF"/>
    <w:rsid w:val="007077FC"/>
    <w:rsid w:val="0071001D"/>
    <w:rsid w:val="0071155E"/>
    <w:rsid w:val="00711BAD"/>
    <w:rsid w:val="00711C9E"/>
    <w:rsid w:val="00711DFD"/>
    <w:rsid w:val="007121C4"/>
    <w:rsid w:val="007124A9"/>
    <w:rsid w:val="0071277C"/>
    <w:rsid w:val="00712C80"/>
    <w:rsid w:val="00712F78"/>
    <w:rsid w:val="00713040"/>
    <w:rsid w:val="00713183"/>
    <w:rsid w:val="00713752"/>
    <w:rsid w:val="00713C23"/>
    <w:rsid w:val="00713FFB"/>
    <w:rsid w:val="00714373"/>
    <w:rsid w:val="0071471E"/>
    <w:rsid w:val="00714FB3"/>
    <w:rsid w:val="00715CC3"/>
    <w:rsid w:val="007162C0"/>
    <w:rsid w:val="00717C0A"/>
    <w:rsid w:val="00720004"/>
    <w:rsid w:val="007211A8"/>
    <w:rsid w:val="00721567"/>
    <w:rsid w:val="00721767"/>
    <w:rsid w:val="00721F0A"/>
    <w:rsid w:val="00723FF6"/>
    <w:rsid w:val="00724140"/>
    <w:rsid w:val="007247D5"/>
    <w:rsid w:val="0072564F"/>
    <w:rsid w:val="00725654"/>
    <w:rsid w:val="00725A3D"/>
    <w:rsid w:val="00727367"/>
    <w:rsid w:val="007304CF"/>
    <w:rsid w:val="0073182F"/>
    <w:rsid w:val="0073206E"/>
    <w:rsid w:val="00732688"/>
    <w:rsid w:val="007332EF"/>
    <w:rsid w:val="00733D2C"/>
    <w:rsid w:val="00735315"/>
    <w:rsid w:val="00735478"/>
    <w:rsid w:val="00736502"/>
    <w:rsid w:val="00736C91"/>
    <w:rsid w:val="007375D6"/>
    <w:rsid w:val="00740B54"/>
    <w:rsid w:val="00740BF1"/>
    <w:rsid w:val="00741357"/>
    <w:rsid w:val="00741E2F"/>
    <w:rsid w:val="00741EC5"/>
    <w:rsid w:val="00742246"/>
    <w:rsid w:val="00742373"/>
    <w:rsid w:val="007431C4"/>
    <w:rsid w:val="00743269"/>
    <w:rsid w:val="007446C8"/>
    <w:rsid w:val="0074692A"/>
    <w:rsid w:val="00747C5A"/>
    <w:rsid w:val="007503D7"/>
    <w:rsid w:val="0075071F"/>
    <w:rsid w:val="00750F45"/>
    <w:rsid w:val="00751064"/>
    <w:rsid w:val="007526F5"/>
    <w:rsid w:val="007527F3"/>
    <w:rsid w:val="00752A7E"/>
    <w:rsid w:val="007530DC"/>
    <w:rsid w:val="007546F8"/>
    <w:rsid w:val="0075511E"/>
    <w:rsid w:val="007553DF"/>
    <w:rsid w:val="007554B9"/>
    <w:rsid w:val="00755B33"/>
    <w:rsid w:val="00756A01"/>
    <w:rsid w:val="00756B48"/>
    <w:rsid w:val="00756BDA"/>
    <w:rsid w:val="00756D29"/>
    <w:rsid w:val="007573E9"/>
    <w:rsid w:val="00757495"/>
    <w:rsid w:val="00757668"/>
    <w:rsid w:val="007577EF"/>
    <w:rsid w:val="00757941"/>
    <w:rsid w:val="0076059A"/>
    <w:rsid w:val="007621FC"/>
    <w:rsid w:val="0076227C"/>
    <w:rsid w:val="00762991"/>
    <w:rsid w:val="007631A2"/>
    <w:rsid w:val="007631B4"/>
    <w:rsid w:val="00763D61"/>
    <w:rsid w:val="0076440F"/>
    <w:rsid w:val="00764739"/>
    <w:rsid w:val="007650B4"/>
    <w:rsid w:val="00765567"/>
    <w:rsid w:val="00765CD5"/>
    <w:rsid w:val="007661ED"/>
    <w:rsid w:val="00766F9D"/>
    <w:rsid w:val="007679A7"/>
    <w:rsid w:val="00767B87"/>
    <w:rsid w:val="00772131"/>
    <w:rsid w:val="007728A4"/>
    <w:rsid w:val="0077399D"/>
    <w:rsid w:val="00774822"/>
    <w:rsid w:val="00774B77"/>
    <w:rsid w:val="00775389"/>
    <w:rsid w:val="00775633"/>
    <w:rsid w:val="007758F7"/>
    <w:rsid w:val="00775957"/>
    <w:rsid w:val="00775B11"/>
    <w:rsid w:val="0077665F"/>
    <w:rsid w:val="00777562"/>
    <w:rsid w:val="00777A89"/>
    <w:rsid w:val="00777B14"/>
    <w:rsid w:val="00777BDD"/>
    <w:rsid w:val="00780B78"/>
    <w:rsid w:val="00780DB4"/>
    <w:rsid w:val="00781292"/>
    <w:rsid w:val="00781387"/>
    <w:rsid w:val="007816F7"/>
    <w:rsid w:val="0078183F"/>
    <w:rsid w:val="0078198D"/>
    <w:rsid w:val="00781CB4"/>
    <w:rsid w:val="00781D2B"/>
    <w:rsid w:val="0078262E"/>
    <w:rsid w:val="00783110"/>
    <w:rsid w:val="00784370"/>
    <w:rsid w:val="00784E97"/>
    <w:rsid w:val="007850AD"/>
    <w:rsid w:val="0078560F"/>
    <w:rsid w:val="007877C3"/>
    <w:rsid w:val="0078784D"/>
    <w:rsid w:val="00790570"/>
    <w:rsid w:val="007907B0"/>
    <w:rsid w:val="00790C01"/>
    <w:rsid w:val="007910ED"/>
    <w:rsid w:val="007915A6"/>
    <w:rsid w:val="007926FB"/>
    <w:rsid w:val="00792C0A"/>
    <w:rsid w:val="00793252"/>
    <w:rsid w:val="007933FA"/>
    <w:rsid w:val="007938CD"/>
    <w:rsid w:val="00793A84"/>
    <w:rsid w:val="00793C41"/>
    <w:rsid w:val="00793EE3"/>
    <w:rsid w:val="00793F80"/>
    <w:rsid w:val="00794285"/>
    <w:rsid w:val="00794C10"/>
    <w:rsid w:val="00794D08"/>
    <w:rsid w:val="007950E9"/>
    <w:rsid w:val="007957B2"/>
    <w:rsid w:val="0079595D"/>
    <w:rsid w:val="00795BFC"/>
    <w:rsid w:val="00795CCD"/>
    <w:rsid w:val="00796ED7"/>
    <w:rsid w:val="007A058F"/>
    <w:rsid w:val="007A06AD"/>
    <w:rsid w:val="007A0D77"/>
    <w:rsid w:val="007A18B2"/>
    <w:rsid w:val="007A19CB"/>
    <w:rsid w:val="007A2449"/>
    <w:rsid w:val="007A3368"/>
    <w:rsid w:val="007A3AA6"/>
    <w:rsid w:val="007A4139"/>
    <w:rsid w:val="007A5012"/>
    <w:rsid w:val="007A5252"/>
    <w:rsid w:val="007A559E"/>
    <w:rsid w:val="007A6A6C"/>
    <w:rsid w:val="007A6DB1"/>
    <w:rsid w:val="007A6E42"/>
    <w:rsid w:val="007A76A3"/>
    <w:rsid w:val="007B02CB"/>
    <w:rsid w:val="007B06CC"/>
    <w:rsid w:val="007B0766"/>
    <w:rsid w:val="007B09A7"/>
    <w:rsid w:val="007B143C"/>
    <w:rsid w:val="007B195C"/>
    <w:rsid w:val="007B20A6"/>
    <w:rsid w:val="007B315D"/>
    <w:rsid w:val="007B3E18"/>
    <w:rsid w:val="007B4EF7"/>
    <w:rsid w:val="007B663F"/>
    <w:rsid w:val="007B6B06"/>
    <w:rsid w:val="007B6E6D"/>
    <w:rsid w:val="007B7182"/>
    <w:rsid w:val="007B7391"/>
    <w:rsid w:val="007C2B93"/>
    <w:rsid w:val="007C2D1D"/>
    <w:rsid w:val="007C2F7F"/>
    <w:rsid w:val="007C366B"/>
    <w:rsid w:val="007C3774"/>
    <w:rsid w:val="007C3E3C"/>
    <w:rsid w:val="007C43F0"/>
    <w:rsid w:val="007C457B"/>
    <w:rsid w:val="007C5195"/>
    <w:rsid w:val="007C5305"/>
    <w:rsid w:val="007C57BF"/>
    <w:rsid w:val="007C5B72"/>
    <w:rsid w:val="007C63A0"/>
    <w:rsid w:val="007C63AD"/>
    <w:rsid w:val="007C7019"/>
    <w:rsid w:val="007C78D9"/>
    <w:rsid w:val="007C7BF3"/>
    <w:rsid w:val="007C7E80"/>
    <w:rsid w:val="007D0292"/>
    <w:rsid w:val="007D0639"/>
    <w:rsid w:val="007D0A3B"/>
    <w:rsid w:val="007D1130"/>
    <w:rsid w:val="007D1DB7"/>
    <w:rsid w:val="007D2078"/>
    <w:rsid w:val="007D3B3A"/>
    <w:rsid w:val="007D3B96"/>
    <w:rsid w:val="007D403A"/>
    <w:rsid w:val="007D54D5"/>
    <w:rsid w:val="007D5ACE"/>
    <w:rsid w:val="007D6C35"/>
    <w:rsid w:val="007D7BC6"/>
    <w:rsid w:val="007E0425"/>
    <w:rsid w:val="007E1339"/>
    <w:rsid w:val="007E1427"/>
    <w:rsid w:val="007E1CA4"/>
    <w:rsid w:val="007E3164"/>
    <w:rsid w:val="007E3215"/>
    <w:rsid w:val="007E4662"/>
    <w:rsid w:val="007E46D4"/>
    <w:rsid w:val="007E67F6"/>
    <w:rsid w:val="007E6D38"/>
    <w:rsid w:val="007E7090"/>
    <w:rsid w:val="007E76A2"/>
    <w:rsid w:val="007E79D2"/>
    <w:rsid w:val="007E7C97"/>
    <w:rsid w:val="007F005B"/>
    <w:rsid w:val="007F03EF"/>
    <w:rsid w:val="007F11C6"/>
    <w:rsid w:val="007F1710"/>
    <w:rsid w:val="007F27EF"/>
    <w:rsid w:val="007F2920"/>
    <w:rsid w:val="007F29B5"/>
    <w:rsid w:val="007F2CCE"/>
    <w:rsid w:val="007F3591"/>
    <w:rsid w:val="007F3A9B"/>
    <w:rsid w:val="007F56A7"/>
    <w:rsid w:val="007F651C"/>
    <w:rsid w:val="007F7175"/>
    <w:rsid w:val="007F7605"/>
    <w:rsid w:val="00800138"/>
    <w:rsid w:val="00800445"/>
    <w:rsid w:val="0080047B"/>
    <w:rsid w:val="00800769"/>
    <w:rsid w:val="008019E6"/>
    <w:rsid w:val="00801C4C"/>
    <w:rsid w:val="00801C77"/>
    <w:rsid w:val="00802BA7"/>
    <w:rsid w:val="00802D84"/>
    <w:rsid w:val="008031C4"/>
    <w:rsid w:val="008037D2"/>
    <w:rsid w:val="008037E0"/>
    <w:rsid w:val="0080383F"/>
    <w:rsid w:val="00803907"/>
    <w:rsid w:val="00803908"/>
    <w:rsid w:val="00803CB0"/>
    <w:rsid w:val="00803FCD"/>
    <w:rsid w:val="008046A2"/>
    <w:rsid w:val="00804E20"/>
    <w:rsid w:val="00805AD0"/>
    <w:rsid w:val="00806C10"/>
    <w:rsid w:val="008077BB"/>
    <w:rsid w:val="00807EE7"/>
    <w:rsid w:val="008101FB"/>
    <w:rsid w:val="00810E79"/>
    <w:rsid w:val="00811334"/>
    <w:rsid w:val="00811959"/>
    <w:rsid w:val="008123B5"/>
    <w:rsid w:val="00812572"/>
    <w:rsid w:val="0081291B"/>
    <w:rsid w:val="008129E0"/>
    <w:rsid w:val="00812A5A"/>
    <w:rsid w:val="00812E24"/>
    <w:rsid w:val="008130B5"/>
    <w:rsid w:val="00813F31"/>
    <w:rsid w:val="008144FD"/>
    <w:rsid w:val="008149F2"/>
    <w:rsid w:val="00815078"/>
    <w:rsid w:val="00816781"/>
    <w:rsid w:val="00816C64"/>
    <w:rsid w:val="00817221"/>
    <w:rsid w:val="008173C0"/>
    <w:rsid w:val="00817E7E"/>
    <w:rsid w:val="00820D07"/>
    <w:rsid w:val="0082102C"/>
    <w:rsid w:val="00821418"/>
    <w:rsid w:val="00821476"/>
    <w:rsid w:val="00821F6B"/>
    <w:rsid w:val="00822BFA"/>
    <w:rsid w:val="00822D0E"/>
    <w:rsid w:val="008245E2"/>
    <w:rsid w:val="00824BFF"/>
    <w:rsid w:val="00824F73"/>
    <w:rsid w:val="00826440"/>
    <w:rsid w:val="00826DAF"/>
    <w:rsid w:val="00826F49"/>
    <w:rsid w:val="00827004"/>
    <w:rsid w:val="008272EA"/>
    <w:rsid w:val="00830C2F"/>
    <w:rsid w:val="00830F4A"/>
    <w:rsid w:val="00830F93"/>
    <w:rsid w:val="0083165F"/>
    <w:rsid w:val="00831D34"/>
    <w:rsid w:val="00833550"/>
    <w:rsid w:val="0083376D"/>
    <w:rsid w:val="008337BB"/>
    <w:rsid w:val="008344D7"/>
    <w:rsid w:val="00834A39"/>
    <w:rsid w:val="008351A9"/>
    <w:rsid w:val="00835D81"/>
    <w:rsid w:val="00836377"/>
    <w:rsid w:val="008363F2"/>
    <w:rsid w:val="008366CC"/>
    <w:rsid w:val="00836AB1"/>
    <w:rsid w:val="00836D67"/>
    <w:rsid w:val="00836E1D"/>
    <w:rsid w:val="00836E7E"/>
    <w:rsid w:val="008377EA"/>
    <w:rsid w:val="00840E01"/>
    <w:rsid w:val="008411EF"/>
    <w:rsid w:val="00841652"/>
    <w:rsid w:val="00841B38"/>
    <w:rsid w:val="00841DD5"/>
    <w:rsid w:val="00841F92"/>
    <w:rsid w:val="008433AE"/>
    <w:rsid w:val="008438BF"/>
    <w:rsid w:val="00844C6C"/>
    <w:rsid w:val="00844C7A"/>
    <w:rsid w:val="008458A2"/>
    <w:rsid w:val="0084595D"/>
    <w:rsid w:val="00845A2F"/>
    <w:rsid w:val="00845C97"/>
    <w:rsid w:val="00847C8B"/>
    <w:rsid w:val="00850632"/>
    <w:rsid w:val="008509B6"/>
    <w:rsid w:val="00851A25"/>
    <w:rsid w:val="00851AE3"/>
    <w:rsid w:val="00852955"/>
    <w:rsid w:val="00852CA5"/>
    <w:rsid w:val="00854618"/>
    <w:rsid w:val="008551BB"/>
    <w:rsid w:val="00855EDF"/>
    <w:rsid w:val="00856806"/>
    <w:rsid w:val="00856842"/>
    <w:rsid w:val="0085687D"/>
    <w:rsid w:val="00857DDF"/>
    <w:rsid w:val="008602A8"/>
    <w:rsid w:val="008612E2"/>
    <w:rsid w:val="008614B8"/>
    <w:rsid w:val="00861686"/>
    <w:rsid w:val="00862B44"/>
    <w:rsid w:val="0086317E"/>
    <w:rsid w:val="0086338B"/>
    <w:rsid w:val="00864BEA"/>
    <w:rsid w:val="0086582E"/>
    <w:rsid w:val="008665C5"/>
    <w:rsid w:val="00866766"/>
    <w:rsid w:val="0086694E"/>
    <w:rsid w:val="00867829"/>
    <w:rsid w:val="00867E7F"/>
    <w:rsid w:val="00870171"/>
    <w:rsid w:val="008701B4"/>
    <w:rsid w:val="008703A4"/>
    <w:rsid w:val="008705DC"/>
    <w:rsid w:val="00870A5D"/>
    <w:rsid w:val="00870B5A"/>
    <w:rsid w:val="00871B5C"/>
    <w:rsid w:val="0087206B"/>
    <w:rsid w:val="00872288"/>
    <w:rsid w:val="008726B1"/>
    <w:rsid w:val="00872704"/>
    <w:rsid w:val="00873B8A"/>
    <w:rsid w:val="00873E9B"/>
    <w:rsid w:val="00874140"/>
    <w:rsid w:val="0087517D"/>
    <w:rsid w:val="008757E7"/>
    <w:rsid w:val="00875C0C"/>
    <w:rsid w:val="00876482"/>
    <w:rsid w:val="00877480"/>
    <w:rsid w:val="00877B54"/>
    <w:rsid w:val="00877EFE"/>
    <w:rsid w:val="00880ADB"/>
    <w:rsid w:val="00881D53"/>
    <w:rsid w:val="008820E8"/>
    <w:rsid w:val="00882C21"/>
    <w:rsid w:val="00883366"/>
    <w:rsid w:val="00883D5B"/>
    <w:rsid w:val="008842CE"/>
    <w:rsid w:val="00884C2C"/>
    <w:rsid w:val="008855D4"/>
    <w:rsid w:val="00885B85"/>
    <w:rsid w:val="00885D1D"/>
    <w:rsid w:val="00885DBA"/>
    <w:rsid w:val="00885ED9"/>
    <w:rsid w:val="008863FA"/>
    <w:rsid w:val="0088642B"/>
    <w:rsid w:val="008865BE"/>
    <w:rsid w:val="00886C88"/>
    <w:rsid w:val="00886D34"/>
    <w:rsid w:val="00887733"/>
    <w:rsid w:val="0089037A"/>
    <w:rsid w:val="00890454"/>
    <w:rsid w:val="008904DE"/>
    <w:rsid w:val="008905A9"/>
    <w:rsid w:val="00890A17"/>
    <w:rsid w:val="00890B90"/>
    <w:rsid w:val="00891B38"/>
    <w:rsid w:val="0089272F"/>
    <w:rsid w:val="00892D5F"/>
    <w:rsid w:val="00893441"/>
    <w:rsid w:val="008936C9"/>
    <w:rsid w:val="008946A9"/>
    <w:rsid w:val="00894E69"/>
    <w:rsid w:val="0089514C"/>
    <w:rsid w:val="008953D9"/>
    <w:rsid w:val="008954EC"/>
    <w:rsid w:val="00895ADB"/>
    <w:rsid w:val="00895CBF"/>
    <w:rsid w:val="0089776F"/>
    <w:rsid w:val="008A0056"/>
    <w:rsid w:val="008A039F"/>
    <w:rsid w:val="008A0CC0"/>
    <w:rsid w:val="008A0E5F"/>
    <w:rsid w:val="008A102C"/>
    <w:rsid w:val="008A12D7"/>
    <w:rsid w:val="008A1ED6"/>
    <w:rsid w:val="008A2294"/>
    <w:rsid w:val="008A24E5"/>
    <w:rsid w:val="008A275F"/>
    <w:rsid w:val="008A2C7A"/>
    <w:rsid w:val="008A3AC1"/>
    <w:rsid w:val="008A3B68"/>
    <w:rsid w:val="008A3BB7"/>
    <w:rsid w:val="008A3C5E"/>
    <w:rsid w:val="008A4A05"/>
    <w:rsid w:val="008A4AFB"/>
    <w:rsid w:val="008A5992"/>
    <w:rsid w:val="008A5B6A"/>
    <w:rsid w:val="008A5DB3"/>
    <w:rsid w:val="008A6878"/>
    <w:rsid w:val="008A6ED3"/>
    <w:rsid w:val="008A7A5B"/>
    <w:rsid w:val="008A7D29"/>
    <w:rsid w:val="008B0792"/>
    <w:rsid w:val="008B0B0B"/>
    <w:rsid w:val="008B0F69"/>
    <w:rsid w:val="008B2F75"/>
    <w:rsid w:val="008B4495"/>
    <w:rsid w:val="008B44D9"/>
    <w:rsid w:val="008B4CAB"/>
    <w:rsid w:val="008B5D4F"/>
    <w:rsid w:val="008B636F"/>
    <w:rsid w:val="008B7136"/>
    <w:rsid w:val="008B71E4"/>
    <w:rsid w:val="008B74C9"/>
    <w:rsid w:val="008B7A86"/>
    <w:rsid w:val="008C004D"/>
    <w:rsid w:val="008C0225"/>
    <w:rsid w:val="008C0ADF"/>
    <w:rsid w:val="008C0DC9"/>
    <w:rsid w:val="008C1298"/>
    <w:rsid w:val="008C1544"/>
    <w:rsid w:val="008C1E12"/>
    <w:rsid w:val="008C25FC"/>
    <w:rsid w:val="008C2B71"/>
    <w:rsid w:val="008C2B84"/>
    <w:rsid w:val="008C31A3"/>
    <w:rsid w:val="008C4695"/>
    <w:rsid w:val="008C5767"/>
    <w:rsid w:val="008C5881"/>
    <w:rsid w:val="008C5972"/>
    <w:rsid w:val="008C728E"/>
    <w:rsid w:val="008C7934"/>
    <w:rsid w:val="008C79A2"/>
    <w:rsid w:val="008D0894"/>
    <w:rsid w:val="008D0D10"/>
    <w:rsid w:val="008D12BD"/>
    <w:rsid w:val="008D1B85"/>
    <w:rsid w:val="008D287B"/>
    <w:rsid w:val="008D32D4"/>
    <w:rsid w:val="008D4818"/>
    <w:rsid w:val="008D51B3"/>
    <w:rsid w:val="008D52B5"/>
    <w:rsid w:val="008D5373"/>
    <w:rsid w:val="008D555C"/>
    <w:rsid w:val="008D6398"/>
    <w:rsid w:val="008D795F"/>
    <w:rsid w:val="008E0EEF"/>
    <w:rsid w:val="008E257E"/>
    <w:rsid w:val="008E269A"/>
    <w:rsid w:val="008E2A0E"/>
    <w:rsid w:val="008E327D"/>
    <w:rsid w:val="008E39C3"/>
    <w:rsid w:val="008E3C8B"/>
    <w:rsid w:val="008E3DD5"/>
    <w:rsid w:val="008E4544"/>
    <w:rsid w:val="008E4CD3"/>
    <w:rsid w:val="008E53EF"/>
    <w:rsid w:val="008E5547"/>
    <w:rsid w:val="008E5C56"/>
    <w:rsid w:val="008E7162"/>
    <w:rsid w:val="008E7299"/>
    <w:rsid w:val="008E72D2"/>
    <w:rsid w:val="008F0A4A"/>
    <w:rsid w:val="008F0BBF"/>
    <w:rsid w:val="008F0FBC"/>
    <w:rsid w:val="008F0FBE"/>
    <w:rsid w:val="008F2979"/>
    <w:rsid w:val="008F38A3"/>
    <w:rsid w:val="008F39CA"/>
    <w:rsid w:val="008F453D"/>
    <w:rsid w:val="008F586D"/>
    <w:rsid w:val="008F62B0"/>
    <w:rsid w:val="008F66AC"/>
    <w:rsid w:val="008F6CC2"/>
    <w:rsid w:val="008F735B"/>
    <w:rsid w:val="008F7922"/>
    <w:rsid w:val="008F7DAF"/>
    <w:rsid w:val="008F7EFB"/>
    <w:rsid w:val="009016CC"/>
    <w:rsid w:val="00901C52"/>
    <w:rsid w:val="00902140"/>
    <w:rsid w:val="00902E1D"/>
    <w:rsid w:val="009033B2"/>
    <w:rsid w:val="009052D5"/>
    <w:rsid w:val="009055E1"/>
    <w:rsid w:val="00905E8E"/>
    <w:rsid w:val="009068CE"/>
    <w:rsid w:val="00906A0A"/>
    <w:rsid w:val="00906F67"/>
    <w:rsid w:val="00907802"/>
    <w:rsid w:val="00907F91"/>
    <w:rsid w:val="009108DD"/>
    <w:rsid w:val="00910C8B"/>
    <w:rsid w:val="00911038"/>
    <w:rsid w:val="00911104"/>
    <w:rsid w:val="00911C50"/>
    <w:rsid w:val="00911CB6"/>
    <w:rsid w:val="00911DF9"/>
    <w:rsid w:val="00912BB2"/>
    <w:rsid w:val="00913A5E"/>
    <w:rsid w:val="00913F6E"/>
    <w:rsid w:val="0091409A"/>
    <w:rsid w:val="00914CC6"/>
    <w:rsid w:val="00914E10"/>
    <w:rsid w:val="00915F79"/>
    <w:rsid w:val="00916005"/>
    <w:rsid w:val="009164E4"/>
    <w:rsid w:val="0091663D"/>
    <w:rsid w:val="00916920"/>
    <w:rsid w:val="009170B8"/>
    <w:rsid w:val="00917BFD"/>
    <w:rsid w:val="00917DF7"/>
    <w:rsid w:val="0092022B"/>
    <w:rsid w:val="00920431"/>
    <w:rsid w:val="009205D2"/>
    <w:rsid w:val="00920B3B"/>
    <w:rsid w:val="00920C50"/>
    <w:rsid w:val="00921EFD"/>
    <w:rsid w:val="00921F05"/>
    <w:rsid w:val="009220D2"/>
    <w:rsid w:val="00922511"/>
    <w:rsid w:val="0092283D"/>
    <w:rsid w:val="0092298D"/>
    <w:rsid w:val="00924935"/>
    <w:rsid w:val="00924C53"/>
    <w:rsid w:val="00926391"/>
    <w:rsid w:val="0092647C"/>
    <w:rsid w:val="00926767"/>
    <w:rsid w:val="00927448"/>
    <w:rsid w:val="009274D2"/>
    <w:rsid w:val="009279B9"/>
    <w:rsid w:val="0093005A"/>
    <w:rsid w:val="00930B71"/>
    <w:rsid w:val="00931428"/>
    <w:rsid w:val="00932041"/>
    <w:rsid w:val="0093248A"/>
    <w:rsid w:val="00932FF1"/>
    <w:rsid w:val="00933D1B"/>
    <w:rsid w:val="00934A00"/>
    <w:rsid w:val="00935BF8"/>
    <w:rsid w:val="00935FCC"/>
    <w:rsid w:val="00935FDF"/>
    <w:rsid w:val="00936ECB"/>
    <w:rsid w:val="00937D4F"/>
    <w:rsid w:val="009401FD"/>
    <w:rsid w:val="00940870"/>
    <w:rsid w:val="00940D0E"/>
    <w:rsid w:val="00940FB5"/>
    <w:rsid w:val="00941219"/>
    <w:rsid w:val="00941356"/>
    <w:rsid w:val="00941469"/>
    <w:rsid w:val="0094193E"/>
    <w:rsid w:val="00942285"/>
    <w:rsid w:val="009423E7"/>
    <w:rsid w:val="009428F6"/>
    <w:rsid w:val="009432AE"/>
    <w:rsid w:val="00943897"/>
    <w:rsid w:val="00943DD6"/>
    <w:rsid w:val="009449B0"/>
    <w:rsid w:val="00944E17"/>
    <w:rsid w:val="00944E5B"/>
    <w:rsid w:val="0094586D"/>
    <w:rsid w:val="0094648D"/>
    <w:rsid w:val="00946985"/>
    <w:rsid w:val="00946F43"/>
    <w:rsid w:val="009473F9"/>
    <w:rsid w:val="00947814"/>
    <w:rsid w:val="00947AE1"/>
    <w:rsid w:val="0095013A"/>
    <w:rsid w:val="00950C4B"/>
    <w:rsid w:val="00951B49"/>
    <w:rsid w:val="009528E5"/>
    <w:rsid w:val="00953027"/>
    <w:rsid w:val="00953E79"/>
    <w:rsid w:val="009541A3"/>
    <w:rsid w:val="00954860"/>
    <w:rsid w:val="00954EF8"/>
    <w:rsid w:val="009550A0"/>
    <w:rsid w:val="009550C8"/>
    <w:rsid w:val="00955294"/>
    <w:rsid w:val="00955B66"/>
    <w:rsid w:val="00956F38"/>
    <w:rsid w:val="0095720C"/>
    <w:rsid w:val="009573C1"/>
    <w:rsid w:val="00957A65"/>
    <w:rsid w:val="009600EA"/>
    <w:rsid w:val="009601F3"/>
    <w:rsid w:val="009605C3"/>
    <w:rsid w:val="0096074B"/>
    <w:rsid w:val="00961951"/>
    <w:rsid w:val="009625CB"/>
    <w:rsid w:val="00962F0F"/>
    <w:rsid w:val="00964414"/>
    <w:rsid w:val="00964659"/>
    <w:rsid w:val="00965143"/>
    <w:rsid w:val="0096553B"/>
    <w:rsid w:val="009663FF"/>
    <w:rsid w:val="00966FEF"/>
    <w:rsid w:val="009672BE"/>
    <w:rsid w:val="00967375"/>
    <w:rsid w:val="00967BEB"/>
    <w:rsid w:val="0097064C"/>
    <w:rsid w:val="00971013"/>
    <w:rsid w:val="00971AE1"/>
    <w:rsid w:val="00973172"/>
    <w:rsid w:val="0097481C"/>
    <w:rsid w:val="00974DDF"/>
    <w:rsid w:val="00974E25"/>
    <w:rsid w:val="009751A8"/>
    <w:rsid w:val="009754A6"/>
    <w:rsid w:val="00975CCB"/>
    <w:rsid w:val="009762DA"/>
    <w:rsid w:val="00976799"/>
    <w:rsid w:val="00976D8A"/>
    <w:rsid w:val="00980488"/>
    <w:rsid w:val="00980663"/>
    <w:rsid w:val="00980832"/>
    <w:rsid w:val="00980B1B"/>
    <w:rsid w:val="00980BF3"/>
    <w:rsid w:val="00981541"/>
    <w:rsid w:val="00981A75"/>
    <w:rsid w:val="009820C4"/>
    <w:rsid w:val="00982D7C"/>
    <w:rsid w:val="00984387"/>
    <w:rsid w:val="00984688"/>
    <w:rsid w:val="009846DA"/>
    <w:rsid w:val="00984B0C"/>
    <w:rsid w:val="00984BC3"/>
    <w:rsid w:val="009853E4"/>
    <w:rsid w:val="009855A8"/>
    <w:rsid w:val="009858E6"/>
    <w:rsid w:val="009863DE"/>
    <w:rsid w:val="0098689F"/>
    <w:rsid w:val="00986D3A"/>
    <w:rsid w:val="0098775A"/>
    <w:rsid w:val="00987A1D"/>
    <w:rsid w:val="00987E41"/>
    <w:rsid w:val="00990792"/>
    <w:rsid w:val="00990E2A"/>
    <w:rsid w:val="00993708"/>
    <w:rsid w:val="00993B21"/>
    <w:rsid w:val="009942EB"/>
    <w:rsid w:val="0099430D"/>
    <w:rsid w:val="00994393"/>
    <w:rsid w:val="00994BB5"/>
    <w:rsid w:val="00995D22"/>
    <w:rsid w:val="00995D44"/>
    <w:rsid w:val="00996386"/>
    <w:rsid w:val="00996574"/>
    <w:rsid w:val="00997331"/>
    <w:rsid w:val="00997396"/>
    <w:rsid w:val="00997546"/>
    <w:rsid w:val="00997AD3"/>
    <w:rsid w:val="00997F81"/>
    <w:rsid w:val="009A0D56"/>
    <w:rsid w:val="009A1122"/>
    <w:rsid w:val="009A19EA"/>
    <w:rsid w:val="009A209C"/>
    <w:rsid w:val="009A2CDA"/>
    <w:rsid w:val="009A2EB7"/>
    <w:rsid w:val="009A3967"/>
    <w:rsid w:val="009A3BC9"/>
    <w:rsid w:val="009A4187"/>
    <w:rsid w:val="009A4F6A"/>
    <w:rsid w:val="009A53F6"/>
    <w:rsid w:val="009A5474"/>
    <w:rsid w:val="009A59CB"/>
    <w:rsid w:val="009A5D6C"/>
    <w:rsid w:val="009A6BCA"/>
    <w:rsid w:val="009A6DC2"/>
    <w:rsid w:val="009A6E4F"/>
    <w:rsid w:val="009A7182"/>
    <w:rsid w:val="009A740E"/>
    <w:rsid w:val="009A762B"/>
    <w:rsid w:val="009B06E3"/>
    <w:rsid w:val="009B1548"/>
    <w:rsid w:val="009B15BD"/>
    <w:rsid w:val="009B1C33"/>
    <w:rsid w:val="009B1DEB"/>
    <w:rsid w:val="009B22A9"/>
    <w:rsid w:val="009B2465"/>
    <w:rsid w:val="009B2FC8"/>
    <w:rsid w:val="009B3104"/>
    <w:rsid w:val="009B32AA"/>
    <w:rsid w:val="009B4CB4"/>
    <w:rsid w:val="009B5152"/>
    <w:rsid w:val="009B52E8"/>
    <w:rsid w:val="009B52FE"/>
    <w:rsid w:val="009B661F"/>
    <w:rsid w:val="009B6E92"/>
    <w:rsid w:val="009B75EE"/>
    <w:rsid w:val="009B7BDB"/>
    <w:rsid w:val="009C0422"/>
    <w:rsid w:val="009C173A"/>
    <w:rsid w:val="009C1815"/>
    <w:rsid w:val="009C49FB"/>
    <w:rsid w:val="009C4ADF"/>
    <w:rsid w:val="009C4DF0"/>
    <w:rsid w:val="009C5026"/>
    <w:rsid w:val="009C76CD"/>
    <w:rsid w:val="009D1C3B"/>
    <w:rsid w:val="009D1C49"/>
    <w:rsid w:val="009D1E8A"/>
    <w:rsid w:val="009D2573"/>
    <w:rsid w:val="009D2998"/>
    <w:rsid w:val="009D29D0"/>
    <w:rsid w:val="009D29EA"/>
    <w:rsid w:val="009D2B22"/>
    <w:rsid w:val="009D3167"/>
    <w:rsid w:val="009D3454"/>
    <w:rsid w:val="009D3523"/>
    <w:rsid w:val="009D36EF"/>
    <w:rsid w:val="009D3999"/>
    <w:rsid w:val="009D3B16"/>
    <w:rsid w:val="009D3BC4"/>
    <w:rsid w:val="009D4E6F"/>
    <w:rsid w:val="009D56B3"/>
    <w:rsid w:val="009D5B2E"/>
    <w:rsid w:val="009D5DEB"/>
    <w:rsid w:val="009D641E"/>
    <w:rsid w:val="009D6FCE"/>
    <w:rsid w:val="009D7272"/>
    <w:rsid w:val="009D76C7"/>
    <w:rsid w:val="009D7C1B"/>
    <w:rsid w:val="009E019B"/>
    <w:rsid w:val="009E07C5"/>
    <w:rsid w:val="009E15E8"/>
    <w:rsid w:val="009E1883"/>
    <w:rsid w:val="009E18D1"/>
    <w:rsid w:val="009E1D7E"/>
    <w:rsid w:val="009E1F89"/>
    <w:rsid w:val="009E282B"/>
    <w:rsid w:val="009E37E4"/>
    <w:rsid w:val="009E3CBC"/>
    <w:rsid w:val="009E3E04"/>
    <w:rsid w:val="009E4140"/>
    <w:rsid w:val="009E4B48"/>
    <w:rsid w:val="009E53DE"/>
    <w:rsid w:val="009E5C18"/>
    <w:rsid w:val="009E6982"/>
    <w:rsid w:val="009E6A89"/>
    <w:rsid w:val="009E6CEE"/>
    <w:rsid w:val="009E7202"/>
    <w:rsid w:val="009E73AE"/>
    <w:rsid w:val="009E79BD"/>
    <w:rsid w:val="009F0DF0"/>
    <w:rsid w:val="009F0ED5"/>
    <w:rsid w:val="009F1193"/>
    <w:rsid w:val="009F3777"/>
    <w:rsid w:val="009F39B0"/>
    <w:rsid w:val="009F5224"/>
    <w:rsid w:val="009F58CA"/>
    <w:rsid w:val="009F5B7A"/>
    <w:rsid w:val="009F69F7"/>
    <w:rsid w:val="009F6B6F"/>
    <w:rsid w:val="009F7F42"/>
    <w:rsid w:val="00A0066C"/>
    <w:rsid w:val="00A00CDD"/>
    <w:rsid w:val="00A02018"/>
    <w:rsid w:val="00A024CA"/>
    <w:rsid w:val="00A0280B"/>
    <w:rsid w:val="00A02DA6"/>
    <w:rsid w:val="00A03634"/>
    <w:rsid w:val="00A041E5"/>
    <w:rsid w:val="00A046C6"/>
    <w:rsid w:val="00A048C1"/>
    <w:rsid w:val="00A04F63"/>
    <w:rsid w:val="00A0532B"/>
    <w:rsid w:val="00A0546D"/>
    <w:rsid w:val="00A0563D"/>
    <w:rsid w:val="00A063A3"/>
    <w:rsid w:val="00A0722F"/>
    <w:rsid w:val="00A1031C"/>
    <w:rsid w:val="00A1061F"/>
    <w:rsid w:val="00A10703"/>
    <w:rsid w:val="00A11A89"/>
    <w:rsid w:val="00A11D31"/>
    <w:rsid w:val="00A1247E"/>
    <w:rsid w:val="00A126D0"/>
    <w:rsid w:val="00A1321C"/>
    <w:rsid w:val="00A137EF"/>
    <w:rsid w:val="00A13D95"/>
    <w:rsid w:val="00A14285"/>
    <w:rsid w:val="00A1431F"/>
    <w:rsid w:val="00A14544"/>
    <w:rsid w:val="00A14A39"/>
    <w:rsid w:val="00A14DBF"/>
    <w:rsid w:val="00A15E01"/>
    <w:rsid w:val="00A165F2"/>
    <w:rsid w:val="00A16C6D"/>
    <w:rsid w:val="00A16CE2"/>
    <w:rsid w:val="00A16ED9"/>
    <w:rsid w:val="00A178F1"/>
    <w:rsid w:val="00A20682"/>
    <w:rsid w:val="00A20C01"/>
    <w:rsid w:val="00A21EE0"/>
    <w:rsid w:val="00A223D2"/>
    <w:rsid w:val="00A225BF"/>
    <w:rsid w:val="00A22928"/>
    <w:rsid w:val="00A22FBA"/>
    <w:rsid w:val="00A22FEB"/>
    <w:rsid w:val="00A230BD"/>
    <w:rsid w:val="00A23D57"/>
    <w:rsid w:val="00A26BC5"/>
    <w:rsid w:val="00A27646"/>
    <w:rsid w:val="00A27D7F"/>
    <w:rsid w:val="00A27EB9"/>
    <w:rsid w:val="00A30B8C"/>
    <w:rsid w:val="00A310F5"/>
    <w:rsid w:val="00A31AFE"/>
    <w:rsid w:val="00A32448"/>
    <w:rsid w:val="00A32AC8"/>
    <w:rsid w:val="00A32E98"/>
    <w:rsid w:val="00A334A2"/>
    <w:rsid w:val="00A33AFB"/>
    <w:rsid w:val="00A33EC5"/>
    <w:rsid w:val="00A34047"/>
    <w:rsid w:val="00A3446E"/>
    <w:rsid w:val="00A344D4"/>
    <w:rsid w:val="00A34727"/>
    <w:rsid w:val="00A34EBA"/>
    <w:rsid w:val="00A36DCC"/>
    <w:rsid w:val="00A3735C"/>
    <w:rsid w:val="00A375C3"/>
    <w:rsid w:val="00A379DC"/>
    <w:rsid w:val="00A37EBE"/>
    <w:rsid w:val="00A40283"/>
    <w:rsid w:val="00A4064A"/>
    <w:rsid w:val="00A40D67"/>
    <w:rsid w:val="00A40F2E"/>
    <w:rsid w:val="00A40F34"/>
    <w:rsid w:val="00A41027"/>
    <w:rsid w:val="00A410CA"/>
    <w:rsid w:val="00A411FC"/>
    <w:rsid w:val="00A41C77"/>
    <w:rsid w:val="00A41F68"/>
    <w:rsid w:val="00A4204F"/>
    <w:rsid w:val="00A420D7"/>
    <w:rsid w:val="00A42183"/>
    <w:rsid w:val="00A437FB"/>
    <w:rsid w:val="00A43DE3"/>
    <w:rsid w:val="00A44A19"/>
    <w:rsid w:val="00A4614D"/>
    <w:rsid w:val="00A477CF"/>
    <w:rsid w:val="00A47A7E"/>
    <w:rsid w:val="00A504BD"/>
    <w:rsid w:val="00A505DE"/>
    <w:rsid w:val="00A5091C"/>
    <w:rsid w:val="00A50F38"/>
    <w:rsid w:val="00A51368"/>
    <w:rsid w:val="00A53335"/>
    <w:rsid w:val="00A53883"/>
    <w:rsid w:val="00A53A03"/>
    <w:rsid w:val="00A53F4E"/>
    <w:rsid w:val="00A53FD3"/>
    <w:rsid w:val="00A5548F"/>
    <w:rsid w:val="00A55B91"/>
    <w:rsid w:val="00A561DB"/>
    <w:rsid w:val="00A562C1"/>
    <w:rsid w:val="00A56C0C"/>
    <w:rsid w:val="00A57230"/>
    <w:rsid w:val="00A572DF"/>
    <w:rsid w:val="00A57F95"/>
    <w:rsid w:val="00A601C3"/>
    <w:rsid w:val="00A60297"/>
    <w:rsid w:val="00A60CC0"/>
    <w:rsid w:val="00A610B3"/>
    <w:rsid w:val="00A61681"/>
    <w:rsid w:val="00A61685"/>
    <w:rsid w:val="00A6281E"/>
    <w:rsid w:val="00A63ACF"/>
    <w:rsid w:val="00A63FAE"/>
    <w:rsid w:val="00A64F98"/>
    <w:rsid w:val="00A659A1"/>
    <w:rsid w:val="00A65D80"/>
    <w:rsid w:val="00A66148"/>
    <w:rsid w:val="00A700B1"/>
    <w:rsid w:val="00A707DE"/>
    <w:rsid w:val="00A70CCF"/>
    <w:rsid w:val="00A71E32"/>
    <w:rsid w:val="00A73AAD"/>
    <w:rsid w:val="00A74C12"/>
    <w:rsid w:val="00A753AF"/>
    <w:rsid w:val="00A754F3"/>
    <w:rsid w:val="00A7644C"/>
    <w:rsid w:val="00A76CBE"/>
    <w:rsid w:val="00A80552"/>
    <w:rsid w:val="00A80622"/>
    <w:rsid w:val="00A81E46"/>
    <w:rsid w:val="00A82E4B"/>
    <w:rsid w:val="00A83735"/>
    <w:rsid w:val="00A838D4"/>
    <w:rsid w:val="00A841C9"/>
    <w:rsid w:val="00A84917"/>
    <w:rsid w:val="00A85075"/>
    <w:rsid w:val="00A85131"/>
    <w:rsid w:val="00A865AB"/>
    <w:rsid w:val="00A87491"/>
    <w:rsid w:val="00A87901"/>
    <w:rsid w:val="00A91065"/>
    <w:rsid w:val="00A91C14"/>
    <w:rsid w:val="00A933CB"/>
    <w:rsid w:val="00A93B49"/>
    <w:rsid w:val="00A93E11"/>
    <w:rsid w:val="00A94116"/>
    <w:rsid w:val="00A95165"/>
    <w:rsid w:val="00A958FE"/>
    <w:rsid w:val="00A963DA"/>
    <w:rsid w:val="00A964F0"/>
    <w:rsid w:val="00A96FED"/>
    <w:rsid w:val="00A9701A"/>
    <w:rsid w:val="00A97310"/>
    <w:rsid w:val="00A976CD"/>
    <w:rsid w:val="00AA11BF"/>
    <w:rsid w:val="00AA121F"/>
    <w:rsid w:val="00AA153B"/>
    <w:rsid w:val="00AA18E1"/>
    <w:rsid w:val="00AA1C39"/>
    <w:rsid w:val="00AA212A"/>
    <w:rsid w:val="00AA3DC1"/>
    <w:rsid w:val="00AA3ECA"/>
    <w:rsid w:val="00AA449A"/>
    <w:rsid w:val="00AA56CE"/>
    <w:rsid w:val="00AA5D02"/>
    <w:rsid w:val="00AA6779"/>
    <w:rsid w:val="00AA6A52"/>
    <w:rsid w:val="00AA772F"/>
    <w:rsid w:val="00AA7D24"/>
    <w:rsid w:val="00AB09D6"/>
    <w:rsid w:val="00AB0A80"/>
    <w:rsid w:val="00AB0BC0"/>
    <w:rsid w:val="00AB0D38"/>
    <w:rsid w:val="00AB1B4A"/>
    <w:rsid w:val="00AB21FB"/>
    <w:rsid w:val="00AB2A5D"/>
    <w:rsid w:val="00AB378B"/>
    <w:rsid w:val="00AB3CBD"/>
    <w:rsid w:val="00AB40BC"/>
    <w:rsid w:val="00AB52BC"/>
    <w:rsid w:val="00AB52F2"/>
    <w:rsid w:val="00AB5672"/>
    <w:rsid w:val="00AB6056"/>
    <w:rsid w:val="00AB64E9"/>
    <w:rsid w:val="00AB6D41"/>
    <w:rsid w:val="00AB6E88"/>
    <w:rsid w:val="00AB7A8F"/>
    <w:rsid w:val="00AB7E8F"/>
    <w:rsid w:val="00AC01D4"/>
    <w:rsid w:val="00AC036A"/>
    <w:rsid w:val="00AC03DC"/>
    <w:rsid w:val="00AC1D65"/>
    <w:rsid w:val="00AC25A4"/>
    <w:rsid w:val="00AC2B05"/>
    <w:rsid w:val="00AC2CF6"/>
    <w:rsid w:val="00AC4DDE"/>
    <w:rsid w:val="00AC51B4"/>
    <w:rsid w:val="00AC5D8B"/>
    <w:rsid w:val="00AC61C2"/>
    <w:rsid w:val="00AC649F"/>
    <w:rsid w:val="00AC65BD"/>
    <w:rsid w:val="00AC7373"/>
    <w:rsid w:val="00AD0A42"/>
    <w:rsid w:val="00AD0FBD"/>
    <w:rsid w:val="00AD2345"/>
    <w:rsid w:val="00AD25E8"/>
    <w:rsid w:val="00AD26F7"/>
    <w:rsid w:val="00AD2C31"/>
    <w:rsid w:val="00AD2C43"/>
    <w:rsid w:val="00AD33D6"/>
    <w:rsid w:val="00AD35DD"/>
    <w:rsid w:val="00AD38DD"/>
    <w:rsid w:val="00AD3A7F"/>
    <w:rsid w:val="00AD5871"/>
    <w:rsid w:val="00AD63E3"/>
    <w:rsid w:val="00AD669F"/>
    <w:rsid w:val="00AD756F"/>
    <w:rsid w:val="00AD7577"/>
    <w:rsid w:val="00AD7898"/>
    <w:rsid w:val="00AD7C07"/>
    <w:rsid w:val="00AD7D9A"/>
    <w:rsid w:val="00AE108C"/>
    <w:rsid w:val="00AE1461"/>
    <w:rsid w:val="00AE256A"/>
    <w:rsid w:val="00AE31A7"/>
    <w:rsid w:val="00AE34C9"/>
    <w:rsid w:val="00AE3B22"/>
    <w:rsid w:val="00AE3DCA"/>
    <w:rsid w:val="00AE4821"/>
    <w:rsid w:val="00AE4B32"/>
    <w:rsid w:val="00AE509F"/>
    <w:rsid w:val="00AE51FE"/>
    <w:rsid w:val="00AE5803"/>
    <w:rsid w:val="00AE7369"/>
    <w:rsid w:val="00AE7BB4"/>
    <w:rsid w:val="00AE7C09"/>
    <w:rsid w:val="00AF0A9E"/>
    <w:rsid w:val="00AF1248"/>
    <w:rsid w:val="00AF15A8"/>
    <w:rsid w:val="00AF20BE"/>
    <w:rsid w:val="00AF2BD9"/>
    <w:rsid w:val="00AF2CAE"/>
    <w:rsid w:val="00AF2EA7"/>
    <w:rsid w:val="00AF3316"/>
    <w:rsid w:val="00AF34A7"/>
    <w:rsid w:val="00AF3A3C"/>
    <w:rsid w:val="00AF3AD8"/>
    <w:rsid w:val="00AF45D7"/>
    <w:rsid w:val="00AF4A54"/>
    <w:rsid w:val="00AF4ECF"/>
    <w:rsid w:val="00AF5488"/>
    <w:rsid w:val="00AF55B6"/>
    <w:rsid w:val="00AF6C83"/>
    <w:rsid w:val="00AF7C23"/>
    <w:rsid w:val="00AF7F1E"/>
    <w:rsid w:val="00B00430"/>
    <w:rsid w:val="00B00A51"/>
    <w:rsid w:val="00B015F8"/>
    <w:rsid w:val="00B01A74"/>
    <w:rsid w:val="00B0264B"/>
    <w:rsid w:val="00B02F3E"/>
    <w:rsid w:val="00B0387B"/>
    <w:rsid w:val="00B038E1"/>
    <w:rsid w:val="00B05698"/>
    <w:rsid w:val="00B05AA4"/>
    <w:rsid w:val="00B05B3C"/>
    <w:rsid w:val="00B05B8B"/>
    <w:rsid w:val="00B06414"/>
    <w:rsid w:val="00B06474"/>
    <w:rsid w:val="00B0714A"/>
    <w:rsid w:val="00B07CB9"/>
    <w:rsid w:val="00B10948"/>
    <w:rsid w:val="00B11B21"/>
    <w:rsid w:val="00B12144"/>
    <w:rsid w:val="00B12316"/>
    <w:rsid w:val="00B126EA"/>
    <w:rsid w:val="00B1277D"/>
    <w:rsid w:val="00B1362F"/>
    <w:rsid w:val="00B13BF8"/>
    <w:rsid w:val="00B1477B"/>
    <w:rsid w:val="00B160BD"/>
    <w:rsid w:val="00B16292"/>
    <w:rsid w:val="00B16EF2"/>
    <w:rsid w:val="00B173BC"/>
    <w:rsid w:val="00B176E6"/>
    <w:rsid w:val="00B17D23"/>
    <w:rsid w:val="00B17F51"/>
    <w:rsid w:val="00B20A63"/>
    <w:rsid w:val="00B20AFF"/>
    <w:rsid w:val="00B20B5E"/>
    <w:rsid w:val="00B21221"/>
    <w:rsid w:val="00B22FD7"/>
    <w:rsid w:val="00B240B3"/>
    <w:rsid w:val="00B24728"/>
    <w:rsid w:val="00B24921"/>
    <w:rsid w:val="00B24A57"/>
    <w:rsid w:val="00B24C83"/>
    <w:rsid w:val="00B2517D"/>
    <w:rsid w:val="00B25DEC"/>
    <w:rsid w:val="00B26394"/>
    <w:rsid w:val="00B2688C"/>
    <w:rsid w:val="00B26D5D"/>
    <w:rsid w:val="00B27799"/>
    <w:rsid w:val="00B27EA9"/>
    <w:rsid w:val="00B3044A"/>
    <w:rsid w:val="00B30DBE"/>
    <w:rsid w:val="00B30EFA"/>
    <w:rsid w:val="00B3116A"/>
    <w:rsid w:val="00B32199"/>
    <w:rsid w:val="00B32460"/>
    <w:rsid w:val="00B32AE8"/>
    <w:rsid w:val="00B33603"/>
    <w:rsid w:val="00B3411F"/>
    <w:rsid w:val="00B34FEA"/>
    <w:rsid w:val="00B35427"/>
    <w:rsid w:val="00B35485"/>
    <w:rsid w:val="00B3565F"/>
    <w:rsid w:val="00B36875"/>
    <w:rsid w:val="00B36E5C"/>
    <w:rsid w:val="00B40506"/>
    <w:rsid w:val="00B4073D"/>
    <w:rsid w:val="00B40B68"/>
    <w:rsid w:val="00B415A2"/>
    <w:rsid w:val="00B41953"/>
    <w:rsid w:val="00B41C6C"/>
    <w:rsid w:val="00B41D03"/>
    <w:rsid w:val="00B42E35"/>
    <w:rsid w:val="00B434E5"/>
    <w:rsid w:val="00B43A98"/>
    <w:rsid w:val="00B43C9F"/>
    <w:rsid w:val="00B445A7"/>
    <w:rsid w:val="00B44686"/>
    <w:rsid w:val="00B44768"/>
    <w:rsid w:val="00B44B50"/>
    <w:rsid w:val="00B46662"/>
    <w:rsid w:val="00B46BE2"/>
    <w:rsid w:val="00B472A6"/>
    <w:rsid w:val="00B47CD5"/>
    <w:rsid w:val="00B47D69"/>
    <w:rsid w:val="00B50048"/>
    <w:rsid w:val="00B50941"/>
    <w:rsid w:val="00B50F10"/>
    <w:rsid w:val="00B5197B"/>
    <w:rsid w:val="00B51A81"/>
    <w:rsid w:val="00B52D52"/>
    <w:rsid w:val="00B5306E"/>
    <w:rsid w:val="00B53721"/>
    <w:rsid w:val="00B53969"/>
    <w:rsid w:val="00B53AF3"/>
    <w:rsid w:val="00B54E9C"/>
    <w:rsid w:val="00B5504F"/>
    <w:rsid w:val="00B55AA4"/>
    <w:rsid w:val="00B55BB1"/>
    <w:rsid w:val="00B55EC5"/>
    <w:rsid w:val="00B56A38"/>
    <w:rsid w:val="00B56A6D"/>
    <w:rsid w:val="00B572ED"/>
    <w:rsid w:val="00B57EF8"/>
    <w:rsid w:val="00B615C9"/>
    <w:rsid w:val="00B6162A"/>
    <w:rsid w:val="00B626C7"/>
    <w:rsid w:val="00B629C9"/>
    <w:rsid w:val="00B638B0"/>
    <w:rsid w:val="00B658DB"/>
    <w:rsid w:val="00B65B16"/>
    <w:rsid w:val="00B65B5C"/>
    <w:rsid w:val="00B65D54"/>
    <w:rsid w:val="00B6601F"/>
    <w:rsid w:val="00B66150"/>
    <w:rsid w:val="00B66857"/>
    <w:rsid w:val="00B6704C"/>
    <w:rsid w:val="00B67DDB"/>
    <w:rsid w:val="00B67F2E"/>
    <w:rsid w:val="00B70025"/>
    <w:rsid w:val="00B7019D"/>
    <w:rsid w:val="00B70B21"/>
    <w:rsid w:val="00B70D93"/>
    <w:rsid w:val="00B73053"/>
    <w:rsid w:val="00B73BE6"/>
    <w:rsid w:val="00B73E40"/>
    <w:rsid w:val="00B74FFE"/>
    <w:rsid w:val="00B75895"/>
    <w:rsid w:val="00B75B40"/>
    <w:rsid w:val="00B7637C"/>
    <w:rsid w:val="00B76A75"/>
    <w:rsid w:val="00B77903"/>
    <w:rsid w:val="00B8066C"/>
    <w:rsid w:val="00B80855"/>
    <w:rsid w:val="00B81043"/>
    <w:rsid w:val="00B8112B"/>
    <w:rsid w:val="00B81151"/>
    <w:rsid w:val="00B813F8"/>
    <w:rsid w:val="00B81CDE"/>
    <w:rsid w:val="00B825DF"/>
    <w:rsid w:val="00B82BD9"/>
    <w:rsid w:val="00B82D6C"/>
    <w:rsid w:val="00B82E10"/>
    <w:rsid w:val="00B8305F"/>
    <w:rsid w:val="00B830F3"/>
    <w:rsid w:val="00B83211"/>
    <w:rsid w:val="00B832C3"/>
    <w:rsid w:val="00B842A5"/>
    <w:rsid w:val="00B8485E"/>
    <w:rsid w:val="00B84B92"/>
    <w:rsid w:val="00B852BD"/>
    <w:rsid w:val="00B85499"/>
    <w:rsid w:val="00B854AC"/>
    <w:rsid w:val="00B85F1A"/>
    <w:rsid w:val="00B86214"/>
    <w:rsid w:val="00B90710"/>
    <w:rsid w:val="00B90C39"/>
    <w:rsid w:val="00B91B59"/>
    <w:rsid w:val="00B91B86"/>
    <w:rsid w:val="00B9242A"/>
    <w:rsid w:val="00B92717"/>
    <w:rsid w:val="00B92EE5"/>
    <w:rsid w:val="00B938D8"/>
    <w:rsid w:val="00B93CA0"/>
    <w:rsid w:val="00B93FCB"/>
    <w:rsid w:val="00B94D81"/>
    <w:rsid w:val="00B954F6"/>
    <w:rsid w:val="00B95893"/>
    <w:rsid w:val="00B96190"/>
    <w:rsid w:val="00B9776F"/>
    <w:rsid w:val="00BA0735"/>
    <w:rsid w:val="00BA0A30"/>
    <w:rsid w:val="00BA0D48"/>
    <w:rsid w:val="00BA16CF"/>
    <w:rsid w:val="00BA1925"/>
    <w:rsid w:val="00BA1A37"/>
    <w:rsid w:val="00BA222F"/>
    <w:rsid w:val="00BA225C"/>
    <w:rsid w:val="00BA25DB"/>
    <w:rsid w:val="00BA3227"/>
    <w:rsid w:val="00BA3A23"/>
    <w:rsid w:val="00BA4358"/>
    <w:rsid w:val="00BA4547"/>
    <w:rsid w:val="00BA49C6"/>
    <w:rsid w:val="00BA6012"/>
    <w:rsid w:val="00BA640E"/>
    <w:rsid w:val="00BA6518"/>
    <w:rsid w:val="00BA6639"/>
    <w:rsid w:val="00BA6B11"/>
    <w:rsid w:val="00BA761F"/>
    <w:rsid w:val="00BB082D"/>
    <w:rsid w:val="00BB14E5"/>
    <w:rsid w:val="00BB1CDC"/>
    <w:rsid w:val="00BB2157"/>
    <w:rsid w:val="00BB2200"/>
    <w:rsid w:val="00BB2D1A"/>
    <w:rsid w:val="00BB3059"/>
    <w:rsid w:val="00BB3AA3"/>
    <w:rsid w:val="00BB3B52"/>
    <w:rsid w:val="00BB3D21"/>
    <w:rsid w:val="00BB408F"/>
    <w:rsid w:val="00BB431B"/>
    <w:rsid w:val="00BB4675"/>
    <w:rsid w:val="00BB5265"/>
    <w:rsid w:val="00BB5509"/>
    <w:rsid w:val="00BB5908"/>
    <w:rsid w:val="00BB61ED"/>
    <w:rsid w:val="00BB6E4E"/>
    <w:rsid w:val="00BB6ED0"/>
    <w:rsid w:val="00BB70DF"/>
    <w:rsid w:val="00BB70FB"/>
    <w:rsid w:val="00BB73B5"/>
    <w:rsid w:val="00BB765B"/>
    <w:rsid w:val="00BB77C2"/>
    <w:rsid w:val="00BB7A19"/>
    <w:rsid w:val="00BB7DF7"/>
    <w:rsid w:val="00BB7E60"/>
    <w:rsid w:val="00BC1466"/>
    <w:rsid w:val="00BC164C"/>
    <w:rsid w:val="00BC1FAC"/>
    <w:rsid w:val="00BC20AF"/>
    <w:rsid w:val="00BC2982"/>
    <w:rsid w:val="00BC2C67"/>
    <w:rsid w:val="00BC3FAE"/>
    <w:rsid w:val="00BC4C29"/>
    <w:rsid w:val="00BC55F4"/>
    <w:rsid w:val="00BC6408"/>
    <w:rsid w:val="00BC678B"/>
    <w:rsid w:val="00BC67F3"/>
    <w:rsid w:val="00BC7548"/>
    <w:rsid w:val="00BC7575"/>
    <w:rsid w:val="00BC7E13"/>
    <w:rsid w:val="00BD02E0"/>
    <w:rsid w:val="00BD0BCA"/>
    <w:rsid w:val="00BD118D"/>
    <w:rsid w:val="00BD12A4"/>
    <w:rsid w:val="00BD1939"/>
    <w:rsid w:val="00BD1C99"/>
    <w:rsid w:val="00BD3240"/>
    <w:rsid w:val="00BD32AF"/>
    <w:rsid w:val="00BD3374"/>
    <w:rsid w:val="00BD3967"/>
    <w:rsid w:val="00BD412A"/>
    <w:rsid w:val="00BD4257"/>
    <w:rsid w:val="00BD42B6"/>
    <w:rsid w:val="00BD4977"/>
    <w:rsid w:val="00BD4CF6"/>
    <w:rsid w:val="00BD4E68"/>
    <w:rsid w:val="00BD5D0F"/>
    <w:rsid w:val="00BD5E8C"/>
    <w:rsid w:val="00BD60A5"/>
    <w:rsid w:val="00BD6A9C"/>
    <w:rsid w:val="00BD7BCB"/>
    <w:rsid w:val="00BD7DF5"/>
    <w:rsid w:val="00BE13D8"/>
    <w:rsid w:val="00BE1B39"/>
    <w:rsid w:val="00BE1C58"/>
    <w:rsid w:val="00BE272D"/>
    <w:rsid w:val="00BE2E21"/>
    <w:rsid w:val="00BE397B"/>
    <w:rsid w:val="00BE3DBF"/>
    <w:rsid w:val="00BE450A"/>
    <w:rsid w:val="00BE463A"/>
    <w:rsid w:val="00BE4668"/>
    <w:rsid w:val="00BE4B69"/>
    <w:rsid w:val="00BE4CDA"/>
    <w:rsid w:val="00BE62A0"/>
    <w:rsid w:val="00BE6440"/>
    <w:rsid w:val="00BE75B2"/>
    <w:rsid w:val="00BF022E"/>
    <w:rsid w:val="00BF0A83"/>
    <w:rsid w:val="00BF0DE2"/>
    <w:rsid w:val="00BF17DA"/>
    <w:rsid w:val="00BF1A1B"/>
    <w:rsid w:val="00BF1A7A"/>
    <w:rsid w:val="00BF1C94"/>
    <w:rsid w:val="00BF208B"/>
    <w:rsid w:val="00BF2C7D"/>
    <w:rsid w:val="00BF30FA"/>
    <w:rsid w:val="00BF38B1"/>
    <w:rsid w:val="00BF38E6"/>
    <w:rsid w:val="00BF3DF9"/>
    <w:rsid w:val="00BF474E"/>
    <w:rsid w:val="00BF47A1"/>
    <w:rsid w:val="00BF4F30"/>
    <w:rsid w:val="00BF5068"/>
    <w:rsid w:val="00BF566D"/>
    <w:rsid w:val="00BF5815"/>
    <w:rsid w:val="00BF5C89"/>
    <w:rsid w:val="00BF64EF"/>
    <w:rsid w:val="00BF7799"/>
    <w:rsid w:val="00BF7B41"/>
    <w:rsid w:val="00C0056A"/>
    <w:rsid w:val="00C00A1B"/>
    <w:rsid w:val="00C01343"/>
    <w:rsid w:val="00C02DD3"/>
    <w:rsid w:val="00C0313E"/>
    <w:rsid w:val="00C03A26"/>
    <w:rsid w:val="00C041C3"/>
    <w:rsid w:val="00C0448D"/>
    <w:rsid w:val="00C046C9"/>
    <w:rsid w:val="00C05627"/>
    <w:rsid w:val="00C057CF"/>
    <w:rsid w:val="00C05BD1"/>
    <w:rsid w:val="00C071A0"/>
    <w:rsid w:val="00C07A9A"/>
    <w:rsid w:val="00C1001F"/>
    <w:rsid w:val="00C10777"/>
    <w:rsid w:val="00C10797"/>
    <w:rsid w:val="00C107C3"/>
    <w:rsid w:val="00C10C55"/>
    <w:rsid w:val="00C1144E"/>
    <w:rsid w:val="00C1146F"/>
    <w:rsid w:val="00C11AAD"/>
    <w:rsid w:val="00C11E18"/>
    <w:rsid w:val="00C128F1"/>
    <w:rsid w:val="00C13110"/>
    <w:rsid w:val="00C139DE"/>
    <w:rsid w:val="00C13B4A"/>
    <w:rsid w:val="00C13CEC"/>
    <w:rsid w:val="00C14230"/>
    <w:rsid w:val="00C14510"/>
    <w:rsid w:val="00C14A97"/>
    <w:rsid w:val="00C14AF9"/>
    <w:rsid w:val="00C14BE7"/>
    <w:rsid w:val="00C15540"/>
    <w:rsid w:val="00C15669"/>
    <w:rsid w:val="00C158F1"/>
    <w:rsid w:val="00C15A93"/>
    <w:rsid w:val="00C15CD0"/>
    <w:rsid w:val="00C16E01"/>
    <w:rsid w:val="00C171AE"/>
    <w:rsid w:val="00C2000A"/>
    <w:rsid w:val="00C20052"/>
    <w:rsid w:val="00C203D4"/>
    <w:rsid w:val="00C20996"/>
    <w:rsid w:val="00C21714"/>
    <w:rsid w:val="00C22038"/>
    <w:rsid w:val="00C220A8"/>
    <w:rsid w:val="00C224F5"/>
    <w:rsid w:val="00C22CE9"/>
    <w:rsid w:val="00C22F15"/>
    <w:rsid w:val="00C23B98"/>
    <w:rsid w:val="00C24669"/>
    <w:rsid w:val="00C24932"/>
    <w:rsid w:val="00C250D4"/>
    <w:rsid w:val="00C25657"/>
    <w:rsid w:val="00C257DC"/>
    <w:rsid w:val="00C263EA"/>
    <w:rsid w:val="00C263F7"/>
    <w:rsid w:val="00C26509"/>
    <w:rsid w:val="00C26B3D"/>
    <w:rsid w:val="00C2788A"/>
    <w:rsid w:val="00C27B0C"/>
    <w:rsid w:val="00C3122F"/>
    <w:rsid w:val="00C31910"/>
    <w:rsid w:val="00C31A03"/>
    <w:rsid w:val="00C31DC8"/>
    <w:rsid w:val="00C323A9"/>
    <w:rsid w:val="00C32A9B"/>
    <w:rsid w:val="00C32E3F"/>
    <w:rsid w:val="00C33332"/>
    <w:rsid w:val="00C33A20"/>
    <w:rsid w:val="00C33C4E"/>
    <w:rsid w:val="00C343C8"/>
    <w:rsid w:val="00C34D2C"/>
    <w:rsid w:val="00C35D12"/>
    <w:rsid w:val="00C360ED"/>
    <w:rsid w:val="00C36F8F"/>
    <w:rsid w:val="00C370F1"/>
    <w:rsid w:val="00C37501"/>
    <w:rsid w:val="00C37715"/>
    <w:rsid w:val="00C40452"/>
    <w:rsid w:val="00C40763"/>
    <w:rsid w:val="00C40881"/>
    <w:rsid w:val="00C40E65"/>
    <w:rsid w:val="00C412E0"/>
    <w:rsid w:val="00C42646"/>
    <w:rsid w:val="00C43F41"/>
    <w:rsid w:val="00C4553B"/>
    <w:rsid w:val="00C45565"/>
    <w:rsid w:val="00C4563D"/>
    <w:rsid w:val="00C45AD5"/>
    <w:rsid w:val="00C460A7"/>
    <w:rsid w:val="00C46AB8"/>
    <w:rsid w:val="00C46D88"/>
    <w:rsid w:val="00C47809"/>
    <w:rsid w:val="00C510E8"/>
    <w:rsid w:val="00C51193"/>
    <w:rsid w:val="00C521CD"/>
    <w:rsid w:val="00C52507"/>
    <w:rsid w:val="00C5260A"/>
    <w:rsid w:val="00C52EF5"/>
    <w:rsid w:val="00C5304E"/>
    <w:rsid w:val="00C531FD"/>
    <w:rsid w:val="00C53929"/>
    <w:rsid w:val="00C53B5E"/>
    <w:rsid w:val="00C54D48"/>
    <w:rsid w:val="00C54F4E"/>
    <w:rsid w:val="00C5532A"/>
    <w:rsid w:val="00C5542D"/>
    <w:rsid w:val="00C56865"/>
    <w:rsid w:val="00C56972"/>
    <w:rsid w:val="00C56CA6"/>
    <w:rsid w:val="00C5713E"/>
    <w:rsid w:val="00C576F1"/>
    <w:rsid w:val="00C57904"/>
    <w:rsid w:val="00C60A4B"/>
    <w:rsid w:val="00C61002"/>
    <w:rsid w:val="00C61619"/>
    <w:rsid w:val="00C616D3"/>
    <w:rsid w:val="00C61B2F"/>
    <w:rsid w:val="00C62538"/>
    <w:rsid w:val="00C625E4"/>
    <w:rsid w:val="00C63397"/>
    <w:rsid w:val="00C63C37"/>
    <w:rsid w:val="00C63D60"/>
    <w:rsid w:val="00C652C3"/>
    <w:rsid w:val="00C65750"/>
    <w:rsid w:val="00C65DA6"/>
    <w:rsid w:val="00C664A8"/>
    <w:rsid w:val="00C66580"/>
    <w:rsid w:val="00C6767C"/>
    <w:rsid w:val="00C67B6C"/>
    <w:rsid w:val="00C702B2"/>
    <w:rsid w:val="00C70489"/>
    <w:rsid w:val="00C711EA"/>
    <w:rsid w:val="00C717AF"/>
    <w:rsid w:val="00C719B4"/>
    <w:rsid w:val="00C7219A"/>
    <w:rsid w:val="00C72832"/>
    <w:rsid w:val="00C72E98"/>
    <w:rsid w:val="00C73567"/>
    <w:rsid w:val="00C73740"/>
    <w:rsid w:val="00C73943"/>
    <w:rsid w:val="00C73C07"/>
    <w:rsid w:val="00C7480B"/>
    <w:rsid w:val="00C74A2E"/>
    <w:rsid w:val="00C74EFC"/>
    <w:rsid w:val="00C76E10"/>
    <w:rsid w:val="00C76E57"/>
    <w:rsid w:val="00C77704"/>
    <w:rsid w:val="00C7773A"/>
    <w:rsid w:val="00C77DB5"/>
    <w:rsid w:val="00C77EE1"/>
    <w:rsid w:val="00C8006E"/>
    <w:rsid w:val="00C800A8"/>
    <w:rsid w:val="00C801B8"/>
    <w:rsid w:val="00C8044C"/>
    <w:rsid w:val="00C805E0"/>
    <w:rsid w:val="00C80E74"/>
    <w:rsid w:val="00C81902"/>
    <w:rsid w:val="00C81A6B"/>
    <w:rsid w:val="00C81BCF"/>
    <w:rsid w:val="00C81DA0"/>
    <w:rsid w:val="00C82DF6"/>
    <w:rsid w:val="00C83A92"/>
    <w:rsid w:val="00C83B29"/>
    <w:rsid w:val="00C84190"/>
    <w:rsid w:val="00C848AA"/>
    <w:rsid w:val="00C848BA"/>
    <w:rsid w:val="00C84BE4"/>
    <w:rsid w:val="00C8530B"/>
    <w:rsid w:val="00C8626D"/>
    <w:rsid w:val="00C86EDF"/>
    <w:rsid w:val="00C875C3"/>
    <w:rsid w:val="00C9006E"/>
    <w:rsid w:val="00C908E7"/>
    <w:rsid w:val="00C90C3F"/>
    <w:rsid w:val="00C922BE"/>
    <w:rsid w:val="00C93097"/>
    <w:rsid w:val="00C93170"/>
    <w:rsid w:val="00C93A80"/>
    <w:rsid w:val="00C93A8D"/>
    <w:rsid w:val="00C93CE2"/>
    <w:rsid w:val="00C941DE"/>
    <w:rsid w:val="00C9432B"/>
    <w:rsid w:val="00C947D8"/>
    <w:rsid w:val="00C9492A"/>
    <w:rsid w:val="00C94B59"/>
    <w:rsid w:val="00C95675"/>
    <w:rsid w:val="00C95960"/>
    <w:rsid w:val="00C959ED"/>
    <w:rsid w:val="00C959FF"/>
    <w:rsid w:val="00C95CBC"/>
    <w:rsid w:val="00C9639A"/>
    <w:rsid w:val="00C96797"/>
    <w:rsid w:val="00C96E55"/>
    <w:rsid w:val="00C9794D"/>
    <w:rsid w:val="00CA071E"/>
    <w:rsid w:val="00CA0BD2"/>
    <w:rsid w:val="00CA0CF6"/>
    <w:rsid w:val="00CA1920"/>
    <w:rsid w:val="00CA1A7E"/>
    <w:rsid w:val="00CA201F"/>
    <w:rsid w:val="00CA2ABF"/>
    <w:rsid w:val="00CA363C"/>
    <w:rsid w:val="00CA3798"/>
    <w:rsid w:val="00CA4EAE"/>
    <w:rsid w:val="00CA551E"/>
    <w:rsid w:val="00CA59D9"/>
    <w:rsid w:val="00CA5C66"/>
    <w:rsid w:val="00CA5CB6"/>
    <w:rsid w:val="00CA6AE6"/>
    <w:rsid w:val="00CA7033"/>
    <w:rsid w:val="00CA7BC9"/>
    <w:rsid w:val="00CB019F"/>
    <w:rsid w:val="00CB0EB1"/>
    <w:rsid w:val="00CB1FA0"/>
    <w:rsid w:val="00CB2125"/>
    <w:rsid w:val="00CB2251"/>
    <w:rsid w:val="00CB2DF4"/>
    <w:rsid w:val="00CB4EB6"/>
    <w:rsid w:val="00CB544C"/>
    <w:rsid w:val="00CB5558"/>
    <w:rsid w:val="00CB5BFE"/>
    <w:rsid w:val="00CB617D"/>
    <w:rsid w:val="00CB6230"/>
    <w:rsid w:val="00CB682F"/>
    <w:rsid w:val="00CB6D43"/>
    <w:rsid w:val="00CB748B"/>
    <w:rsid w:val="00CB7823"/>
    <w:rsid w:val="00CC1473"/>
    <w:rsid w:val="00CC249C"/>
    <w:rsid w:val="00CC28BA"/>
    <w:rsid w:val="00CC340B"/>
    <w:rsid w:val="00CC388B"/>
    <w:rsid w:val="00CC44EE"/>
    <w:rsid w:val="00CC4C29"/>
    <w:rsid w:val="00CC4DCC"/>
    <w:rsid w:val="00CC5C5B"/>
    <w:rsid w:val="00CC5E29"/>
    <w:rsid w:val="00CC6086"/>
    <w:rsid w:val="00CC671B"/>
    <w:rsid w:val="00CC7166"/>
    <w:rsid w:val="00CC719F"/>
    <w:rsid w:val="00CC7DCF"/>
    <w:rsid w:val="00CD10DE"/>
    <w:rsid w:val="00CD2231"/>
    <w:rsid w:val="00CD2FE2"/>
    <w:rsid w:val="00CD5AC9"/>
    <w:rsid w:val="00CD60E4"/>
    <w:rsid w:val="00CD6258"/>
    <w:rsid w:val="00CD635B"/>
    <w:rsid w:val="00CD6954"/>
    <w:rsid w:val="00CD7EF2"/>
    <w:rsid w:val="00CE1E2B"/>
    <w:rsid w:val="00CE2702"/>
    <w:rsid w:val="00CE4529"/>
    <w:rsid w:val="00CE4FFB"/>
    <w:rsid w:val="00CE606C"/>
    <w:rsid w:val="00CE6FDE"/>
    <w:rsid w:val="00CE749C"/>
    <w:rsid w:val="00CE7DAA"/>
    <w:rsid w:val="00CF071A"/>
    <w:rsid w:val="00CF0795"/>
    <w:rsid w:val="00CF1B18"/>
    <w:rsid w:val="00CF427B"/>
    <w:rsid w:val="00CF482A"/>
    <w:rsid w:val="00CF5161"/>
    <w:rsid w:val="00CF5215"/>
    <w:rsid w:val="00CF6083"/>
    <w:rsid w:val="00CF65E8"/>
    <w:rsid w:val="00CF694C"/>
    <w:rsid w:val="00CF6C27"/>
    <w:rsid w:val="00D0055B"/>
    <w:rsid w:val="00D00D87"/>
    <w:rsid w:val="00D017D2"/>
    <w:rsid w:val="00D01A86"/>
    <w:rsid w:val="00D01AFA"/>
    <w:rsid w:val="00D0270E"/>
    <w:rsid w:val="00D02F80"/>
    <w:rsid w:val="00D03CB9"/>
    <w:rsid w:val="00D0464F"/>
    <w:rsid w:val="00D05468"/>
    <w:rsid w:val="00D05EC5"/>
    <w:rsid w:val="00D062A9"/>
    <w:rsid w:val="00D072EE"/>
    <w:rsid w:val="00D074C8"/>
    <w:rsid w:val="00D10B47"/>
    <w:rsid w:val="00D10FCD"/>
    <w:rsid w:val="00D11488"/>
    <w:rsid w:val="00D13D74"/>
    <w:rsid w:val="00D13DD6"/>
    <w:rsid w:val="00D15D64"/>
    <w:rsid w:val="00D15E26"/>
    <w:rsid w:val="00D15FC1"/>
    <w:rsid w:val="00D160AF"/>
    <w:rsid w:val="00D1691C"/>
    <w:rsid w:val="00D1785A"/>
    <w:rsid w:val="00D179B3"/>
    <w:rsid w:val="00D17E63"/>
    <w:rsid w:val="00D17FFE"/>
    <w:rsid w:val="00D201AC"/>
    <w:rsid w:val="00D20ACE"/>
    <w:rsid w:val="00D20EDE"/>
    <w:rsid w:val="00D218FC"/>
    <w:rsid w:val="00D2216C"/>
    <w:rsid w:val="00D23428"/>
    <w:rsid w:val="00D2344D"/>
    <w:rsid w:val="00D23CCD"/>
    <w:rsid w:val="00D23DEE"/>
    <w:rsid w:val="00D252DC"/>
    <w:rsid w:val="00D25EEC"/>
    <w:rsid w:val="00D264EB"/>
    <w:rsid w:val="00D26823"/>
    <w:rsid w:val="00D27B8C"/>
    <w:rsid w:val="00D305D1"/>
    <w:rsid w:val="00D31B87"/>
    <w:rsid w:val="00D32DA9"/>
    <w:rsid w:val="00D3348E"/>
    <w:rsid w:val="00D35E4E"/>
    <w:rsid w:val="00D36BA7"/>
    <w:rsid w:val="00D372F4"/>
    <w:rsid w:val="00D37343"/>
    <w:rsid w:val="00D37464"/>
    <w:rsid w:val="00D374FB"/>
    <w:rsid w:val="00D37500"/>
    <w:rsid w:val="00D3750D"/>
    <w:rsid w:val="00D3766C"/>
    <w:rsid w:val="00D37B3D"/>
    <w:rsid w:val="00D401B8"/>
    <w:rsid w:val="00D4045D"/>
    <w:rsid w:val="00D40683"/>
    <w:rsid w:val="00D40A40"/>
    <w:rsid w:val="00D417C1"/>
    <w:rsid w:val="00D41B97"/>
    <w:rsid w:val="00D42084"/>
    <w:rsid w:val="00D42581"/>
    <w:rsid w:val="00D42B49"/>
    <w:rsid w:val="00D4339A"/>
    <w:rsid w:val="00D4366A"/>
    <w:rsid w:val="00D44729"/>
    <w:rsid w:val="00D45032"/>
    <w:rsid w:val="00D450E0"/>
    <w:rsid w:val="00D45CFF"/>
    <w:rsid w:val="00D45F6D"/>
    <w:rsid w:val="00D462ED"/>
    <w:rsid w:val="00D46475"/>
    <w:rsid w:val="00D46695"/>
    <w:rsid w:val="00D46ECA"/>
    <w:rsid w:val="00D506AE"/>
    <w:rsid w:val="00D5102D"/>
    <w:rsid w:val="00D513E7"/>
    <w:rsid w:val="00D514BF"/>
    <w:rsid w:val="00D52DD4"/>
    <w:rsid w:val="00D53611"/>
    <w:rsid w:val="00D54C10"/>
    <w:rsid w:val="00D54DDE"/>
    <w:rsid w:val="00D55093"/>
    <w:rsid w:val="00D5594F"/>
    <w:rsid w:val="00D562CF"/>
    <w:rsid w:val="00D566F8"/>
    <w:rsid w:val="00D5707A"/>
    <w:rsid w:val="00D575BC"/>
    <w:rsid w:val="00D57941"/>
    <w:rsid w:val="00D60138"/>
    <w:rsid w:val="00D6107A"/>
    <w:rsid w:val="00D61CCB"/>
    <w:rsid w:val="00D63055"/>
    <w:rsid w:val="00D63D68"/>
    <w:rsid w:val="00D63FEA"/>
    <w:rsid w:val="00D646A8"/>
    <w:rsid w:val="00D647BD"/>
    <w:rsid w:val="00D64D33"/>
    <w:rsid w:val="00D64EB4"/>
    <w:rsid w:val="00D64FB3"/>
    <w:rsid w:val="00D64FE5"/>
    <w:rsid w:val="00D6539E"/>
    <w:rsid w:val="00D655B3"/>
    <w:rsid w:val="00D65F2B"/>
    <w:rsid w:val="00D66185"/>
    <w:rsid w:val="00D6649A"/>
    <w:rsid w:val="00D665EC"/>
    <w:rsid w:val="00D67647"/>
    <w:rsid w:val="00D677F5"/>
    <w:rsid w:val="00D6785C"/>
    <w:rsid w:val="00D67D9C"/>
    <w:rsid w:val="00D67DB4"/>
    <w:rsid w:val="00D702AB"/>
    <w:rsid w:val="00D707C2"/>
    <w:rsid w:val="00D70876"/>
    <w:rsid w:val="00D71138"/>
    <w:rsid w:val="00D71251"/>
    <w:rsid w:val="00D723BB"/>
    <w:rsid w:val="00D72BAF"/>
    <w:rsid w:val="00D730C4"/>
    <w:rsid w:val="00D73626"/>
    <w:rsid w:val="00D752C4"/>
    <w:rsid w:val="00D7554E"/>
    <w:rsid w:val="00D76511"/>
    <w:rsid w:val="00D76875"/>
    <w:rsid w:val="00D81C93"/>
    <w:rsid w:val="00D81E1F"/>
    <w:rsid w:val="00D82123"/>
    <w:rsid w:val="00D82A45"/>
    <w:rsid w:val="00D82EF5"/>
    <w:rsid w:val="00D83B60"/>
    <w:rsid w:val="00D83C98"/>
    <w:rsid w:val="00D83F35"/>
    <w:rsid w:val="00D84E71"/>
    <w:rsid w:val="00D85F10"/>
    <w:rsid w:val="00D869CB"/>
    <w:rsid w:val="00D86C34"/>
    <w:rsid w:val="00D86EB4"/>
    <w:rsid w:val="00D87085"/>
    <w:rsid w:val="00D871CD"/>
    <w:rsid w:val="00D879A7"/>
    <w:rsid w:val="00D91F63"/>
    <w:rsid w:val="00D921FB"/>
    <w:rsid w:val="00D92535"/>
    <w:rsid w:val="00D92631"/>
    <w:rsid w:val="00D929F0"/>
    <w:rsid w:val="00D92BD4"/>
    <w:rsid w:val="00D93676"/>
    <w:rsid w:val="00D94232"/>
    <w:rsid w:val="00D94296"/>
    <w:rsid w:val="00D944F1"/>
    <w:rsid w:val="00D94716"/>
    <w:rsid w:val="00D947FA"/>
    <w:rsid w:val="00D948D3"/>
    <w:rsid w:val="00D94A96"/>
    <w:rsid w:val="00D9525C"/>
    <w:rsid w:val="00D954C9"/>
    <w:rsid w:val="00DA040D"/>
    <w:rsid w:val="00DA0684"/>
    <w:rsid w:val="00DA0CFF"/>
    <w:rsid w:val="00DA2318"/>
    <w:rsid w:val="00DA237E"/>
    <w:rsid w:val="00DA23A0"/>
    <w:rsid w:val="00DA2AA2"/>
    <w:rsid w:val="00DA3AE9"/>
    <w:rsid w:val="00DA4A67"/>
    <w:rsid w:val="00DA5958"/>
    <w:rsid w:val="00DA5962"/>
    <w:rsid w:val="00DA6B75"/>
    <w:rsid w:val="00DA6EAC"/>
    <w:rsid w:val="00DA71C8"/>
    <w:rsid w:val="00DA721F"/>
    <w:rsid w:val="00DA7644"/>
    <w:rsid w:val="00DA7B0D"/>
    <w:rsid w:val="00DA7FC4"/>
    <w:rsid w:val="00DB0844"/>
    <w:rsid w:val="00DB0A92"/>
    <w:rsid w:val="00DB126E"/>
    <w:rsid w:val="00DB13C1"/>
    <w:rsid w:val="00DB2B94"/>
    <w:rsid w:val="00DB2BB6"/>
    <w:rsid w:val="00DB34CF"/>
    <w:rsid w:val="00DB4284"/>
    <w:rsid w:val="00DB48FF"/>
    <w:rsid w:val="00DB4A4E"/>
    <w:rsid w:val="00DB563A"/>
    <w:rsid w:val="00DB5E96"/>
    <w:rsid w:val="00DB5FC5"/>
    <w:rsid w:val="00DB6F5D"/>
    <w:rsid w:val="00DB6FEB"/>
    <w:rsid w:val="00DB77F8"/>
    <w:rsid w:val="00DB7DD2"/>
    <w:rsid w:val="00DC0784"/>
    <w:rsid w:val="00DC0F0E"/>
    <w:rsid w:val="00DC1678"/>
    <w:rsid w:val="00DC17CF"/>
    <w:rsid w:val="00DC1CB7"/>
    <w:rsid w:val="00DC2F87"/>
    <w:rsid w:val="00DC397F"/>
    <w:rsid w:val="00DC3A7E"/>
    <w:rsid w:val="00DC3C63"/>
    <w:rsid w:val="00DC4D12"/>
    <w:rsid w:val="00DC6125"/>
    <w:rsid w:val="00DC63D3"/>
    <w:rsid w:val="00DC67EB"/>
    <w:rsid w:val="00DC6BE2"/>
    <w:rsid w:val="00DC7BB7"/>
    <w:rsid w:val="00DD0784"/>
    <w:rsid w:val="00DD091D"/>
    <w:rsid w:val="00DD0E88"/>
    <w:rsid w:val="00DD24DC"/>
    <w:rsid w:val="00DD3D86"/>
    <w:rsid w:val="00DD5297"/>
    <w:rsid w:val="00DD5A28"/>
    <w:rsid w:val="00DD5BEF"/>
    <w:rsid w:val="00DD68C4"/>
    <w:rsid w:val="00DD6D1F"/>
    <w:rsid w:val="00DD7285"/>
    <w:rsid w:val="00DD72D5"/>
    <w:rsid w:val="00DD750A"/>
    <w:rsid w:val="00DD76FD"/>
    <w:rsid w:val="00DD7B1A"/>
    <w:rsid w:val="00DE0520"/>
    <w:rsid w:val="00DE07EF"/>
    <w:rsid w:val="00DE158D"/>
    <w:rsid w:val="00DE213E"/>
    <w:rsid w:val="00DE26F5"/>
    <w:rsid w:val="00DE38AC"/>
    <w:rsid w:val="00DE3D2F"/>
    <w:rsid w:val="00DE3FCB"/>
    <w:rsid w:val="00DE4424"/>
    <w:rsid w:val="00DE45E9"/>
    <w:rsid w:val="00DE4B64"/>
    <w:rsid w:val="00DE542F"/>
    <w:rsid w:val="00DE6534"/>
    <w:rsid w:val="00DE678B"/>
    <w:rsid w:val="00DE6A7F"/>
    <w:rsid w:val="00DE78FD"/>
    <w:rsid w:val="00DF0081"/>
    <w:rsid w:val="00DF06BF"/>
    <w:rsid w:val="00DF082F"/>
    <w:rsid w:val="00DF0A0A"/>
    <w:rsid w:val="00DF2C56"/>
    <w:rsid w:val="00DF307F"/>
    <w:rsid w:val="00DF3CAA"/>
    <w:rsid w:val="00DF50CD"/>
    <w:rsid w:val="00DF5636"/>
    <w:rsid w:val="00DF5746"/>
    <w:rsid w:val="00DF5F2F"/>
    <w:rsid w:val="00DF6AE2"/>
    <w:rsid w:val="00DF6C0E"/>
    <w:rsid w:val="00DF6CF6"/>
    <w:rsid w:val="00DF6F11"/>
    <w:rsid w:val="00DF7082"/>
    <w:rsid w:val="00DF7FE2"/>
    <w:rsid w:val="00E017D8"/>
    <w:rsid w:val="00E026C8"/>
    <w:rsid w:val="00E02856"/>
    <w:rsid w:val="00E02B44"/>
    <w:rsid w:val="00E0371D"/>
    <w:rsid w:val="00E03854"/>
    <w:rsid w:val="00E039D7"/>
    <w:rsid w:val="00E04D94"/>
    <w:rsid w:val="00E05521"/>
    <w:rsid w:val="00E05B23"/>
    <w:rsid w:val="00E07AF0"/>
    <w:rsid w:val="00E07ED1"/>
    <w:rsid w:val="00E10366"/>
    <w:rsid w:val="00E103D7"/>
    <w:rsid w:val="00E11365"/>
    <w:rsid w:val="00E11ED3"/>
    <w:rsid w:val="00E13C39"/>
    <w:rsid w:val="00E150B7"/>
    <w:rsid w:val="00E1576D"/>
    <w:rsid w:val="00E15CE8"/>
    <w:rsid w:val="00E16018"/>
    <w:rsid w:val="00E16576"/>
    <w:rsid w:val="00E16AD6"/>
    <w:rsid w:val="00E16BF7"/>
    <w:rsid w:val="00E16CA4"/>
    <w:rsid w:val="00E17180"/>
    <w:rsid w:val="00E179FC"/>
    <w:rsid w:val="00E20BE6"/>
    <w:rsid w:val="00E20E66"/>
    <w:rsid w:val="00E220F6"/>
    <w:rsid w:val="00E22CF5"/>
    <w:rsid w:val="00E232C2"/>
    <w:rsid w:val="00E24345"/>
    <w:rsid w:val="00E2446E"/>
    <w:rsid w:val="00E24858"/>
    <w:rsid w:val="00E25DEF"/>
    <w:rsid w:val="00E25FF8"/>
    <w:rsid w:val="00E26049"/>
    <w:rsid w:val="00E262BD"/>
    <w:rsid w:val="00E2640B"/>
    <w:rsid w:val="00E271DB"/>
    <w:rsid w:val="00E27253"/>
    <w:rsid w:val="00E27E72"/>
    <w:rsid w:val="00E30A06"/>
    <w:rsid w:val="00E31A29"/>
    <w:rsid w:val="00E31AD4"/>
    <w:rsid w:val="00E31E65"/>
    <w:rsid w:val="00E327A0"/>
    <w:rsid w:val="00E32965"/>
    <w:rsid w:val="00E33A64"/>
    <w:rsid w:val="00E3409F"/>
    <w:rsid w:val="00E34C1C"/>
    <w:rsid w:val="00E34C2B"/>
    <w:rsid w:val="00E352FA"/>
    <w:rsid w:val="00E36814"/>
    <w:rsid w:val="00E36D98"/>
    <w:rsid w:val="00E40585"/>
    <w:rsid w:val="00E40BD3"/>
    <w:rsid w:val="00E40F66"/>
    <w:rsid w:val="00E41B1D"/>
    <w:rsid w:val="00E41E35"/>
    <w:rsid w:val="00E41EF0"/>
    <w:rsid w:val="00E4235F"/>
    <w:rsid w:val="00E427F6"/>
    <w:rsid w:val="00E4293A"/>
    <w:rsid w:val="00E4326B"/>
    <w:rsid w:val="00E432AA"/>
    <w:rsid w:val="00E43FEE"/>
    <w:rsid w:val="00E45849"/>
    <w:rsid w:val="00E4737F"/>
    <w:rsid w:val="00E475E9"/>
    <w:rsid w:val="00E476C1"/>
    <w:rsid w:val="00E478E8"/>
    <w:rsid w:val="00E47A7B"/>
    <w:rsid w:val="00E47C82"/>
    <w:rsid w:val="00E5062D"/>
    <w:rsid w:val="00E50C00"/>
    <w:rsid w:val="00E50D4C"/>
    <w:rsid w:val="00E5135F"/>
    <w:rsid w:val="00E519AD"/>
    <w:rsid w:val="00E51B6B"/>
    <w:rsid w:val="00E51CD7"/>
    <w:rsid w:val="00E52101"/>
    <w:rsid w:val="00E52A94"/>
    <w:rsid w:val="00E52DB7"/>
    <w:rsid w:val="00E534A1"/>
    <w:rsid w:val="00E53F84"/>
    <w:rsid w:val="00E54471"/>
    <w:rsid w:val="00E54503"/>
    <w:rsid w:val="00E55409"/>
    <w:rsid w:val="00E55C98"/>
    <w:rsid w:val="00E55CFF"/>
    <w:rsid w:val="00E55F0F"/>
    <w:rsid w:val="00E56DC8"/>
    <w:rsid w:val="00E5702F"/>
    <w:rsid w:val="00E575DF"/>
    <w:rsid w:val="00E5792F"/>
    <w:rsid w:val="00E57C74"/>
    <w:rsid w:val="00E60042"/>
    <w:rsid w:val="00E60210"/>
    <w:rsid w:val="00E60322"/>
    <w:rsid w:val="00E60923"/>
    <w:rsid w:val="00E609EC"/>
    <w:rsid w:val="00E60BF7"/>
    <w:rsid w:val="00E6136D"/>
    <w:rsid w:val="00E61CE7"/>
    <w:rsid w:val="00E61FFC"/>
    <w:rsid w:val="00E6227D"/>
    <w:rsid w:val="00E62C2C"/>
    <w:rsid w:val="00E62FE6"/>
    <w:rsid w:val="00E63804"/>
    <w:rsid w:val="00E64262"/>
    <w:rsid w:val="00E6487C"/>
    <w:rsid w:val="00E648FA"/>
    <w:rsid w:val="00E6548F"/>
    <w:rsid w:val="00E662D6"/>
    <w:rsid w:val="00E66BBC"/>
    <w:rsid w:val="00E67865"/>
    <w:rsid w:val="00E67E3F"/>
    <w:rsid w:val="00E71123"/>
    <w:rsid w:val="00E71FFE"/>
    <w:rsid w:val="00E72220"/>
    <w:rsid w:val="00E73065"/>
    <w:rsid w:val="00E73108"/>
    <w:rsid w:val="00E73855"/>
    <w:rsid w:val="00E73D83"/>
    <w:rsid w:val="00E73E1A"/>
    <w:rsid w:val="00E73EFA"/>
    <w:rsid w:val="00E7435C"/>
    <w:rsid w:val="00E74AA2"/>
    <w:rsid w:val="00E75677"/>
    <w:rsid w:val="00E75B7B"/>
    <w:rsid w:val="00E75B7F"/>
    <w:rsid w:val="00E76386"/>
    <w:rsid w:val="00E803DC"/>
    <w:rsid w:val="00E806EE"/>
    <w:rsid w:val="00E80D9A"/>
    <w:rsid w:val="00E80DC2"/>
    <w:rsid w:val="00E81D1A"/>
    <w:rsid w:val="00E81EED"/>
    <w:rsid w:val="00E8217C"/>
    <w:rsid w:val="00E82CED"/>
    <w:rsid w:val="00E8415A"/>
    <w:rsid w:val="00E848C9"/>
    <w:rsid w:val="00E84D67"/>
    <w:rsid w:val="00E84EED"/>
    <w:rsid w:val="00E8521C"/>
    <w:rsid w:val="00E85301"/>
    <w:rsid w:val="00E8583D"/>
    <w:rsid w:val="00E85902"/>
    <w:rsid w:val="00E86806"/>
    <w:rsid w:val="00E86D6A"/>
    <w:rsid w:val="00E871F0"/>
    <w:rsid w:val="00E872B4"/>
    <w:rsid w:val="00E8762A"/>
    <w:rsid w:val="00E87692"/>
    <w:rsid w:val="00E876DE"/>
    <w:rsid w:val="00E901B1"/>
    <w:rsid w:val="00E90399"/>
    <w:rsid w:val="00E90A96"/>
    <w:rsid w:val="00E90B77"/>
    <w:rsid w:val="00E91363"/>
    <w:rsid w:val="00E91B05"/>
    <w:rsid w:val="00E9315A"/>
    <w:rsid w:val="00E94279"/>
    <w:rsid w:val="00E942BA"/>
    <w:rsid w:val="00E94FF2"/>
    <w:rsid w:val="00E956FC"/>
    <w:rsid w:val="00E95A9D"/>
    <w:rsid w:val="00E973E0"/>
    <w:rsid w:val="00E974DB"/>
    <w:rsid w:val="00E97CFD"/>
    <w:rsid w:val="00E97F8C"/>
    <w:rsid w:val="00EA00FF"/>
    <w:rsid w:val="00EA0372"/>
    <w:rsid w:val="00EA046C"/>
    <w:rsid w:val="00EA0599"/>
    <w:rsid w:val="00EA0D52"/>
    <w:rsid w:val="00EA1AC3"/>
    <w:rsid w:val="00EA1D55"/>
    <w:rsid w:val="00EA2BBF"/>
    <w:rsid w:val="00EA3276"/>
    <w:rsid w:val="00EA3B02"/>
    <w:rsid w:val="00EA3B33"/>
    <w:rsid w:val="00EA3CA1"/>
    <w:rsid w:val="00EA3E40"/>
    <w:rsid w:val="00EA437D"/>
    <w:rsid w:val="00EA45D4"/>
    <w:rsid w:val="00EA592F"/>
    <w:rsid w:val="00EA5B60"/>
    <w:rsid w:val="00EA762D"/>
    <w:rsid w:val="00EA780A"/>
    <w:rsid w:val="00EB00B0"/>
    <w:rsid w:val="00EB00D8"/>
    <w:rsid w:val="00EB067B"/>
    <w:rsid w:val="00EB11D9"/>
    <w:rsid w:val="00EB1503"/>
    <w:rsid w:val="00EB1D1B"/>
    <w:rsid w:val="00EB34F0"/>
    <w:rsid w:val="00EB3BEC"/>
    <w:rsid w:val="00EB490D"/>
    <w:rsid w:val="00EB4990"/>
    <w:rsid w:val="00EB49A4"/>
    <w:rsid w:val="00EB4F17"/>
    <w:rsid w:val="00EB5C9A"/>
    <w:rsid w:val="00EB6527"/>
    <w:rsid w:val="00EB6754"/>
    <w:rsid w:val="00EB775A"/>
    <w:rsid w:val="00EB7B70"/>
    <w:rsid w:val="00EC0C23"/>
    <w:rsid w:val="00EC0FE9"/>
    <w:rsid w:val="00EC13FB"/>
    <w:rsid w:val="00EC14F5"/>
    <w:rsid w:val="00EC1592"/>
    <w:rsid w:val="00EC1687"/>
    <w:rsid w:val="00EC1D89"/>
    <w:rsid w:val="00EC29D4"/>
    <w:rsid w:val="00EC3844"/>
    <w:rsid w:val="00EC3F1A"/>
    <w:rsid w:val="00EC4DE1"/>
    <w:rsid w:val="00EC4EAC"/>
    <w:rsid w:val="00EC520D"/>
    <w:rsid w:val="00EC5561"/>
    <w:rsid w:val="00EC5694"/>
    <w:rsid w:val="00EC610D"/>
    <w:rsid w:val="00EC6947"/>
    <w:rsid w:val="00EC730A"/>
    <w:rsid w:val="00EC734A"/>
    <w:rsid w:val="00EC7799"/>
    <w:rsid w:val="00EC7A57"/>
    <w:rsid w:val="00ED09B0"/>
    <w:rsid w:val="00ED0D64"/>
    <w:rsid w:val="00ED10CC"/>
    <w:rsid w:val="00ED1450"/>
    <w:rsid w:val="00ED1628"/>
    <w:rsid w:val="00ED169C"/>
    <w:rsid w:val="00ED171C"/>
    <w:rsid w:val="00ED1C83"/>
    <w:rsid w:val="00ED24C1"/>
    <w:rsid w:val="00ED34E4"/>
    <w:rsid w:val="00ED37E1"/>
    <w:rsid w:val="00ED3806"/>
    <w:rsid w:val="00ED4FBE"/>
    <w:rsid w:val="00ED5243"/>
    <w:rsid w:val="00ED5920"/>
    <w:rsid w:val="00ED5BE5"/>
    <w:rsid w:val="00ED5F70"/>
    <w:rsid w:val="00ED66EA"/>
    <w:rsid w:val="00ED6AFC"/>
    <w:rsid w:val="00ED6FD4"/>
    <w:rsid w:val="00ED7450"/>
    <w:rsid w:val="00ED7BBD"/>
    <w:rsid w:val="00EE0EEE"/>
    <w:rsid w:val="00EE0F3A"/>
    <w:rsid w:val="00EE111E"/>
    <w:rsid w:val="00EE139A"/>
    <w:rsid w:val="00EE14FF"/>
    <w:rsid w:val="00EE17B4"/>
    <w:rsid w:val="00EE1AEC"/>
    <w:rsid w:val="00EE1C64"/>
    <w:rsid w:val="00EE2557"/>
    <w:rsid w:val="00EE2CF0"/>
    <w:rsid w:val="00EE2FC3"/>
    <w:rsid w:val="00EE419A"/>
    <w:rsid w:val="00EE4634"/>
    <w:rsid w:val="00EE473B"/>
    <w:rsid w:val="00EE4A88"/>
    <w:rsid w:val="00EE5978"/>
    <w:rsid w:val="00EE635C"/>
    <w:rsid w:val="00EE758D"/>
    <w:rsid w:val="00EE7D50"/>
    <w:rsid w:val="00EF0575"/>
    <w:rsid w:val="00EF0902"/>
    <w:rsid w:val="00EF0C41"/>
    <w:rsid w:val="00EF11A1"/>
    <w:rsid w:val="00EF11CB"/>
    <w:rsid w:val="00EF26E5"/>
    <w:rsid w:val="00EF37C1"/>
    <w:rsid w:val="00EF3F76"/>
    <w:rsid w:val="00EF40AC"/>
    <w:rsid w:val="00EF4603"/>
    <w:rsid w:val="00EF55F3"/>
    <w:rsid w:val="00EF56DE"/>
    <w:rsid w:val="00EF6DDB"/>
    <w:rsid w:val="00EF767A"/>
    <w:rsid w:val="00EF7C1A"/>
    <w:rsid w:val="00F00114"/>
    <w:rsid w:val="00F00B5B"/>
    <w:rsid w:val="00F01519"/>
    <w:rsid w:val="00F02E99"/>
    <w:rsid w:val="00F033F2"/>
    <w:rsid w:val="00F03BF2"/>
    <w:rsid w:val="00F04826"/>
    <w:rsid w:val="00F04A0A"/>
    <w:rsid w:val="00F04FEF"/>
    <w:rsid w:val="00F06E95"/>
    <w:rsid w:val="00F07309"/>
    <w:rsid w:val="00F07352"/>
    <w:rsid w:val="00F0767A"/>
    <w:rsid w:val="00F07D46"/>
    <w:rsid w:val="00F111A9"/>
    <w:rsid w:val="00F11916"/>
    <w:rsid w:val="00F119E6"/>
    <w:rsid w:val="00F121F4"/>
    <w:rsid w:val="00F12394"/>
    <w:rsid w:val="00F128ED"/>
    <w:rsid w:val="00F13574"/>
    <w:rsid w:val="00F142FC"/>
    <w:rsid w:val="00F14559"/>
    <w:rsid w:val="00F15E6C"/>
    <w:rsid w:val="00F16801"/>
    <w:rsid w:val="00F17C8D"/>
    <w:rsid w:val="00F20A62"/>
    <w:rsid w:val="00F2104C"/>
    <w:rsid w:val="00F21805"/>
    <w:rsid w:val="00F21CF6"/>
    <w:rsid w:val="00F21E4B"/>
    <w:rsid w:val="00F23024"/>
    <w:rsid w:val="00F2380F"/>
    <w:rsid w:val="00F23C89"/>
    <w:rsid w:val="00F23D2A"/>
    <w:rsid w:val="00F246AD"/>
    <w:rsid w:val="00F248BB"/>
    <w:rsid w:val="00F2491F"/>
    <w:rsid w:val="00F24C97"/>
    <w:rsid w:val="00F24D42"/>
    <w:rsid w:val="00F25636"/>
    <w:rsid w:val="00F26365"/>
    <w:rsid w:val="00F268AA"/>
    <w:rsid w:val="00F26C60"/>
    <w:rsid w:val="00F277BA"/>
    <w:rsid w:val="00F27C62"/>
    <w:rsid w:val="00F30C7B"/>
    <w:rsid w:val="00F30D0C"/>
    <w:rsid w:val="00F31458"/>
    <w:rsid w:val="00F316C2"/>
    <w:rsid w:val="00F32552"/>
    <w:rsid w:val="00F3271D"/>
    <w:rsid w:val="00F33C2D"/>
    <w:rsid w:val="00F33CB8"/>
    <w:rsid w:val="00F34051"/>
    <w:rsid w:val="00F345B0"/>
    <w:rsid w:val="00F34E79"/>
    <w:rsid w:val="00F35250"/>
    <w:rsid w:val="00F35334"/>
    <w:rsid w:val="00F35AE2"/>
    <w:rsid w:val="00F35FB1"/>
    <w:rsid w:val="00F361BF"/>
    <w:rsid w:val="00F3687F"/>
    <w:rsid w:val="00F36C4E"/>
    <w:rsid w:val="00F378EB"/>
    <w:rsid w:val="00F37F91"/>
    <w:rsid w:val="00F400CE"/>
    <w:rsid w:val="00F40FEB"/>
    <w:rsid w:val="00F41CDA"/>
    <w:rsid w:val="00F41E6C"/>
    <w:rsid w:val="00F42D5B"/>
    <w:rsid w:val="00F44779"/>
    <w:rsid w:val="00F450A6"/>
    <w:rsid w:val="00F4514E"/>
    <w:rsid w:val="00F45159"/>
    <w:rsid w:val="00F45BB5"/>
    <w:rsid w:val="00F47144"/>
    <w:rsid w:val="00F47327"/>
    <w:rsid w:val="00F47473"/>
    <w:rsid w:val="00F47D35"/>
    <w:rsid w:val="00F50189"/>
    <w:rsid w:val="00F5099E"/>
    <w:rsid w:val="00F50AD0"/>
    <w:rsid w:val="00F50BD4"/>
    <w:rsid w:val="00F51B49"/>
    <w:rsid w:val="00F523A2"/>
    <w:rsid w:val="00F52B76"/>
    <w:rsid w:val="00F53007"/>
    <w:rsid w:val="00F53DBB"/>
    <w:rsid w:val="00F543E7"/>
    <w:rsid w:val="00F5451C"/>
    <w:rsid w:val="00F54BC0"/>
    <w:rsid w:val="00F54BE5"/>
    <w:rsid w:val="00F54CF4"/>
    <w:rsid w:val="00F5682E"/>
    <w:rsid w:val="00F56912"/>
    <w:rsid w:val="00F570AB"/>
    <w:rsid w:val="00F578E0"/>
    <w:rsid w:val="00F600B2"/>
    <w:rsid w:val="00F601E2"/>
    <w:rsid w:val="00F6037E"/>
    <w:rsid w:val="00F62042"/>
    <w:rsid w:val="00F626CA"/>
    <w:rsid w:val="00F627C1"/>
    <w:rsid w:val="00F62AD1"/>
    <w:rsid w:val="00F635F3"/>
    <w:rsid w:val="00F63BDD"/>
    <w:rsid w:val="00F6504B"/>
    <w:rsid w:val="00F657B1"/>
    <w:rsid w:val="00F65E89"/>
    <w:rsid w:val="00F66499"/>
    <w:rsid w:val="00F67031"/>
    <w:rsid w:val="00F67D1B"/>
    <w:rsid w:val="00F7001C"/>
    <w:rsid w:val="00F702C9"/>
    <w:rsid w:val="00F705F6"/>
    <w:rsid w:val="00F72333"/>
    <w:rsid w:val="00F7272D"/>
    <w:rsid w:val="00F7277A"/>
    <w:rsid w:val="00F73D75"/>
    <w:rsid w:val="00F74050"/>
    <w:rsid w:val="00F746C6"/>
    <w:rsid w:val="00F74DEB"/>
    <w:rsid w:val="00F751CD"/>
    <w:rsid w:val="00F76B14"/>
    <w:rsid w:val="00F7794D"/>
    <w:rsid w:val="00F80258"/>
    <w:rsid w:val="00F805C0"/>
    <w:rsid w:val="00F809A3"/>
    <w:rsid w:val="00F80AD3"/>
    <w:rsid w:val="00F8342D"/>
    <w:rsid w:val="00F8374D"/>
    <w:rsid w:val="00F837B6"/>
    <w:rsid w:val="00F850D1"/>
    <w:rsid w:val="00F859B3"/>
    <w:rsid w:val="00F86C23"/>
    <w:rsid w:val="00F878C8"/>
    <w:rsid w:val="00F90640"/>
    <w:rsid w:val="00F9197D"/>
    <w:rsid w:val="00F91A98"/>
    <w:rsid w:val="00F92CD8"/>
    <w:rsid w:val="00F9308C"/>
    <w:rsid w:val="00F931A5"/>
    <w:rsid w:val="00F93760"/>
    <w:rsid w:val="00F93A28"/>
    <w:rsid w:val="00F94061"/>
    <w:rsid w:val="00F947E8"/>
    <w:rsid w:val="00F94D50"/>
    <w:rsid w:val="00F95A23"/>
    <w:rsid w:val="00F95D23"/>
    <w:rsid w:val="00F96206"/>
    <w:rsid w:val="00F966B6"/>
    <w:rsid w:val="00F96BB8"/>
    <w:rsid w:val="00F974E9"/>
    <w:rsid w:val="00F97ADD"/>
    <w:rsid w:val="00FA01AC"/>
    <w:rsid w:val="00FA0A31"/>
    <w:rsid w:val="00FA0D18"/>
    <w:rsid w:val="00FA1499"/>
    <w:rsid w:val="00FA2A22"/>
    <w:rsid w:val="00FA3F41"/>
    <w:rsid w:val="00FA4140"/>
    <w:rsid w:val="00FA453B"/>
    <w:rsid w:val="00FA488A"/>
    <w:rsid w:val="00FA4C10"/>
    <w:rsid w:val="00FA5509"/>
    <w:rsid w:val="00FA6051"/>
    <w:rsid w:val="00FA709D"/>
    <w:rsid w:val="00FA7DA4"/>
    <w:rsid w:val="00FA7DC9"/>
    <w:rsid w:val="00FB05C8"/>
    <w:rsid w:val="00FB0903"/>
    <w:rsid w:val="00FB1183"/>
    <w:rsid w:val="00FB12E7"/>
    <w:rsid w:val="00FB1313"/>
    <w:rsid w:val="00FB1653"/>
    <w:rsid w:val="00FB241B"/>
    <w:rsid w:val="00FB2CC7"/>
    <w:rsid w:val="00FB2F3B"/>
    <w:rsid w:val="00FB3101"/>
    <w:rsid w:val="00FB33F3"/>
    <w:rsid w:val="00FB3CC4"/>
    <w:rsid w:val="00FB41FF"/>
    <w:rsid w:val="00FB4658"/>
    <w:rsid w:val="00FB4EB7"/>
    <w:rsid w:val="00FB574E"/>
    <w:rsid w:val="00FB581D"/>
    <w:rsid w:val="00FB5ADD"/>
    <w:rsid w:val="00FB5B2C"/>
    <w:rsid w:val="00FB791F"/>
    <w:rsid w:val="00FB7C6D"/>
    <w:rsid w:val="00FB7D53"/>
    <w:rsid w:val="00FC0156"/>
    <w:rsid w:val="00FC0A0B"/>
    <w:rsid w:val="00FC0B87"/>
    <w:rsid w:val="00FC0DD3"/>
    <w:rsid w:val="00FC15CC"/>
    <w:rsid w:val="00FC1A15"/>
    <w:rsid w:val="00FC1B64"/>
    <w:rsid w:val="00FC1C75"/>
    <w:rsid w:val="00FC2132"/>
    <w:rsid w:val="00FC2E59"/>
    <w:rsid w:val="00FC3A50"/>
    <w:rsid w:val="00FC444C"/>
    <w:rsid w:val="00FC4887"/>
    <w:rsid w:val="00FC4B76"/>
    <w:rsid w:val="00FC4F26"/>
    <w:rsid w:val="00FC5426"/>
    <w:rsid w:val="00FC6AE7"/>
    <w:rsid w:val="00FC6E7A"/>
    <w:rsid w:val="00FC75D3"/>
    <w:rsid w:val="00FC774D"/>
    <w:rsid w:val="00FC7885"/>
    <w:rsid w:val="00FC7D12"/>
    <w:rsid w:val="00FD08CD"/>
    <w:rsid w:val="00FD0BFD"/>
    <w:rsid w:val="00FD111E"/>
    <w:rsid w:val="00FD16AE"/>
    <w:rsid w:val="00FD1C65"/>
    <w:rsid w:val="00FD1C67"/>
    <w:rsid w:val="00FD1DAB"/>
    <w:rsid w:val="00FD1EBA"/>
    <w:rsid w:val="00FD1FD5"/>
    <w:rsid w:val="00FD2C22"/>
    <w:rsid w:val="00FD3D5E"/>
    <w:rsid w:val="00FD5309"/>
    <w:rsid w:val="00FD5CFD"/>
    <w:rsid w:val="00FD6485"/>
    <w:rsid w:val="00FD6BEB"/>
    <w:rsid w:val="00FE0619"/>
    <w:rsid w:val="00FE09D2"/>
    <w:rsid w:val="00FE11DB"/>
    <w:rsid w:val="00FE22F4"/>
    <w:rsid w:val="00FE32EC"/>
    <w:rsid w:val="00FE5276"/>
    <w:rsid w:val="00FE5450"/>
    <w:rsid w:val="00FE6755"/>
    <w:rsid w:val="00FE72E6"/>
    <w:rsid w:val="00FE77C3"/>
    <w:rsid w:val="00FE7963"/>
    <w:rsid w:val="00FE7B70"/>
    <w:rsid w:val="00FE7B77"/>
    <w:rsid w:val="00FF0A45"/>
    <w:rsid w:val="00FF0B82"/>
    <w:rsid w:val="00FF0C6B"/>
    <w:rsid w:val="00FF0CC2"/>
    <w:rsid w:val="00FF0F93"/>
    <w:rsid w:val="00FF1043"/>
    <w:rsid w:val="00FF1CF8"/>
    <w:rsid w:val="00FF25DD"/>
    <w:rsid w:val="00FF2638"/>
    <w:rsid w:val="00FF2861"/>
    <w:rsid w:val="00FF2AB7"/>
    <w:rsid w:val="00FF3725"/>
    <w:rsid w:val="00FF403E"/>
    <w:rsid w:val="00FF4241"/>
    <w:rsid w:val="00FF465C"/>
    <w:rsid w:val="00FF474C"/>
    <w:rsid w:val="00FF546C"/>
    <w:rsid w:val="00FF5702"/>
    <w:rsid w:val="00FF5A32"/>
    <w:rsid w:val="00FF600C"/>
    <w:rsid w:val="00FF6242"/>
    <w:rsid w:val="00FF6A26"/>
    <w:rsid w:val="00FF757A"/>
    <w:rsid w:val="00FF7A4E"/>
    <w:rsid w:val="00FF7BC2"/>
    <w:rsid w:val="00FF7E8E"/>
    <w:rsid w:val="26BDA416"/>
    <w:rsid w:val="340E3474"/>
    <w:rsid w:val="52752210"/>
    <w:rsid w:val="530BC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76897"/>
    <o:shapelayout v:ext="edit">
      <o:idmap v:ext="edit" data="1"/>
    </o:shapelayout>
  </w:shapeDefaults>
  <w:decimalSymbol w:val="."/>
  <w:listSeparator w:val=","/>
  <w14:docId w14:val="1EDF2AF0"/>
  <w15:docId w15:val="{5A809F50-A550-48D2-99A1-CB8BC031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EAC"/>
    <w:rPr>
      <w:rFonts w:ascii="Arial" w:hAnsi="Arial"/>
      <w:szCs w:val="24"/>
    </w:rPr>
  </w:style>
  <w:style w:type="paragraph" w:styleId="Heading1">
    <w:name w:val="heading 1"/>
    <w:aliases w:val="A Head,H1-Sec.Head"/>
    <w:basedOn w:val="Normal"/>
    <w:next w:val="Normal"/>
    <w:link w:val="Heading1Char"/>
    <w:qFormat/>
    <w:rsid w:val="00DA6EAC"/>
    <w:pPr>
      <w:keepNext/>
      <w:spacing w:after="360"/>
      <w:jc w:val="center"/>
      <w:outlineLvl w:val="0"/>
    </w:pPr>
    <w:rPr>
      <w:b/>
      <w:bCs/>
      <w:kern w:val="32"/>
      <w:sz w:val="32"/>
      <w:szCs w:val="32"/>
    </w:rPr>
  </w:style>
  <w:style w:type="paragraph" w:styleId="Heading2">
    <w:name w:val="heading 2"/>
    <w:aliases w:val="H2-Sec. Head"/>
    <w:basedOn w:val="Normal"/>
    <w:next w:val="Normal"/>
    <w:link w:val="Heading2Char"/>
    <w:qFormat/>
    <w:rsid w:val="00836D67"/>
    <w:pPr>
      <w:keepNext/>
      <w:spacing w:after="360"/>
      <w:jc w:val="center"/>
      <w:outlineLvl w:val="1"/>
    </w:pPr>
    <w:rPr>
      <w:b/>
      <w:i/>
      <w:sz w:val="28"/>
    </w:rPr>
  </w:style>
  <w:style w:type="paragraph" w:styleId="Heading3">
    <w:name w:val="heading 3"/>
    <w:aliases w:val="H3-Sec. Head"/>
    <w:basedOn w:val="Normal"/>
    <w:next w:val="Normal"/>
    <w:link w:val="Heading3Char"/>
    <w:qFormat/>
    <w:rsid w:val="00DA6EAC"/>
    <w:pPr>
      <w:keepNext/>
      <w:spacing w:before="240" w:after="60"/>
      <w:outlineLvl w:val="2"/>
    </w:pPr>
    <w:rPr>
      <w:rFonts w:cs="Arial"/>
      <w:b/>
      <w:bCs/>
      <w:sz w:val="22"/>
      <w:szCs w:val="26"/>
    </w:rPr>
  </w:style>
  <w:style w:type="paragraph" w:styleId="Heading4">
    <w:name w:val="heading 4"/>
    <w:aliases w:val="subhead 3,h4"/>
    <w:basedOn w:val="Normal"/>
    <w:next w:val="Normal"/>
    <w:qFormat/>
    <w:rsid w:val="00836D67"/>
    <w:pPr>
      <w:keepNext/>
      <w:outlineLvl w:val="3"/>
    </w:pPr>
    <w:rPr>
      <w:b/>
    </w:rPr>
  </w:style>
  <w:style w:type="paragraph" w:styleId="Heading5">
    <w:name w:val="heading 5"/>
    <w:basedOn w:val="Normal"/>
    <w:next w:val="Normal"/>
    <w:qFormat/>
    <w:rsid w:val="00836D67"/>
    <w:pPr>
      <w:keepNext/>
      <w:ind w:right="360"/>
      <w:outlineLvl w:val="4"/>
    </w:pPr>
    <w:rPr>
      <w:i/>
      <w:iCs/>
    </w:rPr>
  </w:style>
  <w:style w:type="paragraph" w:styleId="Heading6">
    <w:name w:val="heading 6"/>
    <w:basedOn w:val="Normal"/>
    <w:next w:val="Normal"/>
    <w:qFormat/>
    <w:rsid w:val="00836D67"/>
    <w:pPr>
      <w:keepNext/>
      <w:tabs>
        <w:tab w:val="left" w:pos="360"/>
      </w:tabs>
      <w:outlineLvl w:val="5"/>
    </w:pPr>
    <w:rPr>
      <w:bCs/>
      <w:i/>
    </w:rPr>
  </w:style>
  <w:style w:type="paragraph" w:styleId="Heading7">
    <w:name w:val="heading 7"/>
    <w:basedOn w:val="Normal"/>
    <w:next w:val="Normal"/>
    <w:link w:val="Heading7Char"/>
    <w:qFormat/>
    <w:rsid w:val="00836D67"/>
    <w:pPr>
      <w:keepNext/>
      <w:spacing w:after="240" w:line="600" w:lineRule="exact"/>
      <w:jc w:val="right"/>
      <w:outlineLvl w:val="6"/>
    </w:pPr>
    <w:rPr>
      <w:b/>
      <w:i/>
      <w:smallCaps/>
      <w:sz w:val="48"/>
    </w:rPr>
  </w:style>
  <w:style w:type="paragraph" w:styleId="Heading8">
    <w:name w:val="heading 8"/>
    <w:basedOn w:val="Normal"/>
    <w:next w:val="Normal"/>
    <w:link w:val="Heading8Char"/>
    <w:qFormat/>
    <w:rsid w:val="00BF3DF9"/>
    <w:pPr>
      <w:keepNext/>
      <w:outlineLvl w:val="7"/>
    </w:pPr>
    <w:rPr>
      <w:i/>
    </w:rPr>
  </w:style>
  <w:style w:type="paragraph" w:styleId="Heading9">
    <w:name w:val="heading 9"/>
    <w:basedOn w:val="Normal"/>
    <w:next w:val="Normal"/>
    <w:qFormat/>
    <w:rsid w:val="00836D67"/>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1"/>
    <w:rsid w:val="00DA6EAC"/>
    <w:pPr>
      <w:spacing w:before="180"/>
    </w:pPr>
    <w:rPr>
      <w:rFonts w:ascii="Arial" w:hAnsi="Arial"/>
      <w:szCs w:val="24"/>
    </w:rPr>
  </w:style>
  <w:style w:type="paragraph" w:customStyle="1" w:styleId="StdText">
    <w:name w:val="Std Text"/>
    <w:basedOn w:val="Body"/>
    <w:rsid w:val="00836D67"/>
    <w:rPr>
      <w:b/>
    </w:rPr>
  </w:style>
  <w:style w:type="paragraph" w:customStyle="1" w:styleId="StdIndent1">
    <w:name w:val="Std Indent 1"/>
    <w:basedOn w:val="StdText"/>
    <w:rsid w:val="00836D67"/>
    <w:pPr>
      <w:ind w:left="1714" w:hanging="994"/>
    </w:pPr>
  </w:style>
  <w:style w:type="paragraph" w:customStyle="1" w:styleId="StdIndent2">
    <w:name w:val="Std Indent 2"/>
    <w:basedOn w:val="StdIndent1"/>
    <w:rsid w:val="00836D67"/>
    <w:pPr>
      <w:ind w:left="2880" w:hanging="1166"/>
    </w:pPr>
  </w:style>
  <w:style w:type="paragraph" w:customStyle="1" w:styleId="SectionHead">
    <w:name w:val="Section Head"/>
    <w:basedOn w:val="Heading1"/>
    <w:rsid w:val="00AC649F"/>
    <w:pPr>
      <w:keepNext w:val="0"/>
      <w:widowControl w:val="0"/>
      <w:spacing w:after="240"/>
    </w:pPr>
  </w:style>
  <w:style w:type="paragraph" w:customStyle="1" w:styleId="StdTitle">
    <w:name w:val="Std Title"/>
    <w:basedOn w:val="SectionHead"/>
    <w:rsid w:val="00836D67"/>
    <w:pPr>
      <w:tabs>
        <w:tab w:val="right" w:pos="9720"/>
      </w:tabs>
      <w:spacing w:after="0"/>
      <w:jc w:val="left"/>
    </w:pPr>
    <w:rPr>
      <w:sz w:val="28"/>
    </w:rPr>
  </w:style>
  <w:style w:type="paragraph" w:customStyle="1" w:styleId="MainHead">
    <w:name w:val="Main Head"/>
    <w:basedOn w:val="SectionHead"/>
    <w:rsid w:val="00836D67"/>
    <w:pPr>
      <w:pBdr>
        <w:bottom w:val="single" w:sz="12" w:space="1" w:color="auto"/>
      </w:pBdr>
      <w:spacing w:before="240" w:after="0"/>
      <w:jc w:val="left"/>
      <w:outlineLvl w:val="2"/>
    </w:pPr>
    <w:rPr>
      <w:sz w:val="24"/>
    </w:rPr>
  </w:style>
  <w:style w:type="paragraph" w:customStyle="1" w:styleId="SubHead">
    <w:name w:val="Sub Head"/>
    <w:rsid w:val="00DA6EAC"/>
    <w:pPr>
      <w:pBdr>
        <w:bottom w:val="single" w:sz="6" w:space="2" w:color="auto"/>
      </w:pBdr>
      <w:spacing w:before="360"/>
    </w:pPr>
    <w:rPr>
      <w:rFonts w:ascii="Arial" w:hAnsi="Arial"/>
      <w:b/>
      <w:sz w:val="22"/>
      <w:szCs w:val="24"/>
    </w:rPr>
  </w:style>
  <w:style w:type="paragraph" w:customStyle="1" w:styleId="AnswerText">
    <w:name w:val="Answer Text"/>
    <w:basedOn w:val="Normal"/>
    <w:rsid w:val="00836D67"/>
    <w:pPr>
      <w:widowControl w:val="0"/>
      <w:tabs>
        <w:tab w:val="left" w:pos="994"/>
        <w:tab w:val="left" w:pos="1627"/>
        <w:tab w:val="left" w:pos="2074"/>
      </w:tabs>
      <w:ind w:left="547"/>
    </w:pPr>
  </w:style>
  <w:style w:type="paragraph" w:customStyle="1" w:styleId="Bullet">
    <w:name w:val="Bullet"/>
    <w:link w:val="BulletChar"/>
    <w:rsid w:val="00DA6EAC"/>
    <w:pPr>
      <w:numPr>
        <w:numId w:val="1"/>
      </w:numPr>
      <w:tabs>
        <w:tab w:val="left" w:pos="576"/>
      </w:tabs>
      <w:spacing w:before="120"/>
      <w:ind w:left="576"/>
    </w:pPr>
    <w:rPr>
      <w:rFonts w:ascii="Arial" w:hAnsi="Arial"/>
      <w:szCs w:val="24"/>
    </w:rPr>
  </w:style>
  <w:style w:type="paragraph" w:customStyle="1" w:styleId="Dash">
    <w:name w:val="Dash"/>
    <w:rsid w:val="00DA6EAC"/>
    <w:pPr>
      <w:numPr>
        <w:numId w:val="2"/>
      </w:numPr>
      <w:spacing w:before="60"/>
    </w:pPr>
    <w:rPr>
      <w:rFonts w:ascii="Arial" w:hAnsi="Arial"/>
      <w:szCs w:val="24"/>
    </w:rPr>
  </w:style>
  <w:style w:type="paragraph" w:customStyle="1" w:styleId="ProcessBullet">
    <w:name w:val="Process Bullet"/>
    <w:link w:val="ProcessBulletChar"/>
    <w:rsid w:val="00DA6EAC"/>
    <w:pPr>
      <w:numPr>
        <w:numId w:val="4"/>
      </w:numPr>
      <w:spacing w:before="120"/>
    </w:pPr>
    <w:rPr>
      <w:rFonts w:ascii="Arial" w:hAnsi="Arial"/>
      <w:szCs w:val="24"/>
    </w:rPr>
  </w:style>
  <w:style w:type="paragraph" w:customStyle="1" w:styleId="ProcessDash">
    <w:name w:val="Process Dash"/>
    <w:rsid w:val="00DA6EAC"/>
    <w:pPr>
      <w:numPr>
        <w:numId w:val="5"/>
      </w:numPr>
      <w:tabs>
        <w:tab w:val="clear" w:pos="432"/>
        <w:tab w:val="left" w:pos="216"/>
      </w:tabs>
      <w:spacing w:before="60"/>
    </w:pPr>
    <w:rPr>
      <w:rFonts w:ascii="Arial" w:hAnsi="Arial"/>
      <w:szCs w:val="24"/>
    </w:rPr>
  </w:style>
  <w:style w:type="paragraph" w:customStyle="1" w:styleId="ScoringGuideline">
    <w:name w:val="Scoring Guideline"/>
    <w:basedOn w:val="Heading1"/>
    <w:rsid w:val="00836D67"/>
    <w:pPr>
      <w:spacing w:after="120"/>
    </w:pPr>
    <w:rPr>
      <w:smallCaps/>
    </w:rPr>
  </w:style>
  <w:style w:type="paragraph" w:customStyle="1" w:styleId="StdHead">
    <w:name w:val="Std Head"/>
    <w:rsid w:val="00DA6EAC"/>
    <w:pPr>
      <w:pBdr>
        <w:top w:val="single" w:sz="6" w:space="2" w:color="auto"/>
        <w:left w:val="single" w:sz="6" w:space="2" w:color="auto"/>
        <w:bottom w:val="single" w:sz="6" w:space="2" w:color="auto"/>
        <w:right w:val="single" w:sz="6" w:space="2" w:color="auto"/>
      </w:pBdr>
      <w:shd w:val="clear" w:color="auto" w:fill="000000"/>
      <w:spacing w:before="360"/>
    </w:pPr>
    <w:rPr>
      <w:rFonts w:ascii="Arial" w:hAnsi="Arial"/>
      <w:b/>
      <w:color w:val="FFFFFF"/>
      <w:sz w:val="22"/>
      <w:szCs w:val="28"/>
    </w:rPr>
  </w:style>
  <w:style w:type="paragraph" w:styleId="BodyTextIndent2">
    <w:name w:val="Body Text Indent 2"/>
    <w:basedOn w:val="Normal"/>
    <w:link w:val="BodyTextIndent2Char"/>
    <w:rsid w:val="00836D67"/>
    <w:pPr>
      <w:numPr>
        <w:ilvl w:val="12"/>
      </w:numPr>
      <w:spacing w:after="240" w:line="260" w:lineRule="exact"/>
      <w:ind w:left="360"/>
    </w:pPr>
    <w:rPr>
      <w:snapToGrid w:val="0"/>
    </w:rPr>
  </w:style>
  <w:style w:type="paragraph" w:styleId="Header">
    <w:name w:val="header"/>
    <w:link w:val="HeaderChar"/>
    <w:rsid w:val="00DA6EAC"/>
    <w:pPr>
      <w:pBdr>
        <w:bottom w:val="single" w:sz="6" w:space="1" w:color="auto"/>
      </w:pBdr>
      <w:tabs>
        <w:tab w:val="right" w:pos="9000"/>
        <w:tab w:val="right" w:pos="9720"/>
      </w:tabs>
      <w:spacing w:before="120" w:after="360"/>
    </w:pPr>
    <w:rPr>
      <w:rFonts w:ascii="Arial" w:hAnsi="Arial"/>
      <w:b/>
      <w:i/>
      <w:szCs w:val="24"/>
    </w:rPr>
  </w:style>
  <w:style w:type="paragraph" w:styleId="Footer">
    <w:name w:val="footer"/>
    <w:basedOn w:val="Normal"/>
    <w:link w:val="FooterChar"/>
    <w:rsid w:val="00DA6EAC"/>
    <w:pPr>
      <w:pBdr>
        <w:top w:val="single" w:sz="8" w:space="1" w:color="auto"/>
      </w:pBdr>
      <w:tabs>
        <w:tab w:val="right" w:pos="9720"/>
      </w:tabs>
      <w:spacing w:before="240" w:after="120" w:line="260" w:lineRule="exact"/>
    </w:pPr>
    <w:rPr>
      <w:b/>
      <w:szCs w:val="20"/>
    </w:rPr>
  </w:style>
  <w:style w:type="paragraph" w:customStyle="1" w:styleId="StandardTitle">
    <w:name w:val="Standard Title"/>
    <w:basedOn w:val="MainHead"/>
    <w:rsid w:val="00836D67"/>
    <w:pPr>
      <w:pBdr>
        <w:bottom w:val="none" w:sz="0" w:space="0" w:color="auto"/>
      </w:pBdr>
      <w:spacing w:before="0"/>
    </w:pPr>
    <w:rPr>
      <w:sz w:val="28"/>
    </w:rPr>
  </w:style>
  <w:style w:type="paragraph" w:customStyle="1" w:styleId="TableHead">
    <w:name w:val="Table Head"/>
    <w:link w:val="TableHeadChar"/>
    <w:rsid w:val="00DA6EAC"/>
    <w:pPr>
      <w:spacing w:before="40" w:after="40" w:line="200" w:lineRule="exact"/>
      <w:jc w:val="center"/>
    </w:pPr>
    <w:rPr>
      <w:rFonts w:ascii="Arial Narrow" w:hAnsi="Arial Narrow"/>
      <w:b/>
      <w:color w:val="FFFFFF"/>
    </w:rPr>
  </w:style>
  <w:style w:type="paragraph" w:customStyle="1" w:styleId="MoreInfo">
    <w:name w:val="More Info"/>
    <w:basedOn w:val="Normal"/>
    <w:rsid w:val="00836D67"/>
    <w:pPr>
      <w:spacing w:before="240"/>
      <w:jc w:val="center"/>
    </w:pPr>
    <w:rPr>
      <w:b/>
      <w:i/>
    </w:rPr>
  </w:style>
  <w:style w:type="paragraph" w:customStyle="1" w:styleId="Note">
    <w:name w:val="Note"/>
    <w:link w:val="NoteChar"/>
    <w:rsid w:val="00DA6EAC"/>
    <w:pPr>
      <w:spacing w:before="120"/>
    </w:pPr>
    <w:rPr>
      <w:rFonts w:ascii="Arial" w:hAnsi="Arial"/>
      <w:i/>
      <w:szCs w:val="24"/>
    </w:rPr>
  </w:style>
  <w:style w:type="paragraph" w:customStyle="1" w:styleId="StdIndent3">
    <w:name w:val="Std Indent 3"/>
    <w:basedOn w:val="StdIndent2"/>
    <w:rsid w:val="00836D67"/>
    <w:pPr>
      <w:ind w:left="4046"/>
    </w:pPr>
  </w:style>
  <w:style w:type="paragraph" w:customStyle="1" w:styleId="TableText">
    <w:name w:val="Table Text"/>
    <w:link w:val="TableTextChar"/>
    <w:rsid w:val="00DA6EAC"/>
    <w:pPr>
      <w:spacing w:before="40" w:after="40" w:line="200" w:lineRule="exact"/>
    </w:pPr>
    <w:rPr>
      <w:rFonts w:ascii="Arial Narrow" w:hAnsi="Arial Narrow"/>
      <w:szCs w:val="19"/>
    </w:rPr>
  </w:style>
  <w:style w:type="paragraph" w:customStyle="1" w:styleId="StdIndent4">
    <w:name w:val="Std Indent 4"/>
    <w:basedOn w:val="StdIndent3"/>
    <w:rsid w:val="00836D67"/>
    <w:pPr>
      <w:ind w:left="5400" w:hanging="1354"/>
    </w:pPr>
  </w:style>
  <w:style w:type="paragraph" w:customStyle="1" w:styleId="IndentBullet">
    <w:name w:val="Indent Bullet"/>
    <w:basedOn w:val="Body"/>
    <w:rsid w:val="00836D67"/>
    <w:pPr>
      <w:tabs>
        <w:tab w:val="num" w:pos="360"/>
      </w:tabs>
      <w:spacing w:before="20" w:after="20"/>
      <w:ind w:left="993" w:hanging="187"/>
    </w:pPr>
  </w:style>
  <w:style w:type="paragraph" w:customStyle="1" w:styleId="TableBullet">
    <w:name w:val="Table Bullet"/>
    <w:link w:val="TableBulletChar"/>
    <w:rsid w:val="00621275"/>
    <w:pPr>
      <w:numPr>
        <w:numId w:val="45"/>
      </w:numPr>
      <w:spacing w:before="40" w:after="40" w:line="216" w:lineRule="auto"/>
      <w:ind w:left="158" w:hanging="158"/>
    </w:pPr>
    <w:rPr>
      <w:rFonts w:ascii="Arial Narrow" w:hAnsi="Arial Narrow"/>
      <w:szCs w:val="24"/>
    </w:rPr>
  </w:style>
  <w:style w:type="character" w:styleId="Hyperlink">
    <w:name w:val="Hyperlink"/>
    <w:basedOn w:val="DefaultParagraphFont"/>
    <w:uiPriority w:val="99"/>
    <w:rsid w:val="000B554F"/>
    <w:rPr>
      <w:color w:val="0000FF"/>
      <w:u w:val="single"/>
    </w:rPr>
  </w:style>
  <w:style w:type="paragraph" w:customStyle="1" w:styleId="IndentNormal">
    <w:name w:val="Indent Normal"/>
    <w:basedOn w:val="Normal"/>
    <w:next w:val="Normal"/>
    <w:rsid w:val="00836D67"/>
    <w:pPr>
      <w:spacing w:before="60" w:after="60"/>
    </w:pPr>
  </w:style>
  <w:style w:type="character" w:styleId="FootnoteReference">
    <w:name w:val="footnote reference"/>
    <w:basedOn w:val="DefaultParagraphFont"/>
    <w:rsid w:val="00836D67"/>
    <w:rPr>
      <w:vertAlign w:val="superscript"/>
    </w:rPr>
  </w:style>
  <w:style w:type="paragraph" w:styleId="TOC1">
    <w:name w:val="toc 1"/>
    <w:basedOn w:val="Normal"/>
    <w:next w:val="Normal"/>
    <w:autoRedefine/>
    <w:uiPriority w:val="39"/>
    <w:rsid w:val="002300AB"/>
    <w:pPr>
      <w:tabs>
        <w:tab w:val="right" w:leader="dot" w:pos="9710"/>
      </w:tabs>
      <w:spacing w:before="120"/>
    </w:pPr>
  </w:style>
  <w:style w:type="paragraph" w:styleId="FootnoteText">
    <w:name w:val="footnote text"/>
    <w:aliases w:val="F1"/>
    <w:basedOn w:val="Normal"/>
    <w:link w:val="FootnoteTextChar"/>
    <w:rsid w:val="00836D67"/>
    <w:rPr>
      <w:rFonts w:ascii="CG Times" w:hAnsi="CG Times"/>
    </w:rPr>
  </w:style>
  <w:style w:type="paragraph" w:customStyle="1" w:styleId="StyleMarginSubheadItalic">
    <w:name w:val="Style Margin Subhead + Italic"/>
    <w:basedOn w:val="MarginSubhead"/>
    <w:rsid w:val="00836D67"/>
    <w:pPr>
      <w:ind w:left="0"/>
    </w:pPr>
    <w:rPr>
      <w:bCs/>
      <w:i/>
      <w:iCs/>
    </w:rPr>
  </w:style>
  <w:style w:type="paragraph" w:customStyle="1" w:styleId="MarginSubhead">
    <w:name w:val="Margin Subhead"/>
    <w:rsid w:val="00DA6EAC"/>
    <w:pPr>
      <w:spacing w:before="180"/>
      <w:ind w:left="216"/>
    </w:pPr>
    <w:rPr>
      <w:rFonts w:ascii="Arial" w:hAnsi="Arial"/>
      <w:b/>
      <w:szCs w:val="24"/>
    </w:rPr>
  </w:style>
  <w:style w:type="paragraph" w:customStyle="1" w:styleId="Footnote">
    <w:name w:val="Footnote"/>
    <w:basedOn w:val="Normal"/>
    <w:rsid w:val="00836D67"/>
    <w:pPr>
      <w:spacing w:line="220" w:lineRule="exact"/>
      <w:jc w:val="center"/>
    </w:pPr>
    <w:rPr>
      <w:rFonts w:ascii="Arial Narrow Bold" w:hAnsi="Arial Narrow Bold"/>
      <w:b/>
      <w:color w:val="FFFFFF"/>
    </w:rPr>
  </w:style>
  <w:style w:type="paragraph" w:customStyle="1" w:styleId="MarginHead">
    <w:name w:val="Margin Head"/>
    <w:rsid w:val="00DA6EAC"/>
    <w:pPr>
      <w:spacing w:before="180"/>
    </w:pPr>
    <w:rPr>
      <w:rFonts w:ascii="Arial" w:hAnsi="Arial"/>
      <w:b/>
      <w:sz w:val="22"/>
      <w:szCs w:val="24"/>
    </w:rPr>
  </w:style>
  <w:style w:type="paragraph" w:styleId="MessageHeader">
    <w:name w:val="Message Header"/>
    <w:basedOn w:val="Normal"/>
    <w:rsid w:val="00836D67"/>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styleId="LineNumber">
    <w:name w:val="line number"/>
    <w:basedOn w:val="DefaultParagraphFont"/>
    <w:rsid w:val="00836D67"/>
  </w:style>
  <w:style w:type="paragraph" w:styleId="BodyText">
    <w:name w:val="Body Text"/>
    <w:basedOn w:val="Normal"/>
    <w:link w:val="BodyTextChar"/>
    <w:rsid w:val="00836D67"/>
    <w:rPr>
      <w:b/>
      <w:sz w:val="40"/>
    </w:rPr>
  </w:style>
  <w:style w:type="character" w:styleId="FollowedHyperlink">
    <w:name w:val="FollowedHyperlink"/>
    <w:basedOn w:val="DefaultParagraphFont"/>
    <w:rsid w:val="00836D67"/>
    <w:rPr>
      <w:color w:val="800080"/>
      <w:u w:val="single"/>
    </w:rPr>
  </w:style>
  <w:style w:type="paragraph" w:customStyle="1" w:styleId="ElementNumber">
    <w:name w:val="Element Number"/>
    <w:basedOn w:val="Body"/>
    <w:rsid w:val="00836D67"/>
    <w:pPr>
      <w:ind w:left="720" w:hanging="360"/>
    </w:pPr>
    <w:rPr>
      <w:b/>
    </w:rPr>
  </w:style>
  <w:style w:type="paragraph" w:customStyle="1" w:styleId="Question">
    <w:name w:val="Question"/>
    <w:basedOn w:val="Normal"/>
    <w:rsid w:val="00836D67"/>
    <w:pPr>
      <w:widowControl w:val="0"/>
      <w:tabs>
        <w:tab w:val="left" w:pos="547"/>
      </w:tabs>
      <w:spacing w:before="240" w:after="120"/>
      <w:ind w:left="547" w:hanging="547"/>
    </w:pPr>
    <w:rPr>
      <w:b/>
    </w:rPr>
  </w:style>
  <w:style w:type="paragraph" w:customStyle="1" w:styleId="QuestionText">
    <w:name w:val="Question Text"/>
    <w:basedOn w:val="Question"/>
    <w:rsid w:val="00836D67"/>
    <w:pPr>
      <w:spacing w:before="120" w:after="0"/>
      <w:ind w:left="0" w:firstLine="0"/>
    </w:pPr>
  </w:style>
  <w:style w:type="paragraph" w:customStyle="1" w:styleId="ColumnHead">
    <w:name w:val="Column Head"/>
    <w:basedOn w:val="Normal"/>
    <w:rsid w:val="00836D67"/>
    <w:pPr>
      <w:pBdr>
        <w:bottom w:val="single" w:sz="12" w:space="1" w:color="auto"/>
      </w:pBdr>
      <w:jc w:val="center"/>
    </w:pPr>
    <w:rPr>
      <w:b/>
      <w:sz w:val="26"/>
    </w:rPr>
  </w:style>
  <w:style w:type="paragraph" w:customStyle="1" w:styleId="SUbhead0">
    <w:name w:val="SUbhead"/>
    <w:basedOn w:val="Note"/>
    <w:rsid w:val="00836D67"/>
    <w:rPr>
      <w:b/>
    </w:rPr>
  </w:style>
  <w:style w:type="paragraph" w:styleId="BodyTextIndent">
    <w:name w:val="Body Text Indent"/>
    <w:basedOn w:val="Normal"/>
    <w:link w:val="BodyTextIndentChar"/>
    <w:rsid w:val="00836D67"/>
    <w:pPr>
      <w:tabs>
        <w:tab w:val="right" w:leader="dot" w:pos="9720"/>
      </w:tabs>
      <w:ind w:left="1260" w:hanging="180"/>
    </w:pPr>
  </w:style>
  <w:style w:type="paragraph" w:customStyle="1" w:styleId="TableDash">
    <w:name w:val="Table Dash"/>
    <w:rsid w:val="00DA6EAC"/>
    <w:pPr>
      <w:numPr>
        <w:numId w:val="3"/>
      </w:numPr>
      <w:tabs>
        <w:tab w:val="clear" w:pos="432"/>
      </w:tabs>
      <w:spacing w:line="216" w:lineRule="auto"/>
      <w:ind w:left="316" w:hanging="158"/>
    </w:pPr>
    <w:rPr>
      <w:rFonts w:ascii="Arial Narrow" w:hAnsi="Arial Narrow"/>
      <w:szCs w:val="24"/>
    </w:rPr>
  </w:style>
  <w:style w:type="paragraph" w:customStyle="1" w:styleId="TOCtext">
    <w:name w:val="TOC text"/>
    <w:basedOn w:val="Normal"/>
    <w:rsid w:val="00836D67"/>
    <w:pPr>
      <w:tabs>
        <w:tab w:val="right" w:leader="dot" w:pos="9720"/>
      </w:tabs>
      <w:ind w:left="540"/>
    </w:pPr>
  </w:style>
  <w:style w:type="character" w:customStyle="1" w:styleId="StyleMarginSubheadItalicChar">
    <w:name w:val="Style Margin Subhead + Italic Char"/>
    <w:basedOn w:val="DefaultParagraphFont"/>
    <w:rsid w:val="00836D67"/>
    <w:rPr>
      <w:rFonts w:ascii="Arial" w:hAnsi="Arial"/>
      <w:b/>
      <w:bCs/>
      <w:i/>
      <w:iCs/>
      <w:noProof w:val="0"/>
      <w:sz w:val="22"/>
      <w:lang w:val="en-US" w:eastAsia="en-US" w:bidi="ar-SA"/>
    </w:rPr>
  </w:style>
  <w:style w:type="paragraph" w:customStyle="1" w:styleId="StyleMarginHeadBefore0pt">
    <w:name w:val="Style Margin Head + Before:  0 pt"/>
    <w:basedOn w:val="MarginHead"/>
    <w:rsid w:val="00836D67"/>
    <w:pPr>
      <w:spacing w:before="0"/>
    </w:pPr>
    <w:rPr>
      <w:bCs/>
    </w:rPr>
  </w:style>
  <w:style w:type="paragraph" w:customStyle="1" w:styleId="StyleTableBullet11">
    <w:name w:val="Style Table Bullet + 11"/>
    <w:basedOn w:val="TableBullet"/>
    <w:rsid w:val="0086582E"/>
    <w:pPr>
      <w:spacing w:line="220" w:lineRule="exact"/>
      <w:ind w:left="0" w:firstLine="0"/>
    </w:pPr>
    <w:rPr>
      <w:sz w:val="22"/>
    </w:rPr>
  </w:style>
  <w:style w:type="character" w:styleId="PageNumber">
    <w:name w:val="page number"/>
    <w:basedOn w:val="DefaultParagraphFont"/>
    <w:rsid w:val="00836D67"/>
  </w:style>
  <w:style w:type="paragraph" w:styleId="BalloonText">
    <w:name w:val="Balloon Text"/>
    <w:basedOn w:val="Normal"/>
    <w:link w:val="BalloonTextChar"/>
    <w:semiHidden/>
    <w:rsid w:val="00836D67"/>
    <w:rPr>
      <w:rFonts w:ascii="Tahoma" w:hAnsi="Tahoma" w:cs="Tahoma"/>
      <w:sz w:val="16"/>
      <w:szCs w:val="16"/>
    </w:rPr>
  </w:style>
  <w:style w:type="paragraph" w:styleId="CommentText">
    <w:name w:val="annotation text"/>
    <w:basedOn w:val="Normal"/>
    <w:link w:val="CommentTextChar"/>
    <w:rsid w:val="00836D67"/>
  </w:style>
  <w:style w:type="character" w:styleId="CommentReference">
    <w:name w:val="annotation reference"/>
    <w:basedOn w:val="DefaultParagraphFont"/>
    <w:uiPriority w:val="99"/>
    <w:semiHidden/>
    <w:rsid w:val="00836D67"/>
    <w:rPr>
      <w:sz w:val="16"/>
      <w:szCs w:val="16"/>
    </w:rPr>
  </w:style>
  <w:style w:type="character" w:customStyle="1" w:styleId="BodyChar">
    <w:name w:val="Body Char"/>
    <w:basedOn w:val="DefaultParagraphFont"/>
    <w:rsid w:val="00836D67"/>
    <w:rPr>
      <w:rFonts w:ascii="Arial" w:hAnsi="Arial"/>
      <w:szCs w:val="24"/>
      <w:lang w:val="en-US" w:eastAsia="en-US" w:bidi="ar-SA"/>
    </w:rPr>
  </w:style>
  <w:style w:type="paragraph" w:styleId="CommentSubject">
    <w:name w:val="annotation subject"/>
    <w:basedOn w:val="CommentText"/>
    <w:next w:val="CommentText"/>
    <w:link w:val="CommentSubjectChar"/>
    <w:semiHidden/>
    <w:rsid w:val="00836D67"/>
    <w:rPr>
      <w:b/>
      <w:bCs/>
      <w:szCs w:val="20"/>
    </w:rPr>
  </w:style>
  <w:style w:type="table" w:styleId="TableGrid">
    <w:name w:val="Table Grid"/>
    <w:basedOn w:val="TableNormal"/>
    <w:rsid w:val="00DA6EA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TextChar">
    <w:name w:val="Table Text Char"/>
    <w:basedOn w:val="DefaultParagraphFont"/>
    <w:link w:val="TableText"/>
    <w:rsid w:val="003845BE"/>
    <w:rPr>
      <w:rFonts w:ascii="Arial Narrow" w:hAnsi="Arial Narrow"/>
      <w:szCs w:val="19"/>
    </w:rPr>
  </w:style>
  <w:style w:type="character" w:customStyle="1" w:styleId="NoteChar">
    <w:name w:val="Note Char"/>
    <w:basedOn w:val="DefaultParagraphFont"/>
    <w:link w:val="Note"/>
    <w:rsid w:val="00405E0F"/>
    <w:rPr>
      <w:rFonts w:ascii="Arial" w:hAnsi="Arial"/>
      <w:i/>
      <w:szCs w:val="24"/>
    </w:rPr>
  </w:style>
  <w:style w:type="character" w:customStyle="1" w:styleId="BulletChar">
    <w:name w:val="Bullet Char"/>
    <w:basedOn w:val="DefaultParagraphFont"/>
    <w:link w:val="Bullet"/>
    <w:rsid w:val="00793252"/>
    <w:rPr>
      <w:rFonts w:ascii="Arial" w:hAnsi="Arial"/>
      <w:szCs w:val="24"/>
    </w:rPr>
  </w:style>
  <w:style w:type="character" w:customStyle="1" w:styleId="ProcessBulletChar">
    <w:name w:val="Process Bullet Char"/>
    <w:basedOn w:val="DefaultParagraphFont"/>
    <w:link w:val="ProcessBullet"/>
    <w:rsid w:val="0022566A"/>
    <w:rPr>
      <w:rFonts w:ascii="Arial" w:hAnsi="Arial"/>
      <w:szCs w:val="24"/>
    </w:rPr>
  </w:style>
  <w:style w:type="character" w:customStyle="1" w:styleId="BodyChar1">
    <w:name w:val="Body Char1"/>
    <w:basedOn w:val="DefaultParagraphFont"/>
    <w:link w:val="Body"/>
    <w:rsid w:val="006B256D"/>
    <w:rPr>
      <w:rFonts w:ascii="Arial" w:hAnsi="Arial"/>
      <w:szCs w:val="24"/>
    </w:rPr>
  </w:style>
  <w:style w:type="paragraph" w:customStyle="1" w:styleId="StyleTableHeadArialNarrow">
    <w:name w:val="Style Table Head + Arial Narrow"/>
    <w:basedOn w:val="TableHead"/>
    <w:link w:val="StyleTableHeadArialNarrowChar"/>
    <w:rsid w:val="008411EF"/>
    <w:rPr>
      <w:bCs/>
    </w:rPr>
  </w:style>
  <w:style w:type="paragraph" w:styleId="Date">
    <w:name w:val="Date"/>
    <w:basedOn w:val="Normal"/>
    <w:next w:val="Normal"/>
    <w:link w:val="DateChar"/>
    <w:rsid w:val="009D7272"/>
  </w:style>
  <w:style w:type="character" w:customStyle="1" w:styleId="StyleTableHeadArialNarrowChar">
    <w:name w:val="Style Table Head + Arial Narrow Char"/>
    <w:basedOn w:val="DefaultParagraphFont"/>
    <w:link w:val="StyleTableHeadArialNarrow"/>
    <w:rsid w:val="008411EF"/>
    <w:rPr>
      <w:rFonts w:ascii="Arial Narrow" w:hAnsi="Arial Narrow"/>
      <w:b/>
      <w:bCs/>
      <w:color w:val="FFFFFF"/>
      <w:lang w:val="en-US" w:eastAsia="en-US" w:bidi="ar-SA"/>
    </w:rPr>
  </w:style>
  <w:style w:type="character" w:customStyle="1" w:styleId="TableHeadChar">
    <w:name w:val="Table Head Char"/>
    <w:basedOn w:val="DefaultParagraphFont"/>
    <w:link w:val="TableHead"/>
    <w:rsid w:val="008411EF"/>
    <w:rPr>
      <w:rFonts w:ascii="Arial Narrow" w:hAnsi="Arial Narrow"/>
      <w:b/>
      <w:color w:val="FFFFFF"/>
    </w:rPr>
  </w:style>
  <w:style w:type="character" w:customStyle="1" w:styleId="TableBulletChar">
    <w:name w:val="Table Bullet Char"/>
    <w:basedOn w:val="DefaultParagraphFont"/>
    <w:link w:val="TableBullet"/>
    <w:rsid w:val="00621275"/>
    <w:rPr>
      <w:rFonts w:ascii="Arial Narrow" w:hAnsi="Arial Narrow"/>
      <w:szCs w:val="24"/>
    </w:rPr>
  </w:style>
  <w:style w:type="paragraph" w:styleId="ListParagraph">
    <w:name w:val="List Paragraph"/>
    <w:basedOn w:val="Normal"/>
    <w:uiPriority w:val="34"/>
    <w:qFormat/>
    <w:rsid w:val="00A0280B"/>
    <w:pPr>
      <w:ind w:left="720"/>
    </w:pPr>
  </w:style>
  <w:style w:type="character" w:customStyle="1" w:styleId="BodyTextChar">
    <w:name w:val="Body Text Char"/>
    <w:basedOn w:val="DefaultParagraphFont"/>
    <w:link w:val="BodyText"/>
    <w:rsid w:val="00187F6D"/>
    <w:rPr>
      <w:b/>
      <w:sz w:val="40"/>
      <w:szCs w:val="24"/>
    </w:rPr>
  </w:style>
  <w:style w:type="character" w:customStyle="1" w:styleId="BodyTextIndentChar">
    <w:name w:val="Body Text Indent Char"/>
    <w:basedOn w:val="DefaultParagraphFont"/>
    <w:link w:val="BodyTextIndent"/>
    <w:rsid w:val="00187F6D"/>
    <w:rPr>
      <w:sz w:val="22"/>
      <w:szCs w:val="24"/>
    </w:rPr>
  </w:style>
  <w:style w:type="paragraph" w:styleId="Revision">
    <w:name w:val="Revision"/>
    <w:hidden/>
    <w:uiPriority w:val="99"/>
    <w:semiHidden/>
    <w:rsid w:val="00A82E4B"/>
    <w:rPr>
      <w:rFonts w:ascii="Arial" w:hAnsi="Arial"/>
      <w:szCs w:val="24"/>
    </w:rPr>
  </w:style>
  <w:style w:type="character" w:customStyle="1" w:styleId="Heading1Char">
    <w:name w:val="Heading 1 Char"/>
    <w:aliases w:val="A Head Char,H1-Sec.Head Char"/>
    <w:basedOn w:val="DefaultParagraphFont"/>
    <w:link w:val="Heading1"/>
    <w:rsid w:val="00DA6EAC"/>
    <w:rPr>
      <w:rFonts w:ascii="Arial" w:hAnsi="Arial"/>
      <w:b/>
      <w:bCs/>
      <w:kern w:val="32"/>
      <w:sz w:val="32"/>
      <w:szCs w:val="32"/>
    </w:rPr>
  </w:style>
  <w:style w:type="character" w:customStyle="1" w:styleId="Heading3Char">
    <w:name w:val="Heading 3 Char"/>
    <w:aliases w:val="H3-Sec. Head Char"/>
    <w:basedOn w:val="DefaultParagraphFont"/>
    <w:link w:val="Heading3"/>
    <w:rsid w:val="00067E0E"/>
    <w:rPr>
      <w:rFonts w:ascii="Arial" w:hAnsi="Arial" w:cs="Arial"/>
      <w:b/>
      <w:bCs/>
      <w:sz w:val="22"/>
      <w:szCs w:val="26"/>
    </w:rPr>
  </w:style>
  <w:style w:type="character" w:customStyle="1" w:styleId="BodyTextIndent2Char">
    <w:name w:val="Body Text Indent 2 Char"/>
    <w:basedOn w:val="DefaultParagraphFont"/>
    <w:link w:val="BodyTextIndent2"/>
    <w:rsid w:val="003428D6"/>
    <w:rPr>
      <w:rFonts w:ascii="Arial" w:hAnsi="Arial"/>
      <w:snapToGrid w:val="0"/>
      <w:sz w:val="22"/>
      <w:szCs w:val="24"/>
    </w:rPr>
  </w:style>
  <w:style w:type="character" w:customStyle="1" w:styleId="HeaderChar">
    <w:name w:val="Header Char"/>
    <w:basedOn w:val="DefaultParagraphFont"/>
    <w:link w:val="Header"/>
    <w:rsid w:val="003428D6"/>
    <w:rPr>
      <w:rFonts w:ascii="Arial" w:hAnsi="Arial"/>
      <w:b/>
      <w:i/>
      <w:szCs w:val="24"/>
    </w:rPr>
  </w:style>
  <w:style w:type="character" w:customStyle="1" w:styleId="CommentTextChar">
    <w:name w:val="Comment Text Char"/>
    <w:basedOn w:val="DefaultParagraphFont"/>
    <w:link w:val="CommentText"/>
    <w:rsid w:val="003428D6"/>
    <w:rPr>
      <w:rFonts w:ascii="Arial" w:hAnsi="Arial"/>
      <w:szCs w:val="24"/>
    </w:rPr>
  </w:style>
  <w:style w:type="paragraph" w:customStyle="1" w:styleId="Breakpage">
    <w:name w:val="Break page"/>
    <w:basedOn w:val="Body"/>
    <w:link w:val="BreakpageChar"/>
    <w:qFormat/>
    <w:rsid w:val="00DA6EAC"/>
    <w:pPr>
      <w:spacing w:before="0"/>
      <w:jc w:val="right"/>
    </w:pPr>
    <w:rPr>
      <w:b/>
      <w:sz w:val="48"/>
    </w:rPr>
  </w:style>
  <w:style w:type="paragraph" w:customStyle="1" w:styleId="BulletBefore0pt">
    <w:name w:val="Bullet + Before:  0 pt"/>
    <w:basedOn w:val="Bullet"/>
    <w:rsid w:val="00B126EA"/>
    <w:pPr>
      <w:numPr>
        <w:numId w:val="0"/>
      </w:numPr>
      <w:tabs>
        <w:tab w:val="left" w:pos="576"/>
      </w:tabs>
      <w:spacing w:before="0"/>
      <w:ind w:left="576" w:hanging="216"/>
    </w:pPr>
  </w:style>
  <w:style w:type="paragraph" w:styleId="PlainText">
    <w:name w:val="Plain Text"/>
    <w:basedOn w:val="Normal"/>
    <w:link w:val="PlainTextChar"/>
    <w:uiPriority w:val="99"/>
    <w:unhideWhenUsed/>
    <w:rsid w:val="006A5A36"/>
    <w:rPr>
      <w:rFonts w:ascii="Consolas" w:eastAsia="Calibri" w:hAnsi="Consolas"/>
      <w:sz w:val="21"/>
      <w:szCs w:val="21"/>
    </w:rPr>
  </w:style>
  <w:style w:type="character" w:customStyle="1" w:styleId="PlainTextChar">
    <w:name w:val="Plain Text Char"/>
    <w:basedOn w:val="DefaultParagraphFont"/>
    <w:link w:val="PlainText"/>
    <w:uiPriority w:val="99"/>
    <w:rsid w:val="006A5A36"/>
    <w:rPr>
      <w:rFonts w:ascii="Consolas" w:eastAsia="Calibri" w:hAnsi="Consolas"/>
      <w:sz w:val="21"/>
      <w:szCs w:val="21"/>
    </w:rPr>
  </w:style>
  <w:style w:type="paragraph" w:customStyle="1" w:styleId="Memo">
    <w:name w:val="Memo"/>
    <w:basedOn w:val="Body"/>
    <w:rsid w:val="00DA6EAC"/>
    <w:rPr>
      <w:rFonts w:ascii="Times New Roman" w:hAnsi="Times New Roman"/>
      <w:sz w:val="24"/>
    </w:rPr>
  </w:style>
  <w:style w:type="paragraph" w:customStyle="1" w:styleId="Letter">
    <w:name w:val="Letter"/>
    <w:qFormat/>
    <w:rsid w:val="00047AC1"/>
    <w:pPr>
      <w:spacing w:before="180"/>
    </w:pPr>
    <w:rPr>
      <w:sz w:val="24"/>
      <w:szCs w:val="24"/>
    </w:rPr>
  </w:style>
  <w:style w:type="paragraph" w:styleId="NoSpacing">
    <w:name w:val="No Spacing"/>
    <w:uiPriority w:val="1"/>
    <w:qFormat/>
    <w:rsid w:val="0096074B"/>
    <w:rPr>
      <w:sz w:val="24"/>
      <w:szCs w:val="24"/>
    </w:rPr>
  </w:style>
  <w:style w:type="paragraph" w:customStyle="1" w:styleId="Default">
    <w:name w:val="Default"/>
    <w:rsid w:val="00A048C1"/>
    <w:pPr>
      <w:autoSpaceDE w:val="0"/>
      <w:autoSpaceDN w:val="0"/>
      <w:adjustRightInd w:val="0"/>
    </w:pPr>
    <w:rPr>
      <w:rFonts w:ascii="Arial" w:hAnsi="Arial" w:cs="Arial"/>
      <w:color w:val="000000"/>
      <w:sz w:val="24"/>
      <w:szCs w:val="24"/>
    </w:rPr>
  </w:style>
  <w:style w:type="character" w:customStyle="1" w:styleId="FooterChar">
    <w:name w:val="Footer Char"/>
    <w:basedOn w:val="DefaultParagraphFont"/>
    <w:link w:val="Footer"/>
    <w:rsid w:val="00E16576"/>
    <w:rPr>
      <w:rFonts w:ascii="Arial" w:hAnsi="Arial"/>
      <w:b/>
    </w:rPr>
  </w:style>
  <w:style w:type="paragraph" w:customStyle="1" w:styleId="ElementHead">
    <w:name w:val="Element Head"/>
    <w:basedOn w:val="MainHead"/>
    <w:rsid w:val="002A7B9B"/>
    <w:pPr>
      <w:widowControl/>
      <w:pBdr>
        <w:bottom w:val="none" w:sz="0" w:space="0" w:color="auto"/>
      </w:pBdr>
      <w:spacing w:before="180"/>
    </w:pPr>
    <w:rPr>
      <w:i/>
      <w:sz w:val="20"/>
    </w:rPr>
  </w:style>
  <w:style w:type="paragraph" w:customStyle="1" w:styleId="TableText2">
    <w:name w:val="Table Text 2"/>
    <w:basedOn w:val="Normal"/>
    <w:rsid w:val="002A7B9B"/>
    <w:pPr>
      <w:spacing w:before="40" w:after="40" w:line="200" w:lineRule="exact"/>
    </w:pPr>
    <w:rPr>
      <w:rFonts w:ascii="Arial Narrow" w:hAnsi="Arial Narrow"/>
      <w:sz w:val="19"/>
    </w:rPr>
  </w:style>
  <w:style w:type="paragraph" w:customStyle="1" w:styleId="TableHead2">
    <w:name w:val="Table Head 2"/>
    <w:basedOn w:val="TableText2"/>
    <w:rsid w:val="002A7B9B"/>
    <w:pPr>
      <w:spacing w:before="0" w:after="0" w:line="220" w:lineRule="exact"/>
      <w:jc w:val="center"/>
    </w:pPr>
    <w:rPr>
      <w:rFonts w:ascii="Arial Narrow Bold" w:hAnsi="Arial Narrow Bold"/>
      <w:b/>
      <w:color w:val="FFFFFF"/>
      <w:sz w:val="20"/>
    </w:rPr>
  </w:style>
  <w:style w:type="paragraph" w:customStyle="1" w:styleId="TableBullet2">
    <w:name w:val="Table Bullet 2"/>
    <w:basedOn w:val="TableText2"/>
    <w:rsid w:val="002A7B9B"/>
    <w:pPr>
      <w:ind w:left="158" w:hanging="158"/>
    </w:pPr>
  </w:style>
  <w:style w:type="paragraph" w:customStyle="1" w:styleId="RqtText">
    <w:name w:val="Rqt Text"/>
    <w:basedOn w:val="StdText"/>
    <w:rsid w:val="002A7B9B"/>
  </w:style>
  <w:style w:type="paragraph" w:customStyle="1" w:styleId="RqtBox">
    <w:name w:val="Rqt Box"/>
    <w:basedOn w:val="RqtText"/>
    <w:rsid w:val="002A7B9B"/>
    <w:pPr>
      <w:spacing w:before="120"/>
      <w:ind w:left="1800" w:hanging="360"/>
    </w:pPr>
  </w:style>
  <w:style w:type="paragraph" w:customStyle="1" w:styleId="RqtHead">
    <w:name w:val="Rqt Head"/>
    <w:basedOn w:val="MainHead"/>
    <w:rsid w:val="002A7B9B"/>
    <w:pPr>
      <w:widowControl/>
      <w:tabs>
        <w:tab w:val="right" w:pos="9720"/>
      </w:tabs>
      <w:spacing w:before="360"/>
    </w:pPr>
  </w:style>
  <w:style w:type="paragraph" w:customStyle="1" w:styleId="RqtTitle">
    <w:name w:val="Rqt Title"/>
    <w:basedOn w:val="StandardTitle"/>
    <w:rsid w:val="002A7B9B"/>
    <w:pPr>
      <w:widowControl/>
      <w:tabs>
        <w:tab w:val="right" w:pos="9720"/>
      </w:tabs>
    </w:pPr>
  </w:style>
  <w:style w:type="paragraph" w:customStyle="1" w:styleId="Style1">
    <w:name w:val="Style1"/>
    <w:basedOn w:val="TableBullet2"/>
    <w:rsid w:val="002A7B9B"/>
  </w:style>
  <w:style w:type="paragraph" w:styleId="Caption">
    <w:name w:val="caption"/>
    <w:basedOn w:val="Normal"/>
    <w:next w:val="Normal"/>
    <w:qFormat/>
    <w:rsid w:val="002A7B9B"/>
    <w:pPr>
      <w:spacing w:before="100" w:after="100"/>
      <w:jc w:val="center"/>
    </w:pPr>
    <w:rPr>
      <w:rFonts w:ascii="Arial Narrow" w:hAnsi="Arial Narrow"/>
      <w:b/>
      <w:i/>
      <w:sz w:val="19"/>
    </w:rPr>
  </w:style>
  <w:style w:type="paragraph" w:customStyle="1" w:styleId="Bullet2">
    <w:name w:val="Bullet 2"/>
    <w:basedOn w:val="Normal"/>
    <w:rsid w:val="002A7B9B"/>
    <w:pPr>
      <w:numPr>
        <w:numId w:val="6"/>
      </w:numPr>
    </w:pPr>
  </w:style>
  <w:style w:type="character" w:styleId="Strong">
    <w:name w:val="Strong"/>
    <w:basedOn w:val="DefaultParagraphFont"/>
    <w:uiPriority w:val="22"/>
    <w:qFormat/>
    <w:rsid w:val="002A7B9B"/>
    <w:rPr>
      <w:b/>
    </w:rPr>
  </w:style>
  <w:style w:type="paragraph" w:customStyle="1" w:styleId="TableHeadNotCondensed">
    <w:name w:val="Table Head Not Condensed"/>
    <w:basedOn w:val="Heading3"/>
    <w:rsid w:val="00CB544C"/>
  </w:style>
  <w:style w:type="paragraph" w:styleId="z-TopofForm">
    <w:name w:val="HTML Top of Form"/>
    <w:basedOn w:val="Normal"/>
    <w:next w:val="Normal"/>
    <w:link w:val="z-TopofFormChar"/>
    <w:hidden/>
    <w:rsid w:val="002A7B9B"/>
    <w:pPr>
      <w:pBdr>
        <w:bottom w:val="single" w:sz="6" w:space="1" w:color="auto"/>
      </w:pBdr>
      <w:jc w:val="center"/>
    </w:pPr>
    <w:rPr>
      <w:rFonts w:cs="Arial"/>
      <w:vanish/>
      <w:color w:val="0066CC"/>
      <w:sz w:val="16"/>
      <w:szCs w:val="16"/>
    </w:rPr>
  </w:style>
  <w:style w:type="character" w:customStyle="1" w:styleId="z-TopofFormChar">
    <w:name w:val="z-Top of Form Char"/>
    <w:basedOn w:val="DefaultParagraphFont"/>
    <w:link w:val="z-TopofForm"/>
    <w:rsid w:val="002A7B9B"/>
    <w:rPr>
      <w:rFonts w:ascii="Arial" w:hAnsi="Arial" w:cs="Arial"/>
      <w:vanish/>
      <w:color w:val="0066CC"/>
      <w:sz w:val="16"/>
      <w:szCs w:val="16"/>
    </w:rPr>
  </w:style>
  <w:style w:type="paragraph" w:styleId="z-BottomofForm">
    <w:name w:val="HTML Bottom of Form"/>
    <w:basedOn w:val="Normal"/>
    <w:next w:val="Normal"/>
    <w:link w:val="z-BottomofFormChar"/>
    <w:hidden/>
    <w:rsid w:val="002A7B9B"/>
    <w:pPr>
      <w:pBdr>
        <w:top w:val="single" w:sz="6" w:space="1" w:color="auto"/>
      </w:pBdr>
      <w:jc w:val="center"/>
    </w:pPr>
    <w:rPr>
      <w:rFonts w:cs="Arial"/>
      <w:vanish/>
      <w:color w:val="0066CC"/>
      <w:sz w:val="16"/>
      <w:szCs w:val="16"/>
    </w:rPr>
  </w:style>
  <w:style w:type="character" w:customStyle="1" w:styleId="z-BottomofFormChar">
    <w:name w:val="z-Bottom of Form Char"/>
    <w:basedOn w:val="DefaultParagraphFont"/>
    <w:link w:val="z-BottomofForm"/>
    <w:rsid w:val="002A7B9B"/>
    <w:rPr>
      <w:rFonts w:ascii="Arial" w:hAnsi="Arial" w:cs="Arial"/>
      <w:vanish/>
      <w:color w:val="0066CC"/>
      <w:sz w:val="16"/>
      <w:szCs w:val="16"/>
    </w:rPr>
  </w:style>
  <w:style w:type="character" w:customStyle="1" w:styleId="hcpcscode1">
    <w:name w:val="hcpcscode1"/>
    <w:basedOn w:val="DefaultParagraphFont"/>
    <w:rsid w:val="002A7B9B"/>
    <w:rPr>
      <w:color w:val="3955AD"/>
    </w:rPr>
  </w:style>
  <w:style w:type="character" w:customStyle="1" w:styleId="BulletChar1">
    <w:name w:val="Bullet Char1"/>
    <w:basedOn w:val="DefaultParagraphFont"/>
    <w:rsid w:val="002A7B9B"/>
    <w:rPr>
      <w:rFonts w:ascii="Arial" w:hAnsi="Arial"/>
      <w:szCs w:val="24"/>
    </w:rPr>
  </w:style>
  <w:style w:type="character" w:customStyle="1" w:styleId="BreakpageChar">
    <w:name w:val="Break page Char"/>
    <w:basedOn w:val="DefaultParagraphFont"/>
    <w:link w:val="Breakpage"/>
    <w:rsid w:val="002A7B9B"/>
    <w:rPr>
      <w:rFonts w:ascii="Arial" w:hAnsi="Arial"/>
      <w:b/>
      <w:sz w:val="48"/>
      <w:szCs w:val="24"/>
    </w:rPr>
  </w:style>
  <w:style w:type="paragraph" w:customStyle="1" w:styleId="Reference">
    <w:name w:val="Reference"/>
    <w:basedOn w:val="Normal"/>
    <w:qFormat/>
    <w:rsid w:val="002A7B9B"/>
    <w:pPr>
      <w:spacing w:line="480" w:lineRule="auto"/>
      <w:ind w:left="720" w:hanging="720"/>
    </w:pPr>
    <w:rPr>
      <w:rFonts w:ascii="Times New Roman" w:hAnsi="Times New Roman" w:cs="Arial"/>
      <w:bCs/>
      <w:kern w:val="32"/>
      <w:sz w:val="24"/>
    </w:rPr>
  </w:style>
  <w:style w:type="paragraph" w:customStyle="1" w:styleId="StyleHeading2H2-SecHead11ptNotItalicSmallcapsLeft">
    <w:name w:val="Style Heading 2H2-Sec. Head + 11 pt Not Italic Small caps Left..."/>
    <w:basedOn w:val="Heading2"/>
    <w:rsid w:val="002A7B9B"/>
    <w:pPr>
      <w:pBdr>
        <w:top w:val="single" w:sz="6" w:space="1" w:color="auto"/>
        <w:bottom w:val="single" w:sz="4" w:space="1" w:color="auto"/>
      </w:pBdr>
      <w:spacing w:after="0"/>
      <w:jc w:val="left"/>
    </w:pPr>
    <w:rPr>
      <w:rFonts w:eastAsiaTheme="majorEastAsia" w:cstheme="majorBidi"/>
      <w:bCs/>
      <w:i w:val="0"/>
      <w:iCs/>
      <w:smallCaps/>
      <w:sz w:val="22"/>
      <w:szCs w:val="28"/>
    </w:rPr>
  </w:style>
  <w:style w:type="paragraph" w:customStyle="1" w:styleId="BulletedText">
    <w:name w:val="Bulleted Text"/>
    <w:basedOn w:val="Normal"/>
    <w:rsid w:val="002A7B9B"/>
    <w:pPr>
      <w:numPr>
        <w:numId w:val="7"/>
      </w:numPr>
      <w:spacing w:after="240" w:line="260" w:lineRule="exact"/>
    </w:pPr>
  </w:style>
  <w:style w:type="paragraph" w:customStyle="1" w:styleId="SectionHeadTOC1">
    <w:name w:val="Section Head TOC1"/>
    <w:basedOn w:val="Normal"/>
    <w:rsid w:val="002A7B9B"/>
    <w:pPr>
      <w:keepNext/>
      <w:spacing w:after="240"/>
      <w:jc w:val="center"/>
      <w:outlineLvl w:val="0"/>
    </w:pPr>
    <w:rPr>
      <w:b/>
      <w:kern w:val="28"/>
      <w:sz w:val="32"/>
    </w:rPr>
  </w:style>
  <w:style w:type="paragraph" w:customStyle="1" w:styleId="MarginBullet">
    <w:name w:val="Margin Bullet"/>
    <w:basedOn w:val="Bullet"/>
    <w:rsid w:val="002A7B9B"/>
    <w:pPr>
      <w:numPr>
        <w:numId w:val="10"/>
      </w:numPr>
      <w:tabs>
        <w:tab w:val="clear" w:pos="0"/>
        <w:tab w:val="left" w:pos="576"/>
      </w:tabs>
      <w:spacing w:line="220" w:lineRule="exact"/>
      <w:ind w:left="274"/>
    </w:pPr>
  </w:style>
  <w:style w:type="paragraph" w:customStyle="1" w:styleId="MarginDash">
    <w:name w:val="Margin Dash"/>
    <w:basedOn w:val="Dash"/>
    <w:rsid w:val="002A7B9B"/>
    <w:pPr>
      <w:numPr>
        <w:numId w:val="8"/>
      </w:numPr>
      <w:tabs>
        <w:tab w:val="clear" w:pos="0"/>
      </w:tabs>
      <w:ind w:left="490" w:hanging="216"/>
    </w:pPr>
  </w:style>
  <w:style w:type="paragraph" w:customStyle="1" w:styleId="Bullet3">
    <w:name w:val="Bullet +3"/>
    <w:basedOn w:val="Bullet"/>
    <w:rsid w:val="002A7B9B"/>
    <w:pPr>
      <w:numPr>
        <w:numId w:val="9"/>
      </w:numPr>
      <w:tabs>
        <w:tab w:val="clear" w:pos="360"/>
        <w:tab w:val="left" w:pos="576"/>
      </w:tabs>
      <w:spacing w:before="60"/>
      <w:ind w:hanging="216"/>
    </w:pPr>
  </w:style>
  <w:style w:type="paragraph" w:customStyle="1" w:styleId="ElementText6">
    <w:name w:val="Element Text + 6"/>
    <w:basedOn w:val="ElementText"/>
    <w:rsid w:val="002A7B9B"/>
    <w:pPr>
      <w:spacing w:before="120"/>
    </w:pPr>
  </w:style>
  <w:style w:type="paragraph" w:customStyle="1" w:styleId="ElementText">
    <w:name w:val="Element Text"/>
    <w:basedOn w:val="Body"/>
    <w:rsid w:val="002A7B9B"/>
    <w:pPr>
      <w:spacing w:before="60" w:after="60" w:line="220" w:lineRule="exact"/>
      <w:ind w:left="58" w:right="29"/>
    </w:pPr>
    <w:rPr>
      <w:b/>
    </w:rPr>
  </w:style>
  <w:style w:type="paragraph" w:customStyle="1" w:styleId="FirstParagraph">
    <w:name w:val="First Paragraph"/>
    <w:basedOn w:val="Text"/>
    <w:next w:val="Text"/>
    <w:rsid w:val="002A7B9B"/>
    <w:pPr>
      <w:spacing w:before="200"/>
    </w:pPr>
  </w:style>
  <w:style w:type="paragraph" w:customStyle="1" w:styleId="Text">
    <w:name w:val="Text"/>
    <w:basedOn w:val="Body"/>
    <w:next w:val="Body"/>
    <w:rsid w:val="002A7B9B"/>
    <w:pPr>
      <w:spacing w:before="120" w:line="220" w:lineRule="exact"/>
      <w:ind w:left="58"/>
    </w:pPr>
  </w:style>
  <w:style w:type="paragraph" w:customStyle="1" w:styleId="TextHead">
    <w:name w:val="Text Head"/>
    <w:basedOn w:val="Text"/>
    <w:next w:val="Text"/>
    <w:rsid w:val="002A7B9B"/>
    <w:pPr>
      <w:spacing w:before="200"/>
    </w:pPr>
    <w:rPr>
      <w:b/>
    </w:rPr>
  </w:style>
  <w:style w:type="paragraph" w:customStyle="1" w:styleId="StyleElementHeadLeft004Right004">
    <w:name w:val="Style Element Head + Left:  0.04&quot; Right:  0.04&quot;"/>
    <w:basedOn w:val="Normal"/>
    <w:rsid w:val="002A7B9B"/>
    <w:pPr>
      <w:pBdr>
        <w:top w:val="single" w:sz="6" w:space="2" w:color="auto"/>
        <w:left w:val="single" w:sz="6" w:space="2" w:color="auto"/>
        <w:bottom w:val="single" w:sz="6" w:space="2" w:color="auto"/>
        <w:right w:val="single" w:sz="6" w:space="2" w:color="auto"/>
      </w:pBdr>
      <w:shd w:val="clear" w:color="auto" w:fill="000000"/>
      <w:ind w:right="58"/>
    </w:pPr>
    <w:rPr>
      <w:b/>
      <w:bCs/>
      <w:color w:val="FFFFFF"/>
      <w:sz w:val="22"/>
      <w:szCs w:val="20"/>
    </w:rPr>
  </w:style>
  <w:style w:type="character" w:customStyle="1" w:styleId="Heading2Char">
    <w:name w:val="Heading 2 Char"/>
    <w:aliases w:val="H2-Sec. Head Char"/>
    <w:basedOn w:val="DefaultParagraphFont"/>
    <w:link w:val="Heading2"/>
    <w:rsid w:val="002A7B9B"/>
    <w:rPr>
      <w:rFonts w:ascii="Arial" w:hAnsi="Arial"/>
      <w:b/>
      <w:i/>
      <w:sz w:val="28"/>
      <w:szCs w:val="24"/>
    </w:rPr>
  </w:style>
  <w:style w:type="paragraph" w:customStyle="1" w:styleId="BulletBefore3pt">
    <w:name w:val="Bullet + Before:  3 pt"/>
    <w:basedOn w:val="Bullet"/>
    <w:rsid w:val="002A7B9B"/>
    <w:pPr>
      <w:numPr>
        <w:numId w:val="0"/>
      </w:numPr>
      <w:tabs>
        <w:tab w:val="num" w:pos="532"/>
        <w:tab w:val="left" w:pos="576"/>
      </w:tabs>
      <w:spacing w:before="60"/>
      <w:ind w:left="648" w:hanging="216"/>
    </w:pPr>
  </w:style>
  <w:style w:type="paragraph" w:customStyle="1" w:styleId="ReverseHead">
    <w:name w:val="Reverse Head"/>
    <w:basedOn w:val="StdHead"/>
    <w:next w:val="Body"/>
    <w:rsid w:val="0018566F"/>
  </w:style>
  <w:style w:type="paragraph" w:styleId="TOC2">
    <w:name w:val="toc 2"/>
    <w:basedOn w:val="Normal"/>
    <w:next w:val="Normal"/>
    <w:autoRedefine/>
    <w:uiPriority w:val="39"/>
    <w:unhideWhenUsed/>
    <w:rsid w:val="00DE45E9"/>
    <w:pPr>
      <w:tabs>
        <w:tab w:val="right" w:leader="dot" w:pos="9710"/>
      </w:tabs>
      <w:ind w:left="540" w:hanging="340"/>
    </w:pPr>
  </w:style>
  <w:style w:type="paragraph" w:styleId="TOC3">
    <w:name w:val="toc 3"/>
    <w:basedOn w:val="Normal"/>
    <w:next w:val="Normal"/>
    <w:autoRedefine/>
    <w:uiPriority w:val="39"/>
    <w:unhideWhenUsed/>
    <w:rsid w:val="00DE45E9"/>
    <w:pPr>
      <w:tabs>
        <w:tab w:val="right" w:leader="dot" w:pos="9710"/>
      </w:tabs>
      <w:ind w:left="360"/>
    </w:pPr>
  </w:style>
  <w:style w:type="paragraph" w:styleId="TOC4">
    <w:name w:val="toc 4"/>
    <w:basedOn w:val="Normal"/>
    <w:next w:val="Normal"/>
    <w:autoRedefine/>
    <w:uiPriority w:val="39"/>
    <w:unhideWhenUsed/>
    <w:rsid w:val="002300AB"/>
    <w:pPr>
      <w:tabs>
        <w:tab w:val="right" w:leader="dot" w:pos="9710"/>
      </w:tabs>
      <w:ind w:left="720"/>
    </w:pPr>
  </w:style>
  <w:style w:type="paragraph" w:styleId="TOC5">
    <w:name w:val="toc 5"/>
    <w:basedOn w:val="Normal"/>
    <w:next w:val="Normal"/>
    <w:autoRedefine/>
    <w:uiPriority w:val="39"/>
    <w:unhideWhenUsed/>
    <w:rsid w:val="0018566F"/>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8566F"/>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8566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8566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8566F"/>
    <w:pPr>
      <w:spacing w:after="100" w:line="259" w:lineRule="auto"/>
      <w:ind w:left="1760"/>
    </w:pPr>
    <w:rPr>
      <w:rFonts w:asciiTheme="minorHAnsi" w:eastAsiaTheme="minorEastAsia" w:hAnsiTheme="minorHAnsi" w:cstheme="minorBidi"/>
      <w:sz w:val="22"/>
      <w:szCs w:val="22"/>
    </w:rPr>
  </w:style>
  <w:style w:type="paragraph" w:customStyle="1" w:styleId="Subhead2">
    <w:name w:val="Subhead 2"/>
    <w:basedOn w:val="SubHead"/>
    <w:next w:val="Body"/>
    <w:rsid w:val="0018566F"/>
  </w:style>
  <w:style w:type="paragraph" w:customStyle="1" w:styleId="SOC">
    <w:name w:val="SOC"/>
    <w:basedOn w:val="Heading2"/>
    <w:next w:val="ProcessBullet"/>
    <w:rsid w:val="0018566F"/>
    <w:pPr>
      <w:pBdr>
        <w:top w:val="single" w:sz="6" w:space="1" w:color="auto"/>
        <w:bottom w:val="single" w:sz="6" w:space="1" w:color="auto"/>
      </w:pBdr>
      <w:spacing w:after="0"/>
      <w:jc w:val="left"/>
    </w:pPr>
    <w:rPr>
      <w:i w:val="0"/>
      <w:smallCaps/>
      <w:sz w:val="22"/>
    </w:rPr>
  </w:style>
  <w:style w:type="paragraph" w:customStyle="1" w:styleId="SubHead20">
    <w:name w:val="Sub Head 2"/>
    <w:basedOn w:val="SubHead"/>
    <w:rsid w:val="00CB544C"/>
  </w:style>
  <w:style w:type="character" w:customStyle="1" w:styleId="SubHeadChar">
    <w:name w:val="Sub Head Char"/>
    <w:basedOn w:val="DefaultParagraphFont"/>
    <w:rsid w:val="00420FDE"/>
    <w:rPr>
      <w:rFonts w:ascii="Arial" w:hAnsi="Arial"/>
      <w:b/>
      <w:sz w:val="22"/>
      <w:szCs w:val="24"/>
      <w:lang w:val="en-US" w:eastAsia="en-US" w:bidi="ar-SA"/>
    </w:rPr>
  </w:style>
  <w:style w:type="character" w:customStyle="1" w:styleId="Heading7Char">
    <w:name w:val="Heading 7 Char"/>
    <w:basedOn w:val="DefaultParagraphFont"/>
    <w:link w:val="Heading7"/>
    <w:rsid w:val="00420FDE"/>
    <w:rPr>
      <w:rFonts w:ascii="Arial" w:hAnsi="Arial"/>
      <w:b/>
      <w:i/>
      <w:smallCaps/>
      <w:sz w:val="48"/>
      <w:szCs w:val="24"/>
    </w:rPr>
  </w:style>
  <w:style w:type="character" w:customStyle="1" w:styleId="DateChar">
    <w:name w:val="Date Char"/>
    <w:basedOn w:val="DefaultParagraphFont"/>
    <w:link w:val="Date"/>
    <w:rsid w:val="00420FDE"/>
    <w:rPr>
      <w:rFonts w:ascii="Arial" w:hAnsi="Arial"/>
      <w:szCs w:val="24"/>
    </w:rPr>
  </w:style>
  <w:style w:type="character" w:customStyle="1" w:styleId="CommentSubjectChar">
    <w:name w:val="Comment Subject Char"/>
    <w:basedOn w:val="CommentTextChar"/>
    <w:link w:val="CommentSubject"/>
    <w:uiPriority w:val="99"/>
    <w:semiHidden/>
    <w:rsid w:val="00420FDE"/>
    <w:rPr>
      <w:rFonts w:ascii="Arial" w:hAnsi="Arial"/>
      <w:b/>
      <w:bCs/>
      <w:szCs w:val="24"/>
    </w:rPr>
  </w:style>
  <w:style w:type="character" w:customStyle="1" w:styleId="BalloonTextChar">
    <w:name w:val="Balloon Text Char"/>
    <w:basedOn w:val="DefaultParagraphFont"/>
    <w:link w:val="BalloonText"/>
    <w:uiPriority w:val="99"/>
    <w:semiHidden/>
    <w:rsid w:val="00420FDE"/>
    <w:rPr>
      <w:rFonts w:ascii="Tahoma" w:hAnsi="Tahoma" w:cs="Tahoma"/>
      <w:sz w:val="16"/>
      <w:szCs w:val="16"/>
    </w:rPr>
  </w:style>
  <w:style w:type="character" w:customStyle="1" w:styleId="FootnoteTextChar">
    <w:name w:val="Footnote Text Char"/>
    <w:aliases w:val="F1 Char"/>
    <w:basedOn w:val="DefaultParagraphFont"/>
    <w:link w:val="FootnoteText"/>
    <w:rsid w:val="00420FDE"/>
    <w:rPr>
      <w:rFonts w:ascii="CG Times" w:hAnsi="CG Times"/>
      <w:szCs w:val="24"/>
    </w:rPr>
  </w:style>
  <w:style w:type="paragraph" w:styleId="BodyText3">
    <w:name w:val="Body Text 3"/>
    <w:basedOn w:val="Normal"/>
    <w:link w:val="BodyText3Char"/>
    <w:rsid w:val="00B852BD"/>
    <w:pPr>
      <w:spacing w:after="120"/>
    </w:pPr>
    <w:rPr>
      <w:sz w:val="16"/>
      <w:szCs w:val="16"/>
    </w:rPr>
  </w:style>
  <w:style w:type="character" w:customStyle="1" w:styleId="BodyText3Char">
    <w:name w:val="Body Text 3 Char"/>
    <w:basedOn w:val="DefaultParagraphFont"/>
    <w:link w:val="BodyText3"/>
    <w:rsid w:val="00B852BD"/>
    <w:rPr>
      <w:rFonts w:ascii="Arial" w:hAnsi="Arial"/>
      <w:sz w:val="16"/>
      <w:szCs w:val="16"/>
    </w:rPr>
  </w:style>
  <w:style w:type="paragraph" w:styleId="EndnoteText">
    <w:name w:val="endnote text"/>
    <w:basedOn w:val="Normal"/>
    <w:link w:val="EndnoteTextChar"/>
    <w:rsid w:val="00B852BD"/>
  </w:style>
  <w:style w:type="character" w:customStyle="1" w:styleId="EndnoteTextChar">
    <w:name w:val="Endnote Text Char"/>
    <w:basedOn w:val="DefaultParagraphFont"/>
    <w:link w:val="EndnoteText"/>
    <w:rsid w:val="00B852BD"/>
    <w:rPr>
      <w:rFonts w:ascii="Arial" w:hAnsi="Arial"/>
      <w:szCs w:val="24"/>
    </w:rPr>
  </w:style>
  <w:style w:type="character" w:styleId="EndnoteReference">
    <w:name w:val="endnote reference"/>
    <w:basedOn w:val="DefaultParagraphFont"/>
    <w:semiHidden/>
    <w:rsid w:val="00B852BD"/>
    <w:rPr>
      <w:vertAlign w:val="superscript"/>
    </w:rPr>
  </w:style>
  <w:style w:type="character" w:customStyle="1" w:styleId="MarginSubheadChar">
    <w:name w:val="Margin Subhead Char"/>
    <w:basedOn w:val="DefaultParagraphFont"/>
    <w:rsid w:val="00B852BD"/>
    <w:rPr>
      <w:rFonts w:ascii="Arial" w:hAnsi="Arial"/>
      <w:b/>
      <w:szCs w:val="24"/>
      <w:lang w:val="en-US" w:eastAsia="en-US" w:bidi="ar-SA"/>
    </w:rPr>
  </w:style>
  <w:style w:type="paragraph" w:customStyle="1" w:styleId="answertext0">
    <w:name w:val="answertext"/>
    <w:basedOn w:val="Normal"/>
    <w:rsid w:val="00B852BD"/>
    <w:pPr>
      <w:tabs>
        <w:tab w:val="num" w:pos="792"/>
      </w:tabs>
      <w:ind w:left="792" w:hanging="216"/>
    </w:pPr>
  </w:style>
  <w:style w:type="paragraph" w:customStyle="1" w:styleId="StyleHeading1AHeadH1-SecHead16ptCenteredBefore0pt">
    <w:name w:val="Style Heading 1A HeadH1-Sec.Head + 16 pt Centered Before:  0 pt..."/>
    <w:basedOn w:val="Heading1"/>
    <w:rsid w:val="00B852BD"/>
    <w:pPr>
      <w:spacing w:line="276" w:lineRule="auto"/>
    </w:pPr>
    <w:rPr>
      <w:rFonts w:asciiTheme="minorHAnsi" w:hAnsiTheme="minorHAnsi"/>
      <w:szCs w:val="20"/>
    </w:rPr>
  </w:style>
  <w:style w:type="paragraph" w:customStyle="1" w:styleId="Marginbullet1">
    <w:name w:val="Margin bullet"/>
    <w:basedOn w:val="Normal"/>
    <w:link w:val="MarginbulletChar"/>
    <w:rsid w:val="00B852BD"/>
    <w:pPr>
      <w:spacing w:after="200" w:line="220" w:lineRule="exact"/>
    </w:pPr>
    <w:rPr>
      <w:rFonts w:asciiTheme="minorHAnsi" w:eastAsiaTheme="minorHAnsi" w:hAnsiTheme="minorHAnsi" w:cstheme="minorBidi"/>
      <w:sz w:val="22"/>
      <w:szCs w:val="22"/>
    </w:rPr>
  </w:style>
  <w:style w:type="character" w:customStyle="1" w:styleId="MarginbulletChar">
    <w:name w:val="Margin bullet Char"/>
    <w:basedOn w:val="DefaultParagraphFont"/>
    <w:link w:val="Marginbullet1"/>
    <w:rsid w:val="00B852BD"/>
    <w:rPr>
      <w:rFonts w:asciiTheme="minorHAnsi" w:eastAsiaTheme="minorHAnsi" w:hAnsiTheme="minorHAnsi" w:cstheme="minorBidi"/>
      <w:sz w:val="22"/>
      <w:szCs w:val="22"/>
    </w:rPr>
  </w:style>
  <w:style w:type="paragraph" w:customStyle="1" w:styleId="DocuBullet">
    <w:name w:val="Docu Bullet"/>
    <w:basedOn w:val="Normal"/>
    <w:link w:val="DocuBulletChar"/>
    <w:rsid w:val="00B852BD"/>
    <w:pPr>
      <w:numPr>
        <w:numId w:val="11"/>
      </w:numPr>
      <w:spacing w:before="60" w:after="200" w:line="220" w:lineRule="exact"/>
    </w:pPr>
    <w:rPr>
      <w:rFonts w:asciiTheme="minorHAnsi" w:eastAsiaTheme="minorHAnsi" w:hAnsiTheme="minorHAnsi" w:cstheme="minorBidi"/>
      <w:sz w:val="22"/>
      <w:szCs w:val="22"/>
    </w:rPr>
  </w:style>
  <w:style w:type="character" w:customStyle="1" w:styleId="DocuBulletChar">
    <w:name w:val="Docu Bullet Char"/>
    <w:basedOn w:val="DefaultParagraphFont"/>
    <w:link w:val="DocuBullet"/>
    <w:rsid w:val="00B852BD"/>
    <w:rPr>
      <w:rFonts w:asciiTheme="minorHAnsi" w:eastAsiaTheme="minorHAnsi" w:hAnsiTheme="minorHAnsi" w:cstheme="minorBidi"/>
      <w:sz w:val="22"/>
      <w:szCs w:val="22"/>
    </w:rPr>
  </w:style>
  <w:style w:type="paragraph" w:customStyle="1" w:styleId="marginbullet0">
    <w:name w:val="margin bullet"/>
    <w:basedOn w:val="DocuBullet"/>
    <w:link w:val="marginbulletChar0"/>
    <w:rsid w:val="00B852BD"/>
    <w:pPr>
      <w:numPr>
        <w:numId w:val="12"/>
      </w:numPr>
      <w:spacing w:before="120"/>
    </w:pPr>
  </w:style>
  <w:style w:type="character" w:customStyle="1" w:styleId="marginbulletChar0">
    <w:name w:val="margin bullet Char"/>
    <w:basedOn w:val="DocuBulletChar"/>
    <w:link w:val="marginbullet0"/>
    <w:rsid w:val="00B852BD"/>
    <w:rPr>
      <w:rFonts w:asciiTheme="minorHAnsi" w:eastAsiaTheme="minorHAnsi" w:hAnsiTheme="minorHAnsi" w:cstheme="minorBidi"/>
      <w:sz w:val="22"/>
      <w:szCs w:val="22"/>
    </w:rPr>
  </w:style>
  <w:style w:type="character" w:customStyle="1" w:styleId="i9tabularcodedesc1">
    <w:name w:val="i9tabularcodedesc1"/>
    <w:basedOn w:val="DefaultParagraphFont"/>
    <w:rsid w:val="007304CF"/>
    <w:rPr>
      <w:b/>
      <w:bCs/>
    </w:rPr>
  </w:style>
  <w:style w:type="character" w:styleId="Emphasis">
    <w:name w:val="Emphasis"/>
    <w:basedOn w:val="DefaultParagraphFont"/>
    <w:uiPriority w:val="20"/>
    <w:qFormat/>
    <w:rsid w:val="00835D81"/>
    <w:rPr>
      <w:b/>
      <w:bCs/>
      <w:i w:val="0"/>
      <w:iCs w:val="0"/>
    </w:rPr>
  </w:style>
  <w:style w:type="paragraph" w:styleId="DocumentMap">
    <w:name w:val="Document Map"/>
    <w:basedOn w:val="Normal"/>
    <w:link w:val="DocumentMapChar"/>
    <w:semiHidden/>
    <w:rsid w:val="006A4B6D"/>
    <w:pPr>
      <w:shd w:val="clear" w:color="auto" w:fill="000080"/>
    </w:pPr>
    <w:rPr>
      <w:rFonts w:ascii="Tahoma" w:hAnsi="Tahoma"/>
    </w:rPr>
  </w:style>
  <w:style w:type="character" w:customStyle="1" w:styleId="DocumentMapChar">
    <w:name w:val="Document Map Char"/>
    <w:basedOn w:val="DefaultParagraphFont"/>
    <w:link w:val="DocumentMap"/>
    <w:semiHidden/>
    <w:rsid w:val="006A4B6D"/>
    <w:rPr>
      <w:rFonts w:ascii="Tahoma" w:hAnsi="Tahoma"/>
      <w:szCs w:val="24"/>
      <w:shd w:val="clear" w:color="auto" w:fill="000080"/>
    </w:rPr>
  </w:style>
  <w:style w:type="character" w:customStyle="1" w:styleId="TableTextCharChar1">
    <w:name w:val="Table Text Char Char1"/>
    <w:basedOn w:val="DefaultParagraphFont"/>
    <w:rsid w:val="006A4B6D"/>
    <w:rPr>
      <w:rFonts w:ascii="Arial Narrow" w:hAnsi="Arial Narrow"/>
      <w:sz w:val="19"/>
      <w:szCs w:val="19"/>
    </w:rPr>
  </w:style>
  <w:style w:type="character" w:customStyle="1" w:styleId="Style">
    <w:name w:val="Style"/>
    <w:basedOn w:val="CommentReference"/>
    <w:rsid w:val="006A4B6D"/>
    <w:rPr>
      <w:rFonts w:ascii="Arial" w:hAnsi="Arial"/>
      <w:sz w:val="16"/>
      <w:szCs w:val="16"/>
    </w:rPr>
  </w:style>
  <w:style w:type="character" w:styleId="PlaceholderText">
    <w:name w:val="Placeholder Text"/>
    <w:basedOn w:val="DefaultParagraphFont"/>
    <w:uiPriority w:val="99"/>
    <w:semiHidden/>
    <w:rsid w:val="006A4B6D"/>
    <w:rPr>
      <w:color w:val="808080"/>
    </w:rPr>
  </w:style>
  <w:style w:type="character" w:customStyle="1" w:styleId="Heading8Char">
    <w:name w:val="Heading 8 Char"/>
    <w:basedOn w:val="DefaultParagraphFont"/>
    <w:link w:val="Heading8"/>
    <w:rsid w:val="00BF3DF9"/>
    <w:rPr>
      <w:rFonts w:ascii="Arial" w:hAnsi="Arial"/>
      <w:i/>
      <w:szCs w:val="24"/>
    </w:rPr>
  </w:style>
  <w:style w:type="paragraph" w:styleId="BodyText2">
    <w:name w:val="Body Text 2"/>
    <w:basedOn w:val="Normal"/>
    <w:link w:val="BodyText2Char"/>
    <w:rsid w:val="00BF3DF9"/>
    <w:pPr>
      <w:tabs>
        <w:tab w:val="left" w:pos="960"/>
      </w:tabs>
      <w:spacing w:after="240" w:line="260" w:lineRule="exact"/>
      <w:ind w:left="965" w:hanging="360"/>
    </w:pPr>
  </w:style>
  <w:style w:type="character" w:customStyle="1" w:styleId="BodyText2Char">
    <w:name w:val="Body Text 2 Char"/>
    <w:basedOn w:val="DefaultParagraphFont"/>
    <w:link w:val="BodyText2"/>
    <w:rsid w:val="00BF3DF9"/>
    <w:rPr>
      <w:rFonts w:ascii="Arial" w:hAnsi="Arial"/>
      <w:szCs w:val="24"/>
    </w:rPr>
  </w:style>
  <w:style w:type="paragraph" w:customStyle="1" w:styleId="BodyText0">
    <w:name w:val="BodyText"/>
    <w:basedOn w:val="Normal"/>
    <w:rsid w:val="00BF3DF9"/>
    <w:pPr>
      <w:spacing w:before="60" w:after="60"/>
    </w:pPr>
  </w:style>
  <w:style w:type="paragraph" w:customStyle="1" w:styleId="marginsubhead0">
    <w:name w:val="marginsubhead"/>
    <w:basedOn w:val="Normal"/>
    <w:rsid w:val="00BF3DF9"/>
    <w:pPr>
      <w:spacing w:before="180"/>
      <w:ind w:left="216"/>
    </w:pPr>
    <w:rPr>
      <w:b/>
      <w:bCs/>
    </w:rPr>
  </w:style>
  <w:style w:type="paragraph" w:customStyle="1" w:styleId="a">
    <w:name w:val="_______"/>
    <w:basedOn w:val="TableText"/>
    <w:rsid w:val="00BF3DF9"/>
    <w:pPr>
      <w:jc w:val="center"/>
    </w:pPr>
  </w:style>
  <w:style w:type="paragraph" w:styleId="NormalWeb">
    <w:name w:val="Normal (Web)"/>
    <w:basedOn w:val="Normal"/>
    <w:unhideWhenUsed/>
    <w:rsid w:val="00BF3DF9"/>
    <w:pPr>
      <w:spacing w:before="100" w:beforeAutospacing="1" w:after="100" w:afterAutospacing="1"/>
    </w:pPr>
    <w:rPr>
      <w:rFonts w:ascii="Times New Roman" w:hAnsi="Times New Roman"/>
      <w:sz w:val="24"/>
    </w:rPr>
  </w:style>
  <w:style w:type="character" w:customStyle="1" w:styleId="hilite1">
    <w:name w:val="hilite1"/>
    <w:basedOn w:val="DefaultParagraphFont"/>
    <w:rsid w:val="008046A2"/>
    <w:rPr>
      <w:b/>
      <w:bCs/>
      <w:color w:val="CC0000"/>
    </w:rPr>
  </w:style>
  <w:style w:type="paragraph" w:customStyle="1" w:styleId="FootnoteTxt">
    <w:name w:val="Footnote Txt"/>
    <w:basedOn w:val="Note"/>
    <w:rsid w:val="00463667"/>
    <w:rPr>
      <w:i w:val="0"/>
    </w:rPr>
  </w:style>
  <w:style w:type="character" w:customStyle="1" w:styleId="searchcriteria">
    <w:name w:val="searchcriteria"/>
    <w:basedOn w:val="DefaultParagraphFont"/>
    <w:rsid w:val="00463667"/>
  </w:style>
  <w:style w:type="paragraph" w:customStyle="1" w:styleId="a10">
    <w:name w:val="a10"/>
    <w:basedOn w:val="Normal"/>
    <w:rsid w:val="00463667"/>
    <w:pPr>
      <w:spacing w:before="100" w:beforeAutospacing="1" w:after="100" w:afterAutospacing="1"/>
    </w:pPr>
    <w:rPr>
      <w:rFonts w:eastAsia="Arial Unicode MS" w:cs="Arial"/>
    </w:rPr>
  </w:style>
  <w:style w:type="paragraph" w:styleId="Subtitle">
    <w:name w:val="Subtitle"/>
    <w:basedOn w:val="Normal"/>
    <w:link w:val="SubtitleChar"/>
    <w:qFormat/>
    <w:rsid w:val="00463667"/>
    <w:pPr>
      <w:jc w:val="center"/>
    </w:pPr>
    <w:rPr>
      <w:b/>
      <w:caps/>
    </w:rPr>
  </w:style>
  <w:style w:type="character" w:customStyle="1" w:styleId="SubtitleChar">
    <w:name w:val="Subtitle Char"/>
    <w:basedOn w:val="DefaultParagraphFont"/>
    <w:link w:val="Subtitle"/>
    <w:rsid w:val="00463667"/>
    <w:rPr>
      <w:rFonts w:ascii="Arial" w:hAnsi="Arial"/>
      <w:b/>
      <w:caps/>
      <w:szCs w:val="24"/>
    </w:rPr>
  </w:style>
  <w:style w:type="paragraph" w:styleId="HTMLPreformatted">
    <w:name w:val="HTML Preformatted"/>
    <w:basedOn w:val="Normal"/>
    <w:link w:val="HTMLPreformattedChar"/>
    <w:rsid w:val="004636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463667"/>
    <w:rPr>
      <w:rFonts w:ascii="Courier New" w:hAnsi="Courier New" w:cs="Courier New"/>
    </w:rPr>
  </w:style>
  <w:style w:type="character" w:styleId="HTMLCite">
    <w:name w:val="HTML Cite"/>
    <w:basedOn w:val="DefaultParagraphFont"/>
    <w:rsid w:val="00463667"/>
    <w:rPr>
      <w:i/>
      <w:iCs/>
    </w:rPr>
  </w:style>
  <w:style w:type="paragraph" w:customStyle="1" w:styleId="Informal2">
    <w:name w:val="Informal2"/>
    <w:basedOn w:val="Normal"/>
    <w:rsid w:val="00463667"/>
    <w:pPr>
      <w:spacing w:before="60" w:after="60"/>
    </w:pPr>
    <w:rPr>
      <w:b/>
      <w:noProof/>
      <w:szCs w:val="20"/>
    </w:rPr>
  </w:style>
  <w:style w:type="paragraph" w:customStyle="1" w:styleId="Pa36">
    <w:name w:val="Pa36"/>
    <w:basedOn w:val="Normal"/>
    <w:next w:val="Normal"/>
    <w:uiPriority w:val="99"/>
    <w:rsid w:val="00463667"/>
    <w:pPr>
      <w:autoSpaceDE w:val="0"/>
      <w:autoSpaceDN w:val="0"/>
      <w:adjustRightInd w:val="0"/>
      <w:spacing w:line="241" w:lineRule="atLeast"/>
    </w:pPr>
    <w:rPr>
      <w:rFonts w:ascii="Times" w:hAnsi="Times"/>
      <w:sz w:val="24"/>
    </w:rPr>
  </w:style>
  <w:style w:type="paragraph" w:customStyle="1" w:styleId="size2">
    <w:name w:val="size2"/>
    <w:basedOn w:val="Normal"/>
    <w:rsid w:val="00463667"/>
    <w:pPr>
      <w:spacing w:before="100" w:beforeAutospacing="1" w:after="100" w:afterAutospacing="1"/>
    </w:pPr>
    <w:rPr>
      <w:rFonts w:ascii="Times" w:eastAsiaTheme="minorEastAsia" w:hAnsi="Times" w:cstheme="minorBidi"/>
      <w:szCs w:val="20"/>
    </w:rPr>
  </w:style>
  <w:style w:type="paragraph" w:customStyle="1" w:styleId="Heading2NOTOC">
    <w:name w:val="Heading2NOTOC"/>
    <w:basedOn w:val="Heading2"/>
    <w:rsid w:val="00463667"/>
  </w:style>
  <w:style w:type="paragraph" w:customStyle="1" w:styleId="FrontPage">
    <w:name w:val="Front Page"/>
    <w:qFormat/>
    <w:rsid w:val="009B1DEB"/>
    <w:pPr>
      <w:widowControl w:val="0"/>
      <w:pBdr>
        <w:bottom w:val="single" w:sz="4" w:space="1" w:color="auto"/>
      </w:pBdr>
      <w:tabs>
        <w:tab w:val="right" w:pos="9720"/>
      </w:tabs>
    </w:pPr>
    <w:rPr>
      <w:rFonts w:ascii="Arial Narrow" w:hAnsi="Arial Narrow"/>
      <w:i/>
      <w:sz w:val="48"/>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56948">
      <w:bodyDiv w:val="1"/>
      <w:marLeft w:val="0"/>
      <w:marRight w:val="0"/>
      <w:marTop w:val="0"/>
      <w:marBottom w:val="0"/>
      <w:divBdr>
        <w:top w:val="none" w:sz="0" w:space="0" w:color="auto"/>
        <w:left w:val="none" w:sz="0" w:space="0" w:color="auto"/>
        <w:bottom w:val="none" w:sz="0" w:space="0" w:color="auto"/>
        <w:right w:val="none" w:sz="0" w:space="0" w:color="auto"/>
      </w:divBdr>
    </w:div>
    <w:div w:id="206379257">
      <w:bodyDiv w:val="1"/>
      <w:marLeft w:val="0"/>
      <w:marRight w:val="0"/>
      <w:marTop w:val="0"/>
      <w:marBottom w:val="0"/>
      <w:divBdr>
        <w:top w:val="none" w:sz="0" w:space="0" w:color="auto"/>
        <w:left w:val="none" w:sz="0" w:space="0" w:color="auto"/>
        <w:bottom w:val="none" w:sz="0" w:space="0" w:color="auto"/>
        <w:right w:val="none" w:sz="0" w:space="0" w:color="auto"/>
      </w:divBdr>
    </w:div>
    <w:div w:id="222912740">
      <w:bodyDiv w:val="1"/>
      <w:marLeft w:val="0"/>
      <w:marRight w:val="0"/>
      <w:marTop w:val="0"/>
      <w:marBottom w:val="0"/>
      <w:divBdr>
        <w:top w:val="none" w:sz="0" w:space="0" w:color="auto"/>
        <w:left w:val="none" w:sz="0" w:space="0" w:color="auto"/>
        <w:bottom w:val="none" w:sz="0" w:space="0" w:color="auto"/>
        <w:right w:val="none" w:sz="0" w:space="0" w:color="auto"/>
      </w:divBdr>
    </w:div>
    <w:div w:id="313533253">
      <w:bodyDiv w:val="1"/>
      <w:marLeft w:val="0"/>
      <w:marRight w:val="360"/>
      <w:marTop w:val="0"/>
      <w:marBottom w:val="0"/>
      <w:divBdr>
        <w:top w:val="none" w:sz="0" w:space="0" w:color="auto"/>
        <w:left w:val="none" w:sz="0" w:space="0" w:color="auto"/>
        <w:bottom w:val="none" w:sz="0" w:space="0" w:color="auto"/>
        <w:right w:val="none" w:sz="0" w:space="0" w:color="auto"/>
      </w:divBdr>
      <w:divsChild>
        <w:div w:id="667055913">
          <w:marLeft w:val="240"/>
          <w:marRight w:val="240"/>
          <w:marTop w:val="0"/>
          <w:marBottom w:val="0"/>
          <w:divBdr>
            <w:top w:val="none" w:sz="0" w:space="0" w:color="auto"/>
            <w:left w:val="none" w:sz="0" w:space="0" w:color="auto"/>
            <w:bottom w:val="none" w:sz="0" w:space="0" w:color="auto"/>
            <w:right w:val="none" w:sz="0" w:space="0" w:color="auto"/>
          </w:divBdr>
          <w:divsChild>
            <w:div w:id="233011313">
              <w:marLeft w:val="0"/>
              <w:marRight w:val="0"/>
              <w:marTop w:val="0"/>
              <w:marBottom w:val="0"/>
              <w:divBdr>
                <w:top w:val="none" w:sz="0" w:space="0" w:color="auto"/>
                <w:left w:val="none" w:sz="0" w:space="0" w:color="auto"/>
                <w:bottom w:val="none" w:sz="0" w:space="0" w:color="auto"/>
                <w:right w:val="none" w:sz="0" w:space="0" w:color="auto"/>
              </w:divBdr>
              <w:divsChild>
                <w:div w:id="1093237475">
                  <w:marLeft w:val="240"/>
                  <w:marRight w:val="240"/>
                  <w:marTop w:val="0"/>
                  <w:marBottom w:val="0"/>
                  <w:divBdr>
                    <w:top w:val="none" w:sz="0" w:space="0" w:color="auto"/>
                    <w:left w:val="none" w:sz="0" w:space="0" w:color="auto"/>
                    <w:bottom w:val="none" w:sz="0" w:space="0" w:color="auto"/>
                    <w:right w:val="none" w:sz="0" w:space="0" w:color="auto"/>
                  </w:divBdr>
                  <w:divsChild>
                    <w:div w:id="598804235">
                      <w:marLeft w:val="0"/>
                      <w:marRight w:val="0"/>
                      <w:marTop w:val="0"/>
                      <w:marBottom w:val="0"/>
                      <w:divBdr>
                        <w:top w:val="none" w:sz="0" w:space="0" w:color="auto"/>
                        <w:left w:val="none" w:sz="0" w:space="0" w:color="auto"/>
                        <w:bottom w:val="none" w:sz="0" w:space="0" w:color="auto"/>
                        <w:right w:val="none" w:sz="0" w:space="0" w:color="auto"/>
                      </w:divBdr>
                      <w:divsChild>
                        <w:div w:id="121848491">
                          <w:marLeft w:val="240"/>
                          <w:marRight w:val="240"/>
                          <w:marTop w:val="0"/>
                          <w:marBottom w:val="0"/>
                          <w:divBdr>
                            <w:top w:val="none" w:sz="0" w:space="0" w:color="auto"/>
                            <w:left w:val="none" w:sz="0" w:space="0" w:color="auto"/>
                            <w:bottom w:val="none" w:sz="0" w:space="0" w:color="auto"/>
                            <w:right w:val="none" w:sz="0" w:space="0" w:color="auto"/>
                          </w:divBdr>
                          <w:divsChild>
                            <w:div w:id="1479299034">
                              <w:marLeft w:val="0"/>
                              <w:marRight w:val="0"/>
                              <w:marTop w:val="0"/>
                              <w:marBottom w:val="0"/>
                              <w:divBdr>
                                <w:top w:val="none" w:sz="0" w:space="0" w:color="auto"/>
                                <w:left w:val="none" w:sz="0" w:space="0" w:color="auto"/>
                                <w:bottom w:val="none" w:sz="0" w:space="0" w:color="auto"/>
                                <w:right w:val="none" w:sz="0" w:space="0" w:color="auto"/>
                              </w:divBdr>
                              <w:divsChild>
                                <w:div w:id="1782530398">
                                  <w:marLeft w:val="240"/>
                                  <w:marRight w:val="240"/>
                                  <w:marTop w:val="0"/>
                                  <w:marBottom w:val="0"/>
                                  <w:divBdr>
                                    <w:top w:val="none" w:sz="0" w:space="0" w:color="auto"/>
                                    <w:left w:val="none" w:sz="0" w:space="0" w:color="auto"/>
                                    <w:bottom w:val="none" w:sz="0" w:space="0" w:color="auto"/>
                                    <w:right w:val="none" w:sz="0" w:space="0" w:color="auto"/>
                                  </w:divBdr>
                                  <w:divsChild>
                                    <w:div w:id="1091389011">
                                      <w:marLeft w:val="0"/>
                                      <w:marRight w:val="0"/>
                                      <w:marTop w:val="0"/>
                                      <w:marBottom w:val="0"/>
                                      <w:divBdr>
                                        <w:top w:val="none" w:sz="0" w:space="0" w:color="auto"/>
                                        <w:left w:val="none" w:sz="0" w:space="0" w:color="auto"/>
                                        <w:bottom w:val="none" w:sz="0" w:space="0" w:color="auto"/>
                                        <w:right w:val="none" w:sz="0" w:space="0" w:color="auto"/>
                                      </w:divBdr>
                                      <w:divsChild>
                                        <w:div w:id="1116370030">
                                          <w:marLeft w:val="240"/>
                                          <w:marRight w:val="240"/>
                                          <w:marTop w:val="0"/>
                                          <w:marBottom w:val="0"/>
                                          <w:divBdr>
                                            <w:top w:val="none" w:sz="0" w:space="0" w:color="auto"/>
                                            <w:left w:val="none" w:sz="0" w:space="0" w:color="auto"/>
                                            <w:bottom w:val="none" w:sz="0" w:space="0" w:color="auto"/>
                                            <w:right w:val="none" w:sz="0" w:space="0" w:color="auto"/>
                                          </w:divBdr>
                                          <w:divsChild>
                                            <w:div w:id="581598929">
                                              <w:marLeft w:val="0"/>
                                              <w:marRight w:val="0"/>
                                              <w:marTop w:val="0"/>
                                              <w:marBottom w:val="0"/>
                                              <w:divBdr>
                                                <w:top w:val="none" w:sz="0" w:space="0" w:color="auto"/>
                                                <w:left w:val="none" w:sz="0" w:space="0" w:color="auto"/>
                                                <w:bottom w:val="none" w:sz="0" w:space="0" w:color="auto"/>
                                                <w:right w:val="none" w:sz="0" w:space="0" w:color="auto"/>
                                              </w:divBdr>
                                              <w:divsChild>
                                                <w:div w:id="1164473727">
                                                  <w:marLeft w:val="240"/>
                                                  <w:marRight w:val="240"/>
                                                  <w:marTop w:val="0"/>
                                                  <w:marBottom w:val="0"/>
                                                  <w:divBdr>
                                                    <w:top w:val="none" w:sz="0" w:space="0" w:color="auto"/>
                                                    <w:left w:val="none" w:sz="0" w:space="0" w:color="auto"/>
                                                    <w:bottom w:val="none" w:sz="0" w:space="0" w:color="auto"/>
                                                    <w:right w:val="none" w:sz="0" w:space="0" w:color="auto"/>
                                                  </w:divBdr>
                                                  <w:divsChild>
                                                    <w:div w:id="1400707512">
                                                      <w:marLeft w:val="240"/>
                                                      <w:marRight w:val="0"/>
                                                      <w:marTop w:val="0"/>
                                                      <w:marBottom w:val="0"/>
                                                      <w:divBdr>
                                                        <w:top w:val="none" w:sz="0" w:space="0" w:color="auto"/>
                                                        <w:left w:val="none" w:sz="0" w:space="0" w:color="auto"/>
                                                        <w:bottom w:val="none" w:sz="0" w:space="0" w:color="auto"/>
                                                        <w:right w:val="none" w:sz="0" w:space="0" w:color="auto"/>
                                                      </w:divBdr>
                                                    </w:div>
                                                    <w:div w:id="1535196883">
                                                      <w:marLeft w:val="0"/>
                                                      <w:marRight w:val="0"/>
                                                      <w:marTop w:val="0"/>
                                                      <w:marBottom w:val="0"/>
                                                      <w:divBdr>
                                                        <w:top w:val="none" w:sz="0" w:space="0" w:color="auto"/>
                                                        <w:left w:val="none" w:sz="0" w:space="0" w:color="auto"/>
                                                        <w:bottom w:val="none" w:sz="0" w:space="0" w:color="auto"/>
                                                        <w:right w:val="none" w:sz="0" w:space="0" w:color="auto"/>
                                                      </w:divBdr>
                                                      <w:divsChild>
                                                        <w:div w:id="79066920">
                                                          <w:marLeft w:val="240"/>
                                                          <w:marRight w:val="240"/>
                                                          <w:marTop w:val="0"/>
                                                          <w:marBottom w:val="0"/>
                                                          <w:divBdr>
                                                            <w:top w:val="none" w:sz="0" w:space="0" w:color="auto"/>
                                                            <w:left w:val="none" w:sz="0" w:space="0" w:color="auto"/>
                                                            <w:bottom w:val="none" w:sz="0" w:space="0" w:color="auto"/>
                                                            <w:right w:val="none" w:sz="0" w:space="0" w:color="auto"/>
                                                          </w:divBdr>
                                                          <w:divsChild>
                                                            <w:div w:id="1004090015">
                                                              <w:marLeft w:val="0"/>
                                                              <w:marRight w:val="0"/>
                                                              <w:marTop w:val="0"/>
                                                              <w:marBottom w:val="0"/>
                                                              <w:divBdr>
                                                                <w:top w:val="none" w:sz="0" w:space="0" w:color="auto"/>
                                                                <w:left w:val="none" w:sz="0" w:space="0" w:color="auto"/>
                                                                <w:bottom w:val="none" w:sz="0" w:space="0" w:color="auto"/>
                                                                <w:right w:val="none" w:sz="0" w:space="0" w:color="auto"/>
                                                              </w:divBdr>
                                                              <w:divsChild>
                                                                <w:div w:id="357852676">
                                                                  <w:marLeft w:val="0"/>
                                                                  <w:marRight w:val="0"/>
                                                                  <w:marTop w:val="0"/>
                                                                  <w:marBottom w:val="0"/>
                                                                  <w:divBdr>
                                                                    <w:top w:val="none" w:sz="0" w:space="0" w:color="auto"/>
                                                                    <w:left w:val="none" w:sz="0" w:space="0" w:color="auto"/>
                                                                    <w:bottom w:val="none" w:sz="0" w:space="0" w:color="auto"/>
                                                                    <w:right w:val="none" w:sz="0" w:space="0" w:color="auto"/>
                                                                  </w:divBdr>
                                                                </w:div>
                                                                <w:div w:id="1619414579">
                                                                  <w:marLeft w:val="240"/>
                                                                  <w:marRight w:val="240"/>
                                                                  <w:marTop w:val="0"/>
                                                                  <w:marBottom w:val="0"/>
                                                                  <w:divBdr>
                                                                    <w:top w:val="none" w:sz="0" w:space="0" w:color="auto"/>
                                                                    <w:left w:val="none" w:sz="0" w:space="0" w:color="auto"/>
                                                                    <w:bottom w:val="none" w:sz="0" w:space="0" w:color="auto"/>
                                                                    <w:right w:val="none" w:sz="0" w:space="0" w:color="auto"/>
                                                                  </w:divBdr>
                                                                  <w:divsChild>
                                                                    <w:div w:id="144723637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23342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0519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618633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228538">
      <w:bodyDiv w:val="1"/>
      <w:marLeft w:val="0"/>
      <w:marRight w:val="0"/>
      <w:marTop w:val="0"/>
      <w:marBottom w:val="0"/>
      <w:divBdr>
        <w:top w:val="none" w:sz="0" w:space="0" w:color="auto"/>
        <w:left w:val="none" w:sz="0" w:space="0" w:color="auto"/>
        <w:bottom w:val="none" w:sz="0" w:space="0" w:color="auto"/>
        <w:right w:val="none" w:sz="0" w:space="0" w:color="auto"/>
      </w:divBdr>
    </w:div>
    <w:div w:id="449783743">
      <w:bodyDiv w:val="1"/>
      <w:marLeft w:val="0"/>
      <w:marRight w:val="0"/>
      <w:marTop w:val="0"/>
      <w:marBottom w:val="0"/>
      <w:divBdr>
        <w:top w:val="none" w:sz="0" w:space="0" w:color="auto"/>
        <w:left w:val="none" w:sz="0" w:space="0" w:color="auto"/>
        <w:bottom w:val="none" w:sz="0" w:space="0" w:color="auto"/>
        <w:right w:val="none" w:sz="0" w:space="0" w:color="auto"/>
      </w:divBdr>
    </w:div>
    <w:div w:id="467286295">
      <w:bodyDiv w:val="1"/>
      <w:marLeft w:val="0"/>
      <w:marRight w:val="0"/>
      <w:marTop w:val="0"/>
      <w:marBottom w:val="0"/>
      <w:divBdr>
        <w:top w:val="none" w:sz="0" w:space="0" w:color="auto"/>
        <w:left w:val="none" w:sz="0" w:space="0" w:color="auto"/>
        <w:bottom w:val="none" w:sz="0" w:space="0" w:color="auto"/>
        <w:right w:val="none" w:sz="0" w:space="0" w:color="auto"/>
      </w:divBdr>
    </w:div>
    <w:div w:id="546571623">
      <w:bodyDiv w:val="1"/>
      <w:marLeft w:val="0"/>
      <w:marRight w:val="0"/>
      <w:marTop w:val="0"/>
      <w:marBottom w:val="0"/>
      <w:divBdr>
        <w:top w:val="none" w:sz="0" w:space="0" w:color="auto"/>
        <w:left w:val="none" w:sz="0" w:space="0" w:color="auto"/>
        <w:bottom w:val="none" w:sz="0" w:space="0" w:color="auto"/>
        <w:right w:val="none" w:sz="0" w:space="0" w:color="auto"/>
      </w:divBdr>
    </w:div>
    <w:div w:id="577599246">
      <w:bodyDiv w:val="1"/>
      <w:marLeft w:val="0"/>
      <w:marRight w:val="0"/>
      <w:marTop w:val="0"/>
      <w:marBottom w:val="0"/>
      <w:divBdr>
        <w:top w:val="none" w:sz="0" w:space="0" w:color="auto"/>
        <w:left w:val="none" w:sz="0" w:space="0" w:color="auto"/>
        <w:bottom w:val="none" w:sz="0" w:space="0" w:color="auto"/>
        <w:right w:val="none" w:sz="0" w:space="0" w:color="auto"/>
      </w:divBdr>
    </w:div>
    <w:div w:id="577862983">
      <w:bodyDiv w:val="1"/>
      <w:marLeft w:val="0"/>
      <w:marRight w:val="0"/>
      <w:marTop w:val="0"/>
      <w:marBottom w:val="0"/>
      <w:divBdr>
        <w:top w:val="none" w:sz="0" w:space="0" w:color="auto"/>
        <w:left w:val="none" w:sz="0" w:space="0" w:color="auto"/>
        <w:bottom w:val="none" w:sz="0" w:space="0" w:color="auto"/>
        <w:right w:val="none" w:sz="0" w:space="0" w:color="auto"/>
      </w:divBdr>
    </w:div>
    <w:div w:id="626280830">
      <w:bodyDiv w:val="1"/>
      <w:marLeft w:val="0"/>
      <w:marRight w:val="0"/>
      <w:marTop w:val="0"/>
      <w:marBottom w:val="0"/>
      <w:divBdr>
        <w:top w:val="none" w:sz="0" w:space="0" w:color="auto"/>
        <w:left w:val="none" w:sz="0" w:space="0" w:color="auto"/>
        <w:bottom w:val="none" w:sz="0" w:space="0" w:color="auto"/>
        <w:right w:val="none" w:sz="0" w:space="0" w:color="auto"/>
      </w:divBdr>
    </w:div>
    <w:div w:id="658845464">
      <w:bodyDiv w:val="1"/>
      <w:marLeft w:val="0"/>
      <w:marRight w:val="0"/>
      <w:marTop w:val="0"/>
      <w:marBottom w:val="0"/>
      <w:divBdr>
        <w:top w:val="none" w:sz="0" w:space="0" w:color="auto"/>
        <w:left w:val="none" w:sz="0" w:space="0" w:color="auto"/>
        <w:bottom w:val="none" w:sz="0" w:space="0" w:color="auto"/>
        <w:right w:val="none" w:sz="0" w:space="0" w:color="auto"/>
      </w:divBdr>
    </w:div>
    <w:div w:id="701128877">
      <w:bodyDiv w:val="1"/>
      <w:marLeft w:val="0"/>
      <w:marRight w:val="0"/>
      <w:marTop w:val="0"/>
      <w:marBottom w:val="0"/>
      <w:divBdr>
        <w:top w:val="none" w:sz="0" w:space="0" w:color="auto"/>
        <w:left w:val="none" w:sz="0" w:space="0" w:color="auto"/>
        <w:bottom w:val="none" w:sz="0" w:space="0" w:color="auto"/>
        <w:right w:val="none" w:sz="0" w:space="0" w:color="auto"/>
      </w:divBdr>
    </w:div>
    <w:div w:id="711271519">
      <w:bodyDiv w:val="1"/>
      <w:marLeft w:val="0"/>
      <w:marRight w:val="0"/>
      <w:marTop w:val="0"/>
      <w:marBottom w:val="0"/>
      <w:divBdr>
        <w:top w:val="none" w:sz="0" w:space="0" w:color="auto"/>
        <w:left w:val="none" w:sz="0" w:space="0" w:color="auto"/>
        <w:bottom w:val="none" w:sz="0" w:space="0" w:color="auto"/>
        <w:right w:val="none" w:sz="0" w:space="0" w:color="auto"/>
      </w:divBdr>
    </w:div>
    <w:div w:id="726028096">
      <w:bodyDiv w:val="1"/>
      <w:marLeft w:val="0"/>
      <w:marRight w:val="0"/>
      <w:marTop w:val="0"/>
      <w:marBottom w:val="0"/>
      <w:divBdr>
        <w:top w:val="none" w:sz="0" w:space="0" w:color="auto"/>
        <w:left w:val="none" w:sz="0" w:space="0" w:color="auto"/>
        <w:bottom w:val="none" w:sz="0" w:space="0" w:color="auto"/>
        <w:right w:val="none" w:sz="0" w:space="0" w:color="auto"/>
      </w:divBdr>
    </w:div>
    <w:div w:id="832262422">
      <w:bodyDiv w:val="1"/>
      <w:marLeft w:val="0"/>
      <w:marRight w:val="0"/>
      <w:marTop w:val="0"/>
      <w:marBottom w:val="0"/>
      <w:divBdr>
        <w:top w:val="none" w:sz="0" w:space="0" w:color="auto"/>
        <w:left w:val="none" w:sz="0" w:space="0" w:color="auto"/>
        <w:bottom w:val="none" w:sz="0" w:space="0" w:color="auto"/>
        <w:right w:val="none" w:sz="0" w:space="0" w:color="auto"/>
      </w:divBdr>
    </w:div>
    <w:div w:id="844439159">
      <w:bodyDiv w:val="1"/>
      <w:marLeft w:val="0"/>
      <w:marRight w:val="0"/>
      <w:marTop w:val="0"/>
      <w:marBottom w:val="0"/>
      <w:divBdr>
        <w:top w:val="none" w:sz="0" w:space="0" w:color="auto"/>
        <w:left w:val="none" w:sz="0" w:space="0" w:color="auto"/>
        <w:bottom w:val="none" w:sz="0" w:space="0" w:color="auto"/>
        <w:right w:val="none" w:sz="0" w:space="0" w:color="auto"/>
      </w:divBdr>
    </w:div>
    <w:div w:id="847214460">
      <w:bodyDiv w:val="1"/>
      <w:marLeft w:val="0"/>
      <w:marRight w:val="0"/>
      <w:marTop w:val="0"/>
      <w:marBottom w:val="0"/>
      <w:divBdr>
        <w:top w:val="none" w:sz="0" w:space="0" w:color="auto"/>
        <w:left w:val="none" w:sz="0" w:space="0" w:color="auto"/>
        <w:bottom w:val="none" w:sz="0" w:space="0" w:color="auto"/>
        <w:right w:val="none" w:sz="0" w:space="0" w:color="auto"/>
      </w:divBdr>
    </w:div>
    <w:div w:id="917442999">
      <w:bodyDiv w:val="1"/>
      <w:marLeft w:val="0"/>
      <w:marRight w:val="0"/>
      <w:marTop w:val="0"/>
      <w:marBottom w:val="0"/>
      <w:divBdr>
        <w:top w:val="none" w:sz="0" w:space="0" w:color="auto"/>
        <w:left w:val="none" w:sz="0" w:space="0" w:color="auto"/>
        <w:bottom w:val="none" w:sz="0" w:space="0" w:color="auto"/>
        <w:right w:val="none" w:sz="0" w:space="0" w:color="auto"/>
      </w:divBdr>
    </w:div>
    <w:div w:id="965354901">
      <w:bodyDiv w:val="1"/>
      <w:marLeft w:val="0"/>
      <w:marRight w:val="0"/>
      <w:marTop w:val="0"/>
      <w:marBottom w:val="0"/>
      <w:divBdr>
        <w:top w:val="none" w:sz="0" w:space="0" w:color="auto"/>
        <w:left w:val="none" w:sz="0" w:space="0" w:color="auto"/>
        <w:bottom w:val="none" w:sz="0" w:space="0" w:color="auto"/>
        <w:right w:val="none" w:sz="0" w:space="0" w:color="auto"/>
      </w:divBdr>
    </w:div>
    <w:div w:id="1031109061">
      <w:bodyDiv w:val="1"/>
      <w:marLeft w:val="0"/>
      <w:marRight w:val="0"/>
      <w:marTop w:val="0"/>
      <w:marBottom w:val="0"/>
      <w:divBdr>
        <w:top w:val="none" w:sz="0" w:space="0" w:color="auto"/>
        <w:left w:val="none" w:sz="0" w:space="0" w:color="auto"/>
        <w:bottom w:val="none" w:sz="0" w:space="0" w:color="auto"/>
        <w:right w:val="none" w:sz="0" w:space="0" w:color="auto"/>
      </w:divBdr>
    </w:div>
    <w:div w:id="1058476479">
      <w:bodyDiv w:val="1"/>
      <w:marLeft w:val="0"/>
      <w:marRight w:val="0"/>
      <w:marTop w:val="0"/>
      <w:marBottom w:val="0"/>
      <w:divBdr>
        <w:top w:val="none" w:sz="0" w:space="0" w:color="auto"/>
        <w:left w:val="none" w:sz="0" w:space="0" w:color="auto"/>
        <w:bottom w:val="none" w:sz="0" w:space="0" w:color="auto"/>
        <w:right w:val="none" w:sz="0" w:space="0" w:color="auto"/>
      </w:divBdr>
    </w:div>
    <w:div w:id="1131285939">
      <w:bodyDiv w:val="1"/>
      <w:marLeft w:val="0"/>
      <w:marRight w:val="0"/>
      <w:marTop w:val="0"/>
      <w:marBottom w:val="0"/>
      <w:divBdr>
        <w:top w:val="none" w:sz="0" w:space="0" w:color="auto"/>
        <w:left w:val="none" w:sz="0" w:space="0" w:color="auto"/>
        <w:bottom w:val="none" w:sz="0" w:space="0" w:color="auto"/>
        <w:right w:val="none" w:sz="0" w:space="0" w:color="auto"/>
      </w:divBdr>
    </w:div>
    <w:div w:id="1177231867">
      <w:bodyDiv w:val="1"/>
      <w:marLeft w:val="0"/>
      <w:marRight w:val="0"/>
      <w:marTop w:val="0"/>
      <w:marBottom w:val="0"/>
      <w:divBdr>
        <w:top w:val="none" w:sz="0" w:space="0" w:color="auto"/>
        <w:left w:val="none" w:sz="0" w:space="0" w:color="auto"/>
        <w:bottom w:val="none" w:sz="0" w:space="0" w:color="auto"/>
        <w:right w:val="none" w:sz="0" w:space="0" w:color="auto"/>
      </w:divBdr>
    </w:div>
    <w:div w:id="1216431337">
      <w:bodyDiv w:val="1"/>
      <w:marLeft w:val="0"/>
      <w:marRight w:val="0"/>
      <w:marTop w:val="0"/>
      <w:marBottom w:val="0"/>
      <w:divBdr>
        <w:top w:val="none" w:sz="0" w:space="0" w:color="auto"/>
        <w:left w:val="none" w:sz="0" w:space="0" w:color="auto"/>
        <w:bottom w:val="none" w:sz="0" w:space="0" w:color="auto"/>
        <w:right w:val="none" w:sz="0" w:space="0" w:color="auto"/>
      </w:divBdr>
    </w:div>
    <w:div w:id="1220165510">
      <w:bodyDiv w:val="1"/>
      <w:marLeft w:val="0"/>
      <w:marRight w:val="0"/>
      <w:marTop w:val="0"/>
      <w:marBottom w:val="0"/>
      <w:divBdr>
        <w:top w:val="none" w:sz="0" w:space="0" w:color="auto"/>
        <w:left w:val="none" w:sz="0" w:space="0" w:color="auto"/>
        <w:bottom w:val="none" w:sz="0" w:space="0" w:color="auto"/>
        <w:right w:val="none" w:sz="0" w:space="0" w:color="auto"/>
      </w:divBdr>
    </w:div>
    <w:div w:id="1229458557">
      <w:bodyDiv w:val="1"/>
      <w:marLeft w:val="0"/>
      <w:marRight w:val="0"/>
      <w:marTop w:val="0"/>
      <w:marBottom w:val="0"/>
      <w:divBdr>
        <w:top w:val="none" w:sz="0" w:space="0" w:color="auto"/>
        <w:left w:val="none" w:sz="0" w:space="0" w:color="auto"/>
        <w:bottom w:val="none" w:sz="0" w:space="0" w:color="auto"/>
        <w:right w:val="none" w:sz="0" w:space="0" w:color="auto"/>
      </w:divBdr>
      <w:divsChild>
        <w:div w:id="244416503">
          <w:marLeft w:val="0"/>
          <w:marRight w:val="0"/>
          <w:marTop w:val="0"/>
          <w:marBottom w:val="0"/>
          <w:divBdr>
            <w:top w:val="none" w:sz="0" w:space="0" w:color="auto"/>
            <w:left w:val="none" w:sz="0" w:space="0" w:color="auto"/>
            <w:bottom w:val="none" w:sz="0" w:space="0" w:color="auto"/>
            <w:right w:val="none" w:sz="0" w:space="0" w:color="auto"/>
          </w:divBdr>
        </w:div>
      </w:divsChild>
    </w:div>
    <w:div w:id="1353529741">
      <w:bodyDiv w:val="1"/>
      <w:marLeft w:val="0"/>
      <w:marRight w:val="0"/>
      <w:marTop w:val="0"/>
      <w:marBottom w:val="0"/>
      <w:divBdr>
        <w:top w:val="none" w:sz="0" w:space="0" w:color="auto"/>
        <w:left w:val="none" w:sz="0" w:space="0" w:color="auto"/>
        <w:bottom w:val="none" w:sz="0" w:space="0" w:color="auto"/>
        <w:right w:val="none" w:sz="0" w:space="0" w:color="auto"/>
      </w:divBdr>
    </w:div>
    <w:div w:id="1399547196">
      <w:bodyDiv w:val="1"/>
      <w:marLeft w:val="0"/>
      <w:marRight w:val="0"/>
      <w:marTop w:val="0"/>
      <w:marBottom w:val="0"/>
      <w:divBdr>
        <w:top w:val="none" w:sz="0" w:space="0" w:color="auto"/>
        <w:left w:val="none" w:sz="0" w:space="0" w:color="auto"/>
        <w:bottom w:val="none" w:sz="0" w:space="0" w:color="auto"/>
        <w:right w:val="none" w:sz="0" w:space="0" w:color="auto"/>
      </w:divBdr>
    </w:div>
    <w:div w:id="1539977034">
      <w:bodyDiv w:val="1"/>
      <w:marLeft w:val="0"/>
      <w:marRight w:val="0"/>
      <w:marTop w:val="0"/>
      <w:marBottom w:val="0"/>
      <w:divBdr>
        <w:top w:val="none" w:sz="0" w:space="0" w:color="auto"/>
        <w:left w:val="none" w:sz="0" w:space="0" w:color="auto"/>
        <w:bottom w:val="none" w:sz="0" w:space="0" w:color="auto"/>
        <w:right w:val="none" w:sz="0" w:space="0" w:color="auto"/>
      </w:divBdr>
    </w:div>
    <w:div w:id="1594975456">
      <w:bodyDiv w:val="1"/>
      <w:marLeft w:val="0"/>
      <w:marRight w:val="0"/>
      <w:marTop w:val="0"/>
      <w:marBottom w:val="0"/>
      <w:divBdr>
        <w:top w:val="none" w:sz="0" w:space="0" w:color="auto"/>
        <w:left w:val="none" w:sz="0" w:space="0" w:color="auto"/>
        <w:bottom w:val="none" w:sz="0" w:space="0" w:color="auto"/>
        <w:right w:val="none" w:sz="0" w:space="0" w:color="auto"/>
      </w:divBdr>
    </w:div>
    <w:div w:id="1603798424">
      <w:bodyDiv w:val="1"/>
      <w:marLeft w:val="0"/>
      <w:marRight w:val="0"/>
      <w:marTop w:val="0"/>
      <w:marBottom w:val="0"/>
      <w:divBdr>
        <w:top w:val="none" w:sz="0" w:space="0" w:color="auto"/>
        <w:left w:val="none" w:sz="0" w:space="0" w:color="auto"/>
        <w:bottom w:val="none" w:sz="0" w:space="0" w:color="auto"/>
        <w:right w:val="none" w:sz="0" w:space="0" w:color="auto"/>
      </w:divBdr>
    </w:div>
    <w:div w:id="1725257868">
      <w:bodyDiv w:val="1"/>
      <w:marLeft w:val="0"/>
      <w:marRight w:val="0"/>
      <w:marTop w:val="0"/>
      <w:marBottom w:val="0"/>
      <w:divBdr>
        <w:top w:val="none" w:sz="0" w:space="0" w:color="auto"/>
        <w:left w:val="none" w:sz="0" w:space="0" w:color="auto"/>
        <w:bottom w:val="none" w:sz="0" w:space="0" w:color="auto"/>
        <w:right w:val="none" w:sz="0" w:space="0" w:color="auto"/>
      </w:divBdr>
    </w:div>
    <w:div w:id="1805804128">
      <w:bodyDiv w:val="1"/>
      <w:marLeft w:val="0"/>
      <w:marRight w:val="0"/>
      <w:marTop w:val="0"/>
      <w:marBottom w:val="0"/>
      <w:divBdr>
        <w:top w:val="none" w:sz="0" w:space="0" w:color="auto"/>
        <w:left w:val="none" w:sz="0" w:space="0" w:color="auto"/>
        <w:bottom w:val="none" w:sz="0" w:space="0" w:color="auto"/>
        <w:right w:val="none" w:sz="0" w:space="0" w:color="auto"/>
      </w:divBdr>
    </w:div>
    <w:div w:id="1828672442">
      <w:bodyDiv w:val="1"/>
      <w:marLeft w:val="0"/>
      <w:marRight w:val="0"/>
      <w:marTop w:val="0"/>
      <w:marBottom w:val="0"/>
      <w:divBdr>
        <w:top w:val="none" w:sz="0" w:space="0" w:color="auto"/>
        <w:left w:val="none" w:sz="0" w:space="0" w:color="auto"/>
        <w:bottom w:val="none" w:sz="0" w:space="0" w:color="auto"/>
        <w:right w:val="none" w:sz="0" w:space="0" w:color="auto"/>
      </w:divBdr>
    </w:div>
    <w:div w:id="1844053529">
      <w:bodyDiv w:val="1"/>
      <w:marLeft w:val="0"/>
      <w:marRight w:val="0"/>
      <w:marTop w:val="0"/>
      <w:marBottom w:val="0"/>
      <w:divBdr>
        <w:top w:val="none" w:sz="0" w:space="0" w:color="auto"/>
        <w:left w:val="none" w:sz="0" w:space="0" w:color="auto"/>
        <w:bottom w:val="none" w:sz="0" w:space="0" w:color="auto"/>
        <w:right w:val="none" w:sz="0" w:space="0" w:color="auto"/>
      </w:divBdr>
    </w:div>
    <w:div w:id="1858078783">
      <w:bodyDiv w:val="1"/>
      <w:marLeft w:val="0"/>
      <w:marRight w:val="0"/>
      <w:marTop w:val="0"/>
      <w:marBottom w:val="0"/>
      <w:divBdr>
        <w:top w:val="none" w:sz="0" w:space="0" w:color="auto"/>
        <w:left w:val="none" w:sz="0" w:space="0" w:color="auto"/>
        <w:bottom w:val="none" w:sz="0" w:space="0" w:color="auto"/>
        <w:right w:val="none" w:sz="0" w:space="0" w:color="auto"/>
      </w:divBdr>
    </w:div>
    <w:div w:id="1950232750">
      <w:bodyDiv w:val="1"/>
      <w:marLeft w:val="0"/>
      <w:marRight w:val="0"/>
      <w:marTop w:val="0"/>
      <w:marBottom w:val="0"/>
      <w:divBdr>
        <w:top w:val="none" w:sz="0" w:space="0" w:color="auto"/>
        <w:left w:val="none" w:sz="0" w:space="0" w:color="auto"/>
        <w:bottom w:val="none" w:sz="0" w:space="0" w:color="auto"/>
        <w:right w:val="none" w:sz="0" w:space="0" w:color="auto"/>
      </w:divBdr>
    </w:div>
    <w:div w:id="211806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emf"/><Relationship Id="rId21" Type="http://schemas.openxmlformats.org/officeDocument/2006/relationships/header" Target="header6.xml"/><Relationship Id="rId42" Type="http://schemas.openxmlformats.org/officeDocument/2006/relationships/header" Target="header20.xml"/><Relationship Id="rId47" Type="http://schemas.openxmlformats.org/officeDocument/2006/relationships/footer" Target="footer9.xml"/><Relationship Id="rId63" Type="http://schemas.openxmlformats.org/officeDocument/2006/relationships/header" Target="header39.xml"/><Relationship Id="rId68" Type="http://schemas.openxmlformats.org/officeDocument/2006/relationships/header" Target="header44.xml"/><Relationship Id="rId2" Type="http://schemas.openxmlformats.org/officeDocument/2006/relationships/customXml" Target="../customXml/item1.xml"/><Relationship Id="rId16" Type="http://schemas.openxmlformats.org/officeDocument/2006/relationships/footer" Target="footer1.xml"/><Relationship Id="rId29" Type="http://schemas.openxmlformats.org/officeDocument/2006/relationships/header" Target="header11.xml"/><Relationship Id="rId11" Type="http://schemas.openxmlformats.org/officeDocument/2006/relationships/webSettings" Target="webSettings.xml"/><Relationship Id="rId24" Type="http://schemas.openxmlformats.org/officeDocument/2006/relationships/header" Target="header7.xml"/><Relationship Id="rId32" Type="http://schemas.openxmlformats.org/officeDocument/2006/relationships/header" Target="header14.xml"/><Relationship Id="rId37" Type="http://schemas.openxmlformats.org/officeDocument/2006/relationships/footer" Target="footer7.xml"/><Relationship Id="rId40" Type="http://schemas.openxmlformats.org/officeDocument/2006/relationships/header" Target="header18.xml"/><Relationship Id="rId45" Type="http://schemas.openxmlformats.org/officeDocument/2006/relationships/header" Target="header23.xml"/><Relationship Id="rId53" Type="http://schemas.openxmlformats.org/officeDocument/2006/relationships/header" Target="header29.xml"/><Relationship Id="rId58" Type="http://schemas.openxmlformats.org/officeDocument/2006/relationships/header" Target="header34.xml"/><Relationship Id="rId66" Type="http://schemas.openxmlformats.org/officeDocument/2006/relationships/header" Target="header42.xml"/><Relationship Id="rId74" Type="http://schemas.openxmlformats.org/officeDocument/2006/relationships/fontTable" Target="fontTable.xml"/><Relationship Id="rId5" Type="http://schemas.openxmlformats.org/officeDocument/2006/relationships/customXml" Target="../customXml/item4.xml"/><Relationship Id="rId61" Type="http://schemas.openxmlformats.org/officeDocument/2006/relationships/header" Target="header37.xml"/><Relationship Id="rId19" Type="http://schemas.openxmlformats.org/officeDocument/2006/relationships/footer" Target="footer2.xml"/><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5.xml"/><Relationship Id="rId43" Type="http://schemas.openxmlformats.org/officeDocument/2006/relationships/header" Target="header21.xml"/><Relationship Id="rId48" Type="http://schemas.openxmlformats.org/officeDocument/2006/relationships/header" Target="header25.xml"/><Relationship Id="rId56" Type="http://schemas.openxmlformats.org/officeDocument/2006/relationships/header" Target="header32.xml"/><Relationship Id="rId64" Type="http://schemas.openxmlformats.org/officeDocument/2006/relationships/header" Target="header40.xml"/><Relationship Id="rId69" Type="http://schemas.openxmlformats.org/officeDocument/2006/relationships/header" Target="header45.xml"/><Relationship Id="rId8" Type="http://schemas.openxmlformats.org/officeDocument/2006/relationships/numbering" Target="numbering.xml"/><Relationship Id="rId51" Type="http://schemas.openxmlformats.org/officeDocument/2006/relationships/footer" Target="footer10.xml"/><Relationship Id="rId72" Type="http://schemas.openxmlformats.org/officeDocument/2006/relationships/header" Target="header48.xml"/><Relationship Id="rId3" Type="http://schemas.openxmlformats.org/officeDocument/2006/relationships/customXml" Target="../customXml/item2.xml"/><Relationship Id="rId12" Type="http://schemas.openxmlformats.org/officeDocument/2006/relationships/footnotes" Target="footnotes.xml"/><Relationship Id="rId17" Type="http://schemas.openxmlformats.org/officeDocument/2006/relationships/header" Target="header3.xml"/><Relationship Id="rId25" Type="http://schemas.openxmlformats.org/officeDocument/2006/relationships/header" Target="header8.xml"/><Relationship Id="rId33" Type="http://schemas.openxmlformats.org/officeDocument/2006/relationships/footer" Target="footer5.xml"/><Relationship Id="rId38" Type="http://schemas.openxmlformats.org/officeDocument/2006/relationships/footer" Target="footer8.xml"/><Relationship Id="rId46" Type="http://schemas.openxmlformats.org/officeDocument/2006/relationships/header" Target="header24.xml"/><Relationship Id="rId59" Type="http://schemas.openxmlformats.org/officeDocument/2006/relationships/header" Target="header35.xml"/><Relationship Id="rId67" Type="http://schemas.openxmlformats.org/officeDocument/2006/relationships/header" Target="header43.xml"/><Relationship Id="rId20" Type="http://schemas.openxmlformats.org/officeDocument/2006/relationships/header" Target="header5.xml"/><Relationship Id="rId41" Type="http://schemas.openxmlformats.org/officeDocument/2006/relationships/header" Target="header19.xml"/><Relationship Id="rId54" Type="http://schemas.openxmlformats.org/officeDocument/2006/relationships/header" Target="header30.xml"/><Relationship Id="rId62" Type="http://schemas.openxmlformats.org/officeDocument/2006/relationships/header" Target="header38.xml"/><Relationship Id="rId70" Type="http://schemas.openxmlformats.org/officeDocument/2006/relationships/header" Target="header46.xml"/><Relationship Id="rId75"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header" Target="header10.xml"/><Relationship Id="rId36" Type="http://schemas.openxmlformats.org/officeDocument/2006/relationships/header" Target="header16.xml"/><Relationship Id="rId49" Type="http://schemas.openxmlformats.org/officeDocument/2006/relationships/header" Target="header26.xml"/><Relationship Id="rId57" Type="http://schemas.openxmlformats.org/officeDocument/2006/relationships/header" Target="header33.xml"/><Relationship Id="rId10" Type="http://schemas.openxmlformats.org/officeDocument/2006/relationships/settings" Target="settings.xml"/><Relationship Id="rId31" Type="http://schemas.openxmlformats.org/officeDocument/2006/relationships/header" Target="header13.xml"/><Relationship Id="rId44" Type="http://schemas.openxmlformats.org/officeDocument/2006/relationships/header" Target="header22.xml"/><Relationship Id="rId52" Type="http://schemas.openxmlformats.org/officeDocument/2006/relationships/header" Target="header28.xml"/><Relationship Id="rId60" Type="http://schemas.openxmlformats.org/officeDocument/2006/relationships/header" Target="header36.xml"/><Relationship Id="rId65" Type="http://schemas.openxmlformats.org/officeDocument/2006/relationships/header" Target="header41.xml"/><Relationship Id="rId73" Type="http://schemas.openxmlformats.org/officeDocument/2006/relationships/header" Target="header49.xml"/><Relationship Id="rId4" Type="http://schemas.openxmlformats.org/officeDocument/2006/relationships/customXml" Target="../customXml/item3.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header" Target="header4.xml"/><Relationship Id="rId39" Type="http://schemas.openxmlformats.org/officeDocument/2006/relationships/header" Target="header17.xml"/><Relationship Id="rId34" Type="http://schemas.openxmlformats.org/officeDocument/2006/relationships/footer" Target="footer6.xml"/><Relationship Id="rId50" Type="http://schemas.openxmlformats.org/officeDocument/2006/relationships/header" Target="header27.xml"/><Relationship Id="rId55" Type="http://schemas.openxmlformats.org/officeDocument/2006/relationships/header" Target="header31.xml"/><Relationship Id="rId7" Type="http://schemas.openxmlformats.org/officeDocument/2006/relationships/customXml" Target="../customXml/item6.xml"/><Relationship Id="rId71" Type="http://schemas.openxmlformats.org/officeDocument/2006/relationships/header" Target="header4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SharedWithUsers xmlns="64615f93-1352-4a7e-b7a8-3b07e39b2009">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E95EDCDDB71B4A976398AAECCAAC99" ma:contentTypeVersion="12" ma:contentTypeDescription="Create a new document." ma:contentTypeScope="" ma:versionID="f34f3f0c0af1e9bb9dab317f274c8d54">
  <xsd:schema xmlns:xsd="http://www.w3.org/2001/XMLSchema" xmlns:xs="http://www.w3.org/2001/XMLSchema" xmlns:p="http://schemas.microsoft.com/office/2006/metadata/properties" xmlns:ns2="64615f93-1352-4a7e-b7a8-3b07e39b2009" targetNamespace="http://schemas.microsoft.com/office/2006/metadata/properties" ma:root="true" ma:fieldsID="66b4066c5de3fcaf967e6fb2eefd6a83" ns2:_="">
    <xsd:import namespace="64615f93-1352-4a7e-b7a8-3b07e39b2009"/>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615f93-1352-4a7e-b7a8-3b07e39b200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3F494-0407-43EB-98DF-2FFA76894078}">
  <ds:schemaRefs>
    <ds:schemaRef ds:uri="http://schemas.microsoft.com/sharepoint/v3/contenttype/forms"/>
  </ds:schemaRefs>
</ds:datastoreItem>
</file>

<file path=customXml/itemProps2.xml><?xml version="1.0" encoding="utf-8"?>
<ds:datastoreItem xmlns:ds="http://schemas.openxmlformats.org/officeDocument/2006/customXml" ds:itemID="{F151ECD0-AF98-48F0-91A3-B8C7B958EE0F}">
  <ds:schemaRefs>
    <ds:schemaRef ds:uri="http://purl.org/dc/elements/1.1/"/>
    <ds:schemaRef ds:uri="http://www.w3.org/XML/1998/namespace"/>
    <ds:schemaRef ds:uri="http://schemas.openxmlformats.org/package/2006/metadata/core-properties"/>
    <ds:schemaRef ds:uri="http://schemas.microsoft.com/office/2006/metadata/properties"/>
    <ds:schemaRef ds:uri="http://schemas.microsoft.com/office/infopath/2007/PartnerControls"/>
    <ds:schemaRef ds:uri="http://schemas.microsoft.com/office/2006/documentManagement/types"/>
    <ds:schemaRef ds:uri="http://purl.org/dc/dcmitype/"/>
    <ds:schemaRef ds:uri="64615f93-1352-4a7e-b7a8-3b07e39b2009"/>
    <ds:schemaRef ds:uri="http://purl.org/dc/terms/"/>
  </ds:schemaRefs>
</ds:datastoreItem>
</file>

<file path=customXml/itemProps3.xml><?xml version="1.0" encoding="utf-8"?>
<ds:datastoreItem xmlns:ds="http://schemas.openxmlformats.org/officeDocument/2006/customXml" ds:itemID="{91CB6F8B-0F44-4C2F-BB60-2E728A0D69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615f93-1352-4a7e-b7a8-3b07e39b2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A9AEB1-E221-4BFE-BC25-A4E30BF79823}">
  <ds:schemaRefs>
    <ds:schemaRef ds:uri="http://schemas.openxmlformats.org/officeDocument/2006/bibliography"/>
  </ds:schemaRefs>
</ds:datastoreItem>
</file>

<file path=customXml/itemProps5.xml><?xml version="1.0" encoding="utf-8"?>
<ds:datastoreItem xmlns:ds="http://schemas.openxmlformats.org/officeDocument/2006/customXml" ds:itemID="{9BFD9D21-EA74-436C-999D-1763D3144DDE}">
  <ds:schemaRefs>
    <ds:schemaRef ds:uri="http://schemas.openxmlformats.org/officeDocument/2006/bibliography"/>
  </ds:schemaRefs>
</ds:datastoreItem>
</file>

<file path=customXml/itemProps6.xml><?xml version="1.0" encoding="utf-8"?>
<ds:datastoreItem xmlns:ds="http://schemas.openxmlformats.org/officeDocument/2006/customXml" ds:itemID="{B533AAFD-1028-40BB-83DF-48B968D90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58</Pages>
  <Words>16342</Words>
  <Characters>92139</Characters>
  <Application>Microsoft Office Word</Application>
  <DocSecurity>2</DocSecurity>
  <Lines>767</Lines>
  <Paragraphs>216</Paragraphs>
  <ScaleCrop>false</ScaleCrop>
  <HeadingPairs>
    <vt:vector size="2" baseType="variant">
      <vt:variant>
        <vt:lpstr>Title</vt:lpstr>
      </vt:variant>
      <vt:variant>
        <vt:i4>1</vt:i4>
      </vt:variant>
    </vt:vector>
  </HeadingPairs>
  <TitlesOfParts>
    <vt:vector size="1" baseType="lpstr">
      <vt:lpstr>HEDIS®</vt:lpstr>
    </vt:vector>
  </TitlesOfParts>
  <Company>NCQA</Company>
  <LinksUpToDate>false</LinksUpToDate>
  <CharactersWithSpaces>108265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HEDIS®</dc:title>
  <dc:creator>Judy Lacourciere</dc:creator>
  <cp:lastModifiedBy>Judy</cp:lastModifiedBy>
  <cp:revision>4</cp:revision>
  <cp:lastPrinted>2015-06-08T14:49:00Z</cp:lastPrinted>
  <dcterms:created xsi:type="dcterms:W3CDTF">2015-06-03T14:47:00Z</dcterms:created>
  <dcterms:modified xsi:type="dcterms:W3CDTF">2015-06-08T14:49:00Z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0x010100F5E95EDCDDB71B4A976398AAECCAAC99</vt:lpwstr>
  </property>
</Properties>
</file>