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AE965" w14:textId="77777777" w:rsidR="007304CF" w:rsidRPr="00463667" w:rsidRDefault="007304CF" w:rsidP="007304CF">
      <w:pPr>
        <w:pStyle w:val="Breakpage"/>
      </w:pPr>
      <w:bookmarkStart w:id="0" w:name="_GoBack"/>
      <w:bookmarkEnd w:id="0"/>
    </w:p>
    <w:p w14:paraId="3798B370" w14:textId="77777777" w:rsidR="007304CF" w:rsidRPr="00463667" w:rsidRDefault="007304CF" w:rsidP="007304CF">
      <w:pPr>
        <w:pStyle w:val="Breakpage"/>
      </w:pPr>
    </w:p>
    <w:p w14:paraId="7828B12B" w14:textId="77777777" w:rsidR="007304CF" w:rsidRPr="00463667" w:rsidRDefault="007304CF" w:rsidP="007304CF">
      <w:pPr>
        <w:pStyle w:val="Breakpage"/>
      </w:pPr>
    </w:p>
    <w:p w14:paraId="4C21A486" w14:textId="77777777" w:rsidR="007304CF" w:rsidRPr="00463667" w:rsidRDefault="007304CF" w:rsidP="007304CF">
      <w:pPr>
        <w:pStyle w:val="Breakpage"/>
      </w:pPr>
    </w:p>
    <w:p w14:paraId="41B183B8" w14:textId="77777777" w:rsidR="007304CF" w:rsidRPr="00463667" w:rsidRDefault="007304CF" w:rsidP="007304CF">
      <w:pPr>
        <w:pStyle w:val="Breakpage"/>
      </w:pPr>
    </w:p>
    <w:p w14:paraId="5216F7EB" w14:textId="77777777" w:rsidR="007304CF" w:rsidRPr="00463667" w:rsidRDefault="007304CF" w:rsidP="007304CF">
      <w:pPr>
        <w:pStyle w:val="Breakpage"/>
      </w:pPr>
      <w:r w:rsidRPr="00463667">
        <w:t>Medication Management</w:t>
      </w:r>
    </w:p>
    <w:p w14:paraId="5631D68D" w14:textId="77777777" w:rsidR="007304CF" w:rsidRPr="00463667" w:rsidRDefault="007304CF" w:rsidP="007304CF">
      <w:pPr>
        <w:pStyle w:val="Breakpage"/>
        <w:sectPr w:rsidR="007304CF" w:rsidRPr="00463667" w:rsidSect="004B2B68">
          <w:type w:val="oddPage"/>
          <w:pgSz w:w="12240" w:h="15840" w:code="1"/>
          <w:pgMar w:top="1080" w:right="1080" w:bottom="1080" w:left="1440" w:header="720" w:footer="720" w:gutter="0"/>
          <w:pgNumType w:start="174"/>
          <w:cols w:space="720"/>
        </w:sectPr>
      </w:pPr>
    </w:p>
    <w:p w14:paraId="5100B371" w14:textId="2975954B" w:rsidR="007304CF" w:rsidRPr="00463667" w:rsidRDefault="007304CF" w:rsidP="007304CF">
      <w:pPr>
        <w:spacing w:after="360"/>
        <w:jc w:val="center"/>
        <w:rPr>
          <w:rFonts w:cs="Arial"/>
          <w:b/>
          <w:i/>
          <w:sz w:val="28"/>
          <w:szCs w:val="28"/>
        </w:rPr>
      </w:pPr>
      <w:r w:rsidRPr="003F7CDF">
        <w:rPr>
          <w:rFonts w:cs="Arial"/>
          <w:b/>
          <w:i/>
          <w:sz w:val="28"/>
          <w:szCs w:val="28"/>
        </w:rPr>
        <w:lastRenderedPageBreak/>
        <w:t>Annual Monitoring for Patients on Persistent Medications (MPM)</w:t>
      </w:r>
    </w:p>
    <w:p w14:paraId="22F0D630" w14:textId="46E49E3E" w:rsidR="007304CF" w:rsidRPr="00463667" w:rsidRDefault="007304CF" w:rsidP="001B37D4">
      <w:pPr>
        <w:pStyle w:val="SOC"/>
        <w:rPr>
          <w:i/>
        </w:rPr>
      </w:pPr>
      <w:r w:rsidRPr="00463667">
        <w:t xml:space="preserve">Summary of Changes to HEDIS </w:t>
      </w:r>
      <w:r w:rsidR="00761454">
        <w:t>2016</w:t>
      </w:r>
    </w:p>
    <w:p w14:paraId="692919CD" w14:textId="77777777" w:rsidR="00CE4CF2" w:rsidRPr="00CE4CF2" w:rsidRDefault="00CE4CF2" w:rsidP="001E4E41">
      <w:pPr>
        <w:pStyle w:val="ProcessBullet"/>
        <w:rPr>
          <w:i/>
          <w:iCs/>
        </w:rPr>
      </w:pPr>
      <w:r>
        <w:t>Added value sets to identify acute and nonacute inpatient encounters for the optional exclusions.</w:t>
      </w:r>
    </w:p>
    <w:p w14:paraId="350B6F15" w14:textId="5C5B2DC0" w:rsidR="001E4E41" w:rsidRPr="00463667" w:rsidRDefault="001E4E41" w:rsidP="00A82178">
      <w:pPr>
        <w:pStyle w:val="ProcessBullet"/>
        <w:spacing w:before="60"/>
        <w:rPr>
          <w:i/>
          <w:iCs/>
        </w:rPr>
      </w:pPr>
      <w:r>
        <w:t xml:space="preserve">Added “Numerator events by supplemental data” to the Data Elements for Reporting table to capture the number of members who met numerator criteria using supplemental data. </w:t>
      </w:r>
    </w:p>
    <w:p w14:paraId="017DCF3A" w14:textId="77777777" w:rsidR="007304CF" w:rsidRPr="00463667" w:rsidRDefault="007304CF" w:rsidP="001B37D4">
      <w:pPr>
        <w:pStyle w:val="ReverseHead"/>
      </w:pPr>
      <w:r w:rsidRPr="00463667">
        <w:t>Description</w:t>
      </w:r>
    </w:p>
    <w:p w14:paraId="5283A27C" w14:textId="77777777" w:rsidR="007304CF" w:rsidRPr="00463667" w:rsidRDefault="007304CF" w:rsidP="007304CF">
      <w:pPr>
        <w:pStyle w:val="Body"/>
      </w:pPr>
      <w:r w:rsidRPr="00463667">
        <w:t>The percentage of members 18 years of age and older who received at least 180 treatment days of ambulatory medication therapy for a select therapeutic agent during the measurement year and at least one therapeutic monitoring event for the therapeutic agent in the measurement year. For each product line, report each of the three rates separately and as a total rate.</w:t>
      </w:r>
    </w:p>
    <w:p w14:paraId="1EFD54A7" w14:textId="77777777" w:rsidR="007304CF" w:rsidRPr="00463667" w:rsidRDefault="007304CF" w:rsidP="007304CF">
      <w:pPr>
        <w:pStyle w:val="Bullet"/>
        <w:spacing w:before="80"/>
      </w:pPr>
      <w:r w:rsidRPr="00463667">
        <w:t>Annual monitoring for members on angiotensin converting enzyme (ACE) inhibitors or angiotensin receptor blockers (ARB).</w:t>
      </w:r>
    </w:p>
    <w:p w14:paraId="77A5554B" w14:textId="77777777" w:rsidR="007304CF" w:rsidRPr="00463667" w:rsidRDefault="007304CF" w:rsidP="007304CF">
      <w:pPr>
        <w:pStyle w:val="Bullet"/>
        <w:spacing w:before="80"/>
      </w:pPr>
      <w:r w:rsidRPr="00463667">
        <w:t>Annual monitoring for members on digoxin.</w:t>
      </w:r>
    </w:p>
    <w:p w14:paraId="1CC61B27" w14:textId="77777777" w:rsidR="007304CF" w:rsidRPr="00463667" w:rsidRDefault="007304CF" w:rsidP="007304CF">
      <w:pPr>
        <w:pStyle w:val="Bullet"/>
        <w:spacing w:before="80"/>
      </w:pPr>
      <w:r w:rsidRPr="00463667">
        <w:t>Annual monitoring for members on diuretics.</w:t>
      </w:r>
    </w:p>
    <w:p w14:paraId="770C7936" w14:textId="77777777" w:rsidR="007304CF" w:rsidRPr="00463667" w:rsidRDefault="007304CF" w:rsidP="007304CF">
      <w:pPr>
        <w:pStyle w:val="Bullet"/>
        <w:spacing w:before="80"/>
      </w:pPr>
      <w:r w:rsidRPr="00463667">
        <w:t>Total rate (the sum of the three numerators divided by the sum of the three denominators).</w:t>
      </w:r>
    </w:p>
    <w:p w14:paraId="349308D9" w14:textId="77777777" w:rsidR="007304CF" w:rsidRPr="00463667" w:rsidRDefault="007304CF" w:rsidP="001B37D4">
      <w:pPr>
        <w:pStyle w:val="ReverseHead"/>
      </w:pPr>
      <w:r w:rsidRPr="00463667">
        <w:t>Eligible Population</w:t>
      </w:r>
    </w:p>
    <w:tbl>
      <w:tblPr>
        <w:tblW w:w="9792" w:type="dxa"/>
        <w:tblInd w:w="18" w:type="dxa"/>
        <w:tblLayout w:type="fixed"/>
        <w:tblLook w:val="0000" w:firstRow="0" w:lastRow="0" w:firstColumn="0" w:lastColumn="0" w:noHBand="0" w:noVBand="0"/>
      </w:tblPr>
      <w:tblGrid>
        <w:gridCol w:w="1800"/>
        <w:gridCol w:w="7992"/>
      </w:tblGrid>
      <w:tr w:rsidR="007304CF" w:rsidRPr="00463667" w14:paraId="55E6C4BC" w14:textId="77777777" w:rsidTr="00F578E0">
        <w:trPr>
          <w:trHeight w:val="333"/>
        </w:trPr>
        <w:tc>
          <w:tcPr>
            <w:tcW w:w="1800" w:type="dxa"/>
          </w:tcPr>
          <w:p w14:paraId="07C74CF8" w14:textId="77777777" w:rsidR="007304CF" w:rsidRPr="00463667" w:rsidRDefault="007304CF" w:rsidP="00F578E0">
            <w:pPr>
              <w:pStyle w:val="MarginSubhead"/>
            </w:pPr>
            <w:r w:rsidRPr="00463667">
              <w:t>Product lines</w:t>
            </w:r>
          </w:p>
        </w:tc>
        <w:tc>
          <w:tcPr>
            <w:tcW w:w="7992" w:type="dxa"/>
          </w:tcPr>
          <w:p w14:paraId="03E07B4C" w14:textId="77777777" w:rsidR="007304CF" w:rsidRPr="00463667" w:rsidRDefault="007304CF" w:rsidP="00F578E0">
            <w:pPr>
              <w:pStyle w:val="Body"/>
              <w:rPr>
                <w:b/>
                <w:i/>
              </w:rPr>
            </w:pPr>
            <w:r w:rsidRPr="00463667">
              <w:t>Commercial, Medicaid, Medicare (report each product line separately).</w:t>
            </w:r>
          </w:p>
        </w:tc>
      </w:tr>
      <w:tr w:rsidR="007304CF" w:rsidRPr="00463667" w14:paraId="5F34A661" w14:textId="77777777" w:rsidTr="00F578E0">
        <w:tc>
          <w:tcPr>
            <w:tcW w:w="1800" w:type="dxa"/>
          </w:tcPr>
          <w:p w14:paraId="11164DFF" w14:textId="77777777" w:rsidR="007304CF" w:rsidRPr="00463667" w:rsidRDefault="007304CF" w:rsidP="00F578E0">
            <w:pPr>
              <w:pStyle w:val="MarginSubhead"/>
            </w:pPr>
            <w:r w:rsidRPr="00463667">
              <w:t>Ages</w:t>
            </w:r>
          </w:p>
        </w:tc>
        <w:tc>
          <w:tcPr>
            <w:tcW w:w="7992" w:type="dxa"/>
          </w:tcPr>
          <w:p w14:paraId="1FBAE01E" w14:textId="77777777" w:rsidR="007304CF" w:rsidRPr="00463667" w:rsidRDefault="007304CF" w:rsidP="00F578E0">
            <w:pPr>
              <w:pStyle w:val="Body"/>
            </w:pPr>
            <w:r w:rsidRPr="00463667">
              <w:t>18 years and older as of December 31 of the measurement year.</w:t>
            </w:r>
          </w:p>
        </w:tc>
      </w:tr>
      <w:tr w:rsidR="007304CF" w:rsidRPr="00463667" w14:paraId="5A46BD9D" w14:textId="77777777" w:rsidTr="00F578E0">
        <w:tc>
          <w:tcPr>
            <w:tcW w:w="1800" w:type="dxa"/>
          </w:tcPr>
          <w:p w14:paraId="01DFBC05" w14:textId="77777777" w:rsidR="007304CF" w:rsidRPr="00463667" w:rsidRDefault="007304CF" w:rsidP="00F578E0">
            <w:pPr>
              <w:pStyle w:val="MarginSubhead"/>
            </w:pPr>
            <w:r w:rsidRPr="00463667">
              <w:t>Continuous enrollment</w:t>
            </w:r>
          </w:p>
        </w:tc>
        <w:tc>
          <w:tcPr>
            <w:tcW w:w="7992" w:type="dxa"/>
          </w:tcPr>
          <w:p w14:paraId="7F3CCB0D" w14:textId="77777777" w:rsidR="007304CF" w:rsidRPr="00463667" w:rsidRDefault="007304CF" w:rsidP="00F578E0">
            <w:pPr>
              <w:pStyle w:val="Body"/>
            </w:pPr>
            <w:r w:rsidRPr="00463667">
              <w:t>The measurement year.</w:t>
            </w:r>
          </w:p>
        </w:tc>
      </w:tr>
      <w:tr w:rsidR="007304CF" w:rsidRPr="00463667" w14:paraId="57D8B94B" w14:textId="77777777" w:rsidTr="00F578E0">
        <w:tc>
          <w:tcPr>
            <w:tcW w:w="1800" w:type="dxa"/>
          </w:tcPr>
          <w:p w14:paraId="66E52598" w14:textId="77777777" w:rsidR="007304CF" w:rsidRPr="00463667" w:rsidRDefault="007304CF" w:rsidP="00F578E0">
            <w:pPr>
              <w:pStyle w:val="MarginSubhead"/>
            </w:pPr>
            <w:r w:rsidRPr="00463667">
              <w:t>Allowable gap</w:t>
            </w:r>
          </w:p>
        </w:tc>
        <w:tc>
          <w:tcPr>
            <w:tcW w:w="7992" w:type="dxa"/>
          </w:tcPr>
          <w:p w14:paraId="7FE03831" w14:textId="71E7CD6E" w:rsidR="007304CF" w:rsidRPr="00463667" w:rsidRDefault="007304CF" w:rsidP="00F578E0">
            <w:pPr>
              <w:pStyle w:val="Body"/>
            </w:pPr>
            <w:r w:rsidRPr="00463667">
              <w:rPr>
                <w:rFonts w:cs="Arial"/>
                <w:szCs w:val="20"/>
              </w:rPr>
              <w:t>No more than one gap in enrollment of up to 45 days during the measurement year.</w:t>
            </w:r>
            <w:r w:rsidRPr="00463667">
              <w:rPr>
                <w:rFonts w:ascii="Arial Narrow" w:hAnsi="Arial Narrow" w:cs="Arial Narrow"/>
                <w:szCs w:val="20"/>
              </w:rPr>
              <w:t xml:space="preserve"> </w:t>
            </w:r>
            <w:r w:rsidR="00A82178">
              <w:rPr>
                <w:rFonts w:ascii="Arial Narrow" w:hAnsi="Arial Narrow" w:cs="Arial Narrow"/>
                <w:szCs w:val="20"/>
              </w:rPr>
              <w:br/>
            </w:r>
            <w:r w:rsidRPr="00463667">
              <w:t xml:space="preserve">To determine continuous enrollment for a Medicaid beneficiary for whom enrollment is verified monthly, the member may not have more than a 1-month gap in coverage </w:t>
            </w:r>
            <w:r w:rsidR="00A82178">
              <w:br/>
            </w:r>
            <w:r w:rsidRPr="00463667">
              <w:t>(i.e., a member whose coverage lapses for 2 months [60 days] is not considered continuously enrolled).</w:t>
            </w:r>
          </w:p>
        </w:tc>
      </w:tr>
      <w:tr w:rsidR="007304CF" w:rsidRPr="00463667" w14:paraId="7AF9B6A6" w14:textId="77777777" w:rsidTr="00F578E0">
        <w:tc>
          <w:tcPr>
            <w:tcW w:w="1800" w:type="dxa"/>
          </w:tcPr>
          <w:p w14:paraId="30495813" w14:textId="77777777" w:rsidR="007304CF" w:rsidRPr="00463667" w:rsidRDefault="007304CF" w:rsidP="00F578E0">
            <w:pPr>
              <w:pStyle w:val="MarginSubhead"/>
            </w:pPr>
            <w:r w:rsidRPr="00463667">
              <w:t>Anchor date</w:t>
            </w:r>
          </w:p>
        </w:tc>
        <w:tc>
          <w:tcPr>
            <w:tcW w:w="7992" w:type="dxa"/>
          </w:tcPr>
          <w:p w14:paraId="08C4A4FA" w14:textId="77777777" w:rsidR="007304CF" w:rsidRPr="00463667" w:rsidRDefault="007304CF" w:rsidP="00F578E0">
            <w:pPr>
              <w:pStyle w:val="Body"/>
            </w:pPr>
            <w:r w:rsidRPr="00463667">
              <w:t>December 31 of the measurement year.</w:t>
            </w:r>
          </w:p>
        </w:tc>
      </w:tr>
      <w:tr w:rsidR="007304CF" w:rsidRPr="00463667" w14:paraId="71F55E66" w14:textId="77777777" w:rsidTr="00F578E0">
        <w:tc>
          <w:tcPr>
            <w:tcW w:w="1800" w:type="dxa"/>
          </w:tcPr>
          <w:p w14:paraId="58E10879" w14:textId="77777777" w:rsidR="007304CF" w:rsidRPr="00463667" w:rsidRDefault="007304CF" w:rsidP="00F578E0">
            <w:pPr>
              <w:pStyle w:val="MarginSubhead"/>
            </w:pPr>
            <w:r w:rsidRPr="00463667">
              <w:t>Benefits</w:t>
            </w:r>
          </w:p>
        </w:tc>
        <w:tc>
          <w:tcPr>
            <w:tcW w:w="7992" w:type="dxa"/>
          </w:tcPr>
          <w:p w14:paraId="4C0EE1B3" w14:textId="77777777" w:rsidR="007304CF" w:rsidRPr="00463667" w:rsidRDefault="007304CF" w:rsidP="00F578E0">
            <w:pPr>
              <w:pStyle w:val="Body"/>
            </w:pPr>
            <w:r w:rsidRPr="00463667">
              <w:t>Medical and pharmacy.</w:t>
            </w:r>
          </w:p>
        </w:tc>
      </w:tr>
      <w:tr w:rsidR="007304CF" w:rsidRPr="00463667" w14:paraId="5A30A13E" w14:textId="77777777" w:rsidTr="00F578E0">
        <w:tc>
          <w:tcPr>
            <w:tcW w:w="1800" w:type="dxa"/>
          </w:tcPr>
          <w:p w14:paraId="6D336F1B" w14:textId="77777777" w:rsidR="007304CF" w:rsidRPr="00463667" w:rsidRDefault="007304CF" w:rsidP="00F578E0">
            <w:pPr>
              <w:pStyle w:val="MarginSubhead"/>
            </w:pPr>
            <w:r w:rsidRPr="00463667">
              <w:t>Event/ diagnosis</w:t>
            </w:r>
          </w:p>
        </w:tc>
        <w:tc>
          <w:tcPr>
            <w:tcW w:w="7992" w:type="dxa"/>
          </w:tcPr>
          <w:p w14:paraId="693A48FB" w14:textId="77777777" w:rsidR="007304CF" w:rsidRPr="00463667" w:rsidRDefault="007304CF" w:rsidP="00F578E0">
            <w:pPr>
              <w:pStyle w:val="Body"/>
            </w:pPr>
            <w:r w:rsidRPr="00463667">
              <w:t>Members on persistent medications (i.e., members who received at least 180 treatment days of ambulatory medication in the measurement year). Refer to Additional Eligible Population Criteria for each rate.</w:t>
            </w:r>
          </w:p>
          <w:p w14:paraId="0B818BB9" w14:textId="77777777" w:rsidR="00A82178" w:rsidRPr="00463667" w:rsidRDefault="00A82178" w:rsidP="00A82178">
            <w:pPr>
              <w:pStyle w:val="Body"/>
              <w:rPr>
                <w:b/>
                <w:i/>
              </w:rPr>
            </w:pPr>
            <w:r w:rsidRPr="00463667">
              <w:t>Treatment days are the actual number of calendar days covered with prescriptions within the measurement year (i.e., a prescription of 90 days supply dispensed on December 1 of the measurement year counts as 30 treatment days). Sum the days supply for all medications and subtract any days supply that extends beyond December 31 of the measurement year.</w:t>
            </w:r>
          </w:p>
          <w:p w14:paraId="7C0EADDB" w14:textId="03DA0131" w:rsidR="007304CF" w:rsidRPr="00463667" w:rsidRDefault="00A82178" w:rsidP="00A82178">
            <w:pPr>
              <w:pStyle w:val="Note"/>
            </w:pPr>
            <w:r w:rsidRPr="00463667">
              <w:rPr>
                <w:b/>
              </w:rPr>
              <w:t>Note:</w:t>
            </w:r>
            <w:r w:rsidRPr="00463667">
              <w:t xml:space="preserve"> Medications dispensed in the year prior to the measurement year must be counted toward the 180 treatment days.</w:t>
            </w:r>
          </w:p>
        </w:tc>
      </w:tr>
    </w:tbl>
    <w:p w14:paraId="16A6BCF0" w14:textId="77777777" w:rsidR="007304CF" w:rsidRPr="00463667" w:rsidRDefault="007304CF" w:rsidP="007304CF">
      <w:pPr>
        <w:sectPr w:rsidR="007304CF" w:rsidRPr="00463667" w:rsidSect="00850A0E">
          <w:headerReference w:type="even" r:id="rId14"/>
          <w:headerReference w:type="default" r:id="rId15"/>
          <w:footerReference w:type="even" r:id="rId16"/>
          <w:footerReference w:type="default" r:id="rId17"/>
          <w:type w:val="evenPage"/>
          <w:pgSz w:w="12240" w:h="15840" w:code="1"/>
          <w:pgMar w:top="1080" w:right="1080" w:bottom="1080" w:left="1440" w:header="720" w:footer="720" w:gutter="0"/>
          <w:pgNumType w:start="190"/>
          <w:cols w:space="720"/>
        </w:sectPr>
      </w:pPr>
    </w:p>
    <w:p w14:paraId="42A00E6A" w14:textId="77777777" w:rsidR="007304CF" w:rsidRPr="00463667" w:rsidRDefault="007304CF" w:rsidP="00A82178">
      <w:pPr>
        <w:pStyle w:val="ReverseHead"/>
        <w:spacing w:before="0"/>
      </w:pPr>
      <w:r w:rsidRPr="00463667">
        <w:lastRenderedPageBreak/>
        <w:t>Administrative Specification</w:t>
      </w:r>
    </w:p>
    <w:p w14:paraId="1155D1AD" w14:textId="77777777" w:rsidR="007304CF" w:rsidRPr="00463667" w:rsidRDefault="007304CF" w:rsidP="007304CF">
      <w:pPr>
        <w:pStyle w:val="Body"/>
      </w:pPr>
      <w:r w:rsidRPr="00463667">
        <w:t>For each product line, report each of the three rates separately and as a combined rate. The total rate is the sum of the three numerators divided by the sum of the three denominators.</w:t>
      </w:r>
    </w:p>
    <w:p w14:paraId="2459932B" w14:textId="77777777" w:rsidR="007304CF" w:rsidRPr="00463667" w:rsidRDefault="007304CF" w:rsidP="001B37D4">
      <w:pPr>
        <w:pStyle w:val="ReverseHead"/>
      </w:pPr>
      <w:r w:rsidRPr="00463667">
        <w:rPr>
          <w:i/>
        </w:rPr>
        <w:t xml:space="preserve">Rate 1: </w:t>
      </w:r>
      <w:r w:rsidRPr="00463667">
        <w:t xml:space="preserve">Annual Monitoring for Members on ACE Inhibitors or ARBs </w:t>
      </w:r>
    </w:p>
    <w:tbl>
      <w:tblPr>
        <w:tblW w:w="9900" w:type="dxa"/>
        <w:tblInd w:w="-90" w:type="dxa"/>
        <w:tblLayout w:type="fixed"/>
        <w:tblLook w:val="0000" w:firstRow="0" w:lastRow="0" w:firstColumn="0" w:lastColumn="0" w:noHBand="0" w:noVBand="0"/>
      </w:tblPr>
      <w:tblGrid>
        <w:gridCol w:w="1998"/>
        <w:gridCol w:w="7902"/>
      </w:tblGrid>
      <w:tr w:rsidR="007304CF" w:rsidRPr="00463667" w14:paraId="762EB33D" w14:textId="77777777" w:rsidTr="00A82178">
        <w:tc>
          <w:tcPr>
            <w:tcW w:w="1998" w:type="dxa"/>
          </w:tcPr>
          <w:p w14:paraId="1B6FB0BD" w14:textId="77777777" w:rsidR="007304CF" w:rsidRPr="00463667" w:rsidRDefault="007304CF" w:rsidP="00F578E0">
            <w:pPr>
              <w:pStyle w:val="MarginSubhead"/>
            </w:pPr>
            <w:r w:rsidRPr="00463667">
              <w:t>Additional eligible population criteria</w:t>
            </w:r>
          </w:p>
        </w:tc>
        <w:tc>
          <w:tcPr>
            <w:tcW w:w="7902" w:type="dxa"/>
          </w:tcPr>
          <w:p w14:paraId="26DC0D84" w14:textId="77777777" w:rsidR="007304CF" w:rsidRPr="00463667" w:rsidRDefault="007304CF" w:rsidP="00F578E0">
            <w:pPr>
              <w:pStyle w:val="Body"/>
            </w:pPr>
            <w:r w:rsidRPr="00463667">
              <w:t>Members who received at least 180 treatment days of ACE inhibitors or ARBs, during the measurement year. Refer to Table CDC-L to identify ACE inhibitors and ARBs.</w:t>
            </w:r>
          </w:p>
          <w:p w14:paraId="62FF4609" w14:textId="77777777" w:rsidR="007304CF" w:rsidRPr="00463667" w:rsidRDefault="007304CF" w:rsidP="00F578E0">
            <w:pPr>
              <w:pStyle w:val="Note"/>
            </w:pPr>
            <w:r w:rsidRPr="00463667">
              <w:rPr>
                <w:b/>
              </w:rPr>
              <w:t>Note:</w:t>
            </w:r>
            <w:r w:rsidRPr="00463667">
              <w:t xml:space="preserve"> Members may switch therapy with any medication listed in Table CDC-L during the measurement year and have the days supply for those medications count toward the total 180 treatment days (i.e., a member who received 90 days of ACE inhibitors and 90 days of ARBs meets the denominator definition for rate 1).</w:t>
            </w:r>
          </w:p>
        </w:tc>
      </w:tr>
      <w:tr w:rsidR="007304CF" w:rsidRPr="00463667" w14:paraId="79BD79A2" w14:textId="77777777" w:rsidTr="00A82178">
        <w:tc>
          <w:tcPr>
            <w:tcW w:w="1998" w:type="dxa"/>
          </w:tcPr>
          <w:p w14:paraId="789F218B" w14:textId="77777777" w:rsidR="007304CF" w:rsidRPr="00463667" w:rsidRDefault="007304CF" w:rsidP="00F578E0">
            <w:pPr>
              <w:pStyle w:val="MarginSubhead"/>
            </w:pPr>
            <w:r w:rsidRPr="00463667">
              <w:t>Numerator</w:t>
            </w:r>
          </w:p>
        </w:tc>
        <w:tc>
          <w:tcPr>
            <w:tcW w:w="7902" w:type="dxa"/>
          </w:tcPr>
          <w:p w14:paraId="0BD6D167" w14:textId="77777777" w:rsidR="007304CF" w:rsidRPr="00463667" w:rsidRDefault="007304CF" w:rsidP="00F578E0">
            <w:pPr>
              <w:pStyle w:val="Body"/>
            </w:pPr>
            <w:r w:rsidRPr="00463667">
              <w:t>At least one serum potassium and a serum creatinine therapeutic monitoring test in the measurement year. Any of the following during the measurement year meet criteria:</w:t>
            </w:r>
          </w:p>
          <w:p w14:paraId="4B2C124B" w14:textId="77777777" w:rsidR="007304CF" w:rsidRPr="00463667" w:rsidRDefault="007304CF" w:rsidP="00F578E0">
            <w:pPr>
              <w:pStyle w:val="Bullet"/>
              <w:spacing w:before="100"/>
            </w:pPr>
            <w:r w:rsidRPr="00463667">
              <w:t>A lab panel test (</w:t>
            </w:r>
            <w:r w:rsidRPr="00463667">
              <w:rPr>
                <w:u w:val="single"/>
              </w:rPr>
              <w:t>Lab Panel Value Set</w:t>
            </w:r>
            <w:r w:rsidRPr="00463667">
              <w:t>).</w:t>
            </w:r>
          </w:p>
          <w:p w14:paraId="74C691B9" w14:textId="77777777" w:rsidR="007304CF" w:rsidRPr="00463667" w:rsidRDefault="007304CF" w:rsidP="00F578E0">
            <w:pPr>
              <w:pStyle w:val="Bullet"/>
              <w:spacing w:before="100"/>
            </w:pPr>
            <w:r w:rsidRPr="00463667">
              <w:t>A serum potassium test (</w:t>
            </w:r>
            <w:r w:rsidRPr="00463667">
              <w:rPr>
                <w:u w:val="single"/>
              </w:rPr>
              <w:t>Serum Potassium Value Set</w:t>
            </w:r>
            <w:r w:rsidRPr="00463667">
              <w:t xml:space="preserve">) </w:t>
            </w:r>
            <w:r w:rsidRPr="00463667">
              <w:rPr>
                <w:b/>
                <w:i/>
              </w:rPr>
              <w:t>and</w:t>
            </w:r>
            <w:r w:rsidRPr="00463667">
              <w:t xml:space="preserve"> a serum creatinine test (</w:t>
            </w:r>
            <w:r w:rsidRPr="00463667">
              <w:rPr>
                <w:u w:val="single"/>
              </w:rPr>
              <w:t>Serum Creatinine Value Set</w:t>
            </w:r>
            <w:r w:rsidRPr="00463667">
              <w:t>).</w:t>
            </w:r>
          </w:p>
          <w:p w14:paraId="00D1552E" w14:textId="77777777" w:rsidR="007304CF" w:rsidRPr="00463667" w:rsidRDefault="007304CF" w:rsidP="00F578E0">
            <w:pPr>
              <w:pStyle w:val="Note"/>
            </w:pPr>
            <w:r w:rsidRPr="00463667">
              <w:rPr>
                <w:b/>
              </w:rPr>
              <w:t xml:space="preserve">Note: </w:t>
            </w:r>
            <w:r w:rsidRPr="00463667">
              <w:t>The tests do not need to occur on the same service date, only within the measurement year.</w:t>
            </w:r>
          </w:p>
        </w:tc>
      </w:tr>
    </w:tbl>
    <w:p w14:paraId="74F03755" w14:textId="77777777" w:rsidR="007304CF" w:rsidRPr="00463667" w:rsidRDefault="007304CF" w:rsidP="001B37D4">
      <w:pPr>
        <w:pStyle w:val="ReverseHead"/>
      </w:pPr>
      <w:r w:rsidRPr="00463667">
        <w:rPr>
          <w:i/>
        </w:rPr>
        <w:t xml:space="preserve">Rate 2: </w:t>
      </w:r>
      <w:r w:rsidRPr="00463667">
        <w:t xml:space="preserve">Annual Monitoring for Members on Digoxin </w:t>
      </w:r>
    </w:p>
    <w:tbl>
      <w:tblPr>
        <w:tblW w:w="9900" w:type="dxa"/>
        <w:tblInd w:w="-90" w:type="dxa"/>
        <w:tblLayout w:type="fixed"/>
        <w:tblLook w:val="0000" w:firstRow="0" w:lastRow="0" w:firstColumn="0" w:lastColumn="0" w:noHBand="0" w:noVBand="0"/>
      </w:tblPr>
      <w:tblGrid>
        <w:gridCol w:w="1998"/>
        <w:gridCol w:w="7902"/>
      </w:tblGrid>
      <w:tr w:rsidR="007304CF" w:rsidRPr="00463667" w14:paraId="7BEA2E21" w14:textId="77777777" w:rsidTr="00A82178">
        <w:tc>
          <w:tcPr>
            <w:tcW w:w="1998" w:type="dxa"/>
          </w:tcPr>
          <w:p w14:paraId="3E87AA72" w14:textId="77777777" w:rsidR="007304CF" w:rsidRPr="00463667" w:rsidRDefault="007304CF" w:rsidP="00F578E0">
            <w:pPr>
              <w:pStyle w:val="MarginSubhead"/>
            </w:pPr>
            <w:r w:rsidRPr="00463667">
              <w:t>Additional eligible population criteria</w:t>
            </w:r>
          </w:p>
        </w:tc>
        <w:tc>
          <w:tcPr>
            <w:tcW w:w="7902" w:type="dxa"/>
          </w:tcPr>
          <w:p w14:paraId="75A2A6E9" w14:textId="77777777" w:rsidR="007304CF" w:rsidRPr="00463667" w:rsidRDefault="007304CF" w:rsidP="00F578E0">
            <w:pPr>
              <w:pStyle w:val="Body"/>
            </w:pPr>
            <w:r w:rsidRPr="00463667">
              <w:t>Members who received at least 180 treatment days of digoxin (Table MPM-B) during the measurement year.</w:t>
            </w:r>
          </w:p>
        </w:tc>
      </w:tr>
    </w:tbl>
    <w:p w14:paraId="61F8A0FF" w14:textId="77777777" w:rsidR="007304CF" w:rsidRPr="00463667" w:rsidRDefault="007304CF" w:rsidP="001B37D4">
      <w:pPr>
        <w:pStyle w:val="TableHeadNotCondensed"/>
      </w:pPr>
      <w:r w:rsidRPr="00463667">
        <w:t>Table MPM-B: Drugs to Identify Members on Digoxin</w:t>
      </w:r>
    </w:p>
    <w:tbl>
      <w:tblPr>
        <w:tblW w:w="36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5"/>
        <w:gridCol w:w="1800"/>
      </w:tblGrid>
      <w:tr w:rsidR="007304CF" w:rsidRPr="00463667" w14:paraId="217A22FC" w14:textId="77777777" w:rsidTr="005F4ADA">
        <w:trPr>
          <w:cantSplit/>
        </w:trPr>
        <w:tc>
          <w:tcPr>
            <w:tcW w:w="1895" w:type="dxa"/>
            <w:tcBorders>
              <w:bottom w:val="single" w:sz="4" w:space="0" w:color="auto"/>
              <w:right w:val="nil"/>
            </w:tcBorders>
            <w:shd w:val="clear" w:color="auto" w:fill="000000"/>
          </w:tcPr>
          <w:p w14:paraId="1A453DF7" w14:textId="77777777" w:rsidR="007304CF" w:rsidRPr="00463667" w:rsidRDefault="007304CF" w:rsidP="00F578E0">
            <w:pPr>
              <w:pStyle w:val="TableHead"/>
              <w:rPr>
                <w:color w:val="auto"/>
              </w:rPr>
            </w:pPr>
            <w:r w:rsidRPr="00463667">
              <w:rPr>
                <w:color w:val="auto"/>
              </w:rPr>
              <w:t>Description</w:t>
            </w:r>
          </w:p>
        </w:tc>
        <w:tc>
          <w:tcPr>
            <w:tcW w:w="1800" w:type="dxa"/>
            <w:tcBorders>
              <w:left w:val="single" w:sz="4" w:space="0" w:color="FFFFFF"/>
              <w:bottom w:val="single" w:sz="4" w:space="0" w:color="auto"/>
              <w:right w:val="single" w:sz="6" w:space="0" w:color="auto"/>
            </w:tcBorders>
            <w:shd w:val="clear" w:color="auto" w:fill="000000"/>
          </w:tcPr>
          <w:p w14:paraId="6D66F2B6" w14:textId="77777777" w:rsidR="007304CF" w:rsidRPr="00463667" w:rsidRDefault="007304CF" w:rsidP="00F578E0">
            <w:pPr>
              <w:pStyle w:val="TableHead"/>
              <w:rPr>
                <w:color w:val="auto"/>
              </w:rPr>
            </w:pPr>
            <w:r w:rsidRPr="00463667">
              <w:rPr>
                <w:color w:val="auto"/>
              </w:rPr>
              <w:t>Prescription</w:t>
            </w:r>
          </w:p>
        </w:tc>
      </w:tr>
      <w:tr w:rsidR="007304CF" w:rsidRPr="00463667" w14:paraId="421CE300" w14:textId="77777777" w:rsidTr="005F4ADA">
        <w:tc>
          <w:tcPr>
            <w:tcW w:w="1895" w:type="dxa"/>
            <w:tcBorders>
              <w:left w:val="single" w:sz="6" w:space="0" w:color="auto"/>
              <w:bottom w:val="single" w:sz="4" w:space="0" w:color="auto"/>
            </w:tcBorders>
          </w:tcPr>
          <w:p w14:paraId="659CE28E" w14:textId="77777777" w:rsidR="007304CF" w:rsidRPr="00463667" w:rsidRDefault="007304CF" w:rsidP="00F578E0">
            <w:pPr>
              <w:pStyle w:val="TableText"/>
            </w:pPr>
            <w:r w:rsidRPr="00463667">
              <w:t>Inotropic agents</w:t>
            </w:r>
          </w:p>
        </w:tc>
        <w:tc>
          <w:tcPr>
            <w:tcW w:w="1800" w:type="dxa"/>
            <w:tcBorders>
              <w:bottom w:val="single" w:sz="4" w:space="0" w:color="auto"/>
            </w:tcBorders>
          </w:tcPr>
          <w:p w14:paraId="4EAC4697" w14:textId="77777777" w:rsidR="007304CF" w:rsidRPr="00463667" w:rsidRDefault="007304CF" w:rsidP="00F578E0">
            <w:pPr>
              <w:pStyle w:val="TableText"/>
            </w:pPr>
            <w:r w:rsidRPr="00463667">
              <w:t>Digoxin</w:t>
            </w:r>
          </w:p>
        </w:tc>
      </w:tr>
    </w:tbl>
    <w:p w14:paraId="57535D97" w14:textId="65ABAD90" w:rsidR="001B37D4" w:rsidRDefault="007304CF" w:rsidP="007304CF">
      <w:pPr>
        <w:pStyle w:val="Note"/>
      </w:pPr>
      <w:r w:rsidRPr="00463667">
        <w:rPr>
          <w:rFonts w:cs="Arial"/>
          <w:b/>
          <w:bCs/>
        </w:rPr>
        <w:t xml:space="preserve">Note: </w:t>
      </w:r>
      <w:r w:rsidRPr="00463667">
        <w:t xml:space="preserve">NCQA will post a comprehensive list of medications and </w:t>
      </w:r>
      <w:r w:rsidR="00B303A2">
        <w:br/>
      </w:r>
      <w:r w:rsidRPr="00463667">
        <w:t xml:space="preserve">NDC codes to www.ncqa.org by November </w:t>
      </w:r>
      <w:r w:rsidR="00761454">
        <w:t>2</w:t>
      </w:r>
      <w:r w:rsidRPr="00463667">
        <w:t xml:space="preserve">, </w:t>
      </w:r>
      <w:r w:rsidR="00761454">
        <w:t>2015</w:t>
      </w:r>
      <w:r w:rsidRPr="00463667">
        <w:t xml:space="preserve">. </w:t>
      </w:r>
    </w:p>
    <w:p w14:paraId="220534BC" w14:textId="77777777" w:rsidR="00A82178" w:rsidRDefault="00A82178" w:rsidP="007304CF">
      <w:pPr>
        <w:pStyle w:val="Note"/>
      </w:pPr>
    </w:p>
    <w:tbl>
      <w:tblPr>
        <w:tblW w:w="9918" w:type="dxa"/>
        <w:tblInd w:w="-90" w:type="dxa"/>
        <w:tblLayout w:type="fixed"/>
        <w:tblLook w:val="0000" w:firstRow="0" w:lastRow="0" w:firstColumn="0" w:lastColumn="0" w:noHBand="0" w:noVBand="0"/>
      </w:tblPr>
      <w:tblGrid>
        <w:gridCol w:w="1998"/>
        <w:gridCol w:w="7920"/>
      </w:tblGrid>
      <w:tr w:rsidR="00A82178" w:rsidRPr="00463667" w14:paraId="38C2BE24" w14:textId="77777777" w:rsidTr="00B303A2">
        <w:tc>
          <w:tcPr>
            <w:tcW w:w="1998" w:type="dxa"/>
          </w:tcPr>
          <w:p w14:paraId="104174C5" w14:textId="77777777" w:rsidR="00A82178" w:rsidRPr="00463667" w:rsidRDefault="00A82178" w:rsidP="00A82178">
            <w:pPr>
              <w:pStyle w:val="MarginSubhead"/>
              <w:spacing w:before="0"/>
            </w:pPr>
            <w:r w:rsidRPr="00463667">
              <w:t xml:space="preserve">Numerator </w:t>
            </w:r>
          </w:p>
        </w:tc>
        <w:tc>
          <w:tcPr>
            <w:tcW w:w="7920" w:type="dxa"/>
          </w:tcPr>
          <w:p w14:paraId="3A296236" w14:textId="77777777" w:rsidR="00A82178" w:rsidRPr="00463667" w:rsidRDefault="00A82178" w:rsidP="00A82178">
            <w:pPr>
              <w:pStyle w:val="Body"/>
              <w:spacing w:before="0"/>
            </w:pPr>
            <w:r w:rsidRPr="00463667">
              <w:t xml:space="preserve">At least one serum potassium, </w:t>
            </w:r>
            <w:r w:rsidRPr="00463667">
              <w:rPr>
                <w:bCs/>
                <w:iCs/>
              </w:rPr>
              <w:t>at least one</w:t>
            </w:r>
            <w:r w:rsidRPr="00463667">
              <w:t xml:space="preserve"> serum creatinine, </w:t>
            </w:r>
            <w:r w:rsidRPr="00463667">
              <w:rPr>
                <w:i/>
              </w:rPr>
              <w:t xml:space="preserve">and </w:t>
            </w:r>
            <w:r w:rsidRPr="00463667">
              <w:t>at least one serum digoxin therapeutic monitoring test in the measurement year. Any of the following during the measurement year meet criteria:</w:t>
            </w:r>
          </w:p>
          <w:p w14:paraId="60A997BE" w14:textId="77777777" w:rsidR="00A82178" w:rsidRPr="00463667" w:rsidRDefault="00A82178" w:rsidP="00A82178">
            <w:pPr>
              <w:pStyle w:val="Bullet"/>
              <w:spacing w:before="100"/>
            </w:pPr>
            <w:r w:rsidRPr="00463667">
              <w:t>A lab panel test (</w:t>
            </w:r>
            <w:r w:rsidRPr="00463667">
              <w:rPr>
                <w:u w:val="single"/>
              </w:rPr>
              <w:t>Lab Panel Value Set</w:t>
            </w:r>
            <w:r w:rsidRPr="00463667">
              <w:t xml:space="preserve">) </w:t>
            </w:r>
            <w:r w:rsidRPr="00463667">
              <w:rPr>
                <w:b/>
                <w:i/>
              </w:rPr>
              <w:t>and</w:t>
            </w:r>
            <w:r w:rsidRPr="00463667">
              <w:t xml:space="preserve"> a serum digoxin test (</w:t>
            </w:r>
            <w:r w:rsidRPr="00463667">
              <w:rPr>
                <w:u w:val="single"/>
              </w:rPr>
              <w:t>Digoxin Level Value Set</w:t>
            </w:r>
            <w:r w:rsidRPr="00463667">
              <w:t>).</w:t>
            </w:r>
          </w:p>
          <w:p w14:paraId="652F43F7" w14:textId="77777777" w:rsidR="00A82178" w:rsidRPr="00463667" w:rsidRDefault="00A82178" w:rsidP="00A82178">
            <w:pPr>
              <w:pStyle w:val="Bullet"/>
              <w:spacing w:before="100"/>
            </w:pPr>
            <w:r w:rsidRPr="00463667">
              <w:t>A serum potassium test (</w:t>
            </w:r>
            <w:r w:rsidRPr="00463667">
              <w:rPr>
                <w:u w:val="single"/>
              </w:rPr>
              <w:t>Serum Potassium Value Set</w:t>
            </w:r>
            <w:r w:rsidRPr="00463667">
              <w:t xml:space="preserve">) </w:t>
            </w:r>
            <w:r w:rsidRPr="00463667">
              <w:rPr>
                <w:b/>
                <w:i/>
              </w:rPr>
              <w:t>and</w:t>
            </w:r>
            <w:r w:rsidRPr="00463667">
              <w:t xml:space="preserve"> a serum creatinine test (</w:t>
            </w:r>
            <w:r w:rsidRPr="00463667">
              <w:rPr>
                <w:u w:val="single"/>
              </w:rPr>
              <w:t>Serum Creatinine Value Set</w:t>
            </w:r>
            <w:r w:rsidRPr="00463667">
              <w:t xml:space="preserve">) </w:t>
            </w:r>
            <w:r w:rsidRPr="00463667">
              <w:rPr>
                <w:b/>
                <w:i/>
              </w:rPr>
              <w:t>and</w:t>
            </w:r>
            <w:r w:rsidRPr="00463667">
              <w:t xml:space="preserve"> a serum digoxin test (</w:t>
            </w:r>
            <w:r w:rsidRPr="00463667">
              <w:rPr>
                <w:u w:val="single"/>
              </w:rPr>
              <w:t>Digoxin Level Value Set</w:t>
            </w:r>
            <w:r w:rsidRPr="00463667">
              <w:t>).</w:t>
            </w:r>
          </w:p>
          <w:p w14:paraId="614F42CE" w14:textId="77777777" w:rsidR="00A82178" w:rsidRPr="00463667" w:rsidRDefault="00A82178" w:rsidP="00A82178">
            <w:pPr>
              <w:pStyle w:val="Note"/>
            </w:pPr>
            <w:r w:rsidRPr="00463667">
              <w:rPr>
                <w:b/>
              </w:rPr>
              <w:t>Note:</w:t>
            </w:r>
            <w:r w:rsidRPr="00463667">
              <w:t xml:space="preserve"> The tests do not need to occur on the same service date, only within the measurement year.</w:t>
            </w:r>
          </w:p>
        </w:tc>
      </w:tr>
    </w:tbl>
    <w:p w14:paraId="5489DE00" w14:textId="77777777" w:rsidR="00A82178" w:rsidRDefault="00A82178" w:rsidP="007304CF">
      <w:pPr>
        <w:pStyle w:val="Note"/>
      </w:pPr>
    </w:p>
    <w:p w14:paraId="481680E3" w14:textId="77777777" w:rsidR="00A82178" w:rsidRDefault="00A82178" w:rsidP="007304CF">
      <w:pPr>
        <w:pStyle w:val="Note"/>
      </w:pPr>
    </w:p>
    <w:p w14:paraId="225B6AF8" w14:textId="77777777" w:rsidR="00A82178" w:rsidRPr="00463667" w:rsidRDefault="00A82178" w:rsidP="007304CF">
      <w:pPr>
        <w:pStyle w:val="Note"/>
        <w:sectPr w:rsidR="00A82178" w:rsidRPr="00463667" w:rsidSect="00F578E0">
          <w:headerReference w:type="even" r:id="rId18"/>
          <w:footerReference w:type="even" r:id="rId19"/>
          <w:pgSz w:w="12240" w:h="15840" w:code="1"/>
          <w:pgMar w:top="1080" w:right="1080" w:bottom="1080" w:left="1440" w:header="720" w:footer="720" w:gutter="0"/>
          <w:cols w:space="720"/>
        </w:sectPr>
      </w:pPr>
    </w:p>
    <w:p w14:paraId="1EDD13BD" w14:textId="77777777" w:rsidR="007304CF" w:rsidRPr="00463667" w:rsidRDefault="007304CF" w:rsidP="00A82178">
      <w:pPr>
        <w:pStyle w:val="ReverseHead"/>
        <w:spacing w:before="0"/>
      </w:pPr>
      <w:r w:rsidRPr="00463667">
        <w:rPr>
          <w:i/>
        </w:rPr>
        <w:lastRenderedPageBreak/>
        <w:t xml:space="preserve">Rate 3: </w:t>
      </w:r>
      <w:r w:rsidRPr="00463667">
        <w:t xml:space="preserve">Annual Monitoring for Members on Diuretics </w:t>
      </w:r>
    </w:p>
    <w:tbl>
      <w:tblPr>
        <w:tblW w:w="9882" w:type="dxa"/>
        <w:tblInd w:w="-72" w:type="dxa"/>
        <w:tblLayout w:type="fixed"/>
        <w:tblLook w:val="0000" w:firstRow="0" w:lastRow="0" w:firstColumn="0" w:lastColumn="0" w:noHBand="0" w:noVBand="0"/>
      </w:tblPr>
      <w:tblGrid>
        <w:gridCol w:w="1980"/>
        <w:gridCol w:w="7902"/>
      </w:tblGrid>
      <w:tr w:rsidR="007304CF" w:rsidRPr="00463667" w14:paraId="08FDEB93" w14:textId="77777777" w:rsidTr="00F578E0">
        <w:tc>
          <w:tcPr>
            <w:tcW w:w="1980" w:type="dxa"/>
          </w:tcPr>
          <w:p w14:paraId="224AEF76" w14:textId="77777777" w:rsidR="007304CF" w:rsidRPr="00463667" w:rsidRDefault="007304CF" w:rsidP="00F578E0">
            <w:pPr>
              <w:pStyle w:val="MarginSubhead"/>
            </w:pPr>
            <w:r w:rsidRPr="00463667">
              <w:t>Additional eligible population criteria</w:t>
            </w:r>
          </w:p>
        </w:tc>
        <w:tc>
          <w:tcPr>
            <w:tcW w:w="7902" w:type="dxa"/>
          </w:tcPr>
          <w:p w14:paraId="2FD14561" w14:textId="77777777" w:rsidR="007304CF" w:rsidRPr="00463667" w:rsidRDefault="007304CF" w:rsidP="00F578E0">
            <w:pPr>
              <w:pStyle w:val="Body"/>
            </w:pPr>
            <w:r w:rsidRPr="00463667">
              <w:t>Members who received at least 180 treatment days of a diuretic (Table MPM-C), during the measurement year.</w:t>
            </w:r>
          </w:p>
          <w:p w14:paraId="0A5F66F8" w14:textId="77777777" w:rsidR="007304CF" w:rsidRPr="00463667" w:rsidRDefault="007304CF" w:rsidP="00F578E0">
            <w:pPr>
              <w:pStyle w:val="Note"/>
            </w:pPr>
            <w:r w:rsidRPr="00463667">
              <w:rPr>
                <w:b/>
              </w:rPr>
              <w:t xml:space="preserve">Note: </w:t>
            </w:r>
            <w:r w:rsidRPr="00463667">
              <w:t>Members may switch therapy with any medication listed in Table MPM-C during the measurement year and have the days supply for those medications count toward the total 180 treatment days.</w:t>
            </w:r>
          </w:p>
        </w:tc>
      </w:tr>
    </w:tbl>
    <w:p w14:paraId="104311B7" w14:textId="77777777" w:rsidR="007304CF" w:rsidRPr="00463667" w:rsidRDefault="007304CF" w:rsidP="001B37D4">
      <w:pPr>
        <w:pStyle w:val="TableHeadNotCondensed"/>
      </w:pPr>
      <w:r w:rsidRPr="00463667">
        <w:t xml:space="preserve">Table MPM-C: Drugs to Identify Members on Diuretics </w:t>
      </w:r>
    </w:p>
    <w:tbl>
      <w:tblPr>
        <w:tblW w:w="9278" w:type="dxa"/>
        <w:tblInd w:w="-8" w:type="dxa"/>
        <w:tblLayout w:type="fixed"/>
        <w:tblCellMar>
          <w:left w:w="54" w:type="dxa"/>
          <w:right w:w="54" w:type="dxa"/>
        </w:tblCellMar>
        <w:tblLook w:val="0000" w:firstRow="0" w:lastRow="0" w:firstColumn="0" w:lastColumn="0" w:noHBand="0" w:noVBand="0"/>
      </w:tblPr>
      <w:tblGrid>
        <w:gridCol w:w="1718"/>
        <w:gridCol w:w="2070"/>
        <w:gridCol w:w="1530"/>
        <w:gridCol w:w="630"/>
        <w:gridCol w:w="3330"/>
      </w:tblGrid>
      <w:tr w:rsidR="007304CF" w:rsidRPr="0028362E" w14:paraId="0CA95EE6" w14:textId="77777777" w:rsidTr="005F4ADA">
        <w:tc>
          <w:tcPr>
            <w:tcW w:w="1718" w:type="dxa"/>
            <w:tcBorders>
              <w:top w:val="single" w:sz="6" w:space="0" w:color="auto"/>
              <w:left w:val="single" w:sz="6" w:space="0" w:color="auto"/>
              <w:bottom w:val="single" w:sz="6" w:space="0" w:color="auto"/>
              <w:right w:val="single" w:sz="6" w:space="0" w:color="FFFFFF"/>
            </w:tcBorders>
            <w:shd w:val="clear" w:color="auto" w:fill="000000"/>
          </w:tcPr>
          <w:p w14:paraId="780B4C81" w14:textId="77777777" w:rsidR="007304CF" w:rsidRPr="0028362E" w:rsidRDefault="007304CF" w:rsidP="0028362E">
            <w:pPr>
              <w:pStyle w:val="TableHead"/>
            </w:pPr>
            <w:r w:rsidRPr="0028362E">
              <w:t>Description</w:t>
            </w:r>
          </w:p>
        </w:tc>
        <w:tc>
          <w:tcPr>
            <w:tcW w:w="7560" w:type="dxa"/>
            <w:gridSpan w:val="4"/>
            <w:tcBorders>
              <w:top w:val="single" w:sz="6" w:space="0" w:color="auto"/>
              <w:left w:val="single" w:sz="6" w:space="0" w:color="FFFFFF"/>
              <w:bottom w:val="single" w:sz="6" w:space="0" w:color="auto"/>
              <w:right w:val="single" w:sz="6" w:space="0" w:color="auto"/>
            </w:tcBorders>
            <w:shd w:val="clear" w:color="auto" w:fill="000000"/>
          </w:tcPr>
          <w:p w14:paraId="6482E573" w14:textId="77777777" w:rsidR="007304CF" w:rsidRPr="0028362E" w:rsidRDefault="007304CF" w:rsidP="0028362E">
            <w:pPr>
              <w:pStyle w:val="TableHead"/>
            </w:pPr>
            <w:r w:rsidRPr="0028362E">
              <w:t>Prescription</w:t>
            </w:r>
          </w:p>
        </w:tc>
      </w:tr>
      <w:tr w:rsidR="007304CF" w:rsidRPr="00463667" w14:paraId="32B10090" w14:textId="77777777" w:rsidTr="005F4ADA">
        <w:tc>
          <w:tcPr>
            <w:tcW w:w="1718" w:type="dxa"/>
            <w:tcBorders>
              <w:top w:val="single" w:sz="6" w:space="0" w:color="auto"/>
              <w:left w:val="single" w:sz="6" w:space="0" w:color="auto"/>
              <w:bottom w:val="single" w:sz="6" w:space="0" w:color="auto"/>
              <w:right w:val="nil"/>
            </w:tcBorders>
            <w:tcMar>
              <w:left w:w="115" w:type="dxa"/>
              <w:right w:w="115" w:type="dxa"/>
            </w:tcMar>
          </w:tcPr>
          <w:p w14:paraId="58AA432B" w14:textId="77777777" w:rsidR="007304CF" w:rsidRPr="00463667" w:rsidRDefault="007304CF" w:rsidP="00F578E0">
            <w:pPr>
              <w:pStyle w:val="TableText"/>
            </w:pPr>
            <w:r w:rsidRPr="00463667">
              <w:t>Antihypertensive combinations</w:t>
            </w:r>
          </w:p>
        </w:tc>
        <w:tc>
          <w:tcPr>
            <w:tcW w:w="3600" w:type="dxa"/>
            <w:gridSpan w:val="2"/>
            <w:tcBorders>
              <w:top w:val="single" w:sz="6" w:space="0" w:color="auto"/>
              <w:left w:val="single" w:sz="6" w:space="0" w:color="auto"/>
              <w:bottom w:val="single" w:sz="6" w:space="0" w:color="auto"/>
            </w:tcBorders>
            <w:tcMar>
              <w:left w:w="115" w:type="dxa"/>
              <w:right w:w="115" w:type="dxa"/>
            </w:tcMar>
          </w:tcPr>
          <w:p w14:paraId="16DFA982" w14:textId="77777777" w:rsidR="007304CF" w:rsidRPr="00463667" w:rsidRDefault="007304CF" w:rsidP="007304CF">
            <w:pPr>
              <w:pStyle w:val="TableBullet"/>
            </w:pPr>
            <w:r w:rsidRPr="00463667">
              <w:t>Aliskiren-hydrochlorothiazide</w:t>
            </w:r>
          </w:p>
          <w:p w14:paraId="1D768E63" w14:textId="77777777" w:rsidR="007304CF" w:rsidRPr="00463667" w:rsidRDefault="007304CF" w:rsidP="007304CF">
            <w:pPr>
              <w:pStyle w:val="TableBullet"/>
            </w:pPr>
            <w:r w:rsidRPr="00463667">
              <w:t>Aliskiren-hydrochlorothiazide-amlodipine</w:t>
            </w:r>
          </w:p>
          <w:p w14:paraId="68411B3E" w14:textId="77777777" w:rsidR="007304CF" w:rsidRPr="00463667" w:rsidRDefault="007304CF" w:rsidP="007304CF">
            <w:pPr>
              <w:pStyle w:val="TableBullet"/>
            </w:pPr>
            <w:r w:rsidRPr="00463667">
              <w:t>Amiloride-hydrochlorothiazide</w:t>
            </w:r>
          </w:p>
          <w:p w14:paraId="24BF0AF8" w14:textId="77777777" w:rsidR="007304CF" w:rsidRPr="00463667" w:rsidRDefault="007304CF" w:rsidP="007304CF">
            <w:pPr>
              <w:pStyle w:val="TableBullet"/>
            </w:pPr>
            <w:r w:rsidRPr="00463667">
              <w:t>Amlodipine-hydrochlorothiazide-olmesartan</w:t>
            </w:r>
          </w:p>
          <w:p w14:paraId="50147FB8" w14:textId="77777777" w:rsidR="007304CF" w:rsidRPr="00463667" w:rsidRDefault="007304CF" w:rsidP="007304CF">
            <w:pPr>
              <w:pStyle w:val="TableBullet"/>
            </w:pPr>
            <w:r w:rsidRPr="00463667">
              <w:t xml:space="preserve">Amlodipine-hydrochlorothiazide-valsartan </w:t>
            </w:r>
          </w:p>
          <w:p w14:paraId="3D749574" w14:textId="77777777" w:rsidR="007304CF" w:rsidRPr="00463667" w:rsidRDefault="007304CF" w:rsidP="007304CF">
            <w:pPr>
              <w:pStyle w:val="TableBullet"/>
            </w:pPr>
            <w:r w:rsidRPr="00463667">
              <w:t>Atenolol-chlorthalidone</w:t>
            </w:r>
          </w:p>
          <w:p w14:paraId="3C96544A" w14:textId="77777777" w:rsidR="007304CF" w:rsidRPr="00463667" w:rsidRDefault="007304CF" w:rsidP="007304CF">
            <w:pPr>
              <w:pStyle w:val="TableBullet"/>
            </w:pPr>
            <w:r w:rsidRPr="00463667">
              <w:rPr>
                <w:szCs w:val="20"/>
              </w:rPr>
              <w:t>Azilsartan-chlorthalidone</w:t>
            </w:r>
          </w:p>
          <w:p w14:paraId="6E2C69DB" w14:textId="77777777" w:rsidR="007304CF" w:rsidRPr="00463667" w:rsidRDefault="007304CF" w:rsidP="007304CF">
            <w:pPr>
              <w:pStyle w:val="TableBullet"/>
            </w:pPr>
            <w:r w:rsidRPr="00463667">
              <w:t>Benazepril-hydrochlorothiazide</w:t>
            </w:r>
          </w:p>
          <w:p w14:paraId="38E5E1A2" w14:textId="77777777" w:rsidR="007304CF" w:rsidRPr="00463667" w:rsidRDefault="007304CF" w:rsidP="007304CF">
            <w:pPr>
              <w:pStyle w:val="TableBullet"/>
            </w:pPr>
            <w:r w:rsidRPr="00463667">
              <w:t xml:space="preserve">Bendroflumethiazide-nadolol </w:t>
            </w:r>
          </w:p>
          <w:p w14:paraId="660DCD0E" w14:textId="77777777" w:rsidR="007304CF" w:rsidRPr="00463667" w:rsidRDefault="007304CF" w:rsidP="007304CF">
            <w:pPr>
              <w:pStyle w:val="TableBullet"/>
            </w:pPr>
            <w:r w:rsidRPr="00463667">
              <w:t xml:space="preserve">Bisoprolol-hydrochlorothiazide </w:t>
            </w:r>
          </w:p>
          <w:p w14:paraId="3A807DAF" w14:textId="77777777" w:rsidR="007304CF" w:rsidRPr="00463667" w:rsidRDefault="007304CF" w:rsidP="007304CF">
            <w:pPr>
              <w:pStyle w:val="TableBullet"/>
            </w:pPr>
            <w:r w:rsidRPr="00463667">
              <w:t>Candesartan-hydrochlorothiazide</w:t>
            </w:r>
          </w:p>
          <w:p w14:paraId="6E62761E" w14:textId="77777777" w:rsidR="007304CF" w:rsidRPr="00463667" w:rsidRDefault="007304CF" w:rsidP="007304CF">
            <w:pPr>
              <w:pStyle w:val="TableBullet"/>
            </w:pPr>
            <w:r w:rsidRPr="00463667">
              <w:t>Captopril-hydrochlorothiazide</w:t>
            </w:r>
          </w:p>
          <w:p w14:paraId="525A4B0B" w14:textId="77777777" w:rsidR="007304CF" w:rsidRPr="00463667" w:rsidRDefault="007304CF" w:rsidP="007304CF">
            <w:pPr>
              <w:pStyle w:val="TableBullet"/>
            </w:pPr>
            <w:r w:rsidRPr="00463667">
              <w:t xml:space="preserve">Chlorthalidone-clonidine </w:t>
            </w:r>
          </w:p>
          <w:p w14:paraId="6CFDBF6F" w14:textId="77777777" w:rsidR="007304CF" w:rsidRPr="00463667" w:rsidRDefault="007304CF" w:rsidP="007304CF">
            <w:pPr>
              <w:pStyle w:val="TableBullet"/>
            </w:pPr>
            <w:r w:rsidRPr="00463667">
              <w:t>Enalapril-hydrochlorothiazide</w:t>
            </w:r>
          </w:p>
          <w:p w14:paraId="5DA5E861" w14:textId="77777777" w:rsidR="007304CF" w:rsidRPr="00463667" w:rsidRDefault="007304CF" w:rsidP="007304CF">
            <w:pPr>
              <w:pStyle w:val="TableBullet"/>
            </w:pPr>
            <w:r w:rsidRPr="00463667">
              <w:t>Eprosartan-hydrochlorothiazide</w:t>
            </w:r>
          </w:p>
        </w:tc>
        <w:tc>
          <w:tcPr>
            <w:tcW w:w="3960" w:type="dxa"/>
            <w:gridSpan w:val="2"/>
            <w:tcBorders>
              <w:top w:val="single" w:sz="6" w:space="0" w:color="auto"/>
              <w:bottom w:val="single" w:sz="6" w:space="0" w:color="auto"/>
              <w:right w:val="single" w:sz="6" w:space="0" w:color="auto"/>
            </w:tcBorders>
            <w:tcMar>
              <w:left w:w="115" w:type="dxa"/>
              <w:right w:w="115" w:type="dxa"/>
            </w:tcMar>
          </w:tcPr>
          <w:p w14:paraId="40D0B02C" w14:textId="77777777" w:rsidR="007304CF" w:rsidRPr="00463667" w:rsidRDefault="007304CF" w:rsidP="007304CF">
            <w:pPr>
              <w:pStyle w:val="TableBullet"/>
            </w:pPr>
            <w:r w:rsidRPr="00463667">
              <w:t>Fosinopril-hydrochlorothiazide</w:t>
            </w:r>
          </w:p>
          <w:p w14:paraId="21036725" w14:textId="77777777" w:rsidR="007304CF" w:rsidRPr="00463667" w:rsidRDefault="007304CF" w:rsidP="007304CF">
            <w:pPr>
              <w:pStyle w:val="TableBullet"/>
            </w:pPr>
            <w:r w:rsidRPr="00463667">
              <w:t xml:space="preserve">Hydrochlorothiazide-irbesartan </w:t>
            </w:r>
          </w:p>
          <w:p w14:paraId="1A98C425" w14:textId="77777777" w:rsidR="007304CF" w:rsidRPr="00463667" w:rsidRDefault="007304CF" w:rsidP="007304CF">
            <w:pPr>
              <w:pStyle w:val="TableBullet"/>
            </w:pPr>
            <w:r w:rsidRPr="00463667">
              <w:t>Hydrochlorothiazide-lisinopril</w:t>
            </w:r>
          </w:p>
          <w:p w14:paraId="71A980C7" w14:textId="77777777" w:rsidR="007304CF" w:rsidRPr="00463667" w:rsidRDefault="007304CF" w:rsidP="007304CF">
            <w:pPr>
              <w:pStyle w:val="TableBullet"/>
            </w:pPr>
            <w:r w:rsidRPr="00463667">
              <w:t>Hydrochlorothiazide-losartan</w:t>
            </w:r>
          </w:p>
          <w:p w14:paraId="0EBE3B1F" w14:textId="77777777" w:rsidR="007304CF" w:rsidRPr="00463667" w:rsidRDefault="007304CF" w:rsidP="007304CF">
            <w:pPr>
              <w:pStyle w:val="TableBullet"/>
            </w:pPr>
            <w:r w:rsidRPr="00463667">
              <w:t>Hydrochlorothiazide-methyldopa</w:t>
            </w:r>
          </w:p>
          <w:p w14:paraId="32EECC3C" w14:textId="77777777" w:rsidR="007304CF" w:rsidRPr="00463667" w:rsidRDefault="007304CF" w:rsidP="007304CF">
            <w:pPr>
              <w:pStyle w:val="TableBullet"/>
            </w:pPr>
            <w:r w:rsidRPr="00463667">
              <w:t xml:space="preserve">Hydrochlorothiazide-metoprolol </w:t>
            </w:r>
          </w:p>
          <w:p w14:paraId="0E1DE793" w14:textId="77777777" w:rsidR="007304CF" w:rsidRPr="00463667" w:rsidRDefault="007304CF" w:rsidP="007304CF">
            <w:pPr>
              <w:pStyle w:val="TableBullet"/>
            </w:pPr>
            <w:r w:rsidRPr="00463667">
              <w:t xml:space="preserve">Hydrochlorothiazide-moexipril </w:t>
            </w:r>
          </w:p>
          <w:p w14:paraId="2C49BAB6" w14:textId="77777777" w:rsidR="007304CF" w:rsidRPr="00463667" w:rsidRDefault="007304CF" w:rsidP="007304CF">
            <w:pPr>
              <w:pStyle w:val="TableBullet"/>
            </w:pPr>
            <w:r w:rsidRPr="00463667">
              <w:t>Hydrochlorothiazide-olmesartan</w:t>
            </w:r>
          </w:p>
          <w:p w14:paraId="238C9676" w14:textId="77777777" w:rsidR="007304CF" w:rsidRPr="00463667" w:rsidRDefault="007304CF" w:rsidP="007304CF">
            <w:pPr>
              <w:pStyle w:val="TableBullet"/>
            </w:pPr>
            <w:r w:rsidRPr="00463667">
              <w:t>Hydrochlorothiazide-propranolol</w:t>
            </w:r>
          </w:p>
          <w:p w14:paraId="6374E523" w14:textId="77777777" w:rsidR="007304CF" w:rsidRPr="00463667" w:rsidRDefault="007304CF" w:rsidP="007304CF">
            <w:pPr>
              <w:pStyle w:val="TableBullet"/>
            </w:pPr>
            <w:r w:rsidRPr="00463667">
              <w:t>Hydrochlorothiazide-quinapril</w:t>
            </w:r>
          </w:p>
          <w:p w14:paraId="1687595E" w14:textId="77777777" w:rsidR="007304CF" w:rsidRPr="00463667" w:rsidRDefault="007304CF" w:rsidP="007304CF">
            <w:pPr>
              <w:pStyle w:val="TableBullet"/>
            </w:pPr>
            <w:r w:rsidRPr="00463667">
              <w:t xml:space="preserve">Hydrochlorothiazide-spironolactone </w:t>
            </w:r>
          </w:p>
          <w:p w14:paraId="617C22F8" w14:textId="77777777" w:rsidR="007304CF" w:rsidRPr="00463667" w:rsidRDefault="007304CF" w:rsidP="007304CF">
            <w:pPr>
              <w:pStyle w:val="TableBullet"/>
            </w:pPr>
            <w:r w:rsidRPr="00463667">
              <w:t>Hydrochlorothiazide-telmisartan</w:t>
            </w:r>
          </w:p>
          <w:p w14:paraId="72566A4B" w14:textId="77777777" w:rsidR="007304CF" w:rsidRPr="00463667" w:rsidRDefault="007304CF" w:rsidP="007304CF">
            <w:pPr>
              <w:pStyle w:val="TableBullet"/>
            </w:pPr>
            <w:r w:rsidRPr="00463667">
              <w:t>Hydrochlorothiazide-triamterene</w:t>
            </w:r>
          </w:p>
          <w:p w14:paraId="7838B627" w14:textId="77777777" w:rsidR="007304CF" w:rsidRPr="00463667" w:rsidRDefault="007304CF" w:rsidP="007304CF">
            <w:pPr>
              <w:pStyle w:val="TableBullet"/>
            </w:pPr>
            <w:r w:rsidRPr="00463667">
              <w:t xml:space="preserve">Hydrochlorothiazide-valsartan </w:t>
            </w:r>
          </w:p>
        </w:tc>
      </w:tr>
      <w:tr w:rsidR="007304CF" w:rsidRPr="00463667" w14:paraId="460F9F6F" w14:textId="77777777" w:rsidTr="005F4ADA">
        <w:tc>
          <w:tcPr>
            <w:tcW w:w="1718" w:type="dxa"/>
            <w:tcBorders>
              <w:top w:val="single" w:sz="6" w:space="0" w:color="auto"/>
              <w:left w:val="single" w:sz="6" w:space="0" w:color="auto"/>
              <w:bottom w:val="single" w:sz="6" w:space="0" w:color="auto"/>
              <w:right w:val="nil"/>
            </w:tcBorders>
            <w:shd w:val="clear" w:color="auto" w:fill="E0E0E0"/>
            <w:tcMar>
              <w:left w:w="115" w:type="dxa"/>
              <w:right w:w="115" w:type="dxa"/>
            </w:tcMar>
          </w:tcPr>
          <w:p w14:paraId="4B6F5AAB" w14:textId="77777777" w:rsidR="007304CF" w:rsidRPr="00463667" w:rsidRDefault="007304CF" w:rsidP="00F578E0">
            <w:pPr>
              <w:pStyle w:val="TableText"/>
            </w:pPr>
            <w:r w:rsidRPr="00463667">
              <w:t>Loop diuretics</w:t>
            </w:r>
          </w:p>
        </w:tc>
        <w:tc>
          <w:tcPr>
            <w:tcW w:w="2070" w:type="dxa"/>
            <w:tcBorders>
              <w:top w:val="single" w:sz="6" w:space="0" w:color="auto"/>
              <w:left w:val="single" w:sz="6" w:space="0" w:color="auto"/>
              <w:bottom w:val="single" w:sz="6" w:space="0" w:color="auto"/>
            </w:tcBorders>
            <w:shd w:val="clear" w:color="auto" w:fill="E0E0E0"/>
            <w:tcMar>
              <w:left w:w="115" w:type="dxa"/>
              <w:right w:w="115" w:type="dxa"/>
            </w:tcMar>
          </w:tcPr>
          <w:p w14:paraId="09F64178" w14:textId="77777777" w:rsidR="007304CF" w:rsidRPr="00463667" w:rsidRDefault="007304CF" w:rsidP="007304CF">
            <w:pPr>
              <w:pStyle w:val="TableBullet"/>
            </w:pPr>
            <w:r w:rsidRPr="00463667">
              <w:t>Bumetanide</w:t>
            </w:r>
          </w:p>
          <w:p w14:paraId="473A48EC" w14:textId="77777777" w:rsidR="007304CF" w:rsidRPr="00463667" w:rsidRDefault="007304CF" w:rsidP="007304CF">
            <w:pPr>
              <w:pStyle w:val="TableBullet"/>
            </w:pPr>
            <w:r w:rsidRPr="00463667">
              <w:t>Ethacrynic acid</w:t>
            </w:r>
          </w:p>
        </w:tc>
        <w:tc>
          <w:tcPr>
            <w:tcW w:w="5490" w:type="dxa"/>
            <w:gridSpan w:val="3"/>
            <w:tcBorders>
              <w:top w:val="single" w:sz="6" w:space="0" w:color="auto"/>
              <w:bottom w:val="single" w:sz="6" w:space="0" w:color="auto"/>
              <w:right w:val="single" w:sz="6" w:space="0" w:color="auto"/>
            </w:tcBorders>
            <w:shd w:val="clear" w:color="auto" w:fill="E0E0E0"/>
            <w:tcMar>
              <w:left w:w="115" w:type="dxa"/>
              <w:right w:w="115" w:type="dxa"/>
            </w:tcMar>
          </w:tcPr>
          <w:p w14:paraId="220C65A5" w14:textId="77777777" w:rsidR="007304CF" w:rsidRPr="00463667" w:rsidRDefault="007304CF" w:rsidP="007304CF">
            <w:pPr>
              <w:pStyle w:val="TableBullet"/>
            </w:pPr>
            <w:r w:rsidRPr="00463667">
              <w:t>Furosemide</w:t>
            </w:r>
          </w:p>
          <w:p w14:paraId="50A43199" w14:textId="77777777" w:rsidR="007304CF" w:rsidRPr="00463667" w:rsidRDefault="007304CF" w:rsidP="007304CF">
            <w:pPr>
              <w:pStyle w:val="TableBullet"/>
            </w:pPr>
            <w:r w:rsidRPr="00463667">
              <w:t xml:space="preserve">Torsemide </w:t>
            </w:r>
          </w:p>
        </w:tc>
      </w:tr>
      <w:tr w:rsidR="007304CF" w:rsidRPr="00463667" w14:paraId="04F69D80" w14:textId="77777777" w:rsidTr="005F4ADA">
        <w:tc>
          <w:tcPr>
            <w:tcW w:w="1718" w:type="dxa"/>
            <w:tcBorders>
              <w:top w:val="single" w:sz="6" w:space="0" w:color="auto"/>
              <w:left w:val="single" w:sz="6" w:space="0" w:color="auto"/>
              <w:right w:val="single" w:sz="6" w:space="0" w:color="auto"/>
            </w:tcBorders>
            <w:tcMar>
              <w:left w:w="115" w:type="dxa"/>
              <w:right w:w="115" w:type="dxa"/>
            </w:tcMar>
          </w:tcPr>
          <w:p w14:paraId="606451E5" w14:textId="77777777" w:rsidR="007304CF" w:rsidRPr="00463667" w:rsidRDefault="007304CF" w:rsidP="00F578E0">
            <w:pPr>
              <w:pStyle w:val="TableText"/>
            </w:pPr>
            <w:r w:rsidRPr="00463667">
              <w:t>Potassium-sparing diuretics</w:t>
            </w:r>
          </w:p>
        </w:tc>
        <w:tc>
          <w:tcPr>
            <w:tcW w:w="2070" w:type="dxa"/>
            <w:tcBorders>
              <w:top w:val="single" w:sz="6" w:space="0" w:color="auto"/>
              <w:left w:val="single" w:sz="6" w:space="0" w:color="auto"/>
            </w:tcBorders>
            <w:tcMar>
              <w:left w:w="115" w:type="dxa"/>
              <w:right w:w="115" w:type="dxa"/>
            </w:tcMar>
          </w:tcPr>
          <w:p w14:paraId="03A69F9A" w14:textId="77777777" w:rsidR="007304CF" w:rsidRPr="00463667" w:rsidRDefault="007304CF" w:rsidP="007304CF">
            <w:pPr>
              <w:pStyle w:val="TableBullet"/>
            </w:pPr>
            <w:r w:rsidRPr="00463667">
              <w:t>Amiloride</w:t>
            </w:r>
          </w:p>
          <w:p w14:paraId="2A458F85" w14:textId="77777777" w:rsidR="007304CF" w:rsidRPr="00463667" w:rsidRDefault="007304CF" w:rsidP="007304CF">
            <w:pPr>
              <w:pStyle w:val="TableBullet"/>
            </w:pPr>
            <w:r w:rsidRPr="00463667">
              <w:t>Eplerenone</w:t>
            </w:r>
          </w:p>
        </w:tc>
        <w:tc>
          <w:tcPr>
            <w:tcW w:w="5490" w:type="dxa"/>
            <w:gridSpan w:val="3"/>
            <w:tcBorders>
              <w:top w:val="single" w:sz="6" w:space="0" w:color="auto"/>
              <w:right w:val="single" w:sz="6" w:space="0" w:color="auto"/>
            </w:tcBorders>
            <w:tcMar>
              <w:left w:w="115" w:type="dxa"/>
              <w:right w:w="115" w:type="dxa"/>
            </w:tcMar>
          </w:tcPr>
          <w:p w14:paraId="499F9A1D" w14:textId="77777777" w:rsidR="007304CF" w:rsidRPr="00463667" w:rsidRDefault="007304CF" w:rsidP="007304CF">
            <w:pPr>
              <w:pStyle w:val="TableBullet"/>
            </w:pPr>
            <w:r w:rsidRPr="00463667">
              <w:t>Spironolactone</w:t>
            </w:r>
          </w:p>
          <w:p w14:paraId="0AE8183D" w14:textId="77777777" w:rsidR="007304CF" w:rsidRPr="00463667" w:rsidRDefault="007304CF" w:rsidP="007304CF">
            <w:pPr>
              <w:pStyle w:val="TableBullet"/>
            </w:pPr>
            <w:r w:rsidRPr="00463667">
              <w:t xml:space="preserve">Triamterene </w:t>
            </w:r>
          </w:p>
        </w:tc>
      </w:tr>
      <w:tr w:rsidR="007304CF" w:rsidRPr="00463667" w14:paraId="5E19B29C" w14:textId="77777777" w:rsidTr="005F4ADA">
        <w:tc>
          <w:tcPr>
            <w:tcW w:w="1718" w:type="dxa"/>
            <w:tcBorders>
              <w:top w:val="single" w:sz="6" w:space="0" w:color="auto"/>
              <w:left w:val="single" w:sz="6" w:space="0" w:color="auto"/>
              <w:bottom w:val="single" w:sz="6" w:space="0" w:color="auto"/>
              <w:right w:val="nil"/>
            </w:tcBorders>
            <w:shd w:val="clear" w:color="auto" w:fill="E0E0E0"/>
            <w:tcMar>
              <w:left w:w="115" w:type="dxa"/>
              <w:right w:w="115" w:type="dxa"/>
            </w:tcMar>
          </w:tcPr>
          <w:p w14:paraId="0404F9F7" w14:textId="77777777" w:rsidR="007304CF" w:rsidRPr="00463667" w:rsidRDefault="007304CF" w:rsidP="00F578E0">
            <w:pPr>
              <w:pStyle w:val="TableText"/>
            </w:pPr>
            <w:r w:rsidRPr="00463667">
              <w:t>Thiazide diuretics</w:t>
            </w:r>
          </w:p>
        </w:tc>
        <w:tc>
          <w:tcPr>
            <w:tcW w:w="2070" w:type="dxa"/>
            <w:tcBorders>
              <w:top w:val="single" w:sz="6" w:space="0" w:color="auto"/>
              <w:left w:val="single" w:sz="6" w:space="0" w:color="auto"/>
              <w:bottom w:val="single" w:sz="6" w:space="0" w:color="auto"/>
            </w:tcBorders>
            <w:shd w:val="clear" w:color="auto" w:fill="E0E0E0"/>
            <w:tcMar>
              <w:left w:w="115" w:type="dxa"/>
              <w:right w:w="115" w:type="dxa"/>
            </w:tcMar>
          </w:tcPr>
          <w:p w14:paraId="4DF630A0" w14:textId="77777777" w:rsidR="007304CF" w:rsidRPr="00463667" w:rsidRDefault="007304CF" w:rsidP="007304CF">
            <w:pPr>
              <w:pStyle w:val="TableBullet"/>
            </w:pPr>
            <w:r w:rsidRPr="00463667">
              <w:t>Chlorothiazide</w:t>
            </w:r>
          </w:p>
          <w:p w14:paraId="78B4574B" w14:textId="77777777" w:rsidR="007304CF" w:rsidRPr="00463667" w:rsidRDefault="007304CF" w:rsidP="007304CF">
            <w:pPr>
              <w:pStyle w:val="TableBullet"/>
            </w:pPr>
            <w:r w:rsidRPr="00463667">
              <w:t>Chlorthalidone</w:t>
            </w:r>
          </w:p>
        </w:tc>
        <w:tc>
          <w:tcPr>
            <w:tcW w:w="2160" w:type="dxa"/>
            <w:gridSpan w:val="2"/>
            <w:tcBorders>
              <w:top w:val="single" w:sz="6" w:space="0" w:color="auto"/>
              <w:bottom w:val="single" w:sz="6" w:space="0" w:color="auto"/>
            </w:tcBorders>
            <w:shd w:val="clear" w:color="auto" w:fill="E0E0E0"/>
            <w:tcMar>
              <w:left w:w="115" w:type="dxa"/>
              <w:right w:w="115" w:type="dxa"/>
            </w:tcMar>
          </w:tcPr>
          <w:p w14:paraId="3985CB09" w14:textId="77777777" w:rsidR="007304CF" w:rsidRPr="00463667" w:rsidRDefault="007304CF" w:rsidP="007304CF">
            <w:pPr>
              <w:pStyle w:val="TableBullet"/>
            </w:pPr>
            <w:r w:rsidRPr="00463667">
              <w:t>Hydrochlorothiazide</w:t>
            </w:r>
          </w:p>
          <w:p w14:paraId="5CCAFC99" w14:textId="77777777" w:rsidR="007304CF" w:rsidRPr="00463667" w:rsidRDefault="007304CF" w:rsidP="007304CF">
            <w:pPr>
              <w:pStyle w:val="TableBullet"/>
            </w:pPr>
            <w:r w:rsidRPr="00463667">
              <w:t>Indapamide</w:t>
            </w:r>
          </w:p>
        </w:tc>
        <w:tc>
          <w:tcPr>
            <w:tcW w:w="3330" w:type="dxa"/>
            <w:tcBorders>
              <w:top w:val="single" w:sz="6" w:space="0" w:color="auto"/>
              <w:bottom w:val="single" w:sz="6" w:space="0" w:color="auto"/>
              <w:right w:val="single" w:sz="6" w:space="0" w:color="auto"/>
            </w:tcBorders>
            <w:shd w:val="clear" w:color="auto" w:fill="E0E0E0"/>
          </w:tcPr>
          <w:p w14:paraId="72495BBC" w14:textId="77777777" w:rsidR="007304CF" w:rsidRPr="00463667" w:rsidRDefault="007304CF" w:rsidP="007304CF">
            <w:pPr>
              <w:pStyle w:val="TableBullet"/>
            </w:pPr>
            <w:r w:rsidRPr="00463667">
              <w:t>Methyclothiazide</w:t>
            </w:r>
            <w:r w:rsidRPr="00463667" w:rsidDel="00F27E34">
              <w:t xml:space="preserve"> </w:t>
            </w:r>
          </w:p>
          <w:p w14:paraId="0351398E" w14:textId="77777777" w:rsidR="007304CF" w:rsidRPr="00463667" w:rsidRDefault="007304CF" w:rsidP="007304CF">
            <w:pPr>
              <w:pStyle w:val="TableBullet"/>
            </w:pPr>
            <w:r w:rsidRPr="00463667">
              <w:t>Metolazone</w:t>
            </w:r>
          </w:p>
        </w:tc>
      </w:tr>
    </w:tbl>
    <w:p w14:paraId="7D7D5B2C" w14:textId="66C4D000" w:rsidR="001B37D4" w:rsidRDefault="007304CF" w:rsidP="007304CF">
      <w:pPr>
        <w:pStyle w:val="Note"/>
      </w:pPr>
      <w:r w:rsidRPr="00463667">
        <w:rPr>
          <w:rFonts w:cs="Arial"/>
          <w:b/>
          <w:bCs/>
        </w:rPr>
        <w:t xml:space="preserve">Note: </w:t>
      </w:r>
      <w:r w:rsidRPr="00463667">
        <w:t xml:space="preserve">NCQA will post a comprehensive list of medications and NDC codes to www.ncqa.org by November </w:t>
      </w:r>
      <w:r w:rsidR="00761454">
        <w:t>2</w:t>
      </w:r>
      <w:r w:rsidRPr="00463667">
        <w:t xml:space="preserve">, </w:t>
      </w:r>
      <w:r w:rsidR="00761454">
        <w:t>2015</w:t>
      </w:r>
      <w:r w:rsidRPr="00463667">
        <w:t xml:space="preserve">. </w:t>
      </w:r>
    </w:p>
    <w:p w14:paraId="0DDFF2D1" w14:textId="77777777" w:rsidR="00B303A2" w:rsidRDefault="00B303A2" w:rsidP="00B303A2">
      <w:pPr>
        <w:pStyle w:val="Note"/>
        <w:spacing w:before="0"/>
      </w:pPr>
    </w:p>
    <w:tbl>
      <w:tblPr>
        <w:tblW w:w="9900" w:type="dxa"/>
        <w:tblInd w:w="-90" w:type="dxa"/>
        <w:tblLayout w:type="fixed"/>
        <w:tblLook w:val="0000" w:firstRow="0" w:lastRow="0" w:firstColumn="0" w:lastColumn="0" w:noHBand="0" w:noVBand="0"/>
      </w:tblPr>
      <w:tblGrid>
        <w:gridCol w:w="1998"/>
        <w:gridCol w:w="7902"/>
      </w:tblGrid>
      <w:tr w:rsidR="00B303A2" w:rsidRPr="00463667" w14:paraId="22C58083" w14:textId="77777777" w:rsidTr="008F34A2">
        <w:tc>
          <w:tcPr>
            <w:tcW w:w="1998" w:type="dxa"/>
          </w:tcPr>
          <w:p w14:paraId="77EC2F73" w14:textId="77777777" w:rsidR="00B303A2" w:rsidRPr="00463667" w:rsidRDefault="00B303A2" w:rsidP="008F34A2">
            <w:pPr>
              <w:pStyle w:val="MarginSubhead"/>
              <w:spacing w:before="0"/>
            </w:pPr>
            <w:r w:rsidRPr="00463667">
              <w:t>Numerator</w:t>
            </w:r>
          </w:p>
        </w:tc>
        <w:tc>
          <w:tcPr>
            <w:tcW w:w="7902" w:type="dxa"/>
          </w:tcPr>
          <w:p w14:paraId="3AE54FBB" w14:textId="77777777" w:rsidR="00B303A2" w:rsidRPr="00463667" w:rsidRDefault="00B303A2" w:rsidP="008F34A2">
            <w:pPr>
              <w:pStyle w:val="Body"/>
              <w:spacing w:before="0"/>
            </w:pPr>
            <w:r w:rsidRPr="00463667">
              <w:t xml:space="preserve">At least one serum potassium </w:t>
            </w:r>
            <w:r w:rsidRPr="00463667">
              <w:rPr>
                <w:bCs/>
                <w:i/>
                <w:iCs/>
              </w:rPr>
              <w:t>and</w:t>
            </w:r>
            <w:r w:rsidRPr="00463667">
              <w:t xml:space="preserve"> a serum creatinine therapeutic monitoring test in the measurement year. Any of the following during the measurement year meet criteria:</w:t>
            </w:r>
          </w:p>
          <w:p w14:paraId="0A3083A4" w14:textId="77777777" w:rsidR="00B303A2" w:rsidRPr="00463667" w:rsidRDefault="00B303A2" w:rsidP="008F34A2">
            <w:pPr>
              <w:pStyle w:val="Bullet"/>
            </w:pPr>
            <w:r w:rsidRPr="00463667">
              <w:t>A lab panel test (</w:t>
            </w:r>
            <w:r w:rsidRPr="00463667">
              <w:rPr>
                <w:u w:val="single"/>
              </w:rPr>
              <w:t>Lab Panel Value Set</w:t>
            </w:r>
            <w:r w:rsidRPr="00463667">
              <w:t>).</w:t>
            </w:r>
          </w:p>
          <w:p w14:paraId="0236E1BB" w14:textId="77777777" w:rsidR="00B303A2" w:rsidRPr="00463667" w:rsidRDefault="00B303A2" w:rsidP="008F34A2">
            <w:pPr>
              <w:pStyle w:val="Bullet"/>
            </w:pPr>
            <w:r w:rsidRPr="00463667">
              <w:t>A serum potassium test (</w:t>
            </w:r>
            <w:r w:rsidRPr="00463667">
              <w:rPr>
                <w:u w:val="single"/>
              </w:rPr>
              <w:t>Serum Potassium Value Set</w:t>
            </w:r>
            <w:r w:rsidRPr="00463667">
              <w:t xml:space="preserve">) </w:t>
            </w:r>
            <w:r w:rsidRPr="00463667">
              <w:rPr>
                <w:b/>
                <w:i/>
              </w:rPr>
              <w:t>and</w:t>
            </w:r>
            <w:r w:rsidRPr="00463667">
              <w:t xml:space="preserve"> a serum creatinine test (</w:t>
            </w:r>
            <w:r w:rsidRPr="00463667">
              <w:rPr>
                <w:u w:val="single"/>
              </w:rPr>
              <w:t>Serum Creatinine Value Set</w:t>
            </w:r>
            <w:r w:rsidRPr="00463667">
              <w:t>).</w:t>
            </w:r>
          </w:p>
          <w:p w14:paraId="0E7E6A6D" w14:textId="77777777" w:rsidR="00B303A2" w:rsidRPr="00463667" w:rsidRDefault="00B303A2" w:rsidP="008F34A2">
            <w:pPr>
              <w:pStyle w:val="Note"/>
            </w:pPr>
            <w:r w:rsidRPr="00463667">
              <w:rPr>
                <w:b/>
              </w:rPr>
              <w:t xml:space="preserve">Note: </w:t>
            </w:r>
            <w:r w:rsidRPr="00463667">
              <w:t>The tests do not need to occur on the same service date, only within the measurement year.</w:t>
            </w:r>
          </w:p>
        </w:tc>
      </w:tr>
    </w:tbl>
    <w:p w14:paraId="574AA771" w14:textId="77777777" w:rsidR="00B303A2" w:rsidRPr="00463667" w:rsidRDefault="00B303A2" w:rsidP="00B303A2">
      <w:pPr>
        <w:pStyle w:val="SubHead20"/>
      </w:pPr>
      <w:r w:rsidRPr="00463667">
        <w:t xml:space="preserve">Exclusion </w:t>
      </w:r>
      <w:r w:rsidRPr="00463667">
        <w:rPr>
          <w:i/>
        </w:rPr>
        <w:t>(optional)</w:t>
      </w:r>
    </w:p>
    <w:p w14:paraId="660691A2" w14:textId="36E14F35" w:rsidR="00B303A2" w:rsidRPr="00463667" w:rsidRDefault="00B303A2" w:rsidP="00B303A2">
      <w:pPr>
        <w:pStyle w:val="Body"/>
      </w:pPr>
      <w:r w:rsidRPr="00463667">
        <w:t xml:space="preserve">Exclude members from each eligible population who had an </w:t>
      </w:r>
      <w:r>
        <w:t xml:space="preserve">acute </w:t>
      </w:r>
      <w:r w:rsidRPr="00463667">
        <w:t xml:space="preserve">inpatient </w:t>
      </w:r>
      <w:r>
        <w:t>encounter (</w:t>
      </w:r>
      <w:r w:rsidRPr="00EF2352">
        <w:rPr>
          <w:u w:val="single"/>
        </w:rPr>
        <w:t>Acute Inpatient Value Set</w:t>
      </w:r>
      <w:r>
        <w:t>) or nonacute inpatient encounter (</w:t>
      </w:r>
      <w:r w:rsidRPr="00EF2352">
        <w:rPr>
          <w:u w:val="single"/>
        </w:rPr>
        <w:t>Nonacute Inpatient Value Set</w:t>
      </w:r>
      <w:r>
        <w:t xml:space="preserve">) </w:t>
      </w:r>
      <w:r w:rsidRPr="00463667">
        <w:t xml:space="preserve">during the measurement year. </w:t>
      </w:r>
    </w:p>
    <w:p w14:paraId="062E4775" w14:textId="77777777" w:rsidR="00B303A2" w:rsidRDefault="00B303A2" w:rsidP="007304CF">
      <w:pPr>
        <w:pStyle w:val="Note"/>
      </w:pPr>
    </w:p>
    <w:p w14:paraId="3877F453" w14:textId="77777777" w:rsidR="00B303A2" w:rsidRDefault="00B303A2" w:rsidP="007304CF">
      <w:pPr>
        <w:pStyle w:val="Note"/>
      </w:pPr>
    </w:p>
    <w:p w14:paraId="6CE4DD0E" w14:textId="77777777" w:rsidR="00B303A2" w:rsidRPr="00463667" w:rsidRDefault="00B303A2" w:rsidP="007304CF">
      <w:pPr>
        <w:pStyle w:val="Note"/>
        <w:sectPr w:rsidR="00B303A2" w:rsidRPr="00463667" w:rsidSect="00F578E0">
          <w:pgSz w:w="12240" w:h="15840" w:code="1"/>
          <w:pgMar w:top="1080" w:right="1080" w:bottom="1080" w:left="1440" w:header="720" w:footer="720" w:gutter="0"/>
          <w:cols w:space="720"/>
        </w:sectPr>
      </w:pPr>
    </w:p>
    <w:p w14:paraId="788FE0A2" w14:textId="77777777" w:rsidR="007304CF" w:rsidRPr="00463667" w:rsidRDefault="007304CF" w:rsidP="00B303A2">
      <w:pPr>
        <w:pStyle w:val="ReverseHead"/>
        <w:spacing w:before="0"/>
      </w:pPr>
      <w:r w:rsidRPr="00463667">
        <w:lastRenderedPageBreak/>
        <w:t xml:space="preserve">Data Elements for Reporting </w:t>
      </w:r>
    </w:p>
    <w:p w14:paraId="42A99D77" w14:textId="77777777" w:rsidR="007304CF" w:rsidRPr="00463667" w:rsidRDefault="007304CF" w:rsidP="007304CF">
      <w:pPr>
        <w:pStyle w:val="Body"/>
      </w:pPr>
      <w:r w:rsidRPr="00463667">
        <w:t>Organizations that submit HEDIS data to NCQA must provide the following data elements.</w:t>
      </w:r>
    </w:p>
    <w:p w14:paraId="000AA664" w14:textId="77777777" w:rsidR="007304CF" w:rsidRPr="00463667" w:rsidRDefault="007304CF" w:rsidP="001B37D4">
      <w:pPr>
        <w:pStyle w:val="TableHeadNotCondensed"/>
        <w:ind w:left="1890" w:hanging="1890"/>
      </w:pPr>
      <w:r w:rsidRPr="00463667">
        <w:t>Table MPM-1/2/3:</w:t>
      </w:r>
      <w:r w:rsidRPr="00463667">
        <w:tab/>
        <w:t>Data Elements for Annual Monitoring for Patients</w:t>
      </w:r>
      <w:r w:rsidRPr="00463667">
        <w:br/>
        <w:t>on Persistent Medications</w:t>
      </w:r>
    </w:p>
    <w:tbl>
      <w:tblPr>
        <w:tblW w:w="71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2970"/>
      </w:tblGrid>
      <w:tr w:rsidR="007304CF" w:rsidRPr="00463667" w14:paraId="3AAD01BD" w14:textId="77777777" w:rsidTr="005F4ADA">
        <w:tc>
          <w:tcPr>
            <w:tcW w:w="4140" w:type="dxa"/>
            <w:tcBorders>
              <w:bottom w:val="single" w:sz="6" w:space="0" w:color="auto"/>
              <w:right w:val="nil"/>
            </w:tcBorders>
            <w:shd w:val="clear" w:color="auto" w:fill="000000"/>
          </w:tcPr>
          <w:p w14:paraId="339DFABC" w14:textId="77777777" w:rsidR="007304CF" w:rsidRPr="00463667" w:rsidRDefault="007304CF" w:rsidP="00F578E0">
            <w:pPr>
              <w:pStyle w:val="TableHead"/>
              <w:rPr>
                <w:color w:val="auto"/>
              </w:rPr>
            </w:pPr>
          </w:p>
        </w:tc>
        <w:tc>
          <w:tcPr>
            <w:tcW w:w="2970" w:type="dxa"/>
            <w:tcBorders>
              <w:left w:val="single" w:sz="6" w:space="0" w:color="FFFFFF"/>
              <w:bottom w:val="single" w:sz="6" w:space="0" w:color="auto"/>
              <w:right w:val="single" w:sz="4" w:space="0" w:color="auto"/>
            </w:tcBorders>
            <w:shd w:val="clear" w:color="auto" w:fill="000000"/>
          </w:tcPr>
          <w:p w14:paraId="4EA8BED0" w14:textId="77777777" w:rsidR="007304CF" w:rsidRPr="00463667" w:rsidRDefault="007304CF" w:rsidP="00F578E0">
            <w:pPr>
              <w:pStyle w:val="TableHead"/>
              <w:rPr>
                <w:color w:val="auto"/>
              </w:rPr>
            </w:pPr>
            <w:r w:rsidRPr="00463667">
              <w:rPr>
                <w:color w:val="auto"/>
              </w:rPr>
              <w:t>Administrative</w:t>
            </w:r>
          </w:p>
        </w:tc>
      </w:tr>
      <w:tr w:rsidR="007304CF" w:rsidRPr="00463667" w14:paraId="3CE78275" w14:textId="77777777" w:rsidTr="005F4ADA">
        <w:tc>
          <w:tcPr>
            <w:tcW w:w="4140" w:type="dxa"/>
            <w:tcBorders>
              <w:bottom w:val="single" w:sz="6" w:space="0" w:color="auto"/>
            </w:tcBorders>
            <w:shd w:val="clear" w:color="auto" w:fill="FFFFFF" w:themeFill="background1"/>
          </w:tcPr>
          <w:p w14:paraId="1A2870C7" w14:textId="77777777" w:rsidR="007304CF" w:rsidRPr="00463667" w:rsidRDefault="007304CF" w:rsidP="00F578E0">
            <w:pPr>
              <w:pStyle w:val="TableText"/>
            </w:pPr>
            <w:r w:rsidRPr="00463667">
              <w:t>Measurement year</w:t>
            </w:r>
          </w:p>
        </w:tc>
        <w:tc>
          <w:tcPr>
            <w:tcW w:w="2970" w:type="dxa"/>
            <w:tcBorders>
              <w:bottom w:val="single" w:sz="6" w:space="0" w:color="auto"/>
            </w:tcBorders>
            <w:shd w:val="clear" w:color="auto" w:fill="FFFFFF" w:themeFill="background1"/>
          </w:tcPr>
          <w:p w14:paraId="1C7B2FDA" w14:textId="77777777" w:rsidR="007304CF" w:rsidRPr="00463667" w:rsidRDefault="007304CF" w:rsidP="00F578E0">
            <w:pPr>
              <w:pStyle w:val="TableText"/>
              <w:jc w:val="center"/>
              <w:rPr>
                <w:sz w:val="24"/>
              </w:rPr>
            </w:pPr>
            <w:r w:rsidRPr="00463667">
              <w:rPr>
                <w:sz w:val="24"/>
              </w:rPr>
              <w:sym w:font="Wingdings" w:char="F0FC"/>
            </w:r>
          </w:p>
        </w:tc>
      </w:tr>
      <w:tr w:rsidR="007304CF" w:rsidRPr="00463667" w14:paraId="7B0B0160" w14:textId="77777777" w:rsidTr="005F4ADA">
        <w:tc>
          <w:tcPr>
            <w:tcW w:w="4140" w:type="dxa"/>
            <w:shd w:val="clear" w:color="auto" w:fill="D9D9D9" w:themeFill="background1" w:themeFillShade="D9"/>
          </w:tcPr>
          <w:p w14:paraId="18848831" w14:textId="77777777" w:rsidR="007304CF" w:rsidRPr="00463667" w:rsidRDefault="007304CF" w:rsidP="00F578E0">
            <w:pPr>
              <w:pStyle w:val="TableText"/>
            </w:pPr>
            <w:r w:rsidRPr="00463667">
              <w:t>Data collection methodology (Administrative)</w:t>
            </w:r>
          </w:p>
        </w:tc>
        <w:tc>
          <w:tcPr>
            <w:tcW w:w="2970" w:type="dxa"/>
            <w:shd w:val="clear" w:color="auto" w:fill="D9D9D9" w:themeFill="background1" w:themeFillShade="D9"/>
          </w:tcPr>
          <w:p w14:paraId="2F69706E" w14:textId="77777777" w:rsidR="007304CF" w:rsidRPr="00463667" w:rsidRDefault="007304CF" w:rsidP="00F578E0">
            <w:pPr>
              <w:pStyle w:val="TableText"/>
              <w:jc w:val="center"/>
              <w:rPr>
                <w:sz w:val="24"/>
              </w:rPr>
            </w:pPr>
            <w:r w:rsidRPr="00463667">
              <w:rPr>
                <w:sz w:val="24"/>
              </w:rPr>
              <w:sym w:font="Wingdings" w:char="F0FC"/>
            </w:r>
          </w:p>
        </w:tc>
      </w:tr>
      <w:tr w:rsidR="007304CF" w:rsidRPr="00463667" w14:paraId="7B4FE495" w14:textId="77777777" w:rsidTr="005F4ADA">
        <w:tc>
          <w:tcPr>
            <w:tcW w:w="4140" w:type="dxa"/>
            <w:tcBorders>
              <w:bottom w:val="single" w:sz="6" w:space="0" w:color="auto"/>
            </w:tcBorders>
            <w:shd w:val="clear" w:color="auto" w:fill="FFFFFF" w:themeFill="background1"/>
          </w:tcPr>
          <w:p w14:paraId="7040C2C6" w14:textId="77777777" w:rsidR="007304CF" w:rsidRPr="00463667" w:rsidRDefault="007304CF" w:rsidP="00F578E0">
            <w:pPr>
              <w:pStyle w:val="TableText"/>
            </w:pPr>
            <w:r w:rsidRPr="00463667">
              <w:t xml:space="preserve">Eligible population </w:t>
            </w:r>
          </w:p>
        </w:tc>
        <w:tc>
          <w:tcPr>
            <w:tcW w:w="2970" w:type="dxa"/>
            <w:tcBorders>
              <w:bottom w:val="single" w:sz="6" w:space="0" w:color="auto"/>
            </w:tcBorders>
            <w:shd w:val="clear" w:color="auto" w:fill="FFFFFF" w:themeFill="background1"/>
          </w:tcPr>
          <w:p w14:paraId="7F7D0C5A" w14:textId="77777777" w:rsidR="007304CF" w:rsidRPr="00463667" w:rsidRDefault="007304CF" w:rsidP="00F578E0">
            <w:pPr>
              <w:pStyle w:val="TableText"/>
              <w:jc w:val="center"/>
              <w:rPr>
                <w:i/>
                <w:iCs/>
              </w:rPr>
            </w:pPr>
            <w:r w:rsidRPr="00463667">
              <w:rPr>
                <w:i/>
                <w:iCs/>
              </w:rPr>
              <w:t>For each of the 3 rates and total</w:t>
            </w:r>
          </w:p>
        </w:tc>
      </w:tr>
      <w:tr w:rsidR="007304CF" w:rsidRPr="00463667" w14:paraId="1E8C517D" w14:textId="77777777" w:rsidTr="005F4ADA">
        <w:tc>
          <w:tcPr>
            <w:tcW w:w="4140" w:type="dxa"/>
            <w:tcBorders>
              <w:bottom w:val="single" w:sz="6" w:space="0" w:color="auto"/>
            </w:tcBorders>
            <w:shd w:val="clear" w:color="auto" w:fill="D9D9D9" w:themeFill="background1" w:themeFillShade="D9"/>
          </w:tcPr>
          <w:p w14:paraId="43012D20" w14:textId="77777777" w:rsidR="007304CF" w:rsidRPr="00463667" w:rsidRDefault="007304CF" w:rsidP="00F578E0">
            <w:pPr>
              <w:pStyle w:val="TableText"/>
            </w:pPr>
            <w:r w:rsidRPr="00463667">
              <w:t>Number of optional exclusions</w:t>
            </w:r>
          </w:p>
        </w:tc>
        <w:tc>
          <w:tcPr>
            <w:tcW w:w="2970" w:type="dxa"/>
            <w:tcBorders>
              <w:bottom w:val="single" w:sz="6" w:space="0" w:color="auto"/>
            </w:tcBorders>
            <w:shd w:val="clear" w:color="auto" w:fill="D9D9D9" w:themeFill="background1" w:themeFillShade="D9"/>
          </w:tcPr>
          <w:p w14:paraId="1F2D0E5A" w14:textId="77777777" w:rsidR="007304CF" w:rsidRPr="00463667" w:rsidRDefault="007304CF" w:rsidP="00F578E0">
            <w:pPr>
              <w:pStyle w:val="TableText"/>
              <w:jc w:val="center"/>
              <w:rPr>
                <w:i/>
                <w:iCs/>
              </w:rPr>
            </w:pPr>
            <w:r w:rsidRPr="00463667">
              <w:rPr>
                <w:i/>
                <w:iCs/>
              </w:rPr>
              <w:t>For each of the 3 rates and total</w:t>
            </w:r>
          </w:p>
        </w:tc>
      </w:tr>
      <w:tr w:rsidR="007304CF" w:rsidRPr="00463667" w14:paraId="5E044913" w14:textId="77777777" w:rsidTr="005F4ADA">
        <w:tc>
          <w:tcPr>
            <w:tcW w:w="4140" w:type="dxa"/>
            <w:tcBorders>
              <w:bottom w:val="single" w:sz="6" w:space="0" w:color="auto"/>
            </w:tcBorders>
            <w:shd w:val="clear" w:color="auto" w:fill="FFFFFF" w:themeFill="background1"/>
          </w:tcPr>
          <w:p w14:paraId="081EE422" w14:textId="77777777" w:rsidR="007304CF" w:rsidRPr="00463667" w:rsidRDefault="007304CF" w:rsidP="00F578E0">
            <w:pPr>
              <w:pStyle w:val="TableText"/>
            </w:pPr>
            <w:r w:rsidRPr="00463667">
              <w:t>Numerator events by administrative data</w:t>
            </w:r>
          </w:p>
        </w:tc>
        <w:tc>
          <w:tcPr>
            <w:tcW w:w="2970" w:type="dxa"/>
            <w:tcBorders>
              <w:bottom w:val="single" w:sz="6" w:space="0" w:color="auto"/>
            </w:tcBorders>
            <w:shd w:val="clear" w:color="auto" w:fill="FFFFFF" w:themeFill="background1"/>
          </w:tcPr>
          <w:p w14:paraId="242296EA" w14:textId="77777777" w:rsidR="007304CF" w:rsidRPr="00463667" w:rsidRDefault="007304CF" w:rsidP="00F578E0">
            <w:pPr>
              <w:pStyle w:val="TableText"/>
              <w:jc w:val="center"/>
              <w:rPr>
                <w:i/>
                <w:iCs/>
              </w:rPr>
            </w:pPr>
            <w:r w:rsidRPr="00463667">
              <w:rPr>
                <w:i/>
                <w:iCs/>
              </w:rPr>
              <w:t>For each of the 3 rates and total</w:t>
            </w:r>
          </w:p>
        </w:tc>
      </w:tr>
      <w:tr w:rsidR="001E4E41" w:rsidRPr="00463667" w14:paraId="74F605EE" w14:textId="77777777" w:rsidTr="00B303A2">
        <w:tc>
          <w:tcPr>
            <w:tcW w:w="4140" w:type="dxa"/>
            <w:tcBorders>
              <w:bottom w:val="single" w:sz="6" w:space="0" w:color="auto"/>
            </w:tcBorders>
            <w:shd w:val="clear" w:color="auto" w:fill="D9D9D9" w:themeFill="background1" w:themeFillShade="D9"/>
          </w:tcPr>
          <w:p w14:paraId="19C72CF6" w14:textId="201DA38C" w:rsidR="001E4E41" w:rsidRPr="00463667" w:rsidRDefault="001E4E41" w:rsidP="00F578E0">
            <w:pPr>
              <w:pStyle w:val="TableText"/>
            </w:pPr>
            <w:r w:rsidRPr="001E4E41">
              <w:t>Numerator events by supplemental data</w:t>
            </w:r>
          </w:p>
        </w:tc>
        <w:tc>
          <w:tcPr>
            <w:tcW w:w="2970" w:type="dxa"/>
            <w:tcBorders>
              <w:bottom w:val="single" w:sz="6" w:space="0" w:color="auto"/>
            </w:tcBorders>
            <w:shd w:val="clear" w:color="auto" w:fill="D9D9D9" w:themeFill="background1" w:themeFillShade="D9"/>
          </w:tcPr>
          <w:p w14:paraId="09149071" w14:textId="2B58AAD4" w:rsidR="001E4E41" w:rsidRPr="00463667" w:rsidRDefault="001E4E41" w:rsidP="00F578E0">
            <w:pPr>
              <w:pStyle w:val="TableText"/>
              <w:jc w:val="center"/>
              <w:rPr>
                <w:i/>
                <w:iCs/>
              </w:rPr>
            </w:pPr>
            <w:r w:rsidRPr="00463667">
              <w:rPr>
                <w:i/>
                <w:iCs/>
              </w:rPr>
              <w:t>For each of the 3 rates and total</w:t>
            </w:r>
          </w:p>
        </w:tc>
      </w:tr>
      <w:tr w:rsidR="007304CF" w:rsidRPr="00463667" w14:paraId="3EA2F9DE" w14:textId="77777777" w:rsidTr="00B303A2">
        <w:tc>
          <w:tcPr>
            <w:tcW w:w="4140" w:type="dxa"/>
            <w:tcBorders>
              <w:bottom w:val="single" w:sz="6" w:space="0" w:color="auto"/>
            </w:tcBorders>
            <w:shd w:val="clear" w:color="auto" w:fill="FFFFFF" w:themeFill="background1"/>
          </w:tcPr>
          <w:p w14:paraId="65745556" w14:textId="77777777" w:rsidR="007304CF" w:rsidRPr="00463667" w:rsidRDefault="007304CF" w:rsidP="00F578E0">
            <w:pPr>
              <w:pStyle w:val="TableText"/>
            </w:pPr>
            <w:r w:rsidRPr="00463667">
              <w:t>Reported rate</w:t>
            </w:r>
          </w:p>
        </w:tc>
        <w:tc>
          <w:tcPr>
            <w:tcW w:w="2970" w:type="dxa"/>
            <w:tcBorders>
              <w:bottom w:val="single" w:sz="6" w:space="0" w:color="auto"/>
            </w:tcBorders>
            <w:shd w:val="clear" w:color="auto" w:fill="FFFFFF" w:themeFill="background1"/>
          </w:tcPr>
          <w:p w14:paraId="3AFAB29D" w14:textId="77777777" w:rsidR="007304CF" w:rsidRPr="00463667" w:rsidRDefault="007304CF" w:rsidP="00F578E0">
            <w:pPr>
              <w:pStyle w:val="TableText"/>
              <w:jc w:val="center"/>
              <w:rPr>
                <w:i/>
                <w:iCs/>
              </w:rPr>
            </w:pPr>
            <w:r w:rsidRPr="00463667">
              <w:rPr>
                <w:i/>
                <w:iCs/>
              </w:rPr>
              <w:t>For each of the 3 rates and total</w:t>
            </w:r>
          </w:p>
        </w:tc>
      </w:tr>
      <w:tr w:rsidR="007304CF" w:rsidRPr="00463667" w14:paraId="79D053F2" w14:textId="77777777" w:rsidTr="00B303A2">
        <w:tc>
          <w:tcPr>
            <w:tcW w:w="4140" w:type="dxa"/>
            <w:tcBorders>
              <w:bottom w:val="single" w:sz="6" w:space="0" w:color="auto"/>
            </w:tcBorders>
            <w:shd w:val="clear" w:color="auto" w:fill="D9D9D9" w:themeFill="background1" w:themeFillShade="D9"/>
          </w:tcPr>
          <w:p w14:paraId="0D588268" w14:textId="77777777" w:rsidR="007304CF" w:rsidRPr="00463667" w:rsidRDefault="007304CF" w:rsidP="00F578E0">
            <w:pPr>
              <w:pStyle w:val="TableText"/>
            </w:pPr>
            <w:r w:rsidRPr="00463667">
              <w:t>Lower 95% confidence interval</w:t>
            </w:r>
          </w:p>
        </w:tc>
        <w:tc>
          <w:tcPr>
            <w:tcW w:w="2970" w:type="dxa"/>
            <w:tcBorders>
              <w:bottom w:val="single" w:sz="6" w:space="0" w:color="auto"/>
            </w:tcBorders>
            <w:shd w:val="clear" w:color="auto" w:fill="D9D9D9" w:themeFill="background1" w:themeFillShade="D9"/>
          </w:tcPr>
          <w:p w14:paraId="178F9192" w14:textId="77777777" w:rsidR="007304CF" w:rsidRPr="00463667" w:rsidRDefault="007304CF" w:rsidP="00F578E0">
            <w:pPr>
              <w:pStyle w:val="TableText"/>
              <w:jc w:val="center"/>
              <w:rPr>
                <w:i/>
                <w:iCs/>
              </w:rPr>
            </w:pPr>
            <w:r w:rsidRPr="00463667">
              <w:rPr>
                <w:i/>
                <w:iCs/>
              </w:rPr>
              <w:t>For each of the 3 rates and total</w:t>
            </w:r>
          </w:p>
        </w:tc>
      </w:tr>
      <w:tr w:rsidR="007304CF" w:rsidRPr="00463667" w14:paraId="458EB50F" w14:textId="77777777" w:rsidTr="00B303A2">
        <w:tc>
          <w:tcPr>
            <w:tcW w:w="4140" w:type="dxa"/>
            <w:tcBorders>
              <w:bottom w:val="single" w:sz="6" w:space="0" w:color="auto"/>
            </w:tcBorders>
            <w:shd w:val="clear" w:color="auto" w:fill="FFFFFF" w:themeFill="background1"/>
          </w:tcPr>
          <w:p w14:paraId="483156D0" w14:textId="77777777" w:rsidR="007304CF" w:rsidRPr="00463667" w:rsidRDefault="007304CF" w:rsidP="00F578E0">
            <w:pPr>
              <w:pStyle w:val="TableText"/>
            </w:pPr>
            <w:r w:rsidRPr="00463667">
              <w:t>Upper 95% confidence interval</w:t>
            </w:r>
          </w:p>
        </w:tc>
        <w:tc>
          <w:tcPr>
            <w:tcW w:w="2970" w:type="dxa"/>
            <w:tcBorders>
              <w:bottom w:val="single" w:sz="6" w:space="0" w:color="auto"/>
            </w:tcBorders>
            <w:shd w:val="clear" w:color="auto" w:fill="FFFFFF" w:themeFill="background1"/>
          </w:tcPr>
          <w:p w14:paraId="27DC329F" w14:textId="77777777" w:rsidR="007304CF" w:rsidRPr="00463667" w:rsidRDefault="007304CF" w:rsidP="00F578E0">
            <w:pPr>
              <w:pStyle w:val="TableText"/>
              <w:jc w:val="center"/>
              <w:rPr>
                <w:i/>
                <w:iCs/>
              </w:rPr>
            </w:pPr>
            <w:r w:rsidRPr="00463667">
              <w:rPr>
                <w:i/>
                <w:iCs/>
              </w:rPr>
              <w:t>For each of the 3 rates and total</w:t>
            </w:r>
          </w:p>
        </w:tc>
      </w:tr>
    </w:tbl>
    <w:p w14:paraId="0EC4DC3D" w14:textId="77777777" w:rsidR="007304CF" w:rsidRPr="00463667" w:rsidRDefault="007304CF" w:rsidP="007304CF">
      <w:pPr>
        <w:tabs>
          <w:tab w:val="left" w:pos="7050"/>
        </w:tabs>
      </w:pPr>
    </w:p>
    <w:p w14:paraId="6EF5FD7C" w14:textId="77777777" w:rsidR="007304CF" w:rsidRPr="00463667" w:rsidRDefault="007304CF" w:rsidP="007304CF">
      <w:pPr>
        <w:pStyle w:val="TableText"/>
        <w:spacing w:before="120" w:after="0"/>
        <w:rPr>
          <w:rFonts w:ascii="Arial" w:hAnsi="Arial" w:cs="Arial"/>
          <w:sz w:val="18"/>
          <w:szCs w:val="18"/>
        </w:rPr>
      </w:pPr>
    </w:p>
    <w:p w14:paraId="6E0A7B79" w14:textId="77777777" w:rsidR="007304CF" w:rsidRPr="00463667" w:rsidRDefault="007304CF" w:rsidP="007304CF">
      <w:pPr>
        <w:pStyle w:val="TableText"/>
        <w:spacing w:before="120" w:after="0"/>
        <w:rPr>
          <w:rFonts w:ascii="Arial" w:hAnsi="Arial" w:cs="Arial"/>
          <w:sz w:val="18"/>
          <w:szCs w:val="18"/>
        </w:rPr>
      </w:pPr>
    </w:p>
    <w:p w14:paraId="232FD3DC" w14:textId="77777777" w:rsidR="007304CF" w:rsidRPr="00463667" w:rsidRDefault="007304CF" w:rsidP="007304CF">
      <w:pPr>
        <w:pStyle w:val="Body"/>
        <w:rPr>
          <w:rFonts w:cs="Arial"/>
          <w:sz w:val="18"/>
          <w:szCs w:val="18"/>
        </w:rPr>
        <w:sectPr w:rsidR="007304CF" w:rsidRPr="00463667" w:rsidSect="00F578E0">
          <w:pgSz w:w="12240" w:h="15840" w:code="1"/>
          <w:pgMar w:top="1080" w:right="1080" w:bottom="1080" w:left="1440" w:header="720" w:footer="720" w:gutter="0"/>
          <w:cols w:space="720"/>
        </w:sectPr>
      </w:pPr>
    </w:p>
    <w:p w14:paraId="7CDF5EFB" w14:textId="12E91442" w:rsidR="007304CF" w:rsidRPr="00463667" w:rsidRDefault="007304CF" w:rsidP="007304CF">
      <w:pPr>
        <w:pStyle w:val="Heading2"/>
      </w:pPr>
      <w:bookmarkStart w:id="1" w:name="_Toc400546145"/>
      <w:r w:rsidRPr="003F7CDF">
        <w:lastRenderedPageBreak/>
        <w:t>Medication Reconciliation Post-Discharge (MRP)</w:t>
      </w:r>
      <w:bookmarkEnd w:id="1"/>
    </w:p>
    <w:p w14:paraId="204BCF01" w14:textId="0CCC26F5" w:rsidR="007304CF" w:rsidRPr="00463667" w:rsidRDefault="007304CF" w:rsidP="001B37D4">
      <w:pPr>
        <w:pStyle w:val="SOC"/>
        <w:rPr>
          <w:i/>
        </w:rPr>
      </w:pPr>
      <w:r w:rsidRPr="00463667">
        <w:t xml:space="preserve">Summary of Changes to HEDIS </w:t>
      </w:r>
      <w:r w:rsidR="00761454">
        <w:t>2016</w:t>
      </w:r>
    </w:p>
    <w:p w14:paraId="0D89B658" w14:textId="460E2C44" w:rsidR="00633C69" w:rsidRPr="00633C69" w:rsidRDefault="00633C69" w:rsidP="00633C69">
      <w:pPr>
        <w:pStyle w:val="ProcessBullet"/>
      </w:pPr>
      <w:r w:rsidRPr="00633C69">
        <w:t>Added Medicare as a product line.</w:t>
      </w:r>
    </w:p>
    <w:p w14:paraId="77250F87" w14:textId="071E6220" w:rsidR="00633C69" w:rsidRPr="00633C69" w:rsidRDefault="00633C69" w:rsidP="008647E0">
      <w:pPr>
        <w:pStyle w:val="ProcessBullet"/>
        <w:spacing w:before="60"/>
      </w:pPr>
      <w:r w:rsidRPr="00633C69">
        <w:t xml:space="preserve">Expanded </w:t>
      </w:r>
      <w:r w:rsidR="008647E0">
        <w:t xml:space="preserve">the </w:t>
      </w:r>
      <w:r w:rsidRPr="00633C69">
        <w:t>age range to include Medicare beneficiaries 18 years and older.</w:t>
      </w:r>
    </w:p>
    <w:p w14:paraId="46104693" w14:textId="002A34CD" w:rsidR="008647E0" w:rsidRPr="00587AD2" w:rsidRDefault="006B75F3" w:rsidP="008647E0">
      <w:pPr>
        <w:pStyle w:val="ProcessBullet"/>
        <w:spacing w:before="60"/>
        <w:rPr>
          <w:i/>
          <w:iCs/>
        </w:rPr>
      </w:pPr>
      <w:r>
        <w:t>Clarified that the time</w:t>
      </w:r>
      <w:r w:rsidR="008647E0">
        <w:t xml:space="preserve"> </w:t>
      </w:r>
      <w:r>
        <w:t xml:space="preserve">frame for medication reconciliation is the discharge date through 30 days after discharge (31 days total). </w:t>
      </w:r>
    </w:p>
    <w:p w14:paraId="46C72D17" w14:textId="15255122" w:rsidR="00FE5050" w:rsidRPr="00587AD2" w:rsidRDefault="00FE5050" w:rsidP="008647E0">
      <w:pPr>
        <w:pStyle w:val="ProcessBullet"/>
        <w:spacing w:before="60"/>
        <w:rPr>
          <w:i/>
          <w:iCs/>
        </w:rPr>
      </w:pPr>
      <w:r>
        <w:t>Added value sets to identify acute and nonacute inpatient discharges</w:t>
      </w:r>
      <w:r w:rsidR="0013274C">
        <w:t>,</w:t>
      </w:r>
      <w:r>
        <w:t xml:space="preserve"> readmissions </w:t>
      </w:r>
      <w:r w:rsidR="0013274C">
        <w:t xml:space="preserve">and transfer setting </w:t>
      </w:r>
      <w:r>
        <w:t>for the event/diagnosis.</w:t>
      </w:r>
    </w:p>
    <w:p w14:paraId="5EE80C3A" w14:textId="49987074" w:rsidR="00587AD2" w:rsidRPr="00587AD2" w:rsidRDefault="007627A7" w:rsidP="008647E0">
      <w:pPr>
        <w:pStyle w:val="ProcessBullet"/>
        <w:spacing w:before="60"/>
      </w:pPr>
      <w:r>
        <w:t>Clarified medical record documentation requirements for</w:t>
      </w:r>
      <w:r w:rsidR="00587AD2" w:rsidRPr="00633C69">
        <w:t xml:space="preserve"> medication reconciliation.</w:t>
      </w:r>
    </w:p>
    <w:p w14:paraId="4D1AA7A5" w14:textId="30F70674" w:rsidR="001E4E41" w:rsidRPr="00463667" w:rsidRDefault="001E4E41" w:rsidP="008647E0">
      <w:pPr>
        <w:pStyle w:val="ProcessBullet"/>
        <w:spacing w:before="60"/>
        <w:rPr>
          <w:i/>
          <w:iCs/>
        </w:rPr>
      </w:pPr>
      <w:r>
        <w:t xml:space="preserve">Added “Numerator events by supplemental data” to the Data Elements for Reporting table to capture the number of members who met numerator criteria using supplemental data. </w:t>
      </w:r>
    </w:p>
    <w:p w14:paraId="1B15E967" w14:textId="77777777" w:rsidR="007304CF" w:rsidRPr="00463667" w:rsidRDefault="007304CF" w:rsidP="004712C4">
      <w:pPr>
        <w:pStyle w:val="ReverseHead"/>
      </w:pPr>
      <w:r w:rsidRPr="00463667">
        <w:t>Description</w:t>
      </w:r>
    </w:p>
    <w:p w14:paraId="32A7C7BF" w14:textId="62F7F523" w:rsidR="007304CF" w:rsidRPr="00463667" w:rsidRDefault="007304CF" w:rsidP="007304CF">
      <w:pPr>
        <w:pStyle w:val="Body"/>
      </w:pPr>
      <w:r w:rsidRPr="00463667">
        <w:rPr>
          <w:snapToGrid w:val="0"/>
        </w:rPr>
        <w:t xml:space="preserve">The percentage of discharges </w:t>
      </w:r>
      <w:r w:rsidRPr="00463667">
        <w:t xml:space="preserve">from January 1–December 1 of the measurement year </w:t>
      </w:r>
      <w:r w:rsidRPr="00463667">
        <w:rPr>
          <w:snapToGrid w:val="0"/>
        </w:rPr>
        <w:t xml:space="preserve">for </w:t>
      </w:r>
      <w:r w:rsidRPr="00463667">
        <w:t xml:space="preserve">members </w:t>
      </w:r>
      <w:r w:rsidR="00633C69">
        <w:t>18</w:t>
      </w:r>
      <w:r w:rsidRPr="00463667">
        <w:t xml:space="preserve"> years of age and older for whom medications were reconciled </w:t>
      </w:r>
      <w:r w:rsidR="006B75F3">
        <w:t xml:space="preserve">the date of discharge </w:t>
      </w:r>
      <w:r w:rsidR="006B75F3" w:rsidRPr="00463667">
        <w:t>through 30 days after discharge</w:t>
      </w:r>
      <w:r w:rsidR="006B75F3">
        <w:t xml:space="preserve"> (31 total days)</w:t>
      </w:r>
      <w:r w:rsidR="00633C69">
        <w:t>.</w:t>
      </w:r>
    </w:p>
    <w:p w14:paraId="69A6AE1F" w14:textId="77777777" w:rsidR="007304CF" w:rsidRPr="00463667" w:rsidRDefault="007304CF" w:rsidP="004712C4">
      <w:pPr>
        <w:pStyle w:val="ReverseHead"/>
      </w:pPr>
      <w:r w:rsidRPr="00463667">
        <w:t>Definition</w:t>
      </w:r>
    </w:p>
    <w:tbl>
      <w:tblPr>
        <w:tblW w:w="0" w:type="auto"/>
        <w:tblInd w:w="-72" w:type="dxa"/>
        <w:tblLayout w:type="fixed"/>
        <w:tblLook w:val="0000" w:firstRow="0" w:lastRow="0" w:firstColumn="0" w:lastColumn="0" w:noHBand="0" w:noVBand="0"/>
      </w:tblPr>
      <w:tblGrid>
        <w:gridCol w:w="1980"/>
        <w:gridCol w:w="7920"/>
      </w:tblGrid>
      <w:tr w:rsidR="007304CF" w:rsidRPr="00463667" w14:paraId="5699F4EA" w14:textId="77777777" w:rsidTr="00F578E0">
        <w:tc>
          <w:tcPr>
            <w:tcW w:w="1980" w:type="dxa"/>
          </w:tcPr>
          <w:p w14:paraId="3A72BCE5" w14:textId="77777777" w:rsidR="007304CF" w:rsidRPr="00463667" w:rsidRDefault="007304CF" w:rsidP="00F578E0">
            <w:pPr>
              <w:pStyle w:val="MarginSubhead"/>
            </w:pPr>
            <w:r w:rsidRPr="00463667">
              <w:t>Medication reconciliation</w:t>
            </w:r>
          </w:p>
        </w:tc>
        <w:tc>
          <w:tcPr>
            <w:tcW w:w="7920" w:type="dxa"/>
          </w:tcPr>
          <w:p w14:paraId="5EC56AAA" w14:textId="77777777" w:rsidR="007304CF" w:rsidRPr="00463667" w:rsidRDefault="007304CF" w:rsidP="00F578E0">
            <w:pPr>
              <w:pStyle w:val="Body"/>
              <w:rPr>
                <w:strike/>
              </w:rPr>
            </w:pPr>
            <w:r w:rsidRPr="00463667">
              <w:t>A type of review in which the discharge medications are reconciled with the most recent medication list in the outpatient medical record.</w:t>
            </w:r>
          </w:p>
        </w:tc>
      </w:tr>
    </w:tbl>
    <w:p w14:paraId="6B55AA31" w14:textId="77777777" w:rsidR="007304CF" w:rsidRPr="00463667" w:rsidRDefault="007304CF" w:rsidP="004712C4">
      <w:pPr>
        <w:pStyle w:val="ReverseHead"/>
      </w:pPr>
      <w:r w:rsidRPr="00463667">
        <w:t>Eligible Population</w:t>
      </w:r>
    </w:p>
    <w:tbl>
      <w:tblPr>
        <w:tblW w:w="9882" w:type="dxa"/>
        <w:tblInd w:w="-72" w:type="dxa"/>
        <w:tblLayout w:type="fixed"/>
        <w:tblLook w:val="0000" w:firstRow="0" w:lastRow="0" w:firstColumn="0" w:lastColumn="0" w:noHBand="0" w:noVBand="0"/>
      </w:tblPr>
      <w:tblGrid>
        <w:gridCol w:w="1980"/>
        <w:gridCol w:w="7902"/>
      </w:tblGrid>
      <w:tr w:rsidR="007304CF" w:rsidRPr="00463667" w14:paraId="631EC7B8" w14:textId="77777777" w:rsidTr="00F578E0">
        <w:tc>
          <w:tcPr>
            <w:tcW w:w="1980" w:type="dxa"/>
          </w:tcPr>
          <w:p w14:paraId="506F1D4D" w14:textId="77777777" w:rsidR="007304CF" w:rsidRPr="00463667" w:rsidRDefault="007304CF" w:rsidP="00F578E0">
            <w:pPr>
              <w:pStyle w:val="MarginSubhead"/>
            </w:pPr>
            <w:r w:rsidRPr="00463667">
              <w:t>Product line</w:t>
            </w:r>
          </w:p>
        </w:tc>
        <w:tc>
          <w:tcPr>
            <w:tcW w:w="7902" w:type="dxa"/>
          </w:tcPr>
          <w:p w14:paraId="51C3E46B" w14:textId="5D843BCB" w:rsidR="007304CF" w:rsidRPr="00463667" w:rsidRDefault="007304CF" w:rsidP="00F578E0">
            <w:pPr>
              <w:pStyle w:val="Body"/>
            </w:pPr>
            <w:r w:rsidRPr="00463667">
              <w:t>Medicare</w:t>
            </w:r>
            <w:r w:rsidR="00633C69">
              <w:t>.</w:t>
            </w:r>
          </w:p>
        </w:tc>
      </w:tr>
      <w:tr w:rsidR="007304CF" w:rsidRPr="00463667" w14:paraId="51321B2F" w14:textId="77777777" w:rsidTr="00F578E0">
        <w:tc>
          <w:tcPr>
            <w:tcW w:w="1980" w:type="dxa"/>
          </w:tcPr>
          <w:p w14:paraId="2EE0B86F" w14:textId="77777777" w:rsidR="007304CF" w:rsidRPr="00463667" w:rsidRDefault="007304CF" w:rsidP="00F578E0">
            <w:pPr>
              <w:pStyle w:val="MarginSubhead"/>
            </w:pPr>
            <w:r w:rsidRPr="00463667">
              <w:t>Ages</w:t>
            </w:r>
          </w:p>
        </w:tc>
        <w:tc>
          <w:tcPr>
            <w:tcW w:w="7902" w:type="dxa"/>
          </w:tcPr>
          <w:p w14:paraId="7E1044F3" w14:textId="34F6D328" w:rsidR="007304CF" w:rsidRPr="00463667" w:rsidRDefault="00633C69" w:rsidP="00F578E0">
            <w:pPr>
              <w:pStyle w:val="Body"/>
            </w:pPr>
            <w:r>
              <w:t>18</w:t>
            </w:r>
            <w:r w:rsidR="007304CF" w:rsidRPr="00463667">
              <w:t xml:space="preserve"> years and older as of December 31 of the measurement year.</w:t>
            </w:r>
          </w:p>
        </w:tc>
      </w:tr>
      <w:tr w:rsidR="007304CF" w:rsidRPr="00463667" w14:paraId="54818CF8" w14:textId="77777777" w:rsidTr="00F578E0">
        <w:tc>
          <w:tcPr>
            <w:tcW w:w="1980" w:type="dxa"/>
          </w:tcPr>
          <w:p w14:paraId="0A49AC20" w14:textId="77777777" w:rsidR="007304CF" w:rsidRPr="00463667" w:rsidRDefault="007304CF" w:rsidP="00F578E0">
            <w:pPr>
              <w:pStyle w:val="MarginSubhead"/>
            </w:pPr>
            <w:r w:rsidRPr="00463667">
              <w:t>Continuous enrollment</w:t>
            </w:r>
          </w:p>
        </w:tc>
        <w:tc>
          <w:tcPr>
            <w:tcW w:w="7902" w:type="dxa"/>
          </w:tcPr>
          <w:p w14:paraId="475CF721" w14:textId="71000760" w:rsidR="007304CF" w:rsidRPr="00463667" w:rsidRDefault="007304CF" w:rsidP="00F578E0">
            <w:pPr>
              <w:pStyle w:val="Body"/>
            </w:pPr>
            <w:r w:rsidRPr="00463667">
              <w:t>Date of discharge through 30 days after discharge</w:t>
            </w:r>
            <w:r w:rsidR="0090158F">
              <w:t xml:space="preserve"> (31 total days)</w:t>
            </w:r>
            <w:r w:rsidRPr="00463667">
              <w:t xml:space="preserve">. </w:t>
            </w:r>
          </w:p>
        </w:tc>
      </w:tr>
      <w:tr w:rsidR="007304CF" w:rsidRPr="00463667" w14:paraId="4D382E5E" w14:textId="77777777" w:rsidTr="00F578E0">
        <w:tc>
          <w:tcPr>
            <w:tcW w:w="1980" w:type="dxa"/>
          </w:tcPr>
          <w:p w14:paraId="0909FA16" w14:textId="77777777" w:rsidR="007304CF" w:rsidRPr="00463667" w:rsidRDefault="007304CF" w:rsidP="00F578E0">
            <w:pPr>
              <w:pStyle w:val="MarginSubhead"/>
            </w:pPr>
            <w:r w:rsidRPr="00463667">
              <w:t>Allowable gap</w:t>
            </w:r>
          </w:p>
        </w:tc>
        <w:tc>
          <w:tcPr>
            <w:tcW w:w="7902" w:type="dxa"/>
          </w:tcPr>
          <w:p w14:paraId="5ECBD85C" w14:textId="77777777" w:rsidR="007304CF" w:rsidRPr="00463667" w:rsidRDefault="007304CF" w:rsidP="00F578E0">
            <w:pPr>
              <w:pStyle w:val="Body"/>
            </w:pPr>
            <w:r w:rsidRPr="00463667">
              <w:t>None.</w:t>
            </w:r>
          </w:p>
        </w:tc>
      </w:tr>
      <w:tr w:rsidR="007304CF" w:rsidRPr="00463667" w14:paraId="12CEFF9E" w14:textId="77777777" w:rsidTr="00F578E0">
        <w:tc>
          <w:tcPr>
            <w:tcW w:w="1980" w:type="dxa"/>
          </w:tcPr>
          <w:p w14:paraId="7F57AA08" w14:textId="77777777" w:rsidR="007304CF" w:rsidRPr="00463667" w:rsidRDefault="007304CF" w:rsidP="00F578E0">
            <w:pPr>
              <w:pStyle w:val="MarginSubhead"/>
            </w:pPr>
            <w:r w:rsidRPr="00463667">
              <w:t>Anchor date</w:t>
            </w:r>
          </w:p>
        </w:tc>
        <w:tc>
          <w:tcPr>
            <w:tcW w:w="7902" w:type="dxa"/>
          </w:tcPr>
          <w:p w14:paraId="6122E599" w14:textId="77777777" w:rsidR="007304CF" w:rsidRPr="00463667" w:rsidRDefault="007304CF" w:rsidP="00F578E0">
            <w:pPr>
              <w:pStyle w:val="Body"/>
            </w:pPr>
            <w:r w:rsidRPr="00463667">
              <w:t xml:space="preserve">Date of discharge. </w:t>
            </w:r>
          </w:p>
        </w:tc>
      </w:tr>
      <w:tr w:rsidR="007304CF" w:rsidRPr="00463667" w14:paraId="73EE892C" w14:textId="77777777" w:rsidTr="00F578E0">
        <w:tc>
          <w:tcPr>
            <w:tcW w:w="1980" w:type="dxa"/>
          </w:tcPr>
          <w:p w14:paraId="2A310C7E" w14:textId="77777777" w:rsidR="007304CF" w:rsidRPr="00463667" w:rsidRDefault="007304CF" w:rsidP="00F578E0">
            <w:pPr>
              <w:pStyle w:val="MarginSubhead"/>
            </w:pPr>
            <w:r w:rsidRPr="00463667">
              <w:t>Benefit</w:t>
            </w:r>
          </w:p>
        </w:tc>
        <w:tc>
          <w:tcPr>
            <w:tcW w:w="7902" w:type="dxa"/>
          </w:tcPr>
          <w:p w14:paraId="36B90B2D" w14:textId="77777777" w:rsidR="007304CF" w:rsidRPr="00463667" w:rsidRDefault="007304CF" w:rsidP="00F578E0">
            <w:pPr>
              <w:pStyle w:val="Body"/>
            </w:pPr>
            <w:r w:rsidRPr="00463667">
              <w:t>Medical.</w:t>
            </w:r>
          </w:p>
        </w:tc>
      </w:tr>
      <w:tr w:rsidR="007304CF" w:rsidRPr="00463667" w14:paraId="59BB24C6" w14:textId="77777777" w:rsidTr="00F578E0">
        <w:tc>
          <w:tcPr>
            <w:tcW w:w="1980" w:type="dxa"/>
          </w:tcPr>
          <w:p w14:paraId="2111564C" w14:textId="77777777" w:rsidR="007304CF" w:rsidRPr="00463667" w:rsidRDefault="007304CF" w:rsidP="00F578E0">
            <w:pPr>
              <w:pStyle w:val="MarginSubhead"/>
            </w:pPr>
            <w:r w:rsidRPr="00463667">
              <w:t>Event/ diagnosis</w:t>
            </w:r>
          </w:p>
        </w:tc>
        <w:tc>
          <w:tcPr>
            <w:tcW w:w="7902" w:type="dxa"/>
          </w:tcPr>
          <w:p w14:paraId="31285815" w14:textId="7CA87660" w:rsidR="007304CF" w:rsidRDefault="007304CF" w:rsidP="00F578E0">
            <w:pPr>
              <w:pStyle w:val="Body"/>
            </w:pPr>
            <w:r w:rsidRPr="00463667">
              <w:t>An acute or nonacute inpatient discharge on or between January 1 and December 1 of the measurement year.</w:t>
            </w:r>
            <w:r w:rsidR="00BB3DA8">
              <w:t xml:space="preserve"> To identify acute and nonacute inpatient discharges:</w:t>
            </w:r>
          </w:p>
          <w:p w14:paraId="0C2C482D" w14:textId="0B16AB0A" w:rsidR="00BB3DA8" w:rsidRDefault="00BB3DA8" w:rsidP="008647E0">
            <w:pPr>
              <w:pStyle w:val="Bullet"/>
              <w:numPr>
                <w:ilvl w:val="0"/>
                <w:numId w:val="41"/>
              </w:numPr>
              <w:ind w:left="576"/>
            </w:pPr>
            <w:r>
              <w:t>Identify all acute and nonacute inpatient stays (</w:t>
            </w:r>
            <w:r w:rsidRPr="008D053F">
              <w:rPr>
                <w:u w:val="single"/>
              </w:rPr>
              <w:t>Inpatient Stay Value Set</w:t>
            </w:r>
            <w:r>
              <w:t>).</w:t>
            </w:r>
          </w:p>
          <w:p w14:paraId="7FAC5A7F" w14:textId="5A7204C3" w:rsidR="00BB3DA8" w:rsidRPr="00463667" w:rsidRDefault="00BB3DA8" w:rsidP="008647E0">
            <w:pPr>
              <w:pStyle w:val="Bullet"/>
              <w:numPr>
                <w:ilvl w:val="0"/>
                <w:numId w:val="41"/>
              </w:numPr>
              <w:ind w:left="576"/>
            </w:pPr>
            <w:r>
              <w:t>Identify the discharge date for the stay.</w:t>
            </w:r>
          </w:p>
          <w:p w14:paraId="73C7F97D" w14:textId="77777777" w:rsidR="007304CF" w:rsidRPr="00463667" w:rsidRDefault="007304CF" w:rsidP="00F578E0">
            <w:pPr>
              <w:pStyle w:val="Body"/>
            </w:pPr>
            <w:r w:rsidRPr="00463667">
              <w:t>The denominator for this measure is based on discharges, not members. If members have more than one discharge, include all discharges on or between January 1 and December 1 of the measurement year.</w:t>
            </w:r>
          </w:p>
        </w:tc>
      </w:tr>
    </w:tbl>
    <w:p w14:paraId="2F88370B" w14:textId="77777777" w:rsidR="008647E0" w:rsidRDefault="008647E0" w:rsidP="008647E0">
      <w:pPr>
        <w:sectPr w:rsidR="008647E0" w:rsidSect="00F578E0">
          <w:headerReference w:type="even" r:id="rId20"/>
          <w:headerReference w:type="default" r:id="rId21"/>
          <w:footerReference w:type="even" r:id="rId22"/>
          <w:pgSz w:w="12240" w:h="15840" w:code="1"/>
          <w:pgMar w:top="1080" w:right="1080" w:bottom="1080" w:left="1440" w:header="720" w:footer="720" w:gutter="0"/>
          <w:cols w:space="720"/>
        </w:sectPr>
      </w:pPr>
    </w:p>
    <w:tbl>
      <w:tblPr>
        <w:tblW w:w="9882" w:type="dxa"/>
        <w:tblInd w:w="-72" w:type="dxa"/>
        <w:tblLayout w:type="fixed"/>
        <w:tblLook w:val="0000" w:firstRow="0" w:lastRow="0" w:firstColumn="0" w:lastColumn="0" w:noHBand="0" w:noVBand="0"/>
      </w:tblPr>
      <w:tblGrid>
        <w:gridCol w:w="1872"/>
        <w:gridCol w:w="8010"/>
      </w:tblGrid>
      <w:tr w:rsidR="008647E0" w:rsidRPr="00463667" w14:paraId="237DF324" w14:textId="77777777" w:rsidTr="00F77C72">
        <w:tc>
          <w:tcPr>
            <w:tcW w:w="1872" w:type="dxa"/>
          </w:tcPr>
          <w:p w14:paraId="030832CC" w14:textId="77777777" w:rsidR="008647E0" w:rsidRPr="00463667" w:rsidRDefault="008647E0" w:rsidP="008647E0">
            <w:pPr>
              <w:pStyle w:val="MarginSubhead"/>
              <w:spacing w:before="0"/>
              <w:jc w:val="right"/>
              <w:rPr>
                <w:i/>
              </w:rPr>
            </w:pPr>
            <w:r w:rsidRPr="00463667">
              <w:rPr>
                <w:i/>
              </w:rPr>
              <w:lastRenderedPageBreak/>
              <w:t>Readmission or direct transfer</w:t>
            </w:r>
          </w:p>
        </w:tc>
        <w:tc>
          <w:tcPr>
            <w:tcW w:w="8010" w:type="dxa"/>
          </w:tcPr>
          <w:p w14:paraId="5E320558" w14:textId="37973776" w:rsidR="008647E0" w:rsidRPr="008647E0" w:rsidRDefault="008647E0" w:rsidP="008647E0">
            <w:pPr>
              <w:pStyle w:val="Body"/>
              <w:spacing w:before="0"/>
            </w:pPr>
            <w:r w:rsidRPr="008647E0">
              <w:t xml:space="preserve">If the discharge is followed by a readmission or direct transfer to an acute or nonacute </w:t>
            </w:r>
            <w:r w:rsidR="00DC2312">
              <w:t xml:space="preserve">inpatient care </w:t>
            </w:r>
            <w:r w:rsidRPr="008647E0">
              <w:t xml:space="preserve">setting on the date of discharge through 30 days after discharge (31 total days), count only the </w:t>
            </w:r>
            <w:r w:rsidR="00DC2312">
              <w:t>last</w:t>
            </w:r>
            <w:r w:rsidRPr="008647E0">
              <w:t xml:space="preserve"> discharge. To identify readmissions during the 31-day period:</w:t>
            </w:r>
          </w:p>
          <w:p w14:paraId="4003EF6A" w14:textId="77777777" w:rsidR="008647E0" w:rsidRDefault="008647E0" w:rsidP="008647E0">
            <w:pPr>
              <w:pStyle w:val="Bullet"/>
              <w:numPr>
                <w:ilvl w:val="0"/>
                <w:numId w:val="40"/>
              </w:numPr>
              <w:ind w:left="576"/>
            </w:pPr>
            <w:r>
              <w:t>Identify all acute and nonacute inpatient stays (</w:t>
            </w:r>
            <w:r w:rsidRPr="004043EF">
              <w:rPr>
                <w:u w:val="single"/>
              </w:rPr>
              <w:t>Inpatient Stay Value Set</w:t>
            </w:r>
            <w:r>
              <w:t xml:space="preserve">). </w:t>
            </w:r>
          </w:p>
          <w:p w14:paraId="7204854E" w14:textId="43981324" w:rsidR="008647E0" w:rsidRDefault="008647E0" w:rsidP="008647E0">
            <w:pPr>
              <w:pStyle w:val="Bullet"/>
              <w:numPr>
                <w:ilvl w:val="0"/>
                <w:numId w:val="40"/>
              </w:numPr>
              <w:ind w:left="576"/>
            </w:pPr>
            <w:r>
              <w:t>Identify the admission date for the stay (the admi</w:t>
            </w:r>
            <w:r w:rsidR="00CE55F7">
              <w:t>ssion</w:t>
            </w:r>
            <w:r>
              <w:t xml:space="preserve"> date must occur during the 31-day period). </w:t>
            </w:r>
          </w:p>
          <w:p w14:paraId="327AEC56" w14:textId="77777777" w:rsidR="008647E0" w:rsidRDefault="008647E0" w:rsidP="008647E0">
            <w:pPr>
              <w:pStyle w:val="Bullet"/>
              <w:numPr>
                <w:ilvl w:val="0"/>
                <w:numId w:val="40"/>
              </w:numPr>
              <w:ind w:left="576"/>
            </w:pPr>
            <w:r>
              <w:t>Identify the discharge date for the stay (the discharge date is the event date).</w:t>
            </w:r>
          </w:p>
          <w:p w14:paraId="30C96168" w14:textId="47AAA01A" w:rsidR="008647E0" w:rsidRPr="008647E0" w:rsidRDefault="008647E0" w:rsidP="008647E0">
            <w:pPr>
              <w:pStyle w:val="Body"/>
            </w:pPr>
            <w:r w:rsidRPr="00F22CBB">
              <w:t xml:space="preserve">Organizations must identify “transfers” using their own methods and then confirm the acute </w:t>
            </w:r>
            <w:r>
              <w:t xml:space="preserve">or nonacute </w:t>
            </w:r>
            <w:r w:rsidR="00DC2312">
              <w:t xml:space="preserve">inpatient care </w:t>
            </w:r>
            <w:r w:rsidRPr="00F22CBB">
              <w:t xml:space="preserve">setting using the </w:t>
            </w:r>
            <w:r w:rsidRPr="00F22CBB">
              <w:rPr>
                <w:u w:val="single"/>
              </w:rPr>
              <w:t>Inpatient Stay Value Set</w:t>
            </w:r>
            <w:r>
              <w:t>.</w:t>
            </w:r>
          </w:p>
          <w:p w14:paraId="38AA952B" w14:textId="778669D5" w:rsidR="008647E0" w:rsidRPr="00463667" w:rsidRDefault="008647E0" w:rsidP="008647E0">
            <w:pPr>
              <w:pStyle w:val="Body"/>
            </w:pPr>
            <w:r w:rsidRPr="00463667">
              <w:t>Exclude both the initial and the readmission/direct transfer discharge</w:t>
            </w:r>
            <w:r w:rsidR="00DC2312">
              <w:t>s</w:t>
            </w:r>
            <w:r w:rsidRPr="00463667">
              <w:t xml:space="preserve"> if the </w:t>
            </w:r>
            <w:r w:rsidR="00DC2312">
              <w:t>last</w:t>
            </w:r>
            <w:r w:rsidRPr="00463667">
              <w:t xml:space="preserve"> discharge occurs after December 1 of the measurement year. </w:t>
            </w:r>
          </w:p>
          <w:p w14:paraId="6C91768D" w14:textId="1AEA1808" w:rsidR="008647E0" w:rsidRPr="008647E0" w:rsidRDefault="008647E0" w:rsidP="00DC2312">
            <w:pPr>
              <w:pStyle w:val="Note"/>
              <w:rPr>
                <w:i w:val="0"/>
              </w:rPr>
            </w:pPr>
            <w:r w:rsidRPr="00463667">
              <w:rPr>
                <w:b/>
              </w:rPr>
              <w:t>Note:</w:t>
            </w:r>
            <w:r w:rsidRPr="00463667">
              <w:t xml:space="preserve"> If a member remains in an acute or nonacute </w:t>
            </w:r>
            <w:r w:rsidR="00DC2312">
              <w:t>care setting</w:t>
            </w:r>
            <w:r w:rsidR="00DC2312" w:rsidRPr="00463667">
              <w:t xml:space="preserve"> </w:t>
            </w:r>
            <w:r w:rsidRPr="00463667">
              <w:t>through December 1 of the measure</w:t>
            </w:r>
            <w:r w:rsidRPr="008647E0">
              <w:t>m</w:t>
            </w:r>
            <w:r w:rsidRPr="00463667">
              <w:t>ent year, a discharge is not included in the measure for this member</w:t>
            </w:r>
            <w:r>
              <w:t xml:space="preserve">, but </w:t>
            </w:r>
            <w:r w:rsidRPr="00463667">
              <w:t xml:space="preserve">the organization must have a method for identifying the member’s status for the remainder of the measurement year, and may not assume the member remained </w:t>
            </w:r>
            <w:r w:rsidR="00DC2312">
              <w:t xml:space="preserve">admitted </w:t>
            </w:r>
            <w:r w:rsidRPr="00463667">
              <w:t>based only on the absence of a discharge before December 1.</w:t>
            </w:r>
          </w:p>
        </w:tc>
      </w:tr>
    </w:tbl>
    <w:p w14:paraId="1533A398" w14:textId="77777777" w:rsidR="007304CF" w:rsidRPr="00463667" w:rsidRDefault="007304CF" w:rsidP="00B303A2">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1890"/>
        <w:gridCol w:w="8028"/>
      </w:tblGrid>
      <w:tr w:rsidR="007304CF" w:rsidRPr="00463667" w14:paraId="63F21FCF" w14:textId="77777777" w:rsidTr="00B303A2">
        <w:tc>
          <w:tcPr>
            <w:tcW w:w="1890" w:type="dxa"/>
          </w:tcPr>
          <w:p w14:paraId="7917A807" w14:textId="77777777" w:rsidR="007304CF" w:rsidRPr="00463667" w:rsidRDefault="007304CF" w:rsidP="00F578E0">
            <w:pPr>
              <w:pStyle w:val="MarginSubhead"/>
            </w:pPr>
            <w:r w:rsidRPr="00463667">
              <w:t>Denominator</w:t>
            </w:r>
          </w:p>
        </w:tc>
        <w:tc>
          <w:tcPr>
            <w:tcW w:w="8028" w:type="dxa"/>
          </w:tcPr>
          <w:p w14:paraId="1B95FC06" w14:textId="77777777" w:rsidR="007304CF" w:rsidRPr="00463667" w:rsidRDefault="007304CF" w:rsidP="00F578E0">
            <w:pPr>
              <w:pStyle w:val="Body"/>
            </w:pPr>
            <w:r w:rsidRPr="00463667">
              <w:t>The eligible population.</w:t>
            </w:r>
          </w:p>
        </w:tc>
      </w:tr>
      <w:tr w:rsidR="007304CF" w:rsidRPr="00463667" w14:paraId="5F8AC810" w14:textId="77777777" w:rsidTr="00B303A2">
        <w:trPr>
          <w:trHeight w:val="225"/>
        </w:trPr>
        <w:tc>
          <w:tcPr>
            <w:tcW w:w="1890" w:type="dxa"/>
          </w:tcPr>
          <w:p w14:paraId="5ABB39CA" w14:textId="77777777" w:rsidR="007304CF" w:rsidRPr="00463667" w:rsidRDefault="007304CF" w:rsidP="00F578E0">
            <w:pPr>
              <w:pStyle w:val="MarginSubhead"/>
            </w:pPr>
            <w:r w:rsidRPr="00463667">
              <w:t>Numerator</w:t>
            </w:r>
          </w:p>
        </w:tc>
        <w:tc>
          <w:tcPr>
            <w:tcW w:w="8028" w:type="dxa"/>
          </w:tcPr>
          <w:p w14:paraId="5BA4E24F" w14:textId="21A8ACD8" w:rsidR="007304CF" w:rsidRPr="00463667" w:rsidRDefault="007304CF" w:rsidP="006B75F3">
            <w:pPr>
              <w:pStyle w:val="Body"/>
            </w:pPr>
            <w:r w:rsidRPr="00463667">
              <w:t>Medication reconciliation (</w:t>
            </w:r>
            <w:r w:rsidRPr="00463667">
              <w:rPr>
                <w:u w:val="single"/>
              </w:rPr>
              <w:t>Medication Reconciliation Value Set</w:t>
            </w:r>
            <w:r w:rsidRPr="00463667">
              <w:t xml:space="preserve">) conducted by a prescribing practitioner, clinical pharmacist or registered nurse on </w:t>
            </w:r>
            <w:r w:rsidR="0090158F">
              <w:t xml:space="preserve">the date of discharge </w:t>
            </w:r>
            <w:r w:rsidR="006B75F3" w:rsidRPr="00463667">
              <w:t>through 30 days after discharge</w:t>
            </w:r>
            <w:r w:rsidR="006B75F3">
              <w:t xml:space="preserve"> (31 total days)</w:t>
            </w:r>
            <w:r w:rsidR="006B75F3" w:rsidRPr="00463667">
              <w:t xml:space="preserve">. </w:t>
            </w:r>
          </w:p>
        </w:tc>
      </w:tr>
    </w:tbl>
    <w:p w14:paraId="6A2A0612" w14:textId="77777777" w:rsidR="007304CF" w:rsidRPr="00463667" w:rsidRDefault="007304CF" w:rsidP="004712C4">
      <w:pPr>
        <w:pStyle w:val="ReverseHead"/>
      </w:pPr>
      <w:r w:rsidRPr="00463667">
        <w:t>Hybrid Specification</w:t>
      </w:r>
    </w:p>
    <w:tbl>
      <w:tblPr>
        <w:tblW w:w="9900" w:type="dxa"/>
        <w:tblInd w:w="-90" w:type="dxa"/>
        <w:tblLayout w:type="fixed"/>
        <w:tblLook w:val="0000" w:firstRow="0" w:lastRow="0" w:firstColumn="0" w:lastColumn="0" w:noHBand="0" w:noVBand="0"/>
      </w:tblPr>
      <w:tblGrid>
        <w:gridCol w:w="1890"/>
        <w:gridCol w:w="8010"/>
      </w:tblGrid>
      <w:tr w:rsidR="007304CF" w:rsidRPr="00463667" w14:paraId="1C342EDA" w14:textId="77777777" w:rsidTr="00B303A2">
        <w:tc>
          <w:tcPr>
            <w:tcW w:w="1890" w:type="dxa"/>
          </w:tcPr>
          <w:p w14:paraId="6937CED5" w14:textId="77777777" w:rsidR="007304CF" w:rsidRPr="00463667" w:rsidRDefault="007304CF" w:rsidP="00F578E0">
            <w:pPr>
              <w:pStyle w:val="MarginSubhead"/>
              <w:rPr>
                <w:szCs w:val="20"/>
              </w:rPr>
            </w:pPr>
            <w:r w:rsidRPr="00463667">
              <w:rPr>
                <w:szCs w:val="20"/>
              </w:rPr>
              <w:t>Denominator</w:t>
            </w:r>
          </w:p>
        </w:tc>
        <w:tc>
          <w:tcPr>
            <w:tcW w:w="8010" w:type="dxa"/>
            <w:vAlign w:val="center"/>
          </w:tcPr>
          <w:p w14:paraId="1D06A99B" w14:textId="77777777" w:rsidR="007304CF" w:rsidRPr="00463667" w:rsidRDefault="007304CF" w:rsidP="00F578E0">
            <w:pPr>
              <w:pStyle w:val="Body"/>
            </w:pPr>
            <w:r w:rsidRPr="00463667">
              <w:t xml:space="preserve">A systematic sample drawn from the eligible population. Organizations may reduce the sample size using the current year’s administrative rate or the prior year’s audited, product line-specific rate. Refer to the </w:t>
            </w:r>
            <w:r w:rsidRPr="00463667">
              <w:rPr>
                <w:i/>
              </w:rPr>
              <w:t>Guidelines for Calculations and Sampling</w:t>
            </w:r>
            <w:r w:rsidRPr="00463667">
              <w:t xml:space="preserve"> for information on reducing the sample size.</w:t>
            </w:r>
          </w:p>
          <w:p w14:paraId="23A56C30" w14:textId="77777777" w:rsidR="007304CF" w:rsidRPr="00463667" w:rsidRDefault="007304CF" w:rsidP="00F578E0">
            <w:pPr>
              <w:pStyle w:val="Body"/>
            </w:pPr>
            <w:r w:rsidRPr="00463667">
              <w:t>The denominator is based on episodes, not on members. Members may appear more than once in the sample.</w:t>
            </w:r>
          </w:p>
        </w:tc>
      </w:tr>
      <w:tr w:rsidR="007304CF" w:rsidRPr="00463667" w14:paraId="1B38F5E3" w14:textId="77777777" w:rsidTr="00B303A2">
        <w:tc>
          <w:tcPr>
            <w:tcW w:w="1890" w:type="dxa"/>
          </w:tcPr>
          <w:p w14:paraId="18F62AA1" w14:textId="77777777" w:rsidR="007304CF" w:rsidRPr="00463667" w:rsidRDefault="007304CF" w:rsidP="00F578E0">
            <w:pPr>
              <w:pStyle w:val="MarginSubhead"/>
              <w:rPr>
                <w:szCs w:val="20"/>
              </w:rPr>
            </w:pPr>
            <w:r w:rsidRPr="00463667">
              <w:rPr>
                <w:szCs w:val="20"/>
              </w:rPr>
              <w:t>Numerator</w:t>
            </w:r>
          </w:p>
        </w:tc>
        <w:tc>
          <w:tcPr>
            <w:tcW w:w="8010" w:type="dxa"/>
            <w:vAlign w:val="center"/>
          </w:tcPr>
          <w:p w14:paraId="36CE1644" w14:textId="5EFBAE50" w:rsidR="007304CF" w:rsidRPr="00463667" w:rsidRDefault="007304CF" w:rsidP="00F578E0">
            <w:pPr>
              <w:pStyle w:val="Body"/>
            </w:pPr>
            <w:r w:rsidRPr="00463667">
              <w:t xml:space="preserve">Medication reconciliation conducted by a prescribing practitioner, clinical pharmacist or registered nurse, as documented through either administrative data or medical record review </w:t>
            </w:r>
            <w:r w:rsidR="006B75F3">
              <w:t xml:space="preserve">the date of discharge </w:t>
            </w:r>
            <w:r w:rsidR="006B75F3" w:rsidRPr="00463667">
              <w:t>through 30 days after discharge</w:t>
            </w:r>
            <w:r w:rsidR="006B75F3">
              <w:t xml:space="preserve"> (31 total days)</w:t>
            </w:r>
            <w:r w:rsidRPr="00463667">
              <w:t>.</w:t>
            </w:r>
          </w:p>
        </w:tc>
      </w:tr>
      <w:tr w:rsidR="007304CF" w:rsidRPr="00463667" w14:paraId="464DFBD3" w14:textId="77777777" w:rsidTr="00B303A2">
        <w:tc>
          <w:tcPr>
            <w:tcW w:w="1890" w:type="dxa"/>
          </w:tcPr>
          <w:p w14:paraId="733DCE5E" w14:textId="77777777" w:rsidR="007304CF" w:rsidRPr="00463667" w:rsidRDefault="007304CF" w:rsidP="00F578E0">
            <w:pPr>
              <w:pStyle w:val="MarginSubhead"/>
              <w:jc w:val="right"/>
              <w:rPr>
                <w:i/>
                <w:szCs w:val="20"/>
              </w:rPr>
            </w:pPr>
            <w:r w:rsidRPr="00463667">
              <w:rPr>
                <w:i/>
                <w:szCs w:val="20"/>
              </w:rPr>
              <w:t>Administrative</w:t>
            </w:r>
          </w:p>
        </w:tc>
        <w:tc>
          <w:tcPr>
            <w:tcW w:w="8010" w:type="dxa"/>
            <w:vAlign w:val="center"/>
          </w:tcPr>
          <w:p w14:paraId="2522E23D" w14:textId="77777777" w:rsidR="007304CF" w:rsidRPr="00463667" w:rsidRDefault="007304CF" w:rsidP="00F578E0">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850A0E" w:rsidRPr="00463667" w14:paraId="78BA2A51" w14:textId="77777777" w:rsidTr="00850A0E">
        <w:tc>
          <w:tcPr>
            <w:tcW w:w="1890" w:type="dxa"/>
          </w:tcPr>
          <w:p w14:paraId="38C2BA4D" w14:textId="77777777" w:rsidR="00850A0E" w:rsidRPr="00463667" w:rsidRDefault="00850A0E" w:rsidP="00F77C72">
            <w:pPr>
              <w:pStyle w:val="MarginSubhead"/>
              <w:jc w:val="right"/>
              <w:rPr>
                <w:i/>
                <w:szCs w:val="20"/>
              </w:rPr>
            </w:pPr>
            <w:r w:rsidRPr="00463667">
              <w:rPr>
                <w:i/>
                <w:szCs w:val="20"/>
              </w:rPr>
              <w:t>Medical record</w:t>
            </w:r>
          </w:p>
        </w:tc>
        <w:tc>
          <w:tcPr>
            <w:tcW w:w="8010" w:type="dxa"/>
          </w:tcPr>
          <w:p w14:paraId="2171DDFD" w14:textId="6D7E7F4C" w:rsidR="00850A0E" w:rsidRPr="00463667" w:rsidRDefault="00850A0E" w:rsidP="00F77C72">
            <w:pPr>
              <w:pStyle w:val="Body"/>
            </w:pPr>
            <w:r w:rsidRPr="00463667">
              <w:t>Documentation in the medical record must include evidence of medication reconciliation and the date when it was performed. Any of the following meets criteria:</w:t>
            </w:r>
          </w:p>
          <w:p w14:paraId="7EF7F894" w14:textId="77777777" w:rsidR="00850A0E" w:rsidRPr="00CE55F7" w:rsidRDefault="00850A0E" w:rsidP="00850A0E">
            <w:pPr>
              <w:pStyle w:val="Bullet"/>
              <w:spacing w:before="60"/>
            </w:pPr>
            <w:r w:rsidRPr="00CE55F7">
              <w:rPr>
                <w:rFonts w:cs="Arial"/>
                <w:szCs w:val="20"/>
              </w:rPr>
              <w:t>D</w:t>
            </w:r>
            <w:r>
              <w:rPr>
                <w:rFonts w:cs="Arial"/>
                <w:szCs w:val="20"/>
              </w:rPr>
              <w:t xml:space="preserve">ocumentation that the provider </w:t>
            </w:r>
            <w:r w:rsidRPr="00CE55F7">
              <w:rPr>
                <w:rFonts w:cs="Arial"/>
                <w:szCs w:val="20"/>
              </w:rPr>
              <w:t>reconciled the current and discharge med</w:t>
            </w:r>
            <w:r>
              <w:rPr>
                <w:rFonts w:cs="Arial"/>
                <w:szCs w:val="20"/>
              </w:rPr>
              <w:t>ications</w:t>
            </w:r>
            <w:r w:rsidRPr="00CE55F7">
              <w:rPr>
                <w:rFonts w:cs="Arial"/>
                <w:szCs w:val="20"/>
              </w:rPr>
              <w:t xml:space="preserve">. </w:t>
            </w:r>
          </w:p>
          <w:p w14:paraId="2E79262C" w14:textId="65B12F3A" w:rsidR="00850A0E" w:rsidRPr="008647E0" w:rsidRDefault="00850A0E" w:rsidP="00F77C72">
            <w:pPr>
              <w:pStyle w:val="Bullet"/>
              <w:spacing w:before="60"/>
            </w:pPr>
            <w:r w:rsidRPr="00633C69">
              <w:t>Documentation of the current medications with a notation that references the discharge medications (e.g., no changes in med</w:t>
            </w:r>
            <w:r>
              <w:t>ications since discharge, same medications</w:t>
            </w:r>
            <w:r w:rsidRPr="00633C69">
              <w:t xml:space="preserve"> at discharge</w:t>
            </w:r>
            <w:r>
              <w:t>, discontinue all discharge medications</w:t>
            </w:r>
            <w:r w:rsidRPr="00633C69">
              <w:t>).</w:t>
            </w:r>
            <w:r w:rsidRPr="00CE55F7">
              <w:rPr>
                <w:rFonts w:cs="Arial"/>
                <w:szCs w:val="20"/>
              </w:rPr>
              <w:t xml:space="preserve"> </w:t>
            </w:r>
          </w:p>
        </w:tc>
      </w:tr>
    </w:tbl>
    <w:p w14:paraId="67C6E88A" w14:textId="77777777" w:rsidR="00F77C72" w:rsidRDefault="00F77C72">
      <w:pPr>
        <w:sectPr w:rsidR="00F77C72" w:rsidSect="004D43D1">
          <w:headerReference w:type="even" r:id="rId23"/>
          <w:pgSz w:w="12240" w:h="15840" w:code="1"/>
          <w:pgMar w:top="1080" w:right="1080" w:bottom="1080" w:left="1440" w:header="720" w:footer="720" w:gutter="0"/>
          <w:cols w:space="720"/>
        </w:sectPr>
      </w:pPr>
    </w:p>
    <w:tbl>
      <w:tblPr>
        <w:tblW w:w="9900" w:type="dxa"/>
        <w:tblInd w:w="-90" w:type="dxa"/>
        <w:tblLayout w:type="fixed"/>
        <w:tblLook w:val="0000" w:firstRow="0" w:lastRow="0" w:firstColumn="0" w:lastColumn="0" w:noHBand="0" w:noVBand="0"/>
      </w:tblPr>
      <w:tblGrid>
        <w:gridCol w:w="1890"/>
        <w:gridCol w:w="8010"/>
      </w:tblGrid>
      <w:tr w:rsidR="00F77C72" w:rsidRPr="00463667" w14:paraId="3942503C" w14:textId="77777777" w:rsidTr="00850A0E">
        <w:tc>
          <w:tcPr>
            <w:tcW w:w="1890" w:type="dxa"/>
          </w:tcPr>
          <w:p w14:paraId="0AA75BE3" w14:textId="77777777" w:rsidR="00F77C72" w:rsidRPr="00463667" w:rsidRDefault="00F77C72" w:rsidP="00F77C72">
            <w:pPr>
              <w:pStyle w:val="MarginSubhead"/>
              <w:jc w:val="right"/>
              <w:rPr>
                <w:i/>
                <w:szCs w:val="20"/>
              </w:rPr>
            </w:pPr>
          </w:p>
        </w:tc>
        <w:tc>
          <w:tcPr>
            <w:tcW w:w="8010" w:type="dxa"/>
          </w:tcPr>
          <w:p w14:paraId="54D3D930" w14:textId="27EE1128" w:rsidR="00F77C72" w:rsidRPr="00F77C72" w:rsidRDefault="00F77C72" w:rsidP="00F77C72">
            <w:pPr>
              <w:pStyle w:val="Bullet"/>
              <w:spacing w:before="0"/>
            </w:pPr>
            <w:r w:rsidRPr="00F77C72">
              <w:t>Documentation of the member’s current medications with a notation that the discharge medications were reviewed.</w:t>
            </w:r>
          </w:p>
          <w:p w14:paraId="60389F41" w14:textId="77777777" w:rsidR="00F77C72" w:rsidRPr="00CE55F7" w:rsidRDefault="00F77C72" w:rsidP="00F77C72">
            <w:pPr>
              <w:pStyle w:val="Bullet"/>
              <w:spacing w:before="60"/>
            </w:pPr>
            <w:r w:rsidRPr="00CE55F7">
              <w:rPr>
                <w:rFonts w:cs="Arial"/>
                <w:szCs w:val="20"/>
              </w:rPr>
              <w:t xml:space="preserve">Documentation of a current medication list, a discharge medication list and notation that both lists </w:t>
            </w:r>
            <w:r>
              <w:rPr>
                <w:rFonts w:cs="Arial"/>
                <w:szCs w:val="20"/>
              </w:rPr>
              <w:t xml:space="preserve">were reviewed </w:t>
            </w:r>
            <w:r w:rsidRPr="00CE55F7">
              <w:rPr>
                <w:rFonts w:cs="Arial"/>
                <w:szCs w:val="20"/>
              </w:rPr>
              <w:t>on the same date of service.</w:t>
            </w:r>
          </w:p>
          <w:p w14:paraId="774257AD" w14:textId="77777777" w:rsidR="00F77C72" w:rsidRPr="00463667" w:rsidRDefault="00F77C72" w:rsidP="00F77C72">
            <w:pPr>
              <w:pStyle w:val="Bullet"/>
              <w:spacing w:before="60"/>
              <w:rPr>
                <w:szCs w:val="20"/>
              </w:rPr>
            </w:pPr>
            <w:r w:rsidRPr="00CE55F7">
              <w:rPr>
                <w:szCs w:val="20"/>
              </w:rPr>
              <w:t xml:space="preserve">Notation that no medications </w:t>
            </w:r>
            <w:r w:rsidRPr="00463667">
              <w:rPr>
                <w:szCs w:val="20"/>
              </w:rPr>
              <w:t xml:space="preserve">were prescribed or ordered upon discharge. </w:t>
            </w:r>
          </w:p>
          <w:p w14:paraId="517CBBED" w14:textId="472A8A99" w:rsidR="00F77C72" w:rsidRPr="00463667" w:rsidRDefault="00F77C72" w:rsidP="00F77C72">
            <w:pPr>
              <w:pStyle w:val="Body"/>
            </w:pPr>
            <w:r w:rsidRPr="00463667">
              <w:t>Only documentation in the outpatient chart meets the intent of the measure, but an outpatient visit is not required.</w:t>
            </w:r>
          </w:p>
        </w:tc>
      </w:tr>
    </w:tbl>
    <w:p w14:paraId="18F65872" w14:textId="212AC2DC" w:rsidR="007304CF" w:rsidRPr="00463667" w:rsidRDefault="007304CF" w:rsidP="00B303A2">
      <w:pPr>
        <w:pStyle w:val="SubHead20"/>
        <w:spacing w:before="120"/>
        <w:rPr>
          <w:i/>
        </w:rPr>
      </w:pPr>
      <w:r w:rsidRPr="00463667">
        <w:rPr>
          <w:i/>
        </w:rPr>
        <w:t>Note</w:t>
      </w:r>
    </w:p>
    <w:p w14:paraId="3DABB9FF" w14:textId="77777777" w:rsidR="007304CF" w:rsidRPr="00463667" w:rsidRDefault="007304CF" w:rsidP="00B303A2">
      <w:pPr>
        <w:pStyle w:val="ProcessBullet"/>
        <w:rPr>
          <w:i/>
        </w:rPr>
      </w:pPr>
      <w:r w:rsidRPr="00463667">
        <w:rPr>
          <w:i/>
        </w:rPr>
        <w:t>The denominator is based on the discharge date found in administrative/claims data, but organizations may use other systems (including data found during medical record review) to identify data errors and make corrections.</w:t>
      </w:r>
    </w:p>
    <w:p w14:paraId="4BE545F3" w14:textId="77777777" w:rsidR="007304CF" w:rsidRPr="00463667" w:rsidRDefault="007304CF" w:rsidP="00771DDE">
      <w:pPr>
        <w:pStyle w:val="ReverseHead"/>
        <w:spacing w:before="320"/>
      </w:pPr>
      <w:r w:rsidRPr="00463667">
        <w:t xml:space="preserve">Data Elements for Reporting </w:t>
      </w:r>
    </w:p>
    <w:p w14:paraId="35B94D67" w14:textId="77777777" w:rsidR="007304CF" w:rsidRPr="00463667" w:rsidRDefault="007304CF" w:rsidP="007304CF">
      <w:pPr>
        <w:pStyle w:val="Body"/>
      </w:pPr>
      <w:r w:rsidRPr="00463667">
        <w:t>Organizations that submit HEDIS data to NCQA must provide the following data elements.</w:t>
      </w:r>
    </w:p>
    <w:p w14:paraId="20DB2C88" w14:textId="77777777" w:rsidR="007304CF" w:rsidRPr="00463667" w:rsidRDefault="007304CF" w:rsidP="00771DDE">
      <w:pPr>
        <w:pStyle w:val="TableHeadNotCondensed"/>
        <w:spacing w:before="200"/>
      </w:pPr>
      <w:r w:rsidRPr="00463667">
        <w:t>Table MRP-3: Data Elements for Medication Reconciliation Post-Discharge</w:t>
      </w:r>
    </w:p>
    <w:tbl>
      <w:tblPr>
        <w:tblW w:w="938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38"/>
        <w:gridCol w:w="1710"/>
        <w:gridCol w:w="1634"/>
      </w:tblGrid>
      <w:tr w:rsidR="007304CF" w:rsidRPr="0028362E" w14:paraId="4209FB92" w14:textId="77777777" w:rsidTr="00CA7033">
        <w:trPr>
          <w:trHeight w:val="261"/>
        </w:trPr>
        <w:tc>
          <w:tcPr>
            <w:tcW w:w="6038" w:type="dxa"/>
            <w:tcBorders>
              <w:bottom w:val="single" w:sz="6" w:space="0" w:color="auto"/>
              <w:right w:val="single" w:sz="6" w:space="0" w:color="FFFFFF"/>
            </w:tcBorders>
            <w:shd w:val="clear" w:color="auto" w:fill="000000"/>
          </w:tcPr>
          <w:p w14:paraId="13481528" w14:textId="77777777" w:rsidR="007304CF" w:rsidRPr="0028362E" w:rsidRDefault="007304CF" w:rsidP="0028362E">
            <w:pPr>
              <w:pStyle w:val="TableHead"/>
              <w:rPr>
                <w:highlight w:val="black"/>
              </w:rPr>
            </w:pPr>
          </w:p>
        </w:tc>
        <w:tc>
          <w:tcPr>
            <w:tcW w:w="1710" w:type="dxa"/>
            <w:tcBorders>
              <w:left w:val="single" w:sz="6" w:space="0" w:color="FFFFFF"/>
              <w:bottom w:val="single" w:sz="6" w:space="0" w:color="auto"/>
              <w:right w:val="single" w:sz="4" w:space="0" w:color="FFFFFF"/>
            </w:tcBorders>
            <w:shd w:val="clear" w:color="auto" w:fill="000000"/>
          </w:tcPr>
          <w:p w14:paraId="4F605867" w14:textId="77777777" w:rsidR="007304CF" w:rsidRPr="0028362E" w:rsidRDefault="007304CF" w:rsidP="0028362E">
            <w:pPr>
              <w:pStyle w:val="TableHead"/>
              <w:rPr>
                <w:highlight w:val="black"/>
              </w:rPr>
            </w:pPr>
            <w:r w:rsidRPr="0028362E">
              <w:rPr>
                <w:highlight w:val="black"/>
              </w:rPr>
              <w:t>Administrative</w:t>
            </w:r>
          </w:p>
        </w:tc>
        <w:tc>
          <w:tcPr>
            <w:tcW w:w="1634" w:type="dxa"/>
            <w:tcBorders>
              <w:left w:val="single" w:sz="4" w:space="0" w:color="FFFFFF"/>
              <w:bottom w:val="single" w:sz="6" w:space="0" w:color="auto"/>
            </w:tcBorders>
            <w:shd w:val="clear" w:color="auto" w:fill="000000"/>
          </w:tcPr>
          <w:p w14:paraId="3E2C3C16" w14:textId="77777777" w:rsidR="007304CF" w:rsidRPr="0028362E" w:rsidRDefault="007304CF" w:rsidP="0028362E">
            <w:pPr>
              <w:pStyle w:val="TableHead"/>
              <w:rPr>
                <w:highlight w:val="black"/>
              </w:rPr>
            </w:pPr>
            <w:r w:rsidRPr="0028362E">
              <w:rPr>
                <w:highlight w:val="black"/>
              </w:rPr>
              <w:t>Hybrid</w:t>
            </w:r>
          </w:p>
        </w:tc>
      </w:tr>
      <w:tr w:rsidR="007304CF" w:rsidRPr="00463667" w14:paraId="058CCE91" w14:textId="77777777" w:rsidTr="00CA7033">
        <w:trPr>
          <w:trHeight w:val="261"/>
        </w:trPr>
        <w:tc>
          <w:tcPr>
            <w:tcW w:w="6038" w:type="dxa"/>
            <w:tcBorders>
              <w:bottom w:val="single" w:sz="6" w:space="0" w:color="auto"/>
            </w:tcBorders>
          </w:tcPr>
          <w:p w14:paraId="1404F93E" w14:textId="77777777" w:rsidR="007304CF" w:rsidRPr="00463667" w:rsidRDefault="007304CF" w:rsidP="00F77C72">
            <w:pPr>
              <w:pStyle w:val="TableText"/>
            </w:pPr>
            <w:r w:rsidRPr="00463667">
              <w:t>Measurement year</w:t>
            </w:r>
          </w:p>
        </w:tc>
        <w:tc>
          <w:tcPr>
            <w:tcW w:w="1710" w:type="dxa"/>
            <w:tcBorders>
              <w:bottom w:val="single" w:sz="6" w:space="0" w:color="auto"/>
            </w:tcBorders>
            <w:vAlign w:val="center"/>
          </w:tcPr>
          <w:p w14:paraId="1DDA73E7" w14:textId="77777777" w:rsidR="007304CF" w:rsidRPr="00771DDE" w:rsidRDefault="007304CF" w:rsidP="00F77C72">
            <w:pPr>
              <w:pStyle w:val="TableText"/>
              <w:jc w:val="center"/>
              <w:rPr>
                <w:iCs/>
                <w:sz w:val="24"/>
              </w:rPr>
            </w:pPr>
            <w:r w:rsidRPr="00771DDE">
              <w:rPr>
                <w:iCs/>
                <w:sz w:val="24"/>
              </w:rPr>
              <w:sym w:font="Wingdings" w:char="F0FC"/>
            </w:r>
          </w:p>
        </w:tc>
        <w:tc>
          <w:tcPr>
            <w:tcW w:w="1634" w:type="dxa"/>
            <w:tcBorders>
              <w:bottom w:val="single" w:sz="6" w:space="0" w:color="auto"/>
            </w:tcBorders>
            <w:vAlign w:val="center"/>
          </w:tcPr>
          <w:p w14:paraId="609D171E" w14:textId="77777777" w:rsidR="007304CF" w:rsidRPr="00771DDE" w:rsidRDefault="007304CF" w:rsidP="00F77C72">
            <w:pPr>
              <w:pStyle w:val="TableText"/>
              <w:jc w:val="center"/>
              <w:rPr>
                <w:sz w:val="24"/>
              </w:rPr>
            </w:pPr>
            <w:r w:rsidRPr="00771DDE">
              <w:rPr>
                <w:sz w:val="24"/>
              </w:rPr>
              <w:sym w:font="Wingdings" w:char="F0FC"/>
            </w:r>
          </w:p>
        </w:tc>
      </w:tr>
      <w:tr w:rsidR="007304CF" w:rsidRPr="00463667" w14:paraId="1791451A" w14:textId="77777777" w:rsidTr="00CA7033">
        <w:trPr>
          <w:trHeight w:val="247"/>
        </w:trPr>
        <w:tc>
          <w:tcPr>
            <w:tcW w:w="6038" w:type="dxa"/>
            <w:shd w:val="clear" w:color="auto" w:fill="D9D9D9"/>
          </w:tcPr>
          <w:p w14:paraId="05DD3D0A" w14:textId="77777777" w:rsidR="007304CF" w:rsidRPr="00463667" w:rsidRDefault="007304CF" w:rsidP="00F77C72">
            <w:pPr>
              <w:pStyle w:val="TableText"/>
            </w:pPr>
            <w:r w:rsidRPr="00463667">
              <w:t>Data collection methodology (Administrative or Hybrid)</w:t>
            </w:r>
          </w:p>
        </w:tc>
        <w:tc>
          <w:tcPr>
            <w:tcW w:w="1710" w:type="dxa"/>
            <w:shd w:val="clear" w:color="auto" w:fill="D9D9D9"/>
            <w:vAlign w:val="center"/>
          </w:tcPr>
          <w:p w14:paraId="137B4A21" w14:textId="77777777" w:rsidR="007304CF" w:rsidRPr="00771DDE" w:rsidRDefault="007304CF" w:rsidP="00F77C72">
            <w:pPr>
              <w:pStyle w:val="TableText"/>
              <w:jc w:val="center"/>
              <w:rPr>
                <w:iCs/>
                <w:sz w:val="24"/>
              </w:rPr>
            </w:pPr>
            <w:r w:rsidRPr="00771DDE">
              <w:rPr>
                <w:iCs/>
                <w:sz w:val="24"/>
              </w:rPr>
              <w:sym w:font="Wingdings" w:char="F0FC"/>
            </w:r>
          </w:p>
        </w:tc>
        <w:tc>
          <w:tcPr>
            <w:tcW w:w="1634" w:type="dxa"/>
            <w:shd w:val="clear" w:color="auto" w:fill="D9D9D9"/>
            <w:vAlign w:val="center"/>
          </w:tcPr>
          <w:p w14:paraId="7BD78EE1" w14:textId="77777777" w:rsidR="007304CF" w:rsidRPr="00771DDE" w:rsidRDefault="007304CF" w:rsidP="00F77C72">
            <w:pPr>
              <w:pStyle w:val="TableText"/>
              <w:jc w:val="center"/>
              <w:rPr>
                <w:sz w:val="24"/>
              </w:rPr>
            </w:pPr>
            <w:r w:rsidRPr="00771DDE">
              <w:rPr>
                <w:sz w:val="24"/>
              </w:rPr>
              <w:sym w:font="Wingdings" w:char="F0FC"/>
            </w:r>
          </w:p>
        </w:tc>
      </w:tr>
      <w:tr w:rsidR="007304CF" w:rsidRPr="00463667" w14:paraId="1819F21E" w14:textId="77777777" w:rsidTr="00CA7033">
        <w:trPr>
          <w:trHeight w:val="261"/>
        </w:trPr>
        <w:tc>
          <w:tcPr>
            <w:tcW w:w="6038" w:type="dxa"/>
          </w:tcPr>
          <w:p w14:paraId="3B14B78F" w14:textId="77777777" w:rsidR="007304CF" w:rsidRPr="00463667" w:rsidRDefault="007304CF" w:rsidP="00F77C72">
            <w:pPr>
              <w:pStyle w:val="TableText"/>
            </w:pPr>
            <w:r w:rsidRPr="00463667">
              <w:t xml:space="preserve">Eligible population </w:t>
            </w:r>
          </w:p>
        </w:tc>
        <w:tc>
          <w:tcPr>
            <w:tcW w:w="1710" w:type="dxa"/>
            <w:vAlign w:val="center"/>
          </w:tcPr>
          <w:p w14:paraId="24D2BCDF" w14:textId="77777777" w:rsidR="007304CF" w:rsidRPr="00771DDE" w:rsidRDefault="007304CF" w:rsidP="00F77C72">
            <w:pPr>
              <w:pStyle w:val="TableText"/>
              <w:jc w:val="center"/>
              <w:rPr>
                <w:iCs/>
                <w:sz w:val="24"/>
                <w:szCs w:val="24"/>
              </w:rPr>
            </w:pPr>
            <w:r w:rsidRPr="00771DDE">
              <w:rPr>
                <w:iCs/>
                <w:sz w:val="24"/>
                <w:szCs w:val="24"/>
              </w:rPr>
              <w:sym w:font="Wingdings" w:char="F0FC"/>
            </w:r>
          </w:p>
        </w:tc>
        <w:tc>
          <w:tcPr>
            <w:tcW w:w="1634" w:type="dxa"/>
            <w:vAlign w:val="center"/>
          </w:tcPr>
          <w:p w14:paraId="43A47B46" w14:textId="77777777" w:rsidR="007304CF" w:rsidRPr="00771DDE" w:rsidRDefault="007304CF" w:rsidP="00F77C72">
            <w:pPr>
              <w:pStyle w:val="TableText"/>
              <w:jc w:val="center"/>
              <w:rPr>
                <w:sz w:val="24"/>
              </w:rPr>
            </w:pPr>
            <w:r w:rsidRPr="00771DDE">
              <w:rPr>
                <w:sz w:val="24"/>
              </w:rPr>
              <w:sym w:font="Wingdings" w:char="F0FC"/>
            </w:r>
          </w:p>
        </w:tc>
      </w:tr>
      <w:tr w:rsidR="007304CF" w:rsidRPr="00463667" w14:paraId="3236E1C5" w14:textId="77777777" w:rsidTr="00CA7033">
        <w:trPr>
          <w:trHeight w:val="431"/>
        </w:trPr>
        <w:tc>
          <w:tcPr>
            <w:tcW w:w="6038" w:type="dxa"/>
            <w:tcBorders>
              <w:bottom w:val="single" w:sz="6" w:space="0" w:color="auto"/>
            </w:tcBorders>
            <w:shd w:val="clear" w:color="auto" w:fill="D9D9D9"/>
          </w:tcPr>
          <w:p w14:paraId="366A1987" w14:textId="77777777" w:rsidR="007304CF" w:rsidRPr="00463667" w:rsidRDefault="007304CF" w:rsidP="00F77C72">
            <w:pPr>
              <w:pStyle w:val="TableText"/>
            </w:pPr>
            <w:r w:rsidRPr="00463667">
              <w:t>Number of numerator events by administrative data in eligible population (before exclusions)</w:t>
            </w:r>
          </w:p>
        </w:tc>
        <w:tc>
          <w:tcPr>
            <w:tcW w:w="1710" w:type="dxa"/>
            <w:tcBorders>
              <w:bottom w:val="single" w:sz="6" w:space="0" w:color="auto"/>
            </w:tcBorders>
            <w:shd w:val="clear" w:color="auto" w:fill="D9D9D9"/>
            <w:vAlign w:val="center"/>
          </w:tcPr>
          <w:p w14:paraId="1F622577" w14:textId="77777777" w:rsidR="007304CF" w:rsidRPr="00771DDE"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1343FC68" w14:textId="77777777" w:rsidR="007304CF" w:rsidRPr="00771DDE" w:rsidRDefault="007304CF" w:rsidP="00F77C72">
            <w:pPr>
              <w:pStyle w:val="TableText"/>
              <w:jc w:val="center"/>
              <w:rPr>
                <w:sz w:val="24"/>
                <w:szCs w:val="24"/>
              </w:rPr>
            </w:pPr>
            <w:r w:rsidRPr="00771DDE">
              <w:rPr>
                <w:sz w:val="24"/>
                <w:szCs w:val="24"/>
              </w:rPr>
              <w:sym w:font="Wingdings" w:char="F0FC"/>
            </w:r>
          </w:p>
        </w:tc>
      </w:tr>
      <w:tr w:rsidR="007304CF" w:rsidRPr="00463667" w14:paraId="7B127633" w14:textId="77777777" w:rsidTr="00CA7033">
        <w:trPr>
          <w:trHeight w:val="242"/>
        </w:trPr>
        <w:tc>
          <w:tcPr>
            <w:tcW w:w="6038" w:type="dxa"/>
          </w:tcPr>
          <w:p w14:paraId="7E80210C" w14:textId="77777777" w:rsidR="007304CF" w:rsidRPr="00463667" w:rsidRDefault="007304CF" w:rsidP="00F77C72">
            <w:pPr>
              <w:pStyle w:val="TableText"/>
            </w:pPr>
            <w:r w:rsidRPr="00463667">
              <w:t>Current year’s administrative rate (before exclusions)</w:t>
            </w:r>
          </w:p>
        </w:tc>
        <w:tc>
          <w:tcPr>
            <w:tcW w:w="1710" w:type="dxa"/>
            <w:vAlign w:val="center"/>
          </w:tcPr>
          <w:p w14:paraId="1480CB70" w14:textId="77777777" w:rsidR="007304CF" w:rsidRPr="00771DDE" w:rsidRDefault="007304CF" w:rsidP="00F77C72">
            <w:pPr>
              <w:pStyle w:val="TableText"/>
              <w:jc w:val="center"/>
              <w:rPr>
                <w:sz w:val="24"/>
                <w:szCs w:val="24"/>
              </w:rPr>
            </w:pPr>
          </w:p>
        </w:tc>
        <w:tc>
          <w:tcPr>
            <w:tcW w:w="1634" w:type="dxa"/>
            <w:vAlign w:val="center"/>
          </w:tcPr>
          <w:p w14:paraId="2C0947C1" w14:textId="77777777" w:rsidR="007304CF" w:rsidRPr="00771DDE" w:rsidRDefault="007304CF" w:rsidP="00F77C72">
            <w:pPr>
              <w:pStyle w:val="TableText"/>
              <w:jc w:val="center"/>
              <w:rPr>
                <w:sz w:val="24"/>
                <w:szCs w:val="24"/>
              </w:rPr>
            </w:pPr>
            <w:r w:rsidRPr="00771DDE">
              <w:rPr>
                <w:sz w:val="24"/>
                <w:szCs w:val="24"/>
              </w:rPr>
              <w:sym w:font="Wingdings" w:char="F0FC"/>
            </w:r>
          </w:p>
        </w:tc>
      </w:tr>
      <w:tr w:rsidR="007304CF" w:rsidRPr="00463667" w14:paraId="3B48E510" w14:textId="77777777" w:rsidTr="00CA7033">
        <w:trPr>
          <w:trHeight w:val="247"/>
        </w:trPr>
        <w:tc>
          <w:tcPr>
            <w:tcW w:w="6038" w:type="dxa"/>
            <w:tcBorders>
              <w:bottom w:val="single" w:sz="6" w:space="0" w:color="auto"/>
            </w:tcBorders>
            <w:shd w:val="clear" w:color="auto" w:fill="D9D9D9"/>
          </w:tcPr>
          <w:p w14:paraId="0E4D807C" w14:textId="77777777" w:rsidR="007304CF" w:rsidRPr="00463667" w:rsidRDefault="007304CF" w:rsidP="00F77C72">
            <w:pPr>
              <w:pStyle w:val="TableText"/>
            </w:pPr>
            <w:r w:rsidRPr="00463667">
              <w:t xml:space="preserve">Minimum required sample size (MRSS) or other sample size </w:t>
            </w:r>
          </w:p>
        </w:tc>
        <w:tc>
          <w:tcPr>
            <w:tcW w:w="1710" w:type="dxa"/>
            <w:tcBorders>
              <w:bottom w:val="single" w:sz="6" w:space="0" w:color="auto"/>
            </w:tcBorders>
            <w:shd w:val="clear" w:color="auto" w:fill="D9D9D9"/>
            <w:vAlign w:val="center"/>
          </w:tcPr>
          <w:p w14:paraId="4E46D58F" w14:textId="77777777" w:rsidR="007304CF" w:rsidRPr="00463667"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0E7BB7DA"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7164F813" w14:textId="77777777" w:rsidTr="00CA7033">
        <w:trPr>
          <w:trHeight w:val="261"/>
        </w:trPr>
        <w:tc>
          <w:tcPr>
            <w:tcW w:w="6038" w:type="dxa"/>
          </w:tcPr>
          <w:p w14:paraId="7688597F" w14:textId="77777777" w:rsidR="007304CF" w:rsidRPr="00463667" w:rsidRDefault="007304CF" w:rsidP="00F77C72">
            <w:pPr>
              <w:pStyle w:val="TableText"/>
            </w:pPr>
            <w:r w:rsidRPr="00463667">
              <w:t>Oversampling rate</w:t>
            </w:r>
          </w:p>
        </w:tc>
        <w:tc>
          <w:tcPr>
            <w:tcW w:w="1710" w:type="dxa"/>
            <w:vAlign w:val="center"/>
          </w:tcPr>
          <w:p w14:paraId="67DE504D" w14:textId="77777777" w:rsidR="007304CF" w:rsidRPr="00463667" w:rsidRDefault="007304CF" w:rsidP="00F77C72">
            <w:pPr>
              <w:pStyle w:val="TableText"/>
              <w:jc w:val="center"/>
              <w:rPr>
                <w:sz w:val="24"/>
                <w:szCs w:val="24"/>
              </w:rPr>
            </w:pPr>
          </w:p>
        </w:tc>
        <w:tc>
          <w:tcPr>
            <w:tcW w:w="1634" w:type="dxa"/>
            <w:vAlign w:val="center"/>
          </w:tcPr>
          <w:p w14:paraId="56BB7ADB"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5D25E7A9" w14:textId="77777777" w:rsidTr="00CA7033">
        <w:trPr>
          <w:trHeight w:val="261"/>
        </w:trPr>
        <w:tc>
          <w:tcPr>
            <w:tcW w:w="6038" w:type="dxa"/>
            <w:tcBorders>
              <w:bottom w:val="single" w:sz="6" w:space="0" w:color="auto"/>
            </w:tcBorders>
            <w:shd w:val="clear" w:color="auto" w:fill="D9D9D9"/>
          </w:tcPr>
          <w:p w14:paraId="498DECE9" w14:textId="77777777" w:rsidR="007304CF" w:rsidRPr="00463667" w:rsidRDefault="007304CF" w:rsidP="00F77C72">
            <w:pPr>
              <w:pStyle w:val="TableText"/>
            </w:pPr>
            <w:r w:rsidRPr="00463667">
              <w:t xml:space="preserve">Final sample size (FSS) </w:t>
            </w:r>
          </w:p>
        </w:tc>
        <w:tc>
          <w:tcPr>
            <w:tcW w:w="1710" w:type="dxa"/>
            <w:tcBorders>
              <w:bottom w:val="single" w:sz="6" w:space="0" w:color="auto"/>
            </w:tcBorders>
            <w:shd w:val="clear" w:color="auto" w:fill="D9D9D9"/>
            <w:vAlign w:val="center"/>
          </w:tcPr>
          <w:p w14:paraId="64C671CC" w14:textId="77777777" w:rsidR="007304CF" w:rsidRPr="00463667"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2C088011"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20233615" w14:textId="77777777" w:rsidTr="00CA7033">
        <w:trPr>
          <w:trHeight w:val="247"/>
        </w:trPr>
        <w:tc>
          <w:tcPr>
            <w:tcW w:w="6038" w:type="dxa"/>
          </w:tcPr>
          <w:p w14:paraId="12353648" w14:textId="77777777" w:rsidR="007304CF" w:rsidRPr="00463667" w:rsidRDefault="007304CF" w:rsidP="00F77C72">
            <w:pPr>
              <w:pStyle w:val="TableText"/>
            </w:pPr>
            <w:r w:rsidRPr="00463667">
              <w:t xml:space="preserve">Number of numerator events by administrative data in FSS </w:t>
            </w:r>
          </w:p>
        </w:tc>
        <w:tc>
          <w:tcPr>
            <w:tcW w:w="1710" w:type="dxa"/>
            <w:vAlign w:val="center"/>
          </w:tcPr>
          <w:p w14:paraId="1E70339D" w14:textId="77777777" w:rsidR="007304CF" w:rsidRPr="00463667" w:rsidRDefault="007304CF" w:rsidP="00F77C72">
            <w:pPr>
              <w:pStyle w:val="TableText"/>
              <w:jc w:val="center"/>
              <w:rPr>
                <w:sz w:val="24"/>
                <w:szCs w:val="24"/>
              </w:rPr>
            </w:pPr>
          </w:p>
        </w:tc>
        <w:tc>
          <w:tcPr>
            <w:tcW w:w="1634" w:type="dxa"/>
            <w:vAlign w:val="center"/>
          </w:tcPr>
          <w:p w14:paraId="5178BE23" w14:textId="77777777" w:rsidR="007304CF" w:rsidRPr="00463667" w:rsidRDefault="007304CF" w:rsidP="00F77C72">
            <w:pPr>
              <w:pStyle w:val="TableText"/>
              <w:jc w:val="center"/>
              <w:rPr>
                <w:sz w:val="24"/>
                <w:szCs w:val="24"/>
              </w:rPr>
            </w:pPr>
            <w:r w:rsidRPr="00463667">
              <w:rPr>
                <w:sz w:val="24"/>
                <w:szCs w:val="24"/>
              </w:rPr>
              <w:sym w:font="Wingdings" w:char="F0FC"/>
            </w:r>
          </w:p>
        </w:tc>
      </w:tr>
      <w:tr w:rsidR="007304CF" w:rsidRPr="00463667" w14:paraId="0853A380" w14:textId="77777777" w:rsidTr="00CA7033">
        <w:trPr>
          <w:trHeight w:val="261"/>
        </w:trPr>
        <w:tc>
          <w:tcPr>
            <w:tcW w:w="6038" w:type="dxa"/>
            <w:tcBorders>
              <w:bottom w:val="single" w:sz="6" w:space="0" w:color="auto"/>
            </w:tcBorders>
            <w:shd w:val="clear" w:color="auto" w:fill="D9D9D9"/>
          </w:tcPr>
          <w:p w14:paraId="01DE96A7" w14:textId="77777777" w:rsidR="007304CF" w:rsidRPr="00463667" w:rsidRDefault="007304CF" w:rsidP="00F77C72">
            <w:pPr>
              <w:pStyle w:val="TableText"/>
            </w:pPr>
            <w:r w:rsidRPr="00463667">
              <w:t>Administrative rate on FSS</w:t>
            </w:r>
          </w:p>
        </w:tc>
        <w:tc>
          <w:tcPr>
            <w:tcW w:w="1710" w:type="dxa"/>
            <w:tcBorders>
              <w:bottom w:val="single" w:sz="6" w:space="0" w:color="auto"/>
            </w:tcBorders>
            <w:shd w:val="clear" w:color="auto" w:fill="D9D9D9"/>
            <w:vAlign w:val="center"/>
          </w:tcPr>
          <w:p w14:paraId="53464209" w14:textId="77777777" w:rsidR="007304CF" w:rsidRPr="00463667"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4960240B" w14:textId="77777777" w:rsidR="007304CF" w:rsidRPr="00463667" w:rsidRDefault="007304CF" w:rsidP="00F77C72">
            <w:pPr>
              <w:pStyle w:val="TableText"/>
              <w:jc w:val="center"/>
              <w:rPr>
                <w:sz w:val="24"/>
                <w:szCs w:val="24"/>
              </w:rPr>
            </w:pPr>
            <w:r w:rsidRPr="00463667">
              <w:rPr>
                <w:sz w:val="24"/>
                <w:szCs w:val="24"/>
              </w:rPr>
              <w:sym w:font="Wingdings" w:char="F0FC"/>
            </w:r>
          </w:p>
        </w:tc>
      </w:tr>
      <w:tr w:rsidR="007304CF" w:rsidRPr="00463667" w14:paraId="6C1AEE87" w14:textId="77777777" w:rsidTr="00CA7033">
        <w:trPr>
          <w:trHeight w:val="291"/>
        </w:trPr>
        <w:tc>
          <w:tcPr>
            <w:tcW w:w="6038" w:type="dxa"/>
            <w:tcBorders>
              <w:bottom w:val="single" w:sz="6" w:space="0" w:color="auto"/>
            </w:tcBorders>
          </w:tcPr>
          <w:p w14:paraId="0BB40F63" w14:textId="77777777" w:rsidR="007304CF" w:rsidRPr="00463667" w:rsidRDefault="007304CF" w:rsidP="00F77C72">
            <w:pPr>
              <w:pStyle w:val="TableText"/>
            </w:pPr>
            <w:r w:rsidRPr="00463667">
              <w:t>Number of original sample records excluded because of valid data errors</w:t>
            </w:r>
          </w:p>
        </w:tc>
        <w:tc>
          <w:tcPr>
            <w:tcW w:w="1710" w:type="dxa"/>
            <w:tcBorders>
              <w:bottom w:val="single" w:sz="6" w:space="0" w:color="auto"/>
            </w:tcBorders>
            <w:vAlign w:val="center"/>
          </w:tcPr>
          <w:p w14:paraId="15BF110C" w14:textId="77777777" w:rsidR="007304CF" w:rsidRPr="00463667" w:rsidRDefault="007304CF" w:rsidP="00F77C72">
            <w:pPr>
              <w:pStyle w:val="TableText"/>
              <w:jc w:val="center"/>
              <w:rPr>
                <w:sz w:val="24"/>
                <w:szCs w:val="24"/>
              </w:rPr>
            </w:pPr>
          </w:p>
        </w:tc>
        <w:tc>
          <w:tcPr>
            <w:tcW w:w="1634" w:type="dxa"/>
            <w:tcBorders>
              <w:bottom w:val="single" w:sz="6" w:space="0" w:color="auto"/>
            </w:tcBorders>
            <w:vAlign w:val="center"/>
          </w:tcPr>
          <w:p w14:paraId="5DFDC928"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50DB53A5" w14:textId="77777777" w:rsidTr="00CA7033">
        <w:trPr>
          <w:trHeight w:val="261"/>
        </w:trPr>
        <w:tc>
          <w:tcPr>
            <w:tcW w:w="6038" w:type="dxa"/>
            <w:tcBorders>
              <w:bottom w:val="single" w:sz="6" w:space="0" w:color="auto"/>
            </w:tcBorders>
            <w:shd w:val="clear" w:color="auto" w:fill="D9D9D9"/>
          </w:tcPr>
          <w:p w14:paraId="603D9991" w14:textId="77777777" w:rsidR="007304CF" w:rsidRPr="00463667" w:rsidRDefault="007304CF" w:rsidP="00F77C72">
            <w:pPr>
              <w:pStyle w:val="TableText"/>
            </w:pPr>
            <w:r w:rsidRPr="00463667">
              <w:t xml:space="preserve">Number of employee/dependent medical records excluded </w:t>
            </w:r>
          </w:p>
        </w:tc>
        <w:tc>
          <w:tcPr>
            <w:tcW w:w="1710" w:type="dxa"/>
            <w:tcBorders>
              <w:bottom w:val="single" w:sz="6" w:space="0" w:color="auto"/>
            </w:tcBorders>
            <w:shd w:val="clear" w:color="auto" w:fill="D9D9D9"/>
            <w:vAlign w:val="center"/>
          </w:tcPr>
          <w:p w14:paraId="36393880" w14:textId="77777777" w:rsidR="007304CF" w:rsidRPr="00463667"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4C3964C2"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52ED7507" w14:textId="77777777" w:rsidTr="00CA7033">
        <w:trPr>
          <w:trHeight w:val="261"/>
        </w:trPr>
        <w:tc>
          <w:tcPr>
            <w:tcW w:w="6038" w:type="dxa"/>
          </w:tcPr>
          <w:p w14:paraId="0924D3BC" w14:textId="77777777" w:rsidR="007304CF" w:rsidRPr="00463667" w:rsidRDefault="007304CF" w:rsidP="00F77C72">
            <w:pPr>
              <w:pStyle w:val="TableText"/>
            </w:pPr>
            <w:r w:rsidRPr="00463667">
              <w:t xml:space="preserve">Records added from the oversample list </w:t>
            </w:r>
          </w:p>
        </w:tc>
        <w:tc>
          <w:tcPr>
            <w:tcW w:w="1710" w:type="dxa"/>
            <w:vAlign w:val="center"/>
          </w:tcPr>
          <w:p w14:paraId="64DB9143" w14:textId="77777777" w:rsidR="007304CF" w:rsidRPr="00463667" w:rsidRDefault="007304CF" w:rsidP="00F77C72">
            <w:pPr>
              <w:pStyle w:val="TableText"/>
              <w:jc w:val="center"/>
              <w:rPr>
                <w:sz w:val="24"/>
                <w:szCs w:val="24"/>
              </w:rPr>
            </w:pPr>
          </w:p>
        </w:tc>
        <w:tc>
          <w:tcPr>
            <w:tcW w:w="1634" w:type="dxa"/>
            <w:vAlign w:val="center"/>
          </w:tcPr>
          <w:p w14:paraId="5660997F"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7EFE0713" w14:textId="77777777" w:rsidTr="00CA7033">
        <w:trPr>
          <w:trHeight w:val="247"/>
        </w:trPr>
        <w:tc>
          <w:tcPr>
            <w:tcW w:w="6038" w:type="dxa"/>
            <w:tcBorders>
              <w:bottom w:val="single" w:sz="6" w:space="0" w:color="auto"/>
            </w:tcBorders>
            <w:shd w:val="clear" w:color="auto" w:fill="D9D9D9"/>
          </w:tcPr>
          <w:p w14:paraId="7AAF69DA" w14:textId="77777777" w:rsidR="007304CF" w:rsidRPr="00463667" w:rsidRDefault="007304CF" w:rsidP="00F77C72">
            <w:pPr>
              <w:pStyle w:val="TableText"/>
            </w:pPr>
            <w:r w:rsidRPr="00463667">
              <w:t>Denominator</w:t>
            </w:r>
          </w:p>
        </w:tc>
        <w:tc>
          <w:tcPr>
            <w:tcW w:w="1710" w:type="dxa"/>
            <w:tcBorders>
              <w:bottom w:val="single" w:sz="6" w:space="0" w:color="auto"/>
            </w:tcBorders>
            <w:shd w:val="clear" w:color="auto" w:fill="D9D9D9"/>
            <w:vAlign w:val="center"/>
          </w:tcPr>
          <w:p w14:paraId="367CC802" w14:textId="77777777" w:rsidR="007304CF" w:rsidRPr="00463667" w:rsidRDefault="007304CF" w:rsidP="00F77C72">
            <w:pPr>
              <w:pStyle w:val="TableText"/>
              <w:jc w:val="center"/>
              <w:rPr>
                <w:sz w:val="24"/>
                <w:szCs w:val="24"/>
              </w:rPr>
            </w:pPr>
          </w:p>
        </w:tc>
        <w:tc>
          <w:tcPr>
            <w:tcW w:w="1634" w:type="dxa"/>
            <w:tcBorders>
              <w:bottom w:val="single" w:sz="6" w:space="0" w:color="auto"/>
            </w:tcBorders>
            <w:shd w:val="clear" w:color="auto" w:fill="D9D9D9"/>
            <w:vAlign w:val="center"/>
          </w:tcPr>
          <w:p w14:paraId="6C11B949" w14:textId="77777777" w:rsidR="007304CF" w:rsidRPr="00463667" w:rsidRDefault="007304CF" w:rsidP="00F77C72">
            <w:pPr>
              <w:spacing w:before="40" w:after="40"/>
              <w:jc w:val="center"/>
              <w:rPr>
                <w:rFonts w:ascii="Arial Narrow" w:hAnsi="Arial Narrow"/>
                <w:sz w:val="24"/>
              </w:rPr>
            </w:pPr>
            <w:r w:rsidRPr="00463667">
              <w:rPr>
                <w:rFonts w:ascii="Arial Narrow" w:hAnsi="Arial Narrow"/>
                <w:sz w:val="24"/>
              </w:rPr>
              <w:sym w:font="Wingdings" w:char="F0FC"/>
            </w:r>
          </w:p>
        </w:tc>
      </w:tr>
      <w:tr w:rsidR="007304CF" w:rsidRPr="00463667" w14:paraId="58885DFB" w14:textId="77777777" w:rsidTr="00CA7033">
        <w:trPr>
          <w:trHeight w:val="261"/>
        </w:trPr>
        <w:tc>
          <w:tcPr>
            <w:tcW w:w="6038" w:type="dxa"/>
          </w:tcPr>
          <w:p w14:paraId="726250EC" w14:textId="77777777" w:rsidR="007304CF" w:rsidRPr="00463667" w:rsidRDefault="007304CF" w:rsidP="00F77C72">
            <w:pPr>
              <w:pStyle w:val="TableText"/>
            </w:pPr>
            <w:r w:rsidRPr="00463667">
              <w:t>Numerator events by administrative data</w:t>
            </w:r>
          </w:p>
        </w:tc>
        <w:tc>
          <w:tcPr>
            <w:tcW w:w="1710" w:type="dxa"/>
            <w:vAlign w:val="center"/>
          </w:tcPr>
          <w:p w14:paraId="40C752AA" w14:textId="77777777" w:rsidR="007304CF" w:rsidRPr="00463667" w:rsidRDefault="007304CF" w:rsidP="00F77C72">
            <w:pPr>
              <w:pStyle w:val="TableText"/>
              <w:jc w:val="center"/>
              <w:rPr>
                <w:sz w:val="24"/>
                <w:szCs w:val="24"/>
              </w:rPr>
            </w:pPr>
            <w:r w:rsidRPr="00463667">
              <w:rPr>
                <w:sz w:val="24"/>
                <w:szCs w:val="24"/>
              </w:rPr>
              <w:sym w:font="Wingdings" w:char="F0FC"/>
            </w:r>
          </w:p>
        </w:tc>
        <w:tc>
          <w:tcPr>
            <w:tcW w:w="1634" w:type="dxa"/>
            <w:vAlign w:val="center"/>
          </w:tcPr>
          <w:p w14:paraId="39BB1102" w14:textId="77777777" w:rsidR="007304CF" w:rsidRPr="00463667" w:rsidRDefault="007304CF" w:rsidP="00F77C72">
            <w:pPr>
              <w:pStyle w:val="TableText"/>
              <w:jc w:val="center"/>
              <w:rPr>
                <w:sz w:val="24"/>
                <w:szCs w:val="24"/>
              </w:rPr>
            </w:pPr>
            <w:r w:rsidRPr="00463667">
              <w:rPr>
                <w:sz w:val="24"/>
                <w:szCs w:val="24"/>
              </w:rPr>
              <w:sym w:font="Wingdings" w:char="F0FC"/>
            </w:r>
          </w:p>
        </w:tc>
      </w:tr>
      <w:tr w:rsidR="007304CF" w:rsidRPr="00463667" w14:paraId="2D34E65D" w14:textId="77777777" w:rsidTr="00B303A2">
        <w:trPr>
          <w:trHeight w:val="261"/>
        </w:trPr>
        <w:tc>
          <w:tcPr>
            <w:tcW w:w="6038" w:type="dxa"/>
            <w:tcBorders>
              <w:bottom w:val="single" w:sz="6" w:space="0" w:color="auto"/>
            </w:tcBorders>
            <w:shd w:val="clear" w:color="auto" w:fill="D9D9D9" w:themeFill="background1" w:themeFillShade="D9"/>
          </w:tcPr>
          <w:p w14:paraId="028A4160" w14:textId="77777777" w:rsidR="007304CF" w:rsidRPr="00463667" w:rsidRDefault="007304CF" w:rsidP="00F77C72">
            <w:pPr>
              <w:pStyle w:val="TableText"/>
            </w:pPr>
            <w:r w:rsidRPr="00463667">
              <w:t>Numerator events by medical records</w:t>
            </w:r>
          </w:p>
        </w:tc>
        <w:tc>
          <w:tcPr>
            <w:tcW w:w="1710" w:type="dxa"/>
            <w:tcBorders>
              <w:bottom w:val="single" w:sz="6" w:space="0" w:color="auto"/>
            </w:tcBorders>
            <w:shd w:val="clear" w:color="auto" w:fill="D9D9D9" w:themeFill="background1" w:themeFillShade="D9"/>
            <w:vAlign w:val="center"/>
          </w:tcPr>
          <w:p w14:paraId="0CFAB587" w14:textId="77777777" w:rsidR="007304CF" w:rsidRPr="00463667" w:rsidRDefault="007304CF" w:rsidP="00F77C72">
            <w:pPr>
              <w:pStyle w:val="TableText2"/>
              <w:jc w:val="center"/>
              <w:rPr>
                <w:sz w:val="24"/>
              </w:rPr>
            </w:pPr>
          </w:p>
        </w:tc>
        <w:tc>
          <w:tcPr>
            <w:tcW w:w="1634" w:type="dxa"/>
            <w:tcBorders>
              <w:bottom w:val="single" w:sz="6" w:space="0" w:color="auto"/>
            </w:tcBorders>
            <w:shd w:val="clear" w:color="auto" w:fill="D9D9D9" w:themeFill="background1" w:themeFillShade="D9"/>
            <w:vAlign w:val="center"/>
          </w:tcPr>
          <w:p w14:paraId="0912B19F" w14:textId="77777777" w:rsidR="007304CF" w:rsidRPr="00463667" w:rsidRDefault="007304CF" w:rsidP="00F77C72">
            <w:pPr>
              <w:pStyle w:val="TableText2"/>
              <w:jc w:val="center"/>
              <w:rPr>
                <w:sz w:val="24"/>
              </w:rPr>
            </w:pPr>
            <w:r w:rsidRPr="00463667">
              <w:rPr>
                <w:sz w:val="24"/>
              </w:rPr>
              <w:sym w:font="Wingdings" w:char="F0FC"/>
            </w:r>
          </w:p>
        </w:tc>
      </w:tr>
      <w:tr w:rsidR="001E4E41" w:rsidRPr="00463667" w14:paraId="746A981F" w14:textId="77777777" w:rsidTr="00B303A2">
        <w:trPr>
          <w:trHeight w:val="261"/>
        </w:trPr>
        <w:tc>
          <w:tcPr>
            <w:tcW w:w="6038" w:type="dxa"/>
            <w:tcBorders>
              <w:bottom w:val="single" w:sz="6" w:space="0" w:color="auto"/>
            </w:tcBorders>
            <w:shd w:val="clear" w:color="auto" w:fill="FFFFFF" w:themeFill="background1"/>
          </w:tcPr>
          <w:p w14:paraId="129C28E2" w14:textId="0D706BFC" w:rsidR="001E4E41" w:rsidRPr="00463667" w:rsidRDefault="001E4E41" w:rsidP="00F77C72">
            <w:pPr>
              <w:pStyle w:val="TableText"/>
            </w:pPr>
            <w:r w:rsidRPr="001E4E41">
              <w:t>Numerator events by supplemental data</w:t>
            </w:r>
          </w:p>
        </w:tc>
        <w:tc>
          <w:tcPr>
            <w:tcW w:w="1710" w:type="dxa"/>
            <w:tcBorders>
              <w:bottom w:val="single" w:sz="6" w:space="0" w:color="auto"/>
            </w:tcBorders>
            <w:shd w:val="clear" w:color="auto" w:fill="FFFFFF" w:themeFill="background1"/>
            <w:vAlign w:val="center"/>
          </w:tcPr>
          <w:p w14:paraId="0BD916CF" w14:textId="5AE2BAC4" w:rsidR="001E4E41" w:rsidRPr="00463667" w:rsidRDefault="001E4E41" w:rsidP="00F77C72">
            <w:pPr>
              <w:pStyle w:val="TableText2"/>
              <w:jc w:val="center"/>
              <w:rPr>
                <w:sz w:val="24"/>
              </w:rPr>
            </w:pPr>
            <w:r w:rsidRPr="00463667">
              <w:rPr>
                <w:sz w:val="24"/>
              </w:rPr>
              <w:sym w:font="Wingdings" w:char="F0FC"/>
            </w:r>
          </w:p>
        </w:tc>
        <w:tc>
          <w:tcPr>
            <w:tcW w:w="1634" w:type="dxa"/>
            <w:tcBorders>
              <w:bottom w:val="single" w:sz="6" w:space="0" w:color="auto"/>
            </w:tcBorders>
            <w:shd w:val="clear" w:color="auto" w:fill="FFFFFF" w:themeFill="background1"/>
            <w:vAlign w:val="center"/>
          </w:tcPr>
          <w:p w14:paraId="224CB93A" w14:textId="4723CDBD" w:rsidR="001E4E41" w:rsidRPr="00463667" w:rsidRDefault="001E4E41" w:rsidP="00F77C72">
            <w:pPr>
              <w:pStyle w:val="TableText2"/>
              <w:jc w:val="center"/>
              <w:rPr>
                <w:sz w:val="24"/>
              </w:rPr>
            </w:pPr>
            <w:r w:rsidRPr="00463667">
              <w:rPr>
                <w:sz w:val="24"/>
              </w:rPr>
              <w:sym w:font="Wingdings" w:char="F0FC"/>
            </w:r>
          </w:p>
        </w:tc>
      </w:tr>
      <w:tr w:rsidR="007304CF" w:rsidRPr="00463667" w14:paraId="18FA691D" w14:textId="77777777" w:rsidTr="00B303A2">
        <w:trPr>
          <w:trHeight w:val="247"/>
        </w:trPr>
        <w:tc>
          <w:tcPr>
            <w:tcW w:w="6038" w:type="dxa"/>
            <w:shd w:val="clear" w:color="auto" w:fill="D9D9D9" w:themeFill="background1" w:themeFillShade="D9"/>
          </w:tcPr>
          <w:p w14:paraId="61763E8D" w14:textId="77777777" w:rsidR="007304CF" w:rsidRPr="00463667" w:rsidRDefault="007304CF" w:rsidP="00F77C72">
            <w:pPr>
              <w:pStyle w:val="TableText"/>
            </w:pPr>
            <w:r w:rsidRPr="00463667">
              <w:t>Reported rate</w:t>
            </w:r>
          </w:p>
        </w:tc>
        <w:tc>
          <w:tcPr>
            <w:tcW w:w="1710" w:type="dxa"/>
            <w:shd w:val="clear" w:color="auto" w:fill="D9D9D9" w:themeFill="background1" w:themeFillShade="D9"/>
            <w:vAlign w:val="center"/>
          </w:tcPr>
          <w:p w14:paraId="104A8616" w14:textId="77777777" w:rsidR="007304CF" w:rsidRPr="00463667" w:rsidRDefault="007304CF" w:rsidP="00F77C72">
            <w:pPr>
              <w:pStyle w:val="TableText"/>
              <w:jc w:val="center"/>
              <w:rPr>
                <w:sz w:val="24"/>
                <w:szCs w:val="24"/>
              </w:rPr>
            </w:pPr>
            <w:r w:rsidRPr="00463667">
              <w:rPr>
                <w:sz w:val="24"/>
                <w:szCs w:val="24"/>
              </w:rPr>
              <w:sym w:font="Wingdings" w:char="F0FC"/>
            </w:r>
          </w:p>
        </w:tc>
        <w:tc>
          <w:tcPr>
            <w:tcW w:w="1634" w:type="dxa"/>
            <w:shd w:val="clear" w:color="auto" w:fill="D9D9D9" w:themeFill="background1" w:themeFillShade="D9"/>
            <w:vAlign w:val="center"/>
          </w:tcPr>
          <w:p w14:paraId="1606ABD3" w14:textId="77777777" w:rsidR="007304CF" w:rsidRPr="00463667" w:rsidRDefault="007304CF" w:rsidP="00F77C72">
            <w:pPr>
              <w:pStyle w:val="TableText"/>
              <w:jc w:val="center"/>
              <w:rPr>
                <w:sz w:val="24"/>
                <w:szCs w:val="24"/>
              </w:rPr>
            </w:pPr>
            <w:r w:rsidRPr="00463667">
              <w:rPr>
                <w:sz w:val="24"/>
                <w:szCs w:val="24"/>
              </w:rPr>
              <w:sym w:font="Wingdings" w:char="F0FC"/>
            </w:r>
          </w:p>
        </w:tc>
      </w:tr>
      <w:tr w:rsidR="007304CF" w:rsidRPr="00463667" w14:paraId="4FB4ED28" w14:textId="77777777" w:rsidTr="00B303A2">
        <w:trPr>
          <w:trHeight w:val="247"/>
        </w:trPr>
        <w:tc>
          <w:tcPr>
            <w:tcW w:w="6038" w:type="dxa"/>
            <w:tcBorders>
              <w:bottom w:val="single" w:sz="6" w:space="0" w:color="auto"/>
            </w:tcBorders>
            <w:shd w:val="clear" w:color="auto" w:fill="FFFFFF" w:themeFill="background1"/>
          </w:tcPr>
          <w:p w14:paraId="599F3E7F" w14:textId="77777777" w:rsidR="007304CF" w:rsidRPr="00463667" w:rsidRDefault="007304CF" w:rsidP="00F77C72">
            <w:pPr>
              <w:pStyle w:val="TableText"/>
            </w:pPr>
            <w:r w:rsidRPr="00463667">
              <w:t>Lower 95% confidence interval</w:t>
            </w:r>
          </w:p>
        </w:tc>
        <w:tc>
          <w:tcPr>
            <w:tcW w:w="1710" w:type="dxa"/>
            <w:tcBorders>
              <w:bottom w:val="single" w:sz="6" w:space="0" w:color="auto"/>
            </w:tcBorders>
            <w:shd w:val="clear" w:color="auto" w:fill="FFFFFF" w:themeFill="background1"/>
            <w:vAlign w:val="center"/>
          </w:tcPr>
          <w:p w14:paraId="4D2D7A7C" w14:textId="77777777" w:rsidR="007304CF" w:rsidRPr="00463667" w:rsidRDefault="007304CF" w:rsidP="00F77C72">
            <w:pPr>
              <w:pStyle w:val="TableText"/>
              <w:jc w:val="center"/>
              <w:rPr>
                <w:sz w:val="24"/>
                <w:szCs w:val="24"/>
              </w:rPr>
            </w:pPr>
            <w:r w:rsidRPr="00463667">
              <w:rPr>
                <w:sz w:val="24"/>
                <w:szCs w:val="24"/>
              </w:rPr>
              <w:sym w:font="Wingdings" w:char="F0FC"/>
            </w:r>
          </w:p>
        </w:tc>
        <w:tc>
          <w:tcPr>
            <w:tcW w:w="1634" w:type="dxa"/>
            <w:tcBorders>
              <w:bottom w:val="single" w:sz="6" w:space="0" w:color="auto"/>
            </w:tcBorders>
            <w:shd w:val="clear" w:color="auto" w:fill="FFFFFF" w:themeFill="background1"/>
            <w:vAlign w:val="center"/>
          </w:tcPr>
          <w:p w14:paraId="64C0B38C" w14:textId="77777777" w:rsidR="007304CF" w:rsidRPr="00463667" w:rsidRDefault="007304CF" w:rsidP="00F77C72">
            <w:pPr>
              <w:pStyle w:val="TableText"/>
              <w:jc w:val="center"/>
              <w:rPr>
                <w:sz w:val="24"/>
                <w:szCs w:val="24"/>
              </w:rPr>
            </w:pPr>
            <w:r w:rsidRPr="00463667">
              <w:rPr>
                <w:sz w:val="24"/>
                <w:szCs w:val="24"/>
              </w:rPr>
              <w:sym w:font="Wingdings" w:char="F0FC"/>
            </w:r>
          </w:p>
        </w:tc>
      </w:tr>
      <w:tr w:rsidR="007304CF" w:rsidRPr="00463667" w14:paraId="17AA758E" w14:textId="77777777" w:rsidTr="00B303A2">
        <w:trPr>
          <w:trHeight w:val="261"/>
        </w:trPr>
        <w:tc>
          <w:tcPr>
            <w:tcW w:w="6038" w:type="dxa"/>
            <w:shd w:val="clear" w:color="auto" w:fill="D9D9D9" w:themeFill="background1" w:themeFillShade="D9"/>
          </w:tcPr>
          <w:p w14:paraId="6AFAF590" w14:textId="77777777" w:rsidR="007304CF" w:rsidRPr="00463667" w:rsidRDefault="007304CF" w:rsidP="00F77C72">
            <w:pPr>
              <w:pStyle w:val="TableText"/>
            </w:pPr>
            <w:r w:rsidRPr="00463667">
              <w:t>Upper 95% confidence interval</w:t>
            </w:r>
          </w:p>
        </w:tc>
        <w:tc>
          <w:tcPr>
            <w:tcW w:w="1710" w:type="dxa"/>
            <w:shd w:val="clear" w:color="auto" w:fill="D9D9D9" w:themeFill="background1" w:themeFillShade="D9"/>
            <w:vAlign w:val="center"/>
          </w:tcPr>
          <w:p w14:paraId="38AB93F1" w14:textId="77777777" w:rsidR="007304CF" w:rsidRPr="00463667" w:rsidRDefault="007304CF" w:rsidP="00F77C72">
            <w:pPr>
              <w:pStyle w:val="TableText"/>
              <w:jc w:val="center"/>
              <w:rPr>
                <w:sz w:val="24"/>
                <w:szCs w:val="24"/>
              </w:rPr>
            </w:pPr>
            <w:r w:rsidRPr="00463667">
              <w:rPr>
                <w:sz w:val="24"/>
                <w:szCs w:val="24"/>
              </w:rPr>
              <w:sym w:font="Wingdings" w:char="F0FC"/>
            </w:r>
          </w:p>
        </w:tc>
        <w:tc>
          <w:tcPr>
            <w:tcW w:w="1634" w:type="dxa"/>
            <w:shd w:val="clear" w:color="auto" w:fill="D9D9D9" w:themeFill="background1" w:themeFillShade="D9"/>
            <w:vAlign w:val="center"/>
          </w:tcPr>
          <w:p w14:paraId="29575D7E" w14:textId="77777777" w:rsidR="007304CF" w:rsidRPr="00463667" w:rsidRDefault="007304CF" w:rsidP="00F77C72">
            <w:pPr>
              <w:pStyle w:val="TableText"/>
              <w:jc w:val="center"/>
              <w:rPr>
                <w:sz w:val="24"/>
                <w:szCs w:val="24"/>
              </w:rPr>
            </w:pPr>
            <w:r w:rsidRPr="00463667">
              <w:rPr>
                <w:sz w:val="24"/>
                <w:szCs w:val="24"/>
              </w:rPr>
              <w:sym w:font="Wingdings" w:char="F0FC"/>
            </w:r>
          </w:p>
        </w:tc>
      </w:tr>
    </w:tbl>
    <w:p w14:paraId="777ED660" w14:textId="76642E71" w:rsidR="00DE38AC" w:rsidRPr="00463667" w:rsidRDefault="00DE38AC" w:rsidP="008647E0">
      <w:pPr>
        <w:pStyle w:val="Breakpage"/>
        <w:jc w:val="left"/>
        <w:rPr>
          <w:sz w:val="18"/>
          <w:szCs w:val="18"/>
        </w:rPr>
      </w:pPr>
    </w:p>
    <w:sectPr w:rsidR="00DE38AC" w:rsidRPr="00463667" w:rsidSect="004D43D1">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8F34A2" w:rsidRDefault="008F34A2">
      <w:r>
        <w:separator/>
      </w:r>
    </w:p>
  </w:endnote>
  <w:endnote w:type="continuationSeparator" w:id="0">
    <w:p w14:paraId="478DEA20" w14:textId="77777777" w:rsidR="008F34A2" w:rsidRDefault="008F34A2">
      <w:r>
        <w:continuationSeparator/>
      </w:r>
    </w:p>
  </w:endnote>
  <w:endnote w:type="continuationNotice" w:id="1">
    <w:p w14:paraId="1762A6DB" w14:textId="77777777" w:rsidR="008F34A2" w:rsidRDefault="008F3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18DC1" w14:textId="31AB379E" w:rsidR="008F34A2" w:rsidRDefault="008F34A2" w:rsidP="00F578E0">
    <w:pPr>
      <w:pStyle w:val="Footer"/>
    </w:pPr>
    <w:r>
      <w:t xml:space="preserve">HEDIS </w:t>
    </w:r>
    <w:r>
      <w:rPr>
        <w:iCs/>
      </w:rPr>
      <w:t>2016</w:t>
    </w:r>
    <w:r>
      <w:t>,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547EE" w14:textId="108168C4" w:rsidR="008F34A2" w:rsidRPr="00E2647C" w:rsidRDefault="008F34A2" w:rsidP="00F578E0">
    <w:pPr>
      <w:pStyle w:val="Footer"/>
      <w:jc w:val="right"/>
    </w:pPr>
    <w:r>
      <w:t xml:space="preserve">HEDIS </w:t>
    </w:r>
    <w:r>
      <w:rPr>
        <w:iCs/>
      </w:rPr>
      <w:t>2016</w:t>
    </w:r>
    <w:r>
      <w:t>,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8F59D" w14:textId="2BF77BC2" w:rsidR="008F34A2" w:rsidRDefault="008F34A2" w:rsidP="00F578E0">
    <w:pPr>
      <w:pStyle w:val="Footer"/>
    </w:pPr>
    <w:r>
      <w:t xml:space="preserve">HEDIS </w:t>
    </w:r>
    <w:r>
      <w:rPr>
        <w:iCs/>
      </w:rPr>
      <w:t>2016</w:t>
    </w:r>
    <w:r>
      <w:t>,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56EE" w14:textId="77777777" w:rsidR="008647E0" w:rsidRPr="009E0345" w:rsidRDefault="008647E0" w:rsidP="00F578E0">
    <w:pPr>
      <w:pStyle w:val="Footer"/>
    </w:pPr>
    <w:r>
      <w:t xml:space="preserve">HEDIS </w:t>
    </w:r>
    <w:r>
      <w:rPr>
        <w:iCs/>
        <w:smallCaps/>
      </w:rPr>
      <w:t>2016</w:t>
    </w:r>
    <w:r>
      <w:t>,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8F34A2" w:rsidRDefault="008F34A2">
      <w:pPr>
        <w:pStyle w:val="AnswerText"/>
        <w:ind w:left="0"/>
        <w:rPr>
          <w:rFonts w:ascii="Times New Roman" w:hAnsi="Times New Roman"/>
        </w:rPr>
      </w:pPr>
      <w:r>
        <w:separator/>
      </w:r>
    </w:p>
  </w:footnote>
  <w:footnote w:type="continuationSeparator" w:id="0">
    <w:p w14:paraId="12A45878" w14:textId="77777777" w:rsidR="008F34A2" w:rsidRDefault="008F34A2">
      <w:r>
        <w:continuationSeparator/>
      </w:r>
    </w:p>
  </w:footnote>
  <w:footnote w:type="continuationNotice" w:id="1">
    <w:p w14:paraId="22A3558D" w14:textId="77777777" w:rsidR="008F34A2" w:rsidRDefault="008F34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5B77E" w14:textId="77777777" w:rsidR="008F34A2" w:rsidRPr="00235389" w:rsidRDefault="008F34A2" w:rsidP="00F578E0">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D5746">
      <w:rPr>
        <w:rStyle w:val="PageNumber"/>
        <w:noProof/>
      </w:rPr>
      <w:t>190</w:t>
    </w:r>
    <w:r>
      <w:rPr>
        <w:rStyle w:val="PageNumber"/>
      </w:rPr>
      <w:fldChar w:fldCharType="end"/>
    </w:r>
    <w:r>
      <w:rPr>
        <w:rStyle w:val="PageNumber"/>
      </w:rPr>
      <w:tab/>
    </w:r>
    <w:r w:rsidRPr="000C378D">
      <w:t xml:space="preserve">Annual Monitoring for Patients on Persistent Medications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02553" w14:textId="77777777" w:rsidR="008F34A2" w:rsidRDefault="008F34A2" w:rsidP="00F578E0">
    <w:pPr>
      <w:pStyle w:val="Header"/>
    </w:pPr>
    <w:r>
      <w:tab/>
    </w:r>
    <w:r>
      <w:rPr>
        <w:rStyle w:val="PageNumber"/>
      </w:rPr>
      <w:t>Annual Monitoring for Patients on Persistent Medications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D5746">
      <w:rPr>
        <w:rStyle w:val="PageNumber"/>
        <w:noProof/>
      </w:rPr>
      <w:t>193</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C6F9" w14:textId="77777777" w:rsidR="008F34A2" w:rsidRPr="00235389" w:rsidRDefault="008F34A2" w:rsidP="00F578E0">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D5746">
      <w:rPr>
        <w:rStyle w:val="PageNumber"/>
        <w:noProof/>
      </w:rPr>
      <w:t>192</w:t>
    </w:r>
    <w:r>
      <w:rPr>
        <w:rStyle w:val="PageNumber"/>
      </w:rPr>
      <w:fldChar w:fldCharType="end"/>
    </w:r>
    <w:r>
      <w:rPr>
        <w:rStyle w:val="PageNumber"/>
      </w:rPr>
      <w:tab/>
    </w:r>
    <w:r w:rsidRPr="000C378D">
      <w:t xml:space="preserve">Annual Monitoring for Patients on Persistent Medications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473F2" w14:textId="77777777" w:rsidR="008647E0" w:rsidRDefault="008647E0">
    <w:pPr>
      <w:pStyle w:val="Header"/>
      <w:tabs>
        <w:tab w:val="left" w:pos="720"/>
      </w:tabs>
    </w:pPr>
    <w:r>
      <w:fldChar w:fldCharType="begin"/>
    </w:r>
    <w:r>
      <w:instrText xml:space="preserve"> PAGE </w:instrText>
    </w:r>
    <w:r>
      <w:fldChar w:fldCharType="separate"/>
    </w:r>
    <w:r w:rsidR="002D5746">
      <w:rPr>
        <w:noProof/>
      </w:rPr>
      <w:t>194</w:t>
    </w:r>
    <w:r>
      <w:rPr>
        <w:noProof/>
      </w:rPr>
      <w:fldChar w:fldCharType="end"/>
    </w:r>
    <w:r>
      <w:t xml:space="preserve"> </w:t>
    </w:r>
    <w:r>
      <w:tab/>
      <w:t>Medication Reconciliation Post-Discharge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EEF4" w14:textId="77777777" w:rsidR="008647E0" w:rsidRDefault="008647E0">
    <w:pPr>
      <w:pStyle w:val="Header"/>
    </w:pPr>
    <w:r>
      <w:tab/>
      <w:t>Medication Reconciliation Post-Discharge</w:t>
    </w:r>
    <w:r>
      <w:tab/>
    </w:r>
    <w:r>
      <w:fldChar w:fldCharType="begin"/>
    </w:r>
    <w:r>
      <w:instrText xml:space="preserve"> PAGE </w:instrText>
    </w:r>
    <w:r>
      <w:fldChar w:fldCharType="separate"/>
    </w:r>
    <w:r w:rsidR="002D5746">
      <w:rPr>
        <w:noProof/>
      </w:rPr>
      <w:t>195</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D79A0" w14:textId="4AB275DC" w:rsidR="008F34A2" w:rsidRDefault="008F34A2">
    <w:pPr>
      <w:pStyle w:val="Header"/>
      <w:tabs>
        <w:tab w:val="left" w:pos="720"/>
      </w:tabs>
    </w:pPr>
    <w:r>
      <w:fldChar w:fldCharType="begin"/>
    </w:r>
    <w:r>
      <w:instrText xml:space="preserve"> PAGE </w:instrText>
    </w:r>
    <w:r>
      <w:fldChar w:fldCharType="separate"/>
    </w:r>
    <w:r w:rsidR="002D5746">
      <w:rPr>
        <w:noProof/>
      </w:rPr>
      <w:t>196</w:t>
    </w:r>
    <w:r>
      <w:rPr>
        <w:noProof/>
      </w:rPr>
      <w:fldChar w:fldCharType="end"/>
    </w:r>
    <w:r>
      <w:tab/>
    </w:r>
    <w:r w:rsidRPr="00B303A2">
      <w:t>Medication Reconciliation Post-Discharge</w:t>
    </w:r>
    <w:r w:rsidRPr="00B303A2" w:rsidDel="00B303A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15:restartNumberingAfterBreak="0">
    <w:nsid w:val="0AE10B43"/>
    <w:multiLevelType w:val="hybridMultilevel"/>
    <w:tmpl w:val="9B98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07A"/>
    <w:multiLevelType w:val="hybridMultilevel"/>
    <w:tmpl w:val="044C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0FB0"/>
    <w:multiLevelType w:val="hybridMultilevel"/>
    <w:tmpl w:val="180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41A46"/>
    <w:multiLevelType w:val="hybridMultilevel"/>
    <w:tmpl w:val="01E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BDF"/>
    <w:multiLevelType w:val="hybridMultilevel"/>
    <w:tmpl w:val="90440E0A"/>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F248B1"/>
    <w:multiLevelType w:val="hybridMultilevel"/>
    <w:tmpl w:val="0250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E613C"/>
    <w:multiLevelType w:val="hybridMultilevel"/>
    <w:tmpl w:val="18027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50331"/>
    <w:multiLevelType w:val="hybridMultilevel"/>
    <w:tmpl w:val="2AC6638E"/>
    <w:lvl w:ilvl="0" w:tplc="E892C6EE">
      <w:start w:val="1"/>
      <w:numFmt w:val="bullet"/>
      <w:lvlText w:val="●"/>
      <w:lvlJc w:val="left"/>
      <w:pPr>
        <w:tabs>
          <w:tab w:val="num" w:pos="216"/>
        </w:tabs>
        <w:ind w:left="216" w:hanging="216"/>
      </w:pPr>
      <w:rPr>
        <w:rFonts w:ascii="Arial" w:hAnsi="Aria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269DC"/>
    <w:multiLevelType w:val="hybridMultilevel"/>
    <w:tmpl w:val="386C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9227BA"/>
    <w:multiLevelType w:val="hybridMultilevel"/>
    <w:tmpl w:val="AD7E2B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56527E5"/>
    <w:multiLevelType w:val="hybridMultilevel"/>
    <w:tmpl w:val="6F16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18" w15:restartNumberingAfterBreak="0">
    <w:nsid w:val="3D5F2929"/>
    <w:multiLevelType w:val="hybridMultilevel"/>
    <w:tmpl w:val="A0F0C412"/>
    <w:lvl w:ilvl="0" w:tplc="E22EA3FC">
      <w:start w:val="1"/>
      <w:numFmt w:val="decimal"/>
      <w:lvlText w:val="%1."/>
      <w:lvlJc w:val="left"/>
      <w:pPr>
        <w:tabs>
          <w:tab w:val="num" w:pos="576"/>
        </w:tabs>
        <w:ind w:left="936" w:hanging="216"/>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0"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025C8D"/>
    <w:multiLevelType w:val="hybridMultilevel"/>
    <w:tmpl w:val="CD50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52009"/>
    <w:multiLevelType w:val="hybridMultilevel"/>
    <w:tmpl w:val="54A4A1DA"/>
    <w:lvl w:ilvl="0" w:tplc="539A8E44">
      <w:start w:val="1"/>
      <w:numFmt w:val="decimal"/>
      <w:lvlText w:val="%1."/>
      <w:lvlJc w:val="left"/>
      <w:pPr>
        <w:tabs>
          <w:tab w:val="num" w:pos="0"/>
        </w:tabs>
        <w:ind w:left="288" w:firstLine="72"/>
      </w:pPr>
      <w:rPr>
        <w:rFonts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51F01DD2"/>
    <w:multiLevelType w:val="hybridMultilevel"/>
    <w:tmpl w:val="8CAC3146"/>
    <w:lvl w:ilvl="0" w:tplc="0409000F">
      <w:start w:val="1"/>
      <w:numFmt w:val="decimal"/>
      <w:lvlText w:val="%1."/>
      <w:lvlJc w:val="left"/>
      <w:pPr>
        <w:tabs>
          <w:tab w:val="num" w:pos="792"/>
        </w:tabs>
        <w:ind w:left="792"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786AB8"/>
    <w:multiLevelType w:val="hybridMultilevel"/>
    <w:tmpl w:val="DBD6451C"/>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3D726AC"/>
    <w:multiLevelType w:val="hybridMultilevel"/>
    <w:tmpl w:val="B68E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81EB5"/>
    <w:multiLevelType w:val="hybridMultilevel"/>
    <w:tmpl w:val="9D8C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32050A"/>
    <w:multiLevelType w:val="hybridMultilevel"/>
    <w:tmpl w:val="A8FE8E3E"/>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A7D2F40"/>
    <w:multiLevelType w:val="hybridMultilevel"/>
    <w:tmpl w:val="595697AA"/>
    <w:lvl w:ilvl="0" w:tplc="060C4A9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C93C1C"/>
    <w:multiLevelType w:val="hybridMultilevel"/>
    <w:tmpl w:val="686C88D6"/>
    <w:lvl w:ilvl="0" w:tplc="40347548">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145C28"/>
    <w:multiLevelType w:val="hybridMultilevel"/>
    <w:tmpl w:val="5E8201D6"/>
    <w:lvl w:ilvl="0" w:tplc="0409000F">
      <w:start w:val="1"/>
      <w:numFmt w:val="decimal"/>
      <w:lvlText w:val="%1."/>
      <w:lvlJc w:val="left"/>
      <w:pPr>
        <w:tabs>
          <w:tab w:val="num" w:pos="720"/>
        </w:tabs>
        <w:ind w:left="72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2A65A7"/>
    <w:multiLevelType w:val="hybridMultilevel"/>
    <w:tmpl w:val="06B00224"/>
    <w:lvl w:ilvl="0" w:tplc="84C4D046">
      <w:start w:val="1"/>
      <w:numFmt w:val="bullet"/>
      <w:lvlText w:val=""/>
      <w:lvlJc w:val="left"/>
      <w:pPr>
        <w:tabs>
          <w:tab w:val="num" w:pos="576"/>
        </w:tabs>
        <w:ind w:left="936" w:hanging="216"/>
      </w:pPr>
      <w:rPr>
        <w:rFonts w:ascii="Symbol" w:hAnsi="Symbol" w:hint="default"/>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B7C4320"/>
    <w:multiLevelType w:val="hybridMultilevel"/>
    <w:tmpl w:val="B94A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83BE8"/>
    <w:multiLevelType w:val="hybridMultilevel"/>
    <w:tmpl w:val="F306CC3E"/>
    <w:lvl w:ilvl="0" w:tplc="E6FCCFC4">
      <w:start w:val="1"/>
      <w:numFmt w:val="decimal"/>
      <w:lvlText w:val="%1."/>
      <w:lvlJc w:val="left"/>
      <w:pPr>
        <w:tabs>
          <w:tab w:val="num" w:pos="720"/>
        </w:tabs>
        <w:ind w:left="720" w:hanging="360"/>
      </w:pPr>
    </w:lvl>
    <w:lvl w:ilvl="1" w:tplc="23BE8DEA" w:tentative="1">
      <w:start w:val="1"/>
      <w:numFmt w:val="lowerLetter"/>
      <w:lvlText w:val="%2."/>
      <w:lvlJc w:val="left"/>
      <w:pPr>
        <w:tabs>
          <w:tab w:val="num" w:pos="1440"/>
        </w:tabs>
        <w:ind w:left="1440" w:hanging="360"/>
      </w:pPr>
    </w:lvl>
    <w:lvl w:ilvl="2" w:tplc="D9C02EFE" w:tentative="1">
      <w:start w:val="1"/>
      <w:numFmt w:val="lowerRoman"/>
      <w:lvlText w:val="%3."/>
      <w:lvlJc w:val="right"/>
      <w:pPr>
        <w:tabs>
          <w:tab w:val="num" w:pos="2160"/>
        </w:tabs>
        <w:ind w:left="2160" w:hanging="180"/>
      </w:pPr>
    </w:lvl>
    <w:lvl w:ilvl="3" w:tplc="30245E02" w:tentative="1">
      <w:start w:val="1"/>
      <w:numFmt w:val="decimal"/>
      <w:lvlText w:val="%4."/>
      <w:lvlJc w:val="left"/>
      <w:pPr>
        <w:tabs>
          <w:tab w:val="num" w:pos="2880"/>
        </w:tabs>
        <w:ind w:left="2880" w:hanging="360"/>
      </w:pPr>
    </w:lvl>
    <w:lvl w:ilvl="4" w:tplc="0CE8A1E2" w:tentative="1">
      <w:start w:val="1"/>
      <w:numFmt w:val="lowerLetter"/>
      <w:lvlText w:val="%5."/>
      <w:lvlJc w:val="left"/>
      <w:pPr>
        <w:tabs>
          <w:tab w:val="num" w:pos="3600"/>
        </w:tabs>
        <w:ind w:left="3600" w:hanging="360"/>
      </w:pPr>
    </w:lvl>
    <w:lvl w:ilvl="5" w:tplc="C42C4130" w:tentative="1">
      <w:start w:val="1"/>
      <w:numFmt w:val="lowerRoman"/>
      <w:lvlText w:val="%6."/>
      <w:lvlJc w:val="right"/>
      <w:pPr>
        <w:tabs>
          <w:tab w:val="num" w:pos="4320"/>
        </w:tabs>
        <w:ind w:left="4320" w:hanging="180"/>
      </w:pPr>
    </w:lvl>
    <w:lvl w:ilvl="6" w:tplc="1B8C1B48" w:tentative="1">
      <w:start w:val="1"/>
      <w:numFmt w:val="decimal"/>
      <w:lvlText w:val="%7."/>
      <w:lvlJc w:val="left"/>
      <w:pPr>
        <w:tabs>
          <w:tab w:val="num" w:pos="5040"/>
        </w:tabs>
        <w:ind w:left="5040" w:hanging="360"/>
      </w:pPr>
    </w:lvl>
    <w:lvl w:ilvl="7" w:tplc="DDFCAA48" w:tentative="1">
      <w:start w:val="1"/>
      <w:numFmt w:val="lowerLetter"/>
      <w:lvlText w:val="%8."/>
      <w:lvlJc w:val="left"/>
      <w:pPr>
        <w:tabs>
          <w:tab w:val="num" w:pos="5760"/>
        </w:tabs>
        <w:ind w:left="5760" w:hanging="360"/>
      </w:pPr>
    </w:lvl>
    <w:lvl w:ilvl="8" w:tplc="FE1E72FA" w:tentative="1">
      <w:start w:val="1"/>
      <w:numFmt w:val="lowerRoman"/>
      <w:lvlText w:val="%9."/>
      <w:lvlJc w:val="right"/>
      <w:pPr>
        <w:tabs>
          <w:tab w:val="num" w:pos="6480"/>
        </w:tabs>
        <w:ind w:left="6480" w:hanging="180"/>
      </w:pPr>
    </w:lvl>
  </w:abstractNum>
  <w:abstractNum w:abstractNumId="37" w15:restartNumberingAfterBreak="0">
    <w:nsid w:val="74C44ADF"/>
    <w:multiLevelType w:val="hybridMultilevel"/>
    <w:tmpl w:val="453ED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83010CD"/>
    <w:multiLevelType w:val="hybridMultilevel"/>
    <w:tmpl w:val="7FD8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30"/>
  </w:num>
  <w:num w:numId="2">
    <w:abstractNumId w:val="5"/>
  </w:num>
  <w:num w:numId="3">
    <w:abstractNumId w:val="17"/>
  </w:num>
  <w:num w:numId="4">
    <w:abstractNumId w:val="4"/>
  </w:num>
  <w:num w:numId="5">
    <w:abstractNumId w:val="20"/>
  </w:num>
  <w:num w:numId="6">
    <w:abstractNumId w:val="6"/>
  </w:num>
  <w:num w:numId="7">
    <w:abstractNumId w:val="19"/>
  </w:num>
  <w:num w:numId="8">
    <w:abstractNumId w:val="33"/>
  </w:num>
  <w:num w:numId="9">
    <w:abstractNumId w:val="32"/>
  </w:num>
  <w:num w:numId="10">
    <w:abstractNumId w:val="12"/>
  </w:num>
  <w:num w:numId="11">
    <w:abstractNumId w:val="40"/>
  </w:num>
  <w:num w:numId="12">
    <w:abstractNumId w:val="22"/>
  </w:num>
  <w:num w:numId="13">
    <w:abstractNumId w:val="38"/>
  </w:num>
  <w:num w:numId="14">
    <w:abstractNumId w:val="11"/>
  </w:num>
  <w:num w:numId="15">
    <w:abstractNumId w:val="21"/>
  </w:num>
  <w:num w:numId="16">
    <w:abstractNumId w:val="1"/>
  </w:num>
  <w:num w:numId="17">
    <w:abstractNumId w:val="7"/>
  </w:num>
  <w:num w:numId="18">
    <w:abstractNumId w:val="28"/>
  </w:num>
  <w:num w:numId="19">
    <w:abstractNumId w:val="26"/>
  </w:num>
  <w:num w:numId="20">
    <w:abstractNumId w:val="31"/>
  </w:num>
  <w:num w:numId="21">
    <w:abstractNumId w:val="0"/>
  </w:num>
  <w:num w:numId="22">
    <w:abstractNumId w:val="25"/>
  </w:num>
  <w:num w:numId="23">
    <w:abstractNumId w:val="34"/>
  </w:num>
  <w:num w:numId="24">
    <w:abstractNumId w:val="3"/>
  </w:num>
  <w:num w:numId="25">
    <w:abstractNumId w:val="37"/>
  </w:num>
  <w:num w:numId="26">
    <w:abstractNumId w:val="29"/>
  </w:num>
  <w:num w:numId="27">
    <w:abstractNumId w:val="35"/>
  </w:num>
  <w:num w:numId="28">
    <w:abstractNumId w:val="9"/>
  </w:num>
  <w:num w:numId="29">
    <w:abstractNumId w:val="2"/>
  </w:num>
  <w:num w:numId="30">
    <w:abstractNumId w:val="10"/>
  </w:num>
  <w:num w:numId="31">
    <w:abstractNumId w:val="15"/>
  </w:num>
  <w:num w:numId="32">
    <w:abstractNumId w:val="24"/>
  </w:num>
  <w:num w:numId="33">
    <w:abstractNumId w:val="18"/>
  </w:num>
  <w:num w:numId="34">
    <w:abstractNumId w:val="16"/>
  </w:num>
  <w:num w:numId="35">
    <w:abstractNumId w:val="36"/>
  </w:num>
  <w:num w:numId="36">
    <w:abstractNumId w:val="13"/>
  </w:num>
  <w:num w:numId="37">
    <w:abstractNumId w:val="14"/>
  </w:num>
  <w:num w:numId="38">
    <w:abstractNumId w:val="23"/>
  </w:num>
  <w:num w:numId="39">
    <w:abstractNumId w:val="39"/>
  </w:num>
  <w:num w:numId="40">
    <w:abstractNumId w:val="8"/>
  </w:num>
  <w:num w:numId="41">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8744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1CA3"/>
    <w:rsid w:val="0000246F"/>
    <w:rsid w:val="00003401"/>
    <w:rsid w:val="000037D1"/>
    <w:rsid w:val="00006AB3"/>
    <w:rsid w:val="000071C3"/>
    <w:rsid w:val="00007907"/>
    <w:rsid w:val="00010491"/>
    <w:rsid w:val="00010721"/>
    <w:rsid w:val="00010C49"/>
    <w:rsid w:val="000111CA"/>
    <w:rsid w:val="00011985"/>
    <w:rsid w:val="00011D92"/>
    <w:rsid w:val="00013D68"/>
    <w:rsid w:val="000145B7"/>
    <w:rsid w:val="00015DCE"/>
    <w:rsid w:val="00016519"/>
    <w:rsid w:val="0001755F"/>
    <w:rsid w:val="00017DE6"/>
    <w:rsid w:val="00020833"/>
    <w:rsid w:val="00020EB6"/>
    <w:rsid w:val="00021920"/>
    <w:rsid w:val="00021DD8"/>
    <w:rsid w:val="000225B1"/>
    <w:rsid w:val="00022719"/>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58C6"/>
    <w:rsid w:val="000C62C7"/>
    <w:rsid w:val="000D0A0B"/>
    <w:rsid w:val="000D0B41"/>
    <w:rsid w:val="000D152D"/>
    <w:rsid w:val="000D25ED"/>
    <w:rsid w:val="000D270E"/>
    <w:rsid w:val="000D29EB"/>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74C"/>
    <w:rsid w:val="00132DF4"/>
    <w:rsid w:val="00132F0A"/>
    <w:rsid w:val="001331B5"/>
    <w:rsid w:val="001336C4"/>
    <w:rsid w:val="00133A03"/>
    <w:rsid w:val="00133B2B"/>
    <w:rsid w:val="0013402C"/>
    <w:rsid w:val="0013510F"/>
    <w:rsid w:val="001351C5"/>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97B"/>
    <w:rsid w:val="001D5EB7"/>
    <w:rsid w:val="001D6316"/>
    <w:rsid w:val="001D6DD4"/>
    <w:rsid w:val="001D78B4"/>
    <w:rsid w:val="001E1067"/>
    <w:rsid w:val="001E1398"/>
    <w:rsid w:val="001E1A07"/>
    <w:rsid w:val="001E2457"/>
    <w:rsid w:val="001E2538"/>
    <w:rsid w:val="001E27EA"/>
    <w:rsid w:val="001E285C"/>
    <w:rsid w:val="001E2A16"/>
    <w:rsid w:val="001E300F"/>
    <w:rsid w:val="001E4E41"/>
    <w:rsid w:val="001E5335"/>
    <w:rsid w:val="001E5B57"/>
    <w:rsid w:val="001E69E6"/>
    <w:rsid w:val="001E6C4D"/>
    <w:rsid w:val="001E739D"/>
    <w:rsid w:val="001E77A3"/>
    <w:rsid w:val="001E77D6"/>
    <w:rsid w:val="001E77EC"/>
    <w:rsid w:val="001F0260"/>
    <w:rsid w:val="001F093F"/>
    <w:rsid w:val="001F0A88"/>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35B0"/>
    <w:rsid w:val="0022457E"/>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5098"/>
    <w:rsid w:val="00275732"/>
    <w:rsid w:val="00277F47"/>
    <w:rsid w:val="002805DB"/>
    <w:rsid w:val="002809FE"/>
    <w:rsid w:val="00280D83"/>
    <w:rsid w:val="00282561"/>
    <w:rsid w:val="00282CFC"/>
    <w:rsid w:val="0028362E"/>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383D"/>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5746"/>
    <w:rsid w:val="002D62B2"/>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3E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5019"/>
    <w:rsid w:val="003258DA"/>
    <w:rsid w:val="00326CA8"/>
    <w:rsid w:val="00327CC7"/>
    <w:rsid w:val="00327FAF"/>
    <w:rsid w:val="00330C9A"/>
    <w:rsid w:val="003330C6"/>
    <w:rsid w:val="00333B76"/>
    <w:rsid w:val="003341E5"/>
    <w:rsid w:val="003349B1"/>
    <w:rsid w:val="00335377"/>
    <w:rsid w:val="00335767"/>
    <w:rsid w:val="00335AB4"/>
    <w:rsid w:val="00336573"/>
    <w:rsid w:val="0033717A"/>
    <w:rsid w:val="00337FFB"/>
    <w:rsid w:val="003406E0"/>
    <w:rsid w:val="00341259"/>
    <w:rsid w:val="00341952"/>
    <w:rsid w:val="0034240C"/>
    <w:rsid w:val="003428D6"/>
    <w:rsid w:val="00342932"/>
    <w:rsid w:val="00342E2F"/>
    <w:rsid w:val="00343088"/>
    <w:rsid w:val="00343766"/>
    <w:rsid w:val="003447C6"/>
    <w:rsid w:val="003457E1"/>
    <w:rsid w:val="00345CF2"/>
    <w:rsid w:val="00345DA0"/>
    <w:rsid w:val="003469B8"/>
    <w:rsid w:val="00347472"/>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EC4"/>
    <w:rsid w:val="0038290A"/>
    <w:rsid w:val="003839C4"/>
    <w:rsid w:val="00383AEA"/>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2FC3"/>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E69"/>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4D5"/>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2B68"/>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111"/>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3D1"/>
    <w:rsid w:val="004D4628"/>
    <w:rsid w:val="004D4C87"/>
    <w:rsid w:val="004D52EE"/>
    <w:rsid w:val="004D5921"/>
    <w:rsid w:val="004D6FA3"/>
    <w:rsid w:val="004D7332"/>
    <w:rsid w:val="004D7C9A"/>
    <w:rsid w:val="004E0095"/>
    <w:rsid w:val="004E01F6"/>
    <w:rsid w:val="004E0DC3"/>
    <w:rsid w:val="004E25CA"/>
    <w:rsid w:val="004E272B"/>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9E7"/>
    <w:rsid w:val="0057567E"/>
    <w:rsid w:val="00576299"/>
    <w:rsid w:val="00576A68"/>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87AD2"/>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E3C"/>
    <w:rsid w:val="005A71DD"/>
    <w:rsid w:val="005A738B"/>
    <w:rsid w:val="005B0B60"/>
    <w:rsid w:val="005B12D2"/>
    <w:rsid w:val="005B15E4"/>
    <w:rsid w:val="005B16DE"/>
    <w:rsid w:val="005B1D9A"/>
    <w:rsid w:val="005B1E1D"/>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F5"/>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3C69"/>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5B9A"/>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5C1"/>
    <w:rsid w:val="0067496B"/>
    <w:rsid w:val="00674F30"/>
    <w:rsid w:val="00675398"/>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DCA"/>
    <w:rsid w:val="006A63D6"/>
    <w:rsid w:val="006A6DAC"/>
    <w:rsid w:val="006A6E1E"/>
    <w:rsid w:val="006A71BB"/>
    <w:rsid w:val="006A7AF3"/>
    <w:rsid w:val="006A7D04"/>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5F3"/>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7A36"/>
    <w:rsid w:val="006F01E7"/>
    <w:rsid w:val="006F02F0"/>
    <w:rsid w:val="006F132A"/>
    <w:rsid w:val="006F1DC0"/>
    <w:rsid w:val="006F2140"/>
    <w:rsid w:val="006F22E5"/>
    <w:rsid w:val="006F2DB6"/>
    <w:rsid w:val="006F3306"/>
    <w:rsid w:val="006F372A"/>
    <w:rsid w:val="006F461F"/>
    <w:rsid w:val="006F49F8"/>
    <w:rsid w:val="006F5067"/>
    <w:rsid w:val="006F5240"/>
    <w:rsid w:val="006F5CF3"/>
    <w:rsid w:val="006F635E"/>
    <w:rsid w:val="006F639A"/>
    <w:rsid w:val="006F69EE"/>
    <w:rsid w:val="006F6C63"/>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2FAD"/>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A7E"/>
    <w:rsid w:val="007530DC"/>
    <w:rsid w:val="007546F8"/>
    <w:rsid w:val="0075511E"/>
    <w:rsid w:val="007553DF"/>
    <w:rsid w:val="007554B9"/>
    <w:rsid w:val="00756A01"/>
    <w:rsid w:val="00756B48"/>
    <w:rsid w:val="00756BDA"/>
    <w:rsid w:val="007573E9"/>
    <w:rsid w:val="00757495"/>
    <w:rsid w:val="00757668"/>
    <w:rsid w:val="00757941"/>
    <w:rsid w:val="0076059A"/>
    <w:rsid w:val="00761454"/>
    <w:rsid w:val="007621FC"/>
    <w:rsid w:val="0076227C"/>
    <w:rsid w:val="007627A7"/>
    <w:rsid w:val="00762991"/>
    <w:rsid w:val="007631A2"/>
    <w:rsid w:val="007631B4"/>
    <w:rsid w:val="00763D61"/>
    <w:rsid w:val="0076440F"/>
    <w:rsid w:val="007650B4"/>
    <w:rsid w:val="00765567"/>
    <w:rsid w:val="00765CD5"/>
    <w:rsid w:val="007661ED"/>
    <w:rsid w:val="00766F9D"/>
    <w:rsid w:val="007679A7"/>
    <w:rsid w:val="00767B87"/>
    <w:rsid w:val="00771DDE"/>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80B78"/>
    <w:rsid w:val="00780DB4"/>
    <w:rsid w:val="00781292"/>
    <w:rsid w:val="00781387"/>
    <w:rsid w:val="007816F7"/>
    <w:rsid w:val="0078183F"/>
    <w:rsid w:val="0078198D"/>
    <w:rsid w:val="00781CB4"/>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1339"/>
    <w:rsid w:val="007E1427"/>
    <w:rsid w:val="007E1CA4"/>
    <w:rsid w:val="007E3164"/>
    <w:rsid w:val="007E3215"/>
    <w:rsid w:val="007E4662"/>
    <w:rsid w:val="007E46D4"/>
    <w:rsid w:val="007E67F6"/>
    <w:rsid w:val="007E6D38"/>
    <w:rsid w:val="007E7090"/>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0A0E"/>
    <w:rsid w:val="00851A25"/>
    <w:rsid w:val="00851AE3"/>
    <w:rsid w:val="00852955"/>
    <w:rsid w:val="00852CA5"/>
    <w:rsid w:val="00854618"/>
    <w:rsid w:val="008551BB"/>
    <w:rsid w:val="00855EDF"/>
    <w:rsid w:val="00856806"/>
    <w:rsid w:val="00856842"/>
    <w:rsid w:val="0085687D"/>
    <w:rsid w:val="008602A8"/>
    <w:rsid w:val="008612E2"/>
    <w:rsid w:val="00861686"/>
    <w:rsid w:val="00862B44"/>
    <w:rsid w:val="0086317E"/>
    <w:rsid w:val="0086338B"/>
    <w:rsid w:val="008647E0"/>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53F"/>
    <w:rsid w:val="008D0894"/>
    <w:rsid w:val="008D0D10"/>
    <w:rsid w:val="008D12BD"/>
    <w:rsid w:val="008D1B85"/>
    <w:rsid w:val="008D287B"/>
    <w:rsid w:val="008D32D4"/>
    <w:rsid w:val="008D4818"/>
    <w:rsid w:val="008D51B3"/>
    <w:rsid w:val="008D52B5"/>
    <w:rsid w:val="008D5373"/>
    <w:rsid w:val="008D555C"/>
    <w:rsid w:val="008D6398"/>
    <w:rsid w:val="008E0EEF"/>
    <w:rsid w:val="008E257E"/>
    <w:rsid w:val="008E2A0E"/>
    <w:rsid w:val="008E327D"/>
    <w:rsid w:val="008E39C3"/>
    <w:rsid w:val="008E3C8B"/>
    <w:rsid w:val="008E4544"/>
    <w:rsid w:val="008E4CD3"/>
    <w:rsid w:val="008E53EF"/>
    <w:rsid w:val="008E5547"/>
    <w:rsid w:val="008E5C56"/>
    <w:rsid w:val="008E7162"/>
    <w:rsid w:val="008E72D2"/>
    <w:rsid w:val="008F0A4A"/>
    <w:rsid w:val="008F0BBF"/>
    <w:rsid w:val="008F0FBC"/>
    <w:rsid w:val="008F2979"/>
    <w:rsid w:val="008F34A2"/>
    <w:rsid w:val="008F38A3"/>
    <w:rsid w:val="008F39CA"/>
    <w:rsid w:val="008F453D"/>
    <w:rsid w:val="008F586D"/>
    <w:rsid w:val="008F62B0"/>
    <w:rsid w:val="008F66AC"/>
    <w:rsid w:val="008F6CC2"/>
    <w:rsid w:val="008F735B"/>
    <w:rsid w:val="008F7922"/>
    <w:rsid w:val="008F7DAF"/>
    <w:rsid w:val="008F7EFB"/>
    <w:rsid w:val="0090158F"/>
    <w:rsid w:val="009016CC"/>
    <w:rsid w:val="00901C52"/>
    <w:rsid w:val="00902140"/>
    <w:rsid w:val="00902E1D"/>
    <w:rsid w:val="009033B2"/>
    <w:rsid w:val="009052D5"/>
    <w:rsid w:val="009055E1"/>
    <w:rsid w:val="009068CE"/>
    <w:rsid w:val="00906A0A"/>
    <w:rsid w:val="00906F67"/>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481C"/>
    <w:rsid w:val="00974DDF"/>
    <w:rsid w:val="00974E25"/>
    <w:rsid w:val="009751A8"/>
    <w:rsid w:val="009754A6"/>
    <w:rsid w:val="00975CCB"/>
    <w:rsid w:val="009762DA"/>
    <w:rsid w:val="00976799"/>
    <w:rsid w:val="00976D8A"/>
    <w:rsid w:val="0097763C"/>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7202"/>
    <w:rsid w:val="009E73AE"/>
    <w:rsid w:val="009E79BD"/>
    <w:rsid w:val="009F0ED5"/>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426"/>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622"/>
    <w:rsid w:val="00A81E46"/>
    <w:rsid w:val="00A82178"/>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59F"/>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69F5"/>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5F0A"/>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7C2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3A2"/>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DB"/>
    <w:rsid w:val="00B65B16"/>
    <w:rsid w:val="00B65B5C"/>
    <w:rsid w:val="00B65D54"/>
    <w:rsid w:val="00B6601F"/>
    <w:rsid w:val="00B66150"/>
    <w:rsid w:val="00B66857"/>
    <w:rsid w:val="00B6704C"/>
    <w:rsid w:val="00B67ACA"/>
    <w:rsid w:val="00B67DDB"/>
    <w:rsid w:val="00B67F2E"/>
    <w:rsid w:val="00B70025"/>
    <w:rsid w:val="00B7019D"/>
    <w:rsid w:val="00B70B21"/>
    <w:rsid w:val="00B724AF"/>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3DA8"/>
    <w:rsid w:val="00BB408F"/>
    <w:rsid w:val="00BB431B"/>
    <w:rsid w:val="00BB4675"/>
    <w:rsid w:val="00BB46EA"/>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540"/>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C0056A"/>
    <w:rsid w:val="00C00A1B"/>
    <w:rsid w:val="00C01343"/>
    <w:rsid w:val="00C02DD3"/>
    <w:rsid w:val="00C03A26"/>
    <w:rsid w:val="00C041C3"/>
    <w:rsid w:val="00C0448D"/>
    <w:rsid w:val="00C046C9"/>
    <w:rsid w:val="00C05627"/>
    <w:rsid w:val="00C057CF"/>
    <w:rsid w:val="00C05BD1"/>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4190"/>
    <w:rsid w:val="00C848AA"/>
    <w:rsid w:val="00C848BA"/>
    <w:rsid w:val="00C84BE4"/>
    <w:rsid w:val="00C8530B"/>
    <w:rsid w:val="00C8626D"/>
    <w:rsid w:val="00C86EDF"/>
    <w:rsid w:val="00C875C3"/>
    <w:rsid w:val="00C9006E"/>
    <w:rsid w:val="00C908E7"/>
    <w:rsid w:val="00C90C3F"/>
    <w:rsid w:val="00C922B6"/>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5AC9"/>
    <w:rsid w:val="00CD60E4"/>
    <w:rsid w:val="00CD6258"/>
    <w:rsid w:val="00CD62C3"/>
    <w:rsid w:val="00CD635B"/>
    <w:rsid w:val="00CD6954"/>
    <w:rsid w:val="00CD7EF2"/>
    <w:rsid w:val="00CE1E2B"/>
    <w:rsid w:val="00CE2702"/>
    <w:rsid w:val="00CE4529"/>
    <w:rsid w:val="00CE4CF2"/>
    <w:rsid w:val="00CE4FFB"/>
    <w:rsid w:val="00CE55F7"/>
    <w:rsid w:val="00CE606C"/>
    <w:rsid w:val="00CE6FDE"/>
    <w:rsid w:val="00CE749C"/>
    <w:rsid w:val="00CE7DAA"/>
    <w:rsid w:val="00CF071A"/>
    <w:rsid w:val="00CF0795"/>
    <w:rsid w:val="00CF1B18"/>
    <w:rsid w:val="00CF24DC"/>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5C5"/>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BD4"/>
    <w:rsid w:val="00D93676"/>
    <w:rsid w:val="00D94232"/>
    <w:rsid w:val="00D94296"/>
    <w:rsid w:val="00D944F1"/>
    <w:rsid w:val="00D94716"/>
    <w:rsid w:val="00D947FA"/>
    <w:rsid w:val="00D94A96"/>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71C8"/>
    <w:rsid w:val="00DA721F"/>
    <w:rsid w:val="00DA7644"/>
    <w:rsid w:val="00DA7B0D"/>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312"/>
    <w:rsid w:val="00DC2F87"/>
    <w:rsid w:val="00DC397F"/>
    <w:rsid w:val="00DC3A7E"/>
    <w:rsid w:val="00DC3C63"/>
    <w:rsid w:val="00DC4D12"/>
    <w:rsid w:val="00DC5E4B"/>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4424"/>
    <w:rsid w:val="00DE45E9"/>
    <w:rsid w:val="00DE4B64"/>
    <w:rsid w:val="00DE542F"/>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AA"/>
    <w:rsid w:val="00E43FEE"/>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55B"/>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1F1"/>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2F40"/>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BBF"/>
    <w:rsid w:val="00EA3276"/>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3844"/>
    <w:rsid w:val="00EC3F1A"/>
    <w:rsid w:val="00EC4DE1"/>
    <w:rsid w:val="00EC4EAC"/>
    <w:rsid w:val="00EC520D"/>
    <w:rsid w:val="00EC5561"/>
    <w:rsid w:val="00EC5694"/>
    <w:rsid w:val="00EC610D"/>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CB"/>
    <w:rsid w:val="00EF2352"/>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2CB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2818"/>
    <w:rsid w:val="00F33C2D"/>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77C72"/>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3F2"/>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E0619"/>
    <w:rsid w:val="00FE09D2"/>
    <w:rsid w:val="00FE11DB"/>
    <w:rsid w:val="00FE22F4"/>
    <w:rsid w:val="00FE32EC"/>
    <w:rsid w:val="00FE4753"/>
    <w:rsid w:val="00FE5050"/>
    <w:rsid w:val="00FE5276"/>
    <w:rsid w:val="00FE5450"/>
    <w:rsid w:val="00FE5838"/>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4497"/>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11"/>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4"/>
      </w:numPr>
      <w:tabs>
        <w:tab w:val="clear" w:pos="0"/>
        <w:tab w:val="left" w:pos="576"/>
      </w:tabs>
      <w:spacing w:line="220" w:lineRule="exact"/>
      <w:ind w:left="274"/>
    </w:pPr>
  </w:style>
  <w:style w:type="paragraph" w:customStyle="1" w:styleId="MarginDash">
    <w:name w:val="Margin Dash"/>
    <w:basedOn w:val="Dash"/>
    <w:rsid w:val="002A7B9B"/>
    <w:pPr>
      <w:numPr>
        <w:numId w:val="12"/>
      </w:numPr>
      <w:tabs>
        <w:tab w:val="clear" w:pos="0"/>
      </w:tabs>
      <w:ind w:left="490" w:hanging="216"/>
    </w:pPr>
  </w:style>
  <w:style w:type="paragraph" w:customStyle="1" w:styleId="Bullet3">
    <w:name w:val="Bullet +3"/>
    <w:basedOn w:val="Bullet"/>
    <w:rsid w:val="002A7B9B"/>
    <w:pPr>
      <w:numPr>
        <w:numId w:val="13"/>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2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2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9852EA25-9CE3-41B9-82E7-95913636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2CFDC4-59D4-444A-90F4-85C9A75433C7}">
  <ds:schemaRefs>
    <ds:schemaRef ds:uri="http://schemas.openxmlformats.org/officeDocument/2006/bibliography"/>
  </ds:schemaRefs>
</ds:datastoreItem>
</file>

<file path=customXml/itemProps4.xml><?xml version="1.0" encoding="utf-8"?>
<ds:datastoreItem xmlns:ds="http://schemas.openxmlformats.org/officeDocument/2006/customXml" ds:itemID="{F151ECD0-AF98-48F0-91A3-B8C7B958EE0F}">
  <ds:schemaRef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 ds:uri="64615f93-1352-4a7e-b7a8-3b07e39b2009"/>
    <ds:schemaRef ds:uri="http://schemas.microsoft.com/office/2006/metadata/properties"/>
  </ds:schemaRefs>
</ds:datastoreItem>
</file>

<file path=customXml/itemProps5.xml><?xml version="1.0" encoding="utf-8"?>
<ds:datastoreItem xmlns:ds="http://schemas.openxmlformats.org/officeDocument/2006/customXml" ds:itemID="{90C32BB5-2533-4DDB-A692-8B0D4192A6AE}">
  <ds:schemaRefs>
    <ds:schemaRef ds:uri="http://schemas.openxmlformats.org/officeDocument/2006/bibliography"/>
  </ds:schemaRefs>
</ds:datastoreItem>
</file>

<file path=customXml/itemProps6.xml><?xml version="1.0" encoding="utf-8"?>
<ds:datastoreItem xmlns:ds="http://schemas.openxmlformats.org/officeDocument/2006/customXml" ds:itemID="{F9A386EC-3847-4A9D-A6B3-6CCEF2B4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2046</Words>
  <Characters>12278</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14296</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3</cp:revision>
  <cp:lastPrinted>2014-06-12T17:59:00Z</cp:lastPrinted>
  <dcterms:created xsi:type="dcterms:W3CDTF">2015-06-03T14:52:00Z</dcterms:created>
  <dcterms:modified xsi:type="dcterms:W3CDTF">2015-06-08T14:49:00Z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