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5.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72730" w14:textId="77777777" w:rsidR="004C4A28" w:rsidRDefault="004C4A28" w:rsidP="007304CF">
      <w:pPr>
        <w:pStyle w:val="Breakpage"/>
      </w:pPr>
      <w:bookmarkStart w:id="0" w:name="_GoBack"/>
      <w:bookmarkEnd w:id="0"/>
    </w:p>
    <w:p w14:paraId="55A72731" w14:textId="77777777" w:rsidR="004C4A28" w:rsidRDefault="004C4A28" w:rsidP="007304CF">
      <w:pPr>
        <w:pStyle w:val="Breakpage"/>
      </w:pPr>
    </w:p>
    <w:p w14:paraId="55A72732" w14:textId="77777777" w:rsidR="004C4A28" w:rsidRDefault="004C4A28" w:rsidP="007304CF">
      <w:pPr>
        <w:pStyle w:val="Breakpage"/>
      </w:pPr>
    </w:p>
    <w:p w14:paraId="55A72733" w14:textId="77777777" w:rsidR="004C4A28" w:rsidRDefault="004C4A28" w:rsidP="007304CF">
      <w:pPr>
        <w:pStyle w:val="Breakpage"/>
      </w:pPr>
    </w:p>
    <w:p w14:paraId="55A72734" w14:textId="77777777" w:rsidR="004C4A28" w:rsidRDefault="004C4A28" w:rsidP="007304CF">
      <w:pPr>
        <w:pStyle w:val="Breakpage"/>
      </w:pPr>
    </w:p>
    <w:p w14:paraId="55A72735" w14:textId="77777777" w:rsidR="004C4A28" w:rsidRPr="00463667" w:rsidRDefault="004C4A28" w:rsidP="007304CF">
      <w:pPr>
        <w:pStyle w:val="Breakpage"/>
      </w:pPr>
      <w:r w:rsidRPr="00463667">
        <w:t xml:space="preserve">Measures Collected Through </w:t>
      </w:r>
      <w:r w:rsidRPr="00463667">
        <w:br/>
        <w:t>the Medicare Health Outcomes Survey</w:t>
      </w:r>
    </w:p>
    <w:p w14:paraId="55A72736" w14:textId="77777777" w:rsidR="004C4A28" w:rsidRPr="00463667" w:rsidRDefault="004C4A28" w:rsidP="007304CF">
      <w:pPr>
        <w:pStyle w:val="Breakpage"/>
      </w:pPr>
    </w:p>
    <w:p w14:paraId="55A72737" w14:textId="77777777" w:rsidR="004C4A28" w:rsidRPr="00463667" w:rsidRDefault="004C4A28" w:rsidP="007304CF">
      <w:pPr>
        <w:pStyle w:val="Breakpage"/>
        <w:sectPr w:rsidR="004C4A28" w:rsidRPr="00463667" w:rsidSect="00E67A7B">
          <w:headerReference w:type="even" r:id="rId10"/>
          <w:pgSz w:w="12240" w:h="15840" w:code="1"/>
          <w:pgMar w:top="1080" w:right="1080" w:bottom="1080" w:left="1440" w:header="720" w:footer="720" w:gutter="0"/>
          <w:cols w:space="720"/>
        </w:sectPr>
      </w:pPr>
    </w:p>
    <w:p w14:paraId="55A72738" w14:textId="77777777" w:rsidR="004C4A28" w:rsidRPr="00463667" w:rsidRDefault="004C4A28" w:rsidP="007304CF">
      <w:pPr>
        <w:pStyle w:val="Heading2"/>
      </w:pPr>
      <w:bookmarkStart w:id="1" w:name="_Toc400546149"/>
      <w:r w:rsidRPr="003F7CDF">
        <w:lastRenderedPageBreak/>
        <w:t>Medicare Health Outcomes Survey (HOS)</w:t>
      </w:r>
      <w:bookmarkEnd w:id="1"/>
    </w:p>
    <w:p w14:paraId="55A72739" w14:textId="77777777" w:rsidR="004C4A28" w:rsidRPr="00463667" w:rsidRDefault="004C4A28" w:rsidP="00D218FC">
      <w:pPr>
        <w:pStyle w:val="SOC"/>
        <w:rPr>
          <w:i/>
        </w:rPr>
      </w:pPr>
      <w:r w:rsidRPr="00463667">
        <w:t xml:space="preserve">Summary of Changes to HEDIS </w:t>
      </w:r>
      <w:r>
        <w:t>2016</w:t>
      </w:r>
    </w:p>
    <w:p w14:paraId="55A7273A" w14:textId="77777777" w:rsidR="004C4A28" w:rsidRPr="00463667" w:rsidRDefault="004C4A28" w:rsidP="007304CF">
      <w:pPr>
        <w:pStyle w:val="ProcessBullet"/>
      </w:pPr>
      <w:r w:rsidRPr="00463667">
        <w:t xml:space="preserve">This measure is collected using survey methodology. Detailed specifications and summary of changes are contained </w:t>
      </w:r>
      <w:r w:rsidRPr="00463667">
        <w:rPr>
          <w:szCs w:val="20"/>
        </w:rPr>
        <w:t xml:space="preserve">in </w:t>
      </w:r>
      <w:r w:rsidRPr="00463667">
        <w:rPr>
          <w:i/>
          <w:szCs w:val="20"/>
        </w:rPr>
        <w:t xml:space="preserve">HEDIS </w:t>
      </w:r>
      <w:r>
        <w:rPr>
          <w:i/>
          <w:smallCaps/>
          <w:szCs w:val="20"/>
        </w:rPr>
        <w:t>2016</w:t>
      </w:r>
      <w:r w:rsidRPr="00463667">
        <w:rPr>
          <w:i/>
          <w:szCs w:val="20"/>
        </w:rPr>
        <w:t>, Volume 6: Specifications for the Medicare Health Outcomes Survey</w:t>
      </w:r>
      <w:r w:rsidRPr="00463667">
        <w:t>.</w:t>
      </w:r>
    </w:p>
    <w:p w14:paraId="55A7273B" w14:textId="77777777" w:rsidR="004C4A28" w:rsidRPr="00463667" w:rsidRDefault="004C4A28" w:rsidP="00D218FC">
      <w:pPr>
        <w:pStyle w:val="ReverseHead"/>
      </w:pPr>
      <w:r w:rsidRPr="00463667">
        <w:t>Description</w:t>
      </w:r>
    </w:p>
    <w:p w14:paraId="55A7273C" w14:textId="77777777" w:rsidR="004C4A28" w:rsidRPr="00463667" w:rsidRDefault="004C4A28" w:rsidP="007304CF">
      <w:pPr>
        <w:pStyle w:val="Body"/>
      </w:pPr>
      <w:r w:rsidRPr="00463667">
        <w:t xml:space="preserve">This measure provides a general indication of how well a Medicare organization manages the physical and mental health of its members. The survey measures each member’s physical and mental health status at the beginning and the end of a two-year period. </w:t>
      </w:r>
    </w:p>
    <w:p w14:paraId="55A7273D" w14:textId="77777777" w:rsidR="004C4A28" w:rsidRPr="00463667" w:rsidRDefault="004C4A28" w:rsidP="007304CF">
      <w:pPr>
        <w:pStyle w:val="Body"/>
      </w:pPr>
      <w:r w:rsidRPr="00463667">
        <w:t>A two-year change score is calculated and each member’s physical and mental health status is categorized as better, the same or worse than expected, considering risk adjustment factors. Organization-specific results are assigned as percentages of members whose health status was better, the same or worse than expected.</w:t>
      </w:r>
    </w:p>
    <w:p w14:paraId="55A7273E" w14:textId="77777777" w:rsidR="004C4A28" w:rsidRPr="00463667" w:rsidRDefault="004C4A28" w:rsidP="007304CF">
      <w:pPr>
        <w:pStyle w:val="Note"/>
      </w:pPr>
    </w:p>
    <w:p w14:paraId="55A7273F" w14:textId="77777777" w:rsidR="004C4A28" w:rsidRPr="00463667" w:rsidRDefault="004C4A28" w:rsidP="007304CF">
      <w:pPr>
        <w:pStyle w:val="Body"/>
        <w:sectPr w:rsidR="004C4A28" w:rsidRPr="00463667" w:rsidSect="005A5949">
          <w:headerReference w:type="even" r:id="rId11"/>
          <w:headerReference w:type="default" r:id="rId12"/>
          <w:footerReference w:type="even" r:id="rId13"/>
          <w:pgSz w:w="12240" w:h="15840" w:code="1"/>
          <w:pgMar w:top="1080" w:right="1080" w:bottom="1080" w:left="1440" w:header="720" w:footer="720" w:gutter="0"/>
          <w:pgNumType w:start="228"/>
          <w:cols w:space="720"/>
        </w:sectPr>
      </w:pPr>
    </w:p>
    <w:p w14:paraId="55A72740" w14:textId="77777777" w:rsidR="004C4A28" w:rsidRPr="00463667" w:rsidRDefault="004C4A28" w:rsidP="007304CF">
      <w:pPr>
        <w:pStyle w:val="Heading2"/>
      </w:pPr>
      <w:bookmarkStart w:id="2" w:name="_Toc400546150"/>
      <w:r w:rsidRPr="003F7CDF">
        <w:lastRenderedPageBreak/>
        <w:t>Fall Risk Management (FRM)</w:t>
      </w:r>
      <w:bookmarkEnd w:id="2"/>
      <w:r w:rsidRPr="003F7CDF">
        <w:t xml:space="preserve"> </w:t>
      </w:r>
    </w:p>
    <w:p w14:paraId="55A72741" w14:textId="77777777" w:rsidR="004C4A28" w:rsidRPr="00463667" w:rsidRDefault="004C4A28" w:rsidP="00D218FC">
      <w:pPr>
        <w:pStyle w:val="SOC"/>
        <w:rPr>
          <w:i/>
        </w:rPr>
      </w:pPr>
      <w:r w:rsidRPr="00463667">
        <w:t xml:space="preserve">Summary of Changes to HEDIS </w:t>
      </w:r>
      <w:r>
        <w:t>2016</w:t>
      </w:r>
    </w:p>
    <w:p w14:paraId="55A72742" w14:textId="77777777" w:rsidR="004C4A28" w:rsidRPr="00463667" w:rsidRDefault="004C4A28" w:rsidP="007304CF">
      <w:pPr>
        <w:pStyle w:val="ProcessBullet"/>
      </w:pPr>
      <w:r w:rsidRPr="00463667">
        <w:t xml:space="preserve">This measure is collected using survey methodology. Detailed specifications and summary of changes are contained in </w:t>
      </w:r>
      <w:r w:rsidRPr="00463667">
        <w:rPr>
          <w:i/>
        </w:rPr>
        <w:t xml:space="preserve">HEDIS </w:t>
      </w:r>
      <w:r>
        <w:rPr>
          <w:i/>
        </w:rPr>
        <w:t>2016</w:t>
      </w:r>
      <w:r w:rsidRPr="00463667">
        <w:rPr>
          <w:i/>
        </w:rPr>
        <w:t>, Volume 6: Specifications for the Medicare Health Outcomes Survey.</w:t>
      </w:r>
    </w:p>
    <w:p w14:paraId="55A72743" w14:textId="77777777" w:rsidR="004C4A28" w:rsidRPr="00463667" w:rsidRDefault="004C4A28" w:rsidP="00D218FC">
      <w:pPr>
        <w:pStyle w:val="ReverseHead"/>
      </w:pPr>
      <w:r w:rsidRPr="00463667">
        <w:t xml:space="preserve">Description </w:t>
      </w:r>
    </w:p>
    <w:p w14:paraId="55A72744" w14:textId="77777777" w:rsidR="004C4A28" w:rsidRPr="00463667" w:rsidRDefault="004C4A28" w:rsidP="007304CF">
      <w:pPr>
        <w:pStyle w:val="Body"/>
      </w:pPr>
      <w:r w:rsidRPr="00463667">
        <w:t>The two components of this measure assess different facets of fall risk management.</w:t>
      </w:r>
    </w:p>
    <w:p w14:paraId="55A72745" w14:textId="77777777" w:rsidR="004C4A28" w:rsidRPr="00463667" w:rsidRDefault="004C4A28" w:rsidP="007304CF">
      <w:pPr>
        <w:pStyle w:val="Bullet"/>
      </w:pPr>
      <w:r w:rsidRPr="00463667">
        <w:rPr>
          <w:i/>
        </w:rPr>
        <w:t xml:space="preserve">Discussing Fall Risk. </w:t>
      </w:r>
      <w:r w:rsidRPr="00463667">
        <w:t>The percentage of Medicare members 75 years of age and older or</w:t>
      </w:r>
      <w:r w:rsidRPr="00463667">
        <w:rPr>
          <w:i/>
        </w:rPr>
        <w:t xml:space="preserve"> </w:t>
      </w:r>
      <w:r w:rsidRPr="00463667">
        <w:t>65–74 years of age with balance or walking problems or a fall in the past 12 months, who were seen by a practitioner in the past 12 months and who discussed falls or problems with balance or walking with their current practitioner.</w:t>
      </w:r>
    </w:p>
    <w:p w14:paraId="55A72746" w14:textId="77777777" w:rsidR="004C4A28" w:rsidRPr="00463667" w:rsidRDefault="004C4A28" w:rsidP="007304CF">
      <w:pPr>
        <w:pStyle w:val="Bullet"/>
      </w:pPr>
      <w:r w:rsidRPr="00463667">
        <w:rPr>
          <w:i/>
        </w:rPr>
        <w:t xml:space="preserve">Managing Fall Risk. </w:t>
      </w:r>
      <w:r w:rsidRPr="00463667">
        <w:t>The percentage of Medicare members 65 years of age and older who had a fall or had problems with balance or walking in the past 12 months, who were seen by a practitioner in the past 12 months and who received fall risk intervention from their current practitioner.</w:t>
      </w:r>
    </w:p>
    <w:p w14:paraId="55A72747" w14:textId="77777777" w:rsidR="004C4A28" w:rsidRPr="00463667" w:rsidRDefault="004C4A28" w:rsidP="007304CF"/>
    <w:p w14:paraId="55A72748" w14:textId="77777777" w:rsidR="004C4A28" w:rsidRPr="00463667" w:rsidRDefault="004C4A28" w:rsidP="007304CF"/>
    <w:p w14:paraId="55A72749" w14:textId="77777777" w:rsidR="004C4A28" w:rsidRPr="00463667" w:rsidRDefault="004C4A28" w:rsidP="007304CF">
      <w:pPr>
        <w:sectPr w:rsidR="004C4A28" w:rsidRPr="00463667" w:rsidSect="00E67A7B">
          <w:headerReference w:type="even" r:id="rId14"/>
          <w:headerReference w:type="default" r:id="rId15"/>
          <w:footerReference w:type="default" r:id="rId16"/>
          <w:pgSz w:w="12240" w:h="15840" w:code="1"/>
          <w:pgMar w:top="1080" w:right="1080" w:bottom="1080" w:left="1440" w:header="720" w:footer="720" w:gutter="0"/>
          <w:cols w:space="720"/>
        </w:sectPr>
      </w:pPr>
    </w:p>
    <w:p w14:paraId="55A7274A" w14:textId="77777777" w:rsidR="004C4A28" w:rsidRPr="00463667" w:rsidRDefault="004C4A28" w:rsidP="007304CF">
      <w:pPr>
        <w:pStyle w:val="Heading2"/>
      </w:pPr>
      <w:bookmarkStart w:id="3" w:name="_Toc400546151"/>
      <w:r w:rsidRPr="003F7CDF">
        <w:lastRenderedPageBreak/>
        <w:t>Management of Urinary Incontinence in Older Adults (MUI)</w:t>
      </w:r>
      <w:bookmarkEnd w:id="3"/>
    </w:p>
    <w:p w14:paraId="55A7274B" w14:textId="77777777" w:rsidR="004C4A28" w:rsidRPr="00463667" w:rsidRDefault="004C4A28" w:rsidP="00D218FC">
      <w:pPr>
        <w:pStyle w:val="SOC"/>
        <w:rPr>
          <w:i/>
        </w:rPr>
      </w:pPr>
      <w:r w:rsidRPr="00463667">
        <w:t xml:space="preserve">Summary of Changes to HEDIS </w:t>
      </w:r>
      <w:r>
        <w:t>2016</w:t>
      </w:r>
    </w:p>
    <w:p w14:paraId="55A7274C" w14:textId="77777777" w:rsidR="004C4A28" w:rsidRPr="00463667" w:rsidRDefault="004C4A28" w:rsidP="007304CF">
      <w:pPr>
        <w:pStyle w:val="ProcessBullet"/>
      </w:pPr>
      <w:r w:rsidRPr="00463667">
        <w:t xml:space="preserve">This measure is collected using survey methodology. Detailed specifications and summary of changes are contained in </w:t>
      </w:r>
      <w:r w:rsidRPr="00463667">
        <w:rPr>
          <w:i/>
        </w:rPr>
        <w:t xml:space="preserve">HEDIS </w:t>
      </w:r>
      <w:r>
        <w:rPr>
          <w:i/>
        </w:rPr>
        <w:t>2016</w:t>
      </w:r>
      <w:r w:rsidRPr="00463667">
        <w:rPr>
          <w:i/>
        </w:rPr>
        <w:t>, Volume 6: Specifications for the Medicare Health Outcomes Survey.</w:t>
      </w:r>
    </w:p>
    <w:p w14:paraId="55A7274D" w14:textId="77777777" w:rsidR="004C4A28" w:rsidRPr="00463667" w:rsidRDefault="004C4A28" w:rsidP="00D218FC">
      <w:pPr>
        <w:pStyle w:val="ReverseHead"/>
      </w:pPr>
      <w:r w:rsidRPr="00463667">
        <w:t>Description</w:t>
      </w:r>
    </w:p>
    <w:p w14:paraId="55A7274E" w14:textId="77777777" w:rsidR="004C4A28" w:rsidRPr="00463667" w:rsidRDefault="004C4A28" w:rsidP="007304CF">
      <w:pPr>
        <w:pStyle w:val="Body"/>
      </w:pPr>
      <w:r w:rsidRPr="00463667">
        <w:t>The following components of this measure assess the management of urinary incontinence in older adults.</w:t>
      </w:r>
    </w:p>
    <w:p w14:paraId="55A7274F" w14:textId="77777777" w:rsidR="004C4A28" w:rsidRPr="00463667" w:rsidRDefault="004C4A28" w:rsidP="007304CF">
      <w:pPr>
        <w:pStyle w:val="Bullet"/>
      </w:pPr>
      <w:r w:rsidRPr="00463667">
        <w:rPr>
          <w:i/>
        </w:rPr>
        <w:t xml:space="preserve">Discussing Urinary Incontinence. </w:t>
      </w:r>
      <w:r w:rsidRPr="00463667">
        <w:t>The percentage of Medicare members 65 years of age and older who reported having urine leakage in the past six months and who discussed their urinary leakage problem with a health care provider.</w:t>
      </w:r>
    </w:p>
    <w:p w14:paraId="55A72750" w14:textId="77777777" w:rsidR="004C4A28" w:rsidRPr="00463667" w:rsidRDefault="004C4A28" w:rsidP="007304CF">
      <w:pPr>
        <w:pStyle w:val="Bullet"/>
      </w:pPr>
      <w:r w:rsidRPr="00463667">
        <w:rPr>
          <w:i/>
        </w:rPr>
        <w:t xml:space="preserve">Discussing Treatment of Urinary Incontinence. </w:t>
      </w:r>
      <w:r w:rsidRPr="00463667">
        <w:t>The percentage of Medicare members 65 years of age and older who reported having urine leakage in the past six months and who discussed treatment options for their current urine leakage problem.</w:t>
      </w:r>
    </w:p>
    <w:p w14:paraId="55A72751" w14:textId="77777777" w:rsidR="004C4A28" w:rsidRPr="00463667" w:rsidRDefault="004C4A28" w:rsidP="007304CF">
      <w:pPr>
        <w:pStyle w:val="Bullet"/>
      </w:pPr>
      <w:r w:rsidRPr="00463667">
        <w:rPr>
          <w:i/>
        </w:rPr>
        <w:t xml:space="preserve">Impact of Urinary Incontinence. </w:t>
      </w:r>
      <w:r w:rsidRPr="00463667">
        <w:t>The percentage of Medicare members 65 years of age and older who reported having urine leakage in the past six months and who reported that urine leakage made them change their daily activities or interfered with their sleep a lot.</w:t>
      </w:r>
    </w:p>
    <w:p w14:paraId="55A72752" w14:textId="77777777" w:rsidR="004C4A28" w:rsidRPr="00463667" w:rsidRDefault="004C4A28" w:rsidP="007304CF">
      <w:pPr>
        <w:pStyle w:val="CommentText"/>
      </w:pPr>
    </w:p>
    <w:p w14:paraId="55A72753" w14:textId="77777777" w:rsidR="004C4A28" w:rsidRPr="00463667" w:rsidRDefault="004C4A28" w:rsidP="007304CF">
      <w:pPr>
        <w:pStyle w:val="Heading2"/>
        <w:jc w:val="left"/>
        <w:sectPr w:rsidR="004C4A28" w:rsidRPr="00463667" w:rsidSect="00E67A7B">
          <w:headerReference w:type="even" r:id="rId17"/>
          <w:headerReference w:type="default" r:id="rId18"/>
          <w:pgSz w:w="12240" w:h="15840" w:code="1"/>
          <w:pgMar w:top="1080" w:right="1080" w:bottom="1080" w:left="1440" w:header="720" w:footer="720" w:gutter="0"/>
          <w:cols w:space="720"/>
        </w:sectPr>
      </w:pPr>
    </w:p>
    <w:p w14:paraId="55A72754" w14:textId="77777777" w:rsidR="004C4A28" w:rsidRPr="00463667" w:rsidRDefault="004C4A28" w:rsidP="007304CF">
      <w:pPr>
        <w:pStyle w:val="Heading2"/>
      </w:pPr>
      <w:bookmarkStart w:id="4" w:name="_Toc400546152"/>
      <w:r w:rsidRPr="003F7CDF">
        <w:lastRenderedPageBreak/>
        <w:t>Osteoporosis Testing in Older Women (OTO)</w:t>
      </w:r>
      <w:bookmarkEnd w:id="4"/>
    </w:p>
    <w:p w14:paraId="55A72755" w14:textId="77777777" w:rsidR="004C4A28" w:rsidRPr="00463667" w:rsidRDefault="004C4A28" w:rsidP="00D218FC">
      <w:pPr>
        <w:pStyle w:val="SOC"/>
        <w:rPr>
          <w:i/>
        </w:rPr>
      </w:pPr>
      <w:r w:rsidRPr="00463667">
        <w:t xml:space="preserve">Summary of Changes to HEDIS </w:t>
      </w:r>
      <w:r>
        <w:t>2016</w:t>
      </w:r>
    </w:p>
    <w:p w14:paraId="55A72756" w14:textId="77777777" w:rsidR="004C4A28" w:rsidRPr="00463667" w:rsidRDefault="004C4A28" w:rsidP="007304CF">
      <w:pPr>
        <w:pStyle w:val="ProcessBullet"/>
      </w:pPr>
      <w:r w:rsidRPr="00463667">
        <w:t xml:space="preserve">This measure is collected using survey methodology. Detailed specifications and summary of changes are contained in </w:t>
      </w:r>
      <w:r w:rsidRPr="00463667">
        <w:rPr>
          <w:i/>
        </w:rPr>
        <w:t xml:space="preserve">HEDIS </w:t>
      </w:r>
      <w:r>
        <w:rPr>
          <w:i/>
        </w:rPr>
        <w:t>2016</w:t>
      </w:r>
      <w:r w:rsidRPr="00463667">
        <w:rPr>
          <w:i/>
        </w:rPr>
        <w:t>, Volume 6: Specifications for the Medicare Health Outcomes Survey.</w:t>
      </w:r>
    </w:p>
    <w:p w14:paraId="55A72757" w14:textId="77777777" w:rsidR="004C4A28" w:rsidRPr="00463667" w:rsidRDefault="004C4A28" w:rsidP="00D218FC">
      <w:pPr>
        <w:pStyle w:val="ReverseHead"/>
      </w:pPr>
      <w:r w:rsidRPr="00463667">
        <w:t xml:space="preserve">Description </w:t>
      </w:r>
    </w:p>
    <w:p w14:paraId="55A72758" w14:textId="77777777" w:rsidR="004C4A28" w:rsidRPr="00463667" w:rsidRDefault="004C4A28" w:rsidP="007304CF">
      <w:pPr>
        <w:pStyle w:val="Body"/>
      </w:pPr>
      <w:r w:rsidRPr="00463667">
        <w:t>The percentage of Medicare women 65–85 years of age who report ever having received a bone density test to check for osteoporosis.</w:t>
      </w:r>
    </w:p>
    <w:p w14:paraId="55A72759" w14:textId="77777777" w:rsidR="004C4A28" w:rsidRPr="00463667" w:rsidRDefault="004C4A28" w:rsidP="007304CF">
      <w:pPr>
        <w:pStyle w:val="Body"/>
      </w:pPr>
    </w:p>
    <w:p w14:paraId="55A7275A" w14:textId="77777777" w:rsidR="004C4A28" w:rsidRPr="00463667" w:rsidRDefault="004C4A28" w:rsidP="007304CF">
      <w:pPr>
        <w:pStyle w:val="Body"/>
      </w:pPr>
    </w:p>
    <w:p w14:paraId="55A7275B" w14:textId="77777777" w:rsidR="004C4A28" w:rsidRPr="00463667" w:rsidRDefault="004C4A28" w:rsidP="007304CF">
      <w:pPr>
        <w:pStyle w:val="Body"/>
        <w:sectPr w:rsidR="004C4A28" w:rsidRPr="00463667" w:rsidSect="00E67A7B">
          <w:headerReference w:type="even" r:id="rId19"/>
          <w:headerReference w:type="default" r:id="rId20"/>
          <w:pgSz w:w="12240" w:h="15840" w:code="1"/>
          <w:pgMar w:top="1080" w:right="1080" w:bottom="1080" w:left="1440" w:header="720" w:footer="720" w:gutter="0"/>
          <w:cols w:space="720"/>
        </w:sectPr>
      </w:pPr>
    </w:p>
    <w:p w14:paraId="55A7275C" w14:textId="77777777" w:rsidR="004C4A28" w:rsidRPr="00463667" w:rsidRDefault="004C4A28" w:rsidP="007304CF">
      <w:pPr>
        <w:pStyle w:val="Heading2"/>
      </w:pPr>
      <w:bookmarkStart w:id="5" w:name="_Toc400546153"/>
      <w:r w:rsidRPr="003F7CDF">
        <w:lastRenderedPageBreak/>
        <w:t>Physical Activity in Older Adults (PAO)</w:t>
      </w:r>
      <w:bookmarkEnd w:id="5"/>
      <w:r w:rsidRPr="003F7CDF">
        <w:t xml:space="preserve"> </w:t>
      </w:r>
    </w:p>
    <w:p w14:paraId="55A7275D" w14:textId="77777777" w:rsidR="004C4A28" w:rsidRPr="00463667" w:rsidRDefault="004C4A28" w:rsidP="00D218FC">
      <w:pPr>
        <w:pStyle w:val="SOC"/>
        <w:rPr>
          <w:i/>
        </w:rPr>
      </w:pPr>
      <w:r w:rsidRPr="00463667">
        <w:t xml:space="preserve">Summary of Changes to HEDIS </w:t>
      </w:r>
      <w:r>
        <w:t>2016</w:t>
      </w:r>
    </w:p>
    <w:p w14:paraId="55A7275E" w14:textId="77777777" w:rsidR="004C4A28" w:rsidRPr="00463667" w:rsidRDefault="004C4A28" w:rsidP="007304CF">
      <w:pPr>
        <w:pStyle w:val="ProcessBullet"/>
      </w:pPr>
      <w:r w:rsidRPr="00463667">
        <w:t xml:space="preserve">This measure is collected using survey methodology. Detailed specifications and summary of changes are contained in </w:t>
      </w:r>
      <w:r w:rsidRPr="00463667">
        <w:rPr>
          <w:i/>
        </w:rPr>
        <w:t xml:space="preserve">HEDIS </w:t>
      </w:r>
      <w:r>
        <w:rPr>
          <w:i/>
        </w:rPr>
        <w:t>2016</w:t>
      </w:r>
      <w:r w:rsidRPr="00463667">
        <w:rPr>
          <w:i/>
        </w:rPr>
        <w:t>, Volume 6: Specifications for the Medicare Health Outcomes Survey.</w:t>
      </w:r>
    </w:p>
    <w:p w14:paraId="55A7275F" w14:textId="77777777" w:rsidR="004C4A28" w:rsidRPr="00463667" w:rsidRDefault="004C4A28" w:rsidP="00D218FC">
      <w:pPr>
        <w:pStyle w:val="ReverseHead"/>
      </w:pPr>
      <w:r w:rsidRPr="00463667">
        <w:t xml:space="preserve">Description </w:t>
      </w:r>
    </w:p>
    <w:p w14:paraId="55A72760" w14:textId="77777777" w:rsidR="004C4A28" w:rsidRPr="00463667" w:rsidRDefault="004C4A28" w:rsidP="007304CF">
      <w:pPr>
        <w:pStyle w:val="Body"/>
      </w:pPr>
      <w:r w:rsidRPr="00463667">
        <w:t xml:space="preserve">The two components of this measure assess different facets of promoting physical activity in older adults. </w:t>
      </w:r>
    </w:p>
    <w:p w14:paraId="55A72761" w14:textId="77777777" w:rsidR="004C4A28" w:rsidRPr="00463667" w:rsidRDefault="004C4A28" w:rsidP="007304CF">
      <w:pPr>
        <w:pStyle w:val="Bullet"/>
      </w:pPr>
      <w:r w:rsidRPr="00463667">
        <w:rPr>
          <w:i/>
        </w:rPr>
        <w:t xml:space="preserve">Discussing Physical Activity. </w:t>
      </w:r>
      <w:r w:rsidRPr="00463667">
        <w:t>The percentage of Medicare members 65 years of age and older who had a doctor’s visit in the past 12 months and who spoke with a doctor or other health provider about their level of exercise or physical activity.</w:t>
      </w:r>
    </w:p>
    <w:p w14:paraId="55A72762" w14:textId="77777777" w:rsidR="004C4A28" w:rsidRPr="00463667" w:rsidRDefault="004C4A28" w:rsidP="007304CF">
      <w:pPr>
        <w:pStyle w:val="Bullet"/>
      </w:pPr>
      <w:r w:rsidRPr="00463667">
        <w:rPr>
          <w:i/>
        </w:rPr>
        <w:t>Advising Physical Activity.</w:t>
      </w:r>
      <w:r w:rsidRPr="00463667">
        <w:t xml:space="preserve"> The percentage of Medicare members 65 years of age and older who had a doctor’s visit in the past 12 months and who received advice to start, increase or maintain their level exercise or physical activity.</w:t>
      </w:r>
    </w:p>
    <w:p w14:paraId="55A72763" w14:textId="77777777" w:rsidR="004C4A28" w:rsidRPr="00463667" w:rsidRDefault="004C4A28" w:rsidP="007304CF">
      <w:pPr>
        <w:sectPr w:rsidR="004C4A28" w:rsidRPr="00463667" w:rsidSect="00E67A7B">
          <w:headerReference w:type="even" r:id="rId21"/>
          <w:headerReference w:type="default" r:id="rId22"/>
          <w:pgSz w:w="12240" w:h="15840" w:code="1"/>
          <w:pgMar w:top="1080" w:right="1080" w:bottom="1080" w:left="1440" w:header="720" w:footer="720" w:gutter="0"/>
          <w:cols w:space="720"/>
        </w:sectPr>
      </w:pPr>
    </w:p>
    <w:p w14:paraId="55A72764" w14:textId="77777777" w:rsidR="004C4A28" w:rsidRPr="00463667" w:rsidRDefault="004C4A28" w:rsidP="007304CF">
      <w:pPr>
        <w:pStyle w:val="Breakpage"/>
      </w:pPr>
    </w:p>
    <w:p w14:paraId="55A72765" w14:textId="77777777" w:rsidR="004C4A28" w:rsidRPr="00463667" w:rsidRDefault="004C4A28" w:rsidP="007304CF">
      <w:pPr>
        <w:pStyle w:val="Breakpage"/>
      </w:pPr>
    </w:p>
    <w:p w14:paraId="55A72766" w14:textId="77777777" w:rsidR="004C4A28" w:rsidRPr="00463667" w:rsidRDefault="004C4A28" w:rsidP="007304CF">
      <w:pPr>
        <w:pStyle w:val="Breakpage"/>
      </w:pPr>
    </w:p>
    <w:p w14:paraId="55A72767" w14:textId="77777777" w:rsidR="004C4A28" w:rsidRPr="00463667" w:rsidRDefault="004C4A28" w:rsidP="007304CF">
      <w:pPr>
        <w:pStyle w:val="Breakpage"/>
      </w:pPr>
    </w:p>
    <w:p w14:paraId="55A72768" w14:textId="77777777" w:rsidR="004C4A28" w:rsidRPr="00463667" w:rsidRDefault="004C4A28" w:rsidP="007304CF">
      <w:pPr>
        <w:pStyle w:val="Breakpage"/>
      </w:pPr>
    </w:p>
    <w:p w14:paraId="55A72769" w14:textId="77777777" w:rsidR="004C4A28" w:rsidRPr="00463667" w:rsidRDefault="004C4A28" w:rsidP="007304CF">
      <w:pPr>
        <w:pStyle w:val="Breakpage"/>
        <w:sectPr w:rsidR="004C4A28" w:rsidRPr="00463667" w:rsidSect="00E67A7B">
          <w:headerReference w:type="even" r:id="rId23"/>
          <w:headerReference w:type="default" r:id="rId24"/>
          <w:footerReference w:type="even" r:id="rId25"/>
          <w:footerReference w:type="default" r:id="rId26"/>
          <w:pgSz w:w="12240" w:h="15840" w:code="1"/>
          <w:pgMar w:top="1080" w:right="1080" w:bottom="1080" w:left="1440" w:header="720" w:footer="720" w:gutter="0"/>
          <w:cols w:space="720"/>
        </w:sectPr>
      </w:pPr>
      <w:r w:rsidRPr="00463667">
        <w:t xml:space="preserve">Measures Collected Through </w:t>
      </w:r>
      <w:r w:rsidRPr="00463667">
        <w:br/>
        <w:t>the CAHPS Health Plan Survey</w:t>
      </w:r>
    </w:p>
    <w:p w14:paraId="55A7276A" w14:textId="77777777" w:rsidR="004C4A28" w:rsidRPr="00463667" w:rsidRDefault="004C4A28" w:rsidP="007304CF">
      <w:pPr>
        <w:pStyle w:val="Heading2"/>
      </w:pPr>
      <w:bookmarkStart w:id="6" w:name="_Toc400546155"/>
      <w:r w:rsidRPr="003F7CDF">
        <w:lastRenderedPageBreak/>
        <w:t>Aspirin Use and Discussion (ASP)</w:t>
      </w:r>
      <w:bookmarkEnd w:id="6"/>
    </w:p>
    <w:p w14:paraId="55A7276B" w14:textId="77777777" w:rsidR="004C4A28" w:rsidRPr="00463667" w:rsidRDefault="004C4A28" w:rsidP="008F735B">
      <w:pPr>
        <w:pStyle w:val="SOC"/>
        <w:rPr>
          <w:i/>
        </w:rPr>
      </w:pPr>
      <w:r w:rsidRPr="00463667">
        <w:t xml:space="preserve">Summary of Changes to HEDIS </w:t>
      </w:r>
      <w:r>
        <w:t>2016</w:t>
      </w:r>
    </w:p>
    <w:p w14:paraId="55A7276C" w14:textId="77777777" w:rsidR="004C4A28" w:rsidRPr="00463667" w:rsidRDefault="004C4A28" w:rsidP="007304CF">
      <w:pPr>
        <w:pStyle w:val="ProcessBullet"/>
      </w:pPr>
      <w:r w:rsidRPr="00463667">
        <w:t xml:space="preserve">This measure is collected using survey methodology. Detailed specifications and summary of changes are contained in </w:t>
      </w:r>
      <w:r w:rsidRPr="00463667">
        <w:rPr>
          <w:i/>
        </w:rPr>
        <w:t xml:space="preserve">HEDIS </w:t>
      </w:r>
      <w:r>
        <w:rPr>
          <w:i/>
        </w:rPr>
        <w:t>2016</w:t>
      </w:r>
      <w:r w:rsidRPr="00463667">
        <w:rPr>
          <w:i/>
        </w:rPr>
        <w:t>, Volume 3: Specifications for Survey Measures.</w:t>
      </w:r>
    </w:p>
    <w:p w14:paraId="55A7276D" w14:textId="77777777" w:rsidR="004C4A28" w:rsidRPr="00463667" w:rsidRDefault="004C4A28" w:rsidP="008F735B">
      <w:pPr>
        <w:pStyle w:val="ReverseHead"/>
      </w:pPr>
      <w:r w:rsidRPr="00463667">
        <w:t xml:space="preserve">Description </w:t>
      </w:r>
    </w:p>
    <w:p w14:paraId="55A7276E" w14:textId="77777777" w:rsidR="004C4A28" w:rsidRPr="00463667" w:rsidRDefault="004C4A28" w:rsidP="007304CF">
      <w:pPr>
        <w:pStyle w:val="Body"/>
      </w:pPr>
      <w:r w:rsidRPr="00463667">
        <w:t xml:space="preserve">The two components of this measure assess different facets of aspirin use management. </w:t>
      </w:r>
    </w:p>
    <w:p w14:paraId="55A7276F" w14:textId="77777777" w:rsidR="004C4A28" w:rsidRPr="00463667" w:rsidRDefault="004C4A28" w:rsidP="007304CF">
      <w:pPr>
        <w:pStyle w:val="Bullet"/>
      </w:pPr>
      <w:r w:rsidRPr="00463667">
        <w:rPr>
          <w:i/>
        </w:rPr>
        <w:t xml:space="preserve">Aspirin Use. </w:t>
      </w:r>
      <w:r w:rsidRPr="00463667">
        <w:t>A rolling average represents the percentage of members who are currently taking aspirin. A single rate is reported for which the denominator includes:</w:t>
      </w:r>
    </w:p>
    <w:p w14:paraId="55A72770" w14:textId="77777777" w:rsidR="004C4A28" w:rsidRPr="00463667" w:rsidRDefault="004C4A28" w:rsidP="007304CF">
      <w:pPr>
        <w:pStyle w:val="Dash"/>
      </w:pPr>
      <w:r w:rsidRPr="00463667">
        <w:t>Women 56–79 years of age with at least two risk factors for cardiovascular disease.</w:t>
      </w:r>
    </w:p>
    <w:p w14:paraId="55A72771" w14:textId="77777777" w:rsidR="004C4A28" w:rsidRPr="00463667" w:rsidRDefault="004C4A28" w:rsidP="007304CF">
      <w:pPr>
        <w:pStyle w:val="Dash"/>
      </w:pPr>
      <w:r w:rsidRPr="00463667">
        <w:t>Men 46–65 years of age with at least one risk factor for cardiovascular disease.</w:t>
      </w:r>
    </w:p>
    <w:p w14:paraId="55A72772" w14:textId="77777777" w:rsidR="004C4A28" w:rsidRPr="00463667" w:rsidRDefault="004C4A28" w:rsidP="007304CF">
      <w:pPr>
        <w:pStyle w:val="Dash"/>
      </w:pPr>
      <w:r w:rsidRPr="00463667">
        <w:t xml:space="preserve">Men 66–79 years of age, regardless of risk factors. </w:t>
      </w:r>
    </w:p>
    <w:p w14:paraId="55A72773" w14:textId="77777777" w:rsidR="004C4A28" w:rsidRPr="00463667" w:rsidRDefault="004C4A28" w:rsidP="007304CF">
      <w:pPr>
        <w:pStyle w:val="Bullet"/>
      </w:pPr>
      <w:r w:rsidRPr="00463667">
        <w:rPr>
          <w:i/>
        </w:rPr>
        <w:t xml:space="preserve">Discussing Aspirin Risks and Benefits. </w:t>
      </w:r>
      <w:r w:rsidRPr="00463667">
        <w:t>A rolling average represents the percentage of members who discussed the risks and benefits of using aspirin with a doctor or other health provider. A single rate is reported for which the denominator includes:</w:t>
      </w:r>
    </w:p>
    <w:p w14:paraId="55A72774" w14:textId="77777777" w:rsidR="004C4A28" w:rsidRPr="00463667" w:rsidRDefault="004C4A28" w:rsidP="007304CF">
      <w:pPr>
        <w:pStyle w:val="Dash"/>
      </w:pPr>
      <w:r w:rsidRPr="00463667">
        <w:t>Women 56–79 years of age.</w:t>
      </w:r>
    </w:p>
    <w:p w14:paraId="55A72775" w14:textId="77777777" w:rsidR="004C4A28" w:rsidRPr="00463667" w:rsidRDefault="004C4A28" w:rsidP="007304CF">
      <w:pPr>
        <w:pStyle w:val="Dash"/>
      </w:pPr>
      <w:r w:rsidRPr="00463667">
        <w:t xml:space="preserve">Men 46–79 years of age. </w:t>
      </w:r>
    </w:p>
    <w:p w14:paraId="55A72776" w14:textId="77777777" w:rsidR="004C4A28" w:rsidRPr="00463667" w:rsidRDefault="004C4A28" w:rsidP="007304CF">
      <w:pPr>
        <w:sectPr w:rsidR="004C4A28" w:rsidRPr="00463667" w:rsidSect="00E67A7B">
          <w:headerReference w:type="even" r:id="rId27"/>
          <w:headerReference w:type="default" r:id="rId28"/>
          <w:footerReference w:type="even" r:id="rId29"/>
          <w:pgSz w:w="12240" w:h="15840" w:code="1"/>
          <w:pgMar w:top="1080" w:right="1080" w:bottom="1080" w:left="1440" w:header="720" w:footer="720" w:gutter="0"/>
          <w:cols w:space="720"/>
        </w:sectPr>
      </w:pPr>
    </w:p>
    <w:p w14:paraId="55A72777" w14:textId="77777777" w:rsidR="004C4A28" w:rsidRPr="00463667" w:rsidRDefault="004C4A28" w:rsidP="007304CF">
      <w:pPr>
        <w:pStyle w:val="Heading2"/>
      </w:pPr>
      <w:bookmarkStart w:id="7" w:name="_Toc400546156"/>
      <w:r w:rsidRPr="003F7CDF">
        <w:lastRenderedPageBreak/>
        <w:t>Flu Vaccinations for Adults Ages 18–64 (FVA)</w:t>
      </w:r>
      <w:bookmarkEnd w:id="7"/>
    </w:p>
    <w:p w14:paraId="55A72778" w14:textId="77777777" w:rsidR="004C4A28" w:rsidRPr="00463667" w:rsidRDefault="004C4A28" w:rsidP="008F735B">
      <w:pPr>
        <w:pStyle w:val="SOC"/>
        <w:rPr>
          <w:i/>
        </w:rPr>
      </w:pPr>
      <w:r w:rsidRPr="00463667">
        <w:t xml:space="preserve">Summary of Changes to HEDIS </w:t>
      </w:r>
      <w:r>
        <w:t>2016</w:t>
      </w:r>
    </w:p>
    <w:p w14:paraId="55A72779" w14:textId="77777777" w:rsidR="004C4A28" w:rsidRPr="00463667" w:rsidRDefault="004C4A28" w:rsidP="007304CF">
      <w:pPr>
        <w:pStyle w:val="ProcessBullet"/>
      </w:pPr>
      <w:r w:rsidRPr="00463667">
        <w:t xml:space="preserve">This measure is collected using survey methodology. Detailed specifications and summary of changes are contained in </w:t>
      </w:r>
      <w:r w:rsidRPr="00463667">
        <w:rPr>
          <w:i/>
        </w:rPr>
        <w:t xml:space="preserve">HEDIS </w:t>
      </w:r>
      <w:r>
        <w:rPr>
          <w:i/>
        </w:rPr>
        <w:t>2016</w:t>
      </w:r>
      <w:r w:rsidRPr="00463667">
        <w:rPr>
          <w:i/>
        </w:rPr>
        <w:t>, Volume 3: Specifications for Survey Measures.</w:t>
      </w:r>
    </w:p>
    <w:p w14:paraId="55A7277A" w14:textId="77777777" w:rsidR="004C4A28" w:rsidRPr="00463667" w:rsidRDefault="004C4A28" w:rsidP="008F735B">
      <w:pPr>
        <w:pStyle w:val="ReverseHead"/>
      </w:pPr>
      <w:r w:rsidRPr="00463667">
        <w:t>Description</w:t>
      </w:r>
    </w:p>
    <w:p w14:paraId="55A7277B" w14:textId="77777777" w:rsidR="004C4A28" w:rsidRPr="00463667" w:rsidRDefault="004C4A28" w:rsidP="007304CF">
      <w:pPr>
        <w:pStyle w:val="Body"/>
      </w:pPr>
      <w:r w:rsidRPr="00463667">
        <w:t>The percentage of commercial and Medicaid members 18–64 years of age who received an influenza vaccination between July 1 of the measurement year and the date when the CAHPS 5.0H survey was completed.</w:t>
      </w:r>
    </w:p>
    <w:p w14:paraId="55A7277C" w14:textId="77777777" w:rsidR="004C4A28" w:rsidRPr="00463667" w:rsidRDefault="004C4A28" w:rsidP="007304CF">
      <w:pPr>
        <w:pStyle w:val="Note"/>
      </w:pPr>
    </w:p>
    <w:p w14:paraId="55A7277D" w14:textId="77777777" w:rsidR="004C4A28" w:rsidRPr="00463667" w:rsidRDefault="004C4A28" w:rsidP="007304CF">
      <w:pPr>
        <w:pStyle w:val="CommentText"/>
        <w:sectPr w:rsidR="004C4A28" w:rsidRPr="00463667" w:rsidSect="00E67A7B">
          <w:headerReference w:type="default" r:id="rId30"/>
          <w:footerReference w:type="default" r:id="rId31"/>
          <w:pgSz w:w="12240" w:h="15840" w:code="1"/>
          <w:pgMar w:top="1080" w:right="1080" w:bottom="1080" w:left="1440" w:header="720" w:footer="720" w:gutter="0"/>
          <w:cols w:space="720"/>
        </w:sectPr>
      </w:pPr>
    </w:p>
    <w:p w14:paraId="55A7277E" w14:textId="77777777" w:rsidR="004C4A28" w:rsidRPr="00463667" w:rsidRDefault="004C4A28" w:rsidP="007304CF">
      <w:pPr>
        <w:pStyle w:val="Heading2"/>
      </w:pPr>
      <w:bookmarkStart w:id="8" w:name="_Toc400546157"/>
      <w:r w:rsidRPr="003F7CDF">
        <w:lastRenderedPageBreak/>
        <w:t>Flu Vaccinations for Adults Ages 65 and Older (FVO)</w:t>
      </w:r>
      <w:bookmarkEnd w:id="8"/>
    </w:p>
    <w:p w14:paraId="55A7277F" w14:textId="77777777" w:rsidR="004C4A28" w:rsidRPr="00463667" w:rsidRDefault="004C4A28" w:rsidP="008F735B">
      <w:pPr>
        <w:pStyle w:val="SOC"/>
        <w:rPr>
          <w:i/>
        </w:rPr>
      </w:pPr>
      <w:r w:rsidRPr="00463667">
        <w:t xml:space="preserve">Summary of Changes to HEDIS </w:t>
      </w:r>
      <w:r>
        <w:t>2016</w:t>
      </w:r>
    </w:p>
    <w:p w14:paraId="55A72780" w14:textId="77777777" w:rsidR="004C4A28" w:rsidRPr="00463667" w:rsidRDefault="004C4A28" w:rsidP="007304CF">
      <w:pPr>
        <w:pStyle w:val="ProcessBullet"/>
      </w:pPr>
      <w:r w:rsidRPr="00463667">
        <w:t xml:space="preserve">This measure is collected using survey methodology. Detailed specifications and summary of changes are contained in </w:t>
      </w:r>
      <w:r w:rsidRPr="00463667">
        <w:rPr>
          <w:i/>
        </w:rPr>
        <w:t xml:space="preserve">HEDIS </w:t>
      </w:r>
      <w:r>
        <w:rPr>
          <w:i/>
        </w:rPr>
        <w:t>2016</w:t>
      </w:r>
      <w:r w:rsidRPr="00463667">
        <w:rPr>
          <w:i/>
        </w:rPr>
        <w:t>, Volume 3: Specifications for Survey Measures.</w:t>
      </w:r>
    </w:p>
    <w:p w14:paraId="55A72781" w14:textId="77777777" w:rsidR="004C4A28" w:rsidRPr="00463667" w:rsidRDefault="004C4A28" w:rsidP="008F735B">
      <w:pPr>
        <w:pStyle w:val="ReverseHead"/>
      </w:pPr>
      <w:r w:rsidRPr="00463667">
        <w:t>Description</w:t>
      </w:r>
    </w:p>
    <w:p w14:paraId="55A72782" w14:textId="77777777" w:rsidR="004C4A28" w:rsidRPr="00463667" w:rsidRDefault="004C4A28" w:rsidP="007304CF">
      <w:pPr>
        <w:pStyle w:val="Body"/>
      </w:pPr>
      <w:r w:rsidRPr="00463667">
        <w:t>The percentage of Medicare members 65 years of age and older who received an influenza vaccination between July 1 of the measurement year and the date when the Medicare CAHPS survey was completed.</w:t>
      </w:r>
    </w:p>
    <w:p w14:paraId="55A72783" w14:textId="77777777" w:rsidR="004C4A28" w:rsidRPr="00463667" w:rsidRDefault="004C4A28" w:rsidP="007304CF">
      <w:pPr>
        <w:pStyle w:val="Note"/>
      </w:pPr>
    </w:p>
    <w:p w14:paraId="55A72784" w14:textId="77777777" w:rsidR="004C4A28" w:rsidRPr="00463667" w:rsidRDefault="004C4A28" w:rsidP="007304CF">
      <w:pPr>
        <w:pStyle w:val="Note"/>
        <w:sectPr w:rsidR="004C4A28" w:rsidRPr="00463667" w:rsidSect="00E67A7B">
          <w:headerReference w:type="even" r:id="rId32"/>
          <w:headerReference w:type="default" r:id="rId33"/>
          <w:footerReference w:type="even" r:id="rId34"/>
          <w:footerReference w:type="default" r:id="rId35"/>
          <w:pgSz w:w="12240" w:h="15840" w:code="1"/>
          <w:pgMar w:top="1080" w:right="1080" w:bottom="1080" w:left="1440" w:header="720" w:footer="720" w:gutter="0"/>
          <w:cols w:space="720"/>
        </w:sectPr>
      </w:pPr>
    </w:p>
    <w:p w14:paraId="55A72785" w14:textId="77777777" w:rsidR="004C4A28" w:rsidRPr="00463667" w:rsidRDefault="004C4A28" w:rsidP="007304CF">
      <w:pPr>
        <w:pStyle w:val="Heading2"/>
      </w:pPr>
      <w:bookmarkStart w:id="9" w:name="_Toc400546158"/>
      <w:r w:rsidRPr="003F7CDF">
        <w:lastRenderedPageBreak/>
        <w:t>Medical Assistance With Smoking and Tobacco Use Cessation (MSC)</w:t>
      </w:r>
      <w:bookmarkEnd w:id="9"/>
    </w:p>
    <w:p w14:paraId="55A72786" w14:textId="77777777" w:rsidR="004C4A28" w:rsidRPr="00463667" w:rsidRDefault="004C4A28" w:rsidP="008F735B">
      <w:pPr>
        <w:pStyle w:val="SOC"/>
        <w:rPr>
          <w:i/>
        </w:rPr>
      </w:pPr>
      <w:r w:rsidRPr="00463667">
        <w:t xml:space="preserve">Summary of Changes to HEDIS </w:t>
      </w:r>
      <w:r>
        <w:t>2016</w:t>
      </w:r>
    </w:p>
    <w:p w14:paraId="55A72787" w14:textId="77777777" w:rsidR="004C4A28" w:rsidRPr="00463667" w:rsidRDefault="004C4A28" w:rsidP="007304CF">
      <w:pPr>
        <w:pStyle w:val="ProcessBullet"/>
      </w:pPr>
      <w:r w:rsidRPr="00463667">
        <w:t xml:space="preserve">This measure is collected using survey methodology. Detailed specifications and summary of changes are contained in </w:t>
      </w:r>
      <w:r w:rsidRPr="00463667">
        <w:rPr>
          <w:i/>
        </w:rPr>
        <w:t xml:space="preserve">HEDIS </w:t>
      </w:r>
      <w:r>
        <w:rPr>
          <w:i/>
        </w:rPr>
        <w:t>2016</w:t>
      </w:r>
      <w:r w:rsidRPr="00463667">
        <w:rPr>
          <w:i/>
        </w:rPr>
        <w:t>, Volume 3: Specifications for Survey Measures.</w:t>
      </w:r>
    </w:p>
    <w:p w14:paraId="55A72788" w14:textId="77777777" w:rsidR="004C4A28" w:rsidRPr="00463667" w:rsidRDefault="004C4A28" w:rsidP="008F735B">
      <w:pPr>
        <w:pStyle w:val="ReverseHead"/>
      </w:pPr>
      <w:r w:rsidRPr="00463667">
        <w:t>Description</w:t>
      </w:r>
    </w:p>
    <w:p w14:paraId="55A72789" w14:textId="77777777" w:rsidR="004C4A28" w:rsidRPr="00463667" w:rsidRDefault="004C4A28" w:rsidP="007304CF">
      <w:pPr>
        <w:pStyle w:val="Body"/>
      </w:pPr>
      <w:r w:rsidRPr="00463667">
        <w:t>The three components of this measure assess different facets of providing medical assistance with smoking and tobacco use cessation.</w:t>
      </w:r>
    </w:p>
    <w:p w14:paraId="55A7278A" w14:textId="77777777" w:rsidR="004C4A28" w:rsidRPr="00463667" w:rsidRDefault="004C4A28" w:rsidP="007304CF">
      <w:pPr>
        <w:pStyle w:val="Bullet"/>
      </w:pPr>
      <w:r w:rsidRPr="00463667">
        <w:rPr>
          <w:i/>
        </w:rPr>
        <w:t>Advising Smokers and Tobacco Users to Quit.</w:t>
      </w:r>
      <w:r w:rsidRPr="00463667">
        <w:t xml:space="preserve"> A rolling average represents the percentage of members 18 years of age and older who are current smokers or tobacco users and who received cessation advice during the measurement year.</w:t>
      </w:r>
    </w:p>
    <w:p w14:paraId="55A7278B" w14:textId="77777777" w:rsidR="004C4A28" w:rsidRPr="00463667" w:rsidRDefault="004C4A28" w:rsidP="007304CF">
      <w:pPr>
        <w:pStyle w:val="Bullet"/>
      </w:pPr>
      <w:r w:rsidRPr="00463667">
        <w:rPr>
          <w:i/>
        </w:rPr>
        <w:t xml:space="preserve">Discussing Cessation Medications. </w:t>
      </w:r>
      <w:r w:rsidRPr="00463667">
        <w:t>A rolling average represents the percentage of members 18 years of age and older who are current smokers or tobacco users and who discussed or were recommended cessation medications during the measurement year.</w:t>
      </w:r>
    </w:p>
    <w:p w14:paraId="55A7278C" w14:textId="77777777" w:rsidR="004C4A28" w:rsidRPr="00463667" w:rsidRDefault="004C4A28" w:rsidP="007304CF">
      <w:pPr>
        <w:pStyle w:val="Bullet"/>
      </w:pPr>
      <w:r w:rsidRPr="00463667">
        <w:rPr>
          <w:i/>
        </w:rPr>
        <w:t>Discussing Cessation Strategies.</w:t>
      </w:r>
      <w:r w:rsidRPr="00463667">
        <w:t xml:space="preserve"> A rolling average represents the percentage of members 18 years of age and older who are current smokers or tobacco users who discussed or were provided cessation methods or strategies during the measurement year.</w:t>
      </w:r>
    </w:p>
    <w:p w14:paraId="55A7278D" w14:textId="77777777" w:rsidR="004C4A28" w:rsidRPr="00463667" w:rsidRDefault="004C4A28" w:rsidP="007304CF">
      <w:pPr>
        <w:pStyle w:val="Note"/>
      </w:pPr>
    </w:p>
    <w:p w14:paraId="55A7278E" w14:textId="77777777" w:rsidR="004C4A28" w:rsidRPr="00463667" w:rsidRDefault="004C4A28" w:rsidP="007304CF">
      <w:pPr>
        <w:pStyle w:val="Note"/>
        <w:sectPr w:rsidR="004C4A28" w:rsidRPr="00463667" w:rsidSect="00E67A7B">
          <w:headerReference w:type="even" r:id="rId36"/>
          <w:headerReference w:type="default" r:id="rId37"/>
          <w:pgSz w:w="12240" w:h="15840" w:code="1"/>
          <w:pgMar w:top="1080" w:right="1080" w:bottom="1080" w:left="1440" w:header="720" w:footer="720" w:gutter="0"/>
          <w:cols w:space="720"/>
        </w:sectPr>
      </w:pPr>
    </w:p>
    <w:p w14:paraId="55A7278F" w14:textId="77777777" w:rsidR="004C4A28" w:rsidRPr="00463667" w:rsidRDefault="004C4A28" w:rsidP="007304CF">
      <w:pPr>
        <w:pStyle w:val="Heading2"/>
      </w:pPr>
      <w:bookmarkStart w:id="10" w:name="_Toc400546159"/>
      <w:r w:rsidRPr="003F7CDF">
        <w:lastRenderedPageBreak/>
        <w:t>Pneumococcal Vaccination Status for Older Adults (PNU)</w:t>
      </w:r>
      <w:bookmarkEnd w:id="10"/>
    </w:p>
    <w:p w14:paraId="55A72790" w14:textId="77777777" w:rsidR="004C4A28" w:rsidRPr="00463667" w:rsidRDefault="004C4A28" w:rsidP="008F735B">
      <w:pPr>
        <w:pStyle w:val="SOC"/>
        <w:rPr>
          <w:i/>
        </w:rPr>
      </w:pPr>
      <w:r w:rsidRPr="00463667">
        <w:t xml:space="preserve">Summary of Changes to HEDIS </w:t>
      </w:r>
      <w:r>
        <w:t>2016</w:t>
      </w:r>
    </w:p>
    <w:p w14:paraId="55A72791" w14:textId="77777777" w:rsidR="004C4A28" w:rsidRPr="00463667" w:rsidRDefault="004C4A28" w:rsidP="007304CF">
      <w:pPr>
        <w:pStyle w:val="ProcessBullet"/>
      </w:pPr>
      <w:r w:rsidRPr="00463667">
        <w:t xml:space="preserve">This measure is collected using survey methodology. Detailed specifications and summary of changes are contained in </w:t>
      </w:r>
      <w:r w:rsidRPr="00463667">
        <w:rPr>
          <w:i/>
        </w:rPr>
        <w:t xml:space="preserve">HEDIS </w:t>
      </w:r>
      <w:r>
        <w:rPr>
          <w:i/>
        </w:rPr>
        <w:t>2016</w:t>
      </w:r>
      <w:r w:rsidRPr="00463667">
        <w:rPr>
          <w:i/>
        </w:rPr>
        <w:t>, Volume 3: Specifications for Survey Measures.</w:t>
      </w:r>
    </w:p>
    <w:p w14:paraId="55A72792" w14:textId="77777777" w:rsidR="004C4A28" w:rsidRPr="00463667" w:rsidRDefault="004C4A28" w:rsidP="008F735B">
      <w:pPr>
        <w:pStyle w:val="ReverseHead"/>
      </w:pPr>
      <w:r w:rsidRPr="00463667">
        <w:t>Description</w:t>
      </w:r>
    </w:p>
    <w:p w14:paraId="55A72793" w14:textId="77777777" w:rsidR="004C4A28" w:rsidRPr="00463667" w:rsidRDefault="004C4A28" w:rsidP="007304CF">
      <w:pPr>
        <w:pStyle w:val="Body"/>
      </w:pPr>
      <w:r w:rsidRPr="00463667">
        <w:t>The percentage of Medicare members 65 years of age and older who have ever received a pneumococcal vaccine.</w:t>
      </w:r>
    </w:p>
    <w:p w14:paraId="55A72794" w14:textId="77777777" w:rsidR="004C4A28" w:rsidRDefault="004C4A28"/>
    <w:p w14:paraId="55A72795" w14:textId="77777777" w:rsidR="0018116B" w:rsidRDefault="0018116B"/>
    <w:sectPr w:rsidR="0018116B" w:rsidSect="00E67A7B">
      <w:headerReference w:type="even" r:id="rId38"/>
      <w:pgSz w:w="12240" w:h="15840" w:code="1"/>
      <w:pgMar w:top="1080" w:right="108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72798" w14:textId="77777777" w:rsidR="00B12293" w:rsidRDefault="00E67A7B">
      <w:r>
        <w:separator/>
      </w:r>
    </w:p>
  </w:endnote>
  <w:endnote w:type="continuationSeparator" w:id="0">
    <w:p w14:paraId="55A72799" w14:textId="77777777" w:rsidR="00B12293" w:rsidRDefault="00E67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9D" w14:textId="77777777" w:rsidR="00E67A7B" w:rsidRDefault="00E67A7B">
    <w:pPr>
      <w:pStyle w:val="Footer"/>
    </w:pPr>
    <w:r>
      <w:t>HEDIS 2016, Volume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A0" w14:textId="77777777" w:rsidR="00E46945" w:rsidRPr="008713D4" w:rsidRDefault="004C4A28" w:rsidP="00F578E0">
    <w:pPr>
      <w:pStyle w:val="Footer"/>
      <w:jc w:val="right"/>
    </w:pPr>
    <w:r>
      <w:t xml:space="preserve">HEDIS </w:t>
    </w:r>
    <w:r>
      <w:rPr>
        <w:iCs/>
      </w:rPr>
      <w:t>2016</w:t>
    </w:r>
    <w:r>
      <w:t>, Volume 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A9" w14:textId="77777777" w:rsidR="00E46945" w:rsidRPr="00F46FF8" w:rsidRDefault="00D32449" w:rsidP="00F578E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AA" w14:textId="77777777" w:rsidR="00E46945" w:rsidRPr="00C64D1D" w:rsidRDefault="00D32449" w:rsidP="00F578E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AD" w14:textId="77777777" w:rsidR="00E46945" w:rsidRPr="00F46FF8" w:rsidRDefault="004C4A28" w:rsidP="00F578E0">
    <w:pPr>
      <w:pStyle w:val="Footer"/>
    </w:pPr>
    <w:r>
      <w:t xml:space="preserve">HEDIS </w:t>
    </w:r>
    <w:r>
      <w:rPr>
        <w:iCs/>
        <w:smallCaps/>
      </w:rPr>
      <w:t>2016</w:t>
    </w:r>
    <w:r>
      <w:t>, Volume 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AF" w14:textId="77777777" w:rsidR="00E46945" w:rsidRPr="00C64D1D" w:rsidRDefault="004C4A28" w:rsidP="00F578E0">
    <w:pPr>
      <w:pStyle w:val="Footer"/>
      <w:jc w:val="right"/>
    </w:pPr>
    <w:r>
      <w:t xml:space="preserve">HEDIS </w:t>
    </w:r>
    <w:r>
      <w:rPr>
        <w:iCs/>
        <w:smallCaps/>
      </w:rPr>
      <w:t>2016</w:t>
    </w:r>
    <w:r>
      <w:t>, Volume 2</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B2" w14:textId="77777777" w:rsidR="00E46945" w:rsidRDefault="004C4A28">
    <w:pPr>
      <w:pStyle w:val="Footer"/>
    </w:pPr>
    <w:r>
      <w:t xml:space="preserve">HEDIS </w:t>
    </w:r>
    <w:r>
      <w:rPr>
        <w:iCs/>
      </w:rPr>
      <w:t>2016</w:t>
    </w:r>
    <w:r>
      <w:t>, Volume 2</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B3" w14:textId="77777777" w:rsidR="00E46945" w:rsidRPr="00C64D1D" w:rsidRDefault="004C4A28" w:rsidP="00F578E0">
    <w:pPr>
      <w:pStyle w:val="Footer"/>
      <w:jc w:val="right"/>
    </w:pPr>
    <w:r>
      <w:t xml:space="preserve">HEDIS </w:t>
    </w:r>
    <w:r>
      <w:rPr>
        <w:iCs/>
      </w:rPr>
      <w:t>2016</w:t>
    </w:r>
    <w:r>
      <w:t>, Volume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72796" w14:textId="77777777" w:rsidR="00B12293" w:rsidRDefault="00E67A7B">
      <w:r>
        <w:separator/>
      </w:r>
    </w:p>
  </w:footnote>
  <w:footnote w:type="continuationSeparator" w:id="0">
    <w:p w14:paraId="55A72797" w14:textId="77777777" w:rsidR="00B12293" w:rsidRDefault="00E67A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9A" w14:textId="77777777" w:rsidR="00E46945" w:rsidRDefault="004C4A28">
    <w:pPr>
      <w:pStyle w:val="Header"/>
      <w:tabs>
        <w:tab w:val="left" w:pos="720"/>
      </w:tabs>
    </w:pPr>
    <w:r>
      <w:fldChar w:fldCharType="begin"/>
    </w:r>
    <w:r>
      <w:instrText xml:space="preserve"> PAGE </w:instrText>
    </w:r>
    <w:r>
      <w:fldChar w:fldCharType="separate"/>
    </w:r>
    <w:r>
      <w:rPr>
        <w:noProof/>
      </w:rPr>
      <w:t>224</w:t>
    </w:r>
    <w:r>
      <w:rPr>
        <w:noProof/>
      </w:rPr>
      <w:fldChar w:fldCharType="end"/>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A5" w14:textId="77777777" w:rsidR="00E46945" w:rsidRDefault="004C4A28">
    <w:pPr>
      <w:pStyle w:val="Header"/>
      <w:tabs>
        <w:tab w:val="left" w:pos="720"/>
      </w:tabs>
    </w:pPr>
    <w:r>
      <w:fldChar w:fldCharType="begin"/>
    </w:r>
    <w:r>
      <w:instrText xml:space="preserve"> PAGE </w:instrText>
    </w:r>
    <w:r>
      <w:fldChar w:fldCharType="separate"/>
    </w:r>
    <w:r w:rsidR="00D32449">
      <w:rPr>
        <w:noProof/>
      </w:rPr>
      <w:t>232</w:t>
    </w:r>
    <w:r>
      <w:rPr>
        <w:noProof/>
      </w:rPr>
      <w:fldChar w:fldCharType="end"/>
    </w:r>
    <w:r>
      <w:t xml:space="preserve"> </w:t>
    </w:r>
    <w:r>
      <w:tab/>
      <w:t>Physical Activity in Older Adults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A6" w14:textId="77777777" w:rsidR="00E46945" w:rsidRDefault="004C4A28">
    <w:pPr>
      <w:pStyle w:val="Header"/>
      <w:rPr>
        <w:sz w:val="22"/>
      </w:rPr>
    </w:pPr>
    <w:r>
      <w:tab/>
      <w:t xml:space="preserve"> Physical Activity in Older Adults</w:t>
    </w:r>
    <w:r>
      <w:tab/>
    </w:r>
    <w:r>
      <w:fldChar w:fldCharType="begin"/>
    </w:r>
    <w:r>
      <w:instrText xml:space="preserve"> PAGE </w:instrText>
    </w:r>
    <w:r>
      <w:fldChar w:fldCharType="separate"/>
    </w:r>
    <w:r w:rsidR="004A5FA6">
      <w:rPr>
        <w:noProof/>
      </w:rPr>
      <w:t>6</w:t>
    </w:r>
    <w:r>
      <w:rPr>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A7" w14:textId="77777777" w:rsidR="00E46945" w:rsidRPr="00F46FF8" w:rsidRDefault="00D32449" w:rsidP="00F578E0"/>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A8" w14:textId="77777777" w:rsidR="00E46945" w:rsidRPr="00E5502C" w:rsidRDefault="00D32449" w:rsidP="00F578E0"/>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AB" w14:textId="77777777" w:rsidR="00E46945" w:rsidRDefault="004C4A28">
    <w:pPr>
      <w:pStyle w:val="Header"/>
      <w:tabs>
        <w:tab w:val="left" w:pos="720"/>
      </w:tabs>
    </w:pPr>
    <w:r>
      <w:fldChar w:fldCharType="begin"/>
    </w:r>
    <w:r>
      <w:instrText xml:space="preserve"> PAGE </w:instrText>
    </w:r>
    <w:r>
      <w:fldChar w:fldCharType="separate"/>
    </w:r>
    <w:r w:rsidR="00D32449">
      <w:rPr>
        <w:noProof/>
      </w:rPr>
      <w:t>234</w:t>
    </w:r>
    <w:r>
      <w:rPr>
        <w:noProof/>
      </w:rPr>
      <w:fldChar w:fldCharType="end"/>
    </w:r>
    <w:r>
      <w:tab/>
      <w:t>Aspirin Use and Discussion</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AC" w14:textId="77777777" w:rsidR="00E46945" w:rsidRDefault="004C4A28">
    <w:pPr>
      <w:pStyle w:val="Header"/>
      <w:rPr>
        <w:sz w:val="22"/>
      </w:rPr>
    </w:pPr>
    <w:r>
      <w:tab/>
      <w:t xml:space="preserve"> Flu Shots for Adults Ages 50–64</w:t>
    </w:r>
    <w:r>
      <w:tab/>
    </w:r>
    <w:r>
      <w:fldChar w:fldCharType="begin"/>
    </w:r>
    <w:r>
      <w:instrText xml:space="preserve"> PAGE </w:instrText>
    </w:r>
    <w:r>
      <w:fldChar w:fldCharType="separate"/>
    </w:r>
    <w:r w:rsidR="004A5FA6">
      <w:rPr>
        <w:noProof/>
      </w:rPr>
      <w:t>8</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AE" w14:textId="77777777" w:rsidR="00E46945" w:rsidRDefault="004C4A28">
    <w:pPr>
      <w:pStyle w:val="Header"/>
      <w:rPr>
        <w:sz w:val="22"/>
      </w:rPr>
    </w:pPr>
    <w:r>
      <w:tab/>
    </w:r>
    <w:r w:rsidRPr="002229CA">
      <w:t>Flu Vaccinations for Adults Ages 18–64</w:t>
    </w:r>
    <w:r>
      <w:tab/>
    </w:r>
    <w:r>
      <w:fldChar w:fldCharType="begin"/>
    </w:r>
    <w:r>
      <w:instrText xml:space="preserve"> PAGE </w:instrText>
    </w:r>
    <w:r>
      <w:fldChar w:fldCharType="separate"/>
    </w:r>
    <w:r w:rsidR="00D32449">
      <w:rPr>
        <w:noProof/>
      </w:rPr>
      <w:t>235</w:t>
    </w:r>
    <w:r>
      <w:rPr>
        <w:noProof/>
      </w:rP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B0" w14:textId="77777777" w:rsidR="00E46945" w:rsidRDefault="004C4A28">
    <w:pPr>
      <w:pStyle w:val="Header"/>
      <w:tabs>
        <w:tab w:val="left" w:pos="720"/>
      </w:tabs>
    </w:pPr>
    <w:r>
      <w:fldChar w:fldCharType="begin"/>
    </w:r>
    <w:r>
      <w:instrText xml:space="preserve"> PAGE </w:instrText>
    </w:r>
    <w:r>
      <w:fldChar w:fldCharType="separate"/>
    </w:r>
    <w:r w:rsidR="00D32449">
      <w:rPr>
        <w:noProof/>
      </w:rPr>
      <w:t>236</w:t>
    </w:r>
    <w:r>
      <w:rPr>
        <w:noProof/>
      </w:rPr>
      <w:fldChar w:fldCharType="end"/>
    </w:r>
    <w:r>
      <w:tab/>
    </w:r>
    <w:r w:rsidRPr="002229CA">
      <w:t>Flu Vaccinations for Adults Ages 65 and Older</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B1" w14:textId="77777777" w:rsidR="00E46945" w:rsidRDefault="004C4A28">
    <w:pPr>
      <w:pStyle w:val="Header"/>
      <w:rPr>
        <w:sz w:val="22"/>
      </w:rPr>
    </w:pPr>
    <w:r>
      <w:tab/>
      <w:t xml:space="preserve"> Flu Shots for Older Adults</w:t>
    </w:r>
    <w:r>
      <w:tab/>
    </w:r>
    <w:r>
      <w:fldChar w:fldCharType="begin"/>
    </w:r>
    <w:r>
      <w:instrText xml:space="preserve"> PAGE </w:instrText>
    </w:r>
    <w:r>
      <w:fldChar w:fldCharType="separate"/>
    </w:r>
    <w:r w:rsidR="004A5FA6">
      <w:rPr>
        <w:noProof/>
      </w:rPr>
      <w:t>10</w:t>
    </w:r>
    <w:r>
      <w:rPr>
        <w:noProof/>
      </w:rP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B4" w14:textId="77777777" w:rsidR="00E46945" w:rsidRDefault="004C4A28">
    <w:pPr>
      <w:pStyle w:val="Header"/>
      <w:tabs>
        <w:tab w:val="left" w:pos="720"/>
      </w:tabs>
    </w:pPr>
    <w:r>
      <w:fldChar w:fldCharType="begin"/>
    </w:r>
    <w:r>
      <w:instrText xml:space="preserve"> PAGE </w:instrText>
    </w:r>
    <w:r>
      <w:fldChar w:fldCharType="separate"/>
    </w:r>
    <w:r w:rsidR="009C079F">
      <w:rPr>
        <w:noProof/>
      </w:rPr>
      <w:t>238</w:t>
    </w:r>
    <w:r>
      <w:rPr>
        <w:noProof/>
      </w:rPr>
      <w:fldChar w:fldCharType="end"/>
    </w:r>
    <w:r>
      <w:tab/>
      <w:t>Medical Assistance With Smoking Cessation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9B" w14:textId="77777777" w:rsidR="00E46945" w:rsidRDefault="004C4A28">
    <w:pPr>
      <w:pStyle w:val="Header"/>
      <w:tabs>
        <w:tab w:val="left" w:pos="720"/>
      </w:tabs>
    </w:pPr>
    <w:r>
      <w:fldChar w:fldCharType="begin"/>
    </w:r>
    <w:r>
      <w:instrText xml:space="preserve"> PAGE </w:instrText>
    </w:r>
    <w:r>
      <w:fldChar w:fldCharType="separate"/>
    </w:r>
    <w:r w:rsidR="00D32449">
      <w:rPr>
        <w:noProof/>
      </w:rPr>
      <w:t>228</w:t>
    </w:r>
    <w:r>
      <w:rPr>
        <w:noProof/>
      </w:rPr>
      <w:fldChar w:fldCharType="end"/>
    </w:r>
    <w:r>
      <w:t xml:space="preserve"> </w:t>
    </w:r>
    <w:r>
      <w:tab/>
      <w:t>Medicare Health Outcomes Survey</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B5" w14:textId="77777777" w:rsidR="00E46945" w:rsidRDefault="004C4A28">
    <w:pPr>
      <w:pStyle w:val="Header"/>
      <w:rPr>
        <w:sz w:val="22"/>
      </w:rPr>
    </w:pPr>
    <w:r>
      <w:tab/>
    </w:r>
    <w:r w:rsidRPr="005F74DC">
      <w:t>Medical Assistance With Smoking</w:t>
    </w:r>
    <w:r>
      <w:t xml:space="preserve"> and Tobacco Use</w:t>
    </w:r>
    <w:r w:rsidRPr="005F74DC">
      <w:t xml:space="preserve"> Cessation</w:t>
    </w:r>
    <w:r>
      <w:tab/>
    </w:r>
    <w:r>
      <w:fldChar w:fldCharType="begin"/>
    </w:r>
    <w:r>
      <w:instrText xml:space="preserve"> PAGE </w:instrText>
    </w:r>
    <w:r>
      <w:fldChar w:fldCharType="separate"/>
    </w:r>
    <w:r w:rsidR="00D32449">
      <w:rPr>
        <w:noProof/>
      </w:rPr>
      <w:t>237</w:t>
    </w:r>
    <w:r>
      <w:rPr>
        <w:noProof/>
      </w:rP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170F1" w14:textId="0D215572" w:rsidR="009C079F" w:rsidRDefault="009C079F">
    <w:pPr>
      <w:pStyle w:val="Header"/>
      <w:tabs>
        <w:tab w:val="left" w:pos="720"/>
      </w:tabs>
    </w:pPr>
    <w:r>
      <w:fldChar w:fldCharType="begin"/>
    </w:r>
    <w:r>
      <w:instrText xml:space="preserve"> PAGE </w:instrText>
    </w:r>
    <w:r>
      <w:fldChar w:fldCharType="separate"/>
    </w:r>
    <w:r w:rsidR="00D32449">
      <w:rPr>
        <w:noProof/>
      </w:rPr>
      <w:t>238</w:t>
    </w:r>
    <w:r>
      <w:rPr>
        <w:noProof/>
      </w:rPr>
      <w:fldChar w:fldCharType="end"/>
    </w:r>
    <w:r>
      <w:tab/>
      <w:t>Pneumococcal Vaccination Status for Older Adults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9C" w14:textId="77777777" w:rsidR="00E46945" w:rsidRDefault="004C4A28">
    <w:pPr>
      <w:pStyle w:val="Header"/>
      <w:rPr>
        <w:sz w:val="22"/>
      </w:rPr>
    </w:pPr>
    <w:r>
      <w:tab/>
      <w:t xml:space="preserve"> The Medicare Health Outcomes Survey</w:t>
    </w:r>
    <w:r>
      <w:tab/>
    </w:r>
    <w:r>
      <w:fldChar w:fldCharType="begin"/>
    </w:r>
    <w:r>
      <w:instrText xml:space="preserve"> PAGE </w:instrText>
    </w:r>
    <w:r>
      <w:fldChar w:fldCharType="separate"/>
    </w:r>
    <w:r w:rsidR="004A5FA6">
      <w:rPr>
        <w:noProof/>
      </w:rPr>
      <w:t>2</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9E" w14:textId="77777777" w:rsidR="00E46945" w:rsidRDefault="004C4A28">
    <w:pPr>
      <w:pStyle w:val="Header"/>
      <w:tabs>
        <w:tab w:val="left" w:pos="720"/>
      </w:tabs>
    </w:pPr>
    <w:r>
      <w:fldChar w:fldCharType="begin"/>
    </w:r>
    <w:r>
      <w:instrText xml:space="preserve"> PAGE </w:instrText>
    </w:r>
    <w:r>
      <w:fldChar w:fldCharType="separate"/>
    </w:r>
    <w:r>
      <w:rPr>
        <w:noProof/>
      </w:rPr>
      <w:t>226</w:t>
    </w:r>
    <w:r>
      <w:rPr>
        <w:noProof/>
      </w:rPr>
      <w:fldChar w:fldCharType="end"/>
    </w:r>
    <w:r>
      <w:t xml:space="preserve"> </w:t>
    </w:r>
    <w:r>
      <w:tab/>
      <w:t xml:space="preserve">Fall Risk Management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9F" w14:textId="77777777" w:rsidR="00E46945" w:rsidRDefault="004C4A28">
    <w:pPr>
      <w:pStyle w:val="Header"/>
      <w:rPr>
        <w:sz w:val="22"/>
      </w:rPr>
    </w:pPr>
    <w:r>
      <w:tab/>
    </w:r>
    <w:r w:rsidRPr="00F76AA1">
      <w:t>Fall Risk Management</w:t>
    </w:r>
    <w:r>
      <w:tab/>
    </w:r>
    <w:r>
      <w:fldChar w:fldCharType="begin"/>
    </w:r>
    <w:r>
      <w:instrText xml:space="preserve"> PAGE </w:instrText>
    </w:r>
    <w:r>
      <w:fldChar w:fldCharType="separate"/>
    </w:r>
    <w:r w:rsidR="00D32449">
      <w:rPr>
        <w:noProof/>
      </w:rPr>
      <w:t>229</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A1" w14:textId="77777777" w:rsidR="00E46945" w:rsidRDefault="004C4A28">
    <w:pPr>
      <w:pStyle w:val="Header"/>
      <w:tabs>
        <w:tab w:val="left" w:pos="720"/>
      </w:tabs>
    </w:pPr>
    <w:r>
      <w:fldChar w:fldCharType="begin"/>
    </w:r>
    <w:r>
      <w:instrText xml:space="preserve"> PAGE </w:instrText>
    </w:r>
    <w:r>
      <w:fldChar w:fldCharType="separate"/>
    </w:r>
    <w:r w:rsidR="00D32449">
      <w:rPr>
        <w:noProof/>
      </w:rPr>
      <w:t>230</w:t>
    </w:r>
    <w:r>
      <w:rPr>
        <w:noProof/>
      </w:rPr>
      <w:fldChar w:fldCharType="end"/>
    </w:r>
    <w:r>
      <w:t xml:space="preserve"> </w:t>
    </w:r>
    <w:r>
      <w:tab/>
      <w:t>Management of Urinary Incontinence in Older Adults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A2" w14:textId="77777777" w:rsidR="00E46945" w:rsidRDefault="004C4A28">
    <w:pPr>
      <w:pStyle w:val="Header"/>
      <w:rPr>
        <w:sz w:val="22"/>
      </w:rPr>
    </w:pPr>
    <w:r>
      <w:tab/>
      <w:t xml:space="preserve"> Management of Urinary Incontinence in Older Adults</w:t>
    </w:r>
    <w:r>
      <w:tab/>
    </w:r>
    <w:r>
      <w:fldChar w:fldCharType="begin"/>
    </w:r>
    <w:r>
      <w:instrText xml:space="preserve"> PAGE </w:instrText>
    </w:r>
    <w:r>
      <w:fldChar w:fldCharType="separate"/>
    </w:r>
    <w:r w:rsidR="004A5FA6">
      <w:rPr>
        <w:noProof/>
      </w:rPr>
      <w:t>4</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A3" w14:textId="77777777" w:rsidR="00E46945" w:rsidRDefault="004C4A28">
    <w:pPr>
      <w:pStyle w:val="Header"/>
      <w:tabs>
        <w:tab w:val="left" w:pos="720"/>
      </w:tabs>
    </w:pPr>
    <w:r>
      <w:fldChar w:fldCharType="begin"/>
    </w:r>
    <w:r>
      <w:instrText xml:space="preserve"> PAGE </w:instrText>
    </w:r>
    <w:r>
      <w:fldChar w:fldCharType="separate"/>
    </w:r>
    <w:r>
      <w:rPr>
        <w:noProof/>
      </w:rPr>
      <w:t>228</w:t>
    </w:r>
    <w:r>
      <w:rPr>
        <w:noProof/>
      </w:rPr>
      <w:fldChar w:fldCharType="end"/>
    </w:r>
    <w:r>
      <w:t xml:space="preserve"> </w:t>
    </w:r>
    <w:r>
      <w:tab/>
      <w:t>Osteoporosis Testing in Older Women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727A4" w14:textId="77777777" w:rsidR="00E46945" w:rsidRDefault="004C4A28">
    <w:pPr>
      <w:pStyle w:val="Header"/>
      <w:rPr>
        <w:sz w:val="22"/>
      </w:rPr>
    </w:pPr>
    <w:r>
      <w:tab/>
      <w:t xml:space="preserve"> Osteoporosis Testing in Older Women</w:t>
    </w:r>
    <w:r>
      <w:tab/>
    </w:r>
    <w:r>
      <w:fldChar w:fldCharType="begin"/>
    </w:r>
    <w:r>
      <w:instrText xml:space="preserve"> PAGE </w:instrText>
    </w:r>
    <w:r>
      <w:fldChar w:fldCharType="separate"/>
    </w:r>
    <w:r w:rsidR="00D32449">
      <w:rPr>
        <w:noProof/>
      </w:rPr>
      <w:t>231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27485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5CD6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9C80E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8278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EF0860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68433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0CEA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2261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F6DE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64B7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1634E1"/>
    <w:multiLevelType w:val="hybridMultilevel"/>
    <w:tmpl w:val="A2D68078"/>
    <w:lvl w:ilvl="0" w:tplc="707CB0F4">
      <w:start w:val="1"/>
      <w:numFmt w:val="bullet"/>
      <w:pStyle w:val="Table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163AC4"/>
    <w:multiLevelType w:val="hybridMultilevel"/>
    <w:tmpl w:val="415A83FA"/>
    <w:lvl w:ilvl="0" w:tplc="BFB07F1E">
      <w:start w:val="1"/>
      <w:numFmt w:val="bullet"/>
      <w:pStyle w:val="Dash"/>
      <w:lvlText w:val="–"/>
      <w:lvlJc w:val="left"/>
      <w:pPr>
        <w:tabs>
          <w:tab w:val="num" w:pos="792"/>
        </w:tabs>
        <w:ind w:left="79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914FBF"/>
    <w:multiLevelType w:val="hybridMultilevel"/>
    <w:tmpl w:val="25628A82"/>
    <w:lvl w:ilvl="0" w:tplc="46CECBE2">
      <w:start w:val="1"/>
      <w:numFmt w:val="bullet"/>
      <w:pStyle w:val="Process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923DD5"/>
    <w:multiLevelType w:val="hybridMultilevel"/>
    <w:tmpl w:val="9DAEA6B4"/>
    <w:lvl w:ilvl="0" w:tplc="7D580F96">
      <w:start w:val="1"/>
      <w:numFmt w:val="bullet"/>
      <w:pStyle w:val="Table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346E40"/>
    <w:multiLevelType w:val="hybridMultilevel"/>
    <w:tmpl w:val="588681AE"/>
    <w:lvl w:ilvl="0" w:tplc="2A3C8A1A">
      <w:start w:val="1"/>
      <w:numFmt w:val="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6C709B"/>
    <w:multiLevelType w:val="hybridMultilevel"/>
    <w:tmpl w:val="51164F52"/>
    <w:lvl w:ilvl="0" w:tplc="D6E259D4">
      <w:start w:val="1"/>
      <w:numFmt w:val="bullet"/>
      <w:pStyle w:val="Process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A32050A"/>
    <w:multiLevelType w:val="hybridMultilevel"/>
    <w:tmpl w:val="136EBDBA"/>
    <w:lvl w:ilvl="0" w:tplc="84C4D046">
      <w:start w:val="1"/>
      <w:numFmt w:val="bullet"/>
      <w:pStyle w:val="Bullet"/>
      <w:lvlText w:val=""/>
      <w:lvlJc w:val="left"/>
      <w:pPr>
        <w:tabs>
          <w:tab w:val="num" w:pos="576"/>
        </w:tabs>
        <w:ind w:left="936" w:hanging="216"/>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6"/>
  </w:num>
  <w:num w:numId="3">
    <w:abstractNumId w:val="11"/>
  </w:num>
  <w:num w:numId="4">
    <w:abstractNumId w:val="14"/>
  </w:num>
  <w:num w:numId="5">
    <w:abstractNumId w:val="10"/>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20"/>
  <w:mirrorMargins/>
  <w:proofState w:spelling="clean"/>
  <w:attachedTemplate r:id="rId1"/>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A28"/>
    <w:rsid w:val="0018116B"/>
    <w:rsid w:val="003A2009"/>
    <w:rsid w:val="003E1B81"/>
    <w:rsid w:val="004A5FA6"/>
    <w:rsid w:val="004C4A28"/>
    <w:rsid w:val="00562A42"/>
    <w:rsid w:val="005A5949"/>
    <w:rsid w:val="007342CC"/>
    <w:rsid w:val="0079752C"/>
    <w:rsid w:val="009C079F"/>
    <w:rsid w:val="00B12293"/>
    <w:rsid w:val="00CE40E7"/>
    <w:rsid w:val="00D32449"/>
    <w:rsid w:val="00DE59C2"/>
    <w:rsid w:val="00E67A7B"/>
    <w:rsid w:val="00F4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2730"/>
  <w15:chartTrackingRefBased/>
  <w15:docId w15:val="{6C7BBF5C-ACA0-48CC-82C9-55968F05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A7B"/>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qFormat/>
    <w:rsid w:val="00E67A7B"/>
    <w:pPr>
      <w:keepNext/>
      <w:spacing w:after="360"/>
      <w:jc w:val="center"/>
      <w:outlineLvl w:val="0"/>
    </w:pPr>
    <w:rPr>
      <w:b/>
      <w:bCs/>
      <w:kern w:val="32"/>
      <w:sz w:val="32"/>
      <w:szCs w:val="32"/>
    </w:rPr>
  </w:style>
  <w:style w:type="paragraph" w:styleId="Heading2">
    <w:name w:val="heading 2"/>
    <w:aliases w:val="H2-Sec. Head"/>
    <w:basedOn w:val="Normal"/>
    <w:next w:val="Normal"/>
    <w:link w:val="Heading2Char"/>
    <w:qFormat/>
    <w:rsid w:val="004C4A28"/>
    <w:pPr>
      <w:keepNext/>
      <w:spacing w:after="360"/>
      <w:jc w:val="center"/>
      <w:outlineLvl w:val="1"/>
    </w:pPr>
    <w:rPr>
      <w:b/>
      <w:i/>
      <w:sz w:val="28"/>
    </w:rPr>
  </w:style>
  <w:style w:type="paragraph" w:styleId="Heading3">
    <w:name w:val="heading 3"/>
    <w:basedOn w:val="Normal"/>
    <w:next w:val="Normal"/>
    <w:link w:val="Heading3Char"/>
    <w:qFormat/>
    <w:rsid w:val="00E67A7B"/>
    <w:pPr>
      <w:keepNext/>
      <w:spacing w:before="240" w:after="60"/>
      <w:outlineLvl w:val="2"/>
    </w:pPr>
    <w:rPr>
      <w:rFonts w:cs="Arial"/>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Sec. Head Char"/>
    <w:basedOn w:val="DefaultParagraphFont"/>
    <w:link w:val="Heading2"/>
    <w:rsid w:val="004C4A28"/>
    <w:rPr>
      <w:rFonts w:ascii="Arial" w:eastAsia="Times New Roman" w:hAnsi="Arial" w:cs="Times New Roman"/>
      <w:b/>
      <w:i/>
      <w:sz w:val="28"/>
      <w:szCs w:val="24"/>
    </w:rPr>
  </w:style>
  <w:style w:type="paragraph" w:customStyle="1" w:styleId="Body">
    <w:name w:val="Body"/>
    <w:link w:val="BodyChar1"/>
    <w:rsid w:val="00E67A7B"/>
    <w:pPr>
      <w:spacing w:before="180" w:after="0" w:line="240" w:lineRule="auto"/>
    </w:pPr>
    <w:rPr>
      <w:rFonts w:ascii="Arial" w:eastAsia="Times New Roman" w:hAnsi="Arial" w:cs="Times New Roman"/>
      <w:sz w:val="20"/>
      <w:szCs w:val="24"/>
    </w:rPr>
  </w:style>
  <w:style w:type="paragraph" w:customStyle="1" w:styleId="ProcessBullet">
    <w:name w:val="Process Bullet"/>
    <w:link w:val="ProcessBulletChar"/>
    <w:rsid w:val="00E67A7B"/>
    <w:pPr>
      <w:numPr>
        <w:numId w:val="1"/>
      </w:numPr>
      <w:spacing w:before="120" w:after="0" w:line="240" w:lineRule="auto"/>
    </w:pPr>
    <w:rPr>
      <w:rFonts w:ascii="Arial" w:eastAsia="Times New Roman" w:hAnsi="Arial" w:cs="Times New Roman"/>
      <w:sz w:val="20"/>
      <w:szCs w:val="24"/>
    </w:rPr>
  </w:style>
  <w:style w:type="paragraph" w:styleId="Header">
    <w:name w:val="header"/>
    <w:link w:val="HeaderChar"/>
    <w:rsid w:val="00E67A7B"/>
    <w:pPr>
      <w:pBdr>
        <w:bottom w:val="single" w:sz="6" w:space="1" w:color="auto"/>
      </w:pBdr>
      <w:tabs>
        <w:tab w:val="right" w:pos="9000"/>
        <w:tab w:val="right" w:pos="9720"/>
      </w:tabs>
      <w:spacing w:before="120" w:after="360" w:line="240" w:lineRule="auto"/>
    </w:pPr>
    <w:rPr>
      <w:rFonts w:ascii="Arial" w:eastAsia="Times New Roman" w:hAnsi="Arial" w:cs="Times New Roman"/>
      <w:b/>
      <w:i/>
      <w:sz w:val="20"/>
      <w:szCs w:val="24"/>
    </w:rPr>
  </w:style>
  <w:style w:type="character" w:customStyle="1" w:styleId="HeaderChar">
    <w:name w:val="Header Char"/>
    <w:basedOn w:val="DefaultParagraphFont"/>
    <w:link w:val="Header"/>
    <w:rsid w:val="004C4A28"/>
    <w:rPr>
      <w:rFonts w:ascii="Arial" w:eastAsia="Times New Roman" w:hAnsi="Arial" w:cs="Times New Roman"/>
      <w:b/>
      <w:i/>
      <w:sz w:val="20"/>
      <w:szCs w:val="24"/>
    </w:rPr>
  </w:style>
  <w:style w:type="paragraph" w:styleId="Footer">
    <w:name w:val="footer"/>
    <w:basedOn w:val="Normal"/>
    <w:link w:val="FooterChar"/>
    <w:rsid w:val="00E67A7B"/>
    <w:pPr>
      <w:pBdr>
        <w:top w:val="single" w:sz="8" w:space="1" w:color="auto"/>
      </w:pBdr>
      <w:tabs>
        <w:tab w:val="right" w:pos="9720"/>
      </w:tabs>
      <w:spacing w:before="240" w:after="120" w:line="260" w:lineRule="exact"/>
    </w:pPr>
    <w:rPr>
      <w:b/>
      <w:szCs w:val="20"/>
    </w:rPr>
  </w:style>
  <w:style w:type="character" w:customStyle="1" w:styleId="FooterChar">
    <w:name w:val="Footer Char"/>
    <w:basedOn w:val="DefaultParagraphFont"/>
    <w:link w:val="Footer"/>
    <w:rsid w:val="004C4A28"/>
    <w:rPr>
      <w:rFonts w:ascii="Arial" w:eastAsia="Times New Roman" w:hAnsi="Arial" w:cs="Times New Roman"/>
      <w:b/>
      <w:sz w:val="20"/>
      <w:szCs w:val="20"/>
    </w:rPr>
  </w:style>
  <w:style w:type="paragraph" w:customStyle="1" w:styleId="Note">
    <w:name w:val="Note"/>
    <w:link w:val="NoteChar"/>
    <w:rsid w:val="00E67A7B"/>
    <w:pPr>
      <w:spacing w:before="120" w:after="0" w:line="240" w:lineRule="auto"/>
    </w:pPr>
    <w:rPr>
      <w:rFonts w:ascii="Arial" w:eastAsia="Times New Roman" w:hAnsi="Arial" w:cs="Times New Roman"/>
      <w:i/>
      <w:sz w:val="20"/>
      <w:szCs w:val="24"/>
    </w:rPr>
  </w:style>
  <w:style w:type="character" w:customStyle="1" w:styleId="NoteChar">
    <w:name w:val="Note Char"/>
    <w:basedOn w:val="DefaultParagraphFont"/>
    <w:link w:val="Note"/>
    <w:rsid w:val="004C4A28"/>
    <w:rPr>
      <w:rFonts w:ascii="Arial" w:eastAsia="Times New Roman" w:hAnsi="Arial" w:cs="Times New Roman"/>
      <w:i/>
      <w:sz w:val="20"/>
      <w:szCs w:val="24"/>
    </w:rPr>
  </w:style>
  <w:style w:type="character" w:customStyle="1" w:styleId="ProcessBulletChar">
    <w:name w:val="Process Bullet Char"/>
    <w:basedOn w:val="DefaultParagraphFont"/>
    <w:link w:val="ProcessBullet"/>
    <w:rsid w:val="004C4A28"/>
    <w:rPr>
      <w:rFonts w:ascii="Arial" w:eastAsia="Times New Roman" w:hAnsi="Arial" w:cs="Times New Roman"/>
      <w:sz w:val="20"/>
      <w:szCs w:val="24"/>
    </w:rPr>
  </w:style>
  <w:style w:type="character" w:customStyle="1" w:styleId="BodyChar1">
    <w:name w:val="Body Char1"/>
    <w:basedOn w:val="DefaultParagraphFont"/>
    <w:link w:val="Body"/>
    <w:rsid w:val="004C4A28"/>
    <w:rPr>
      <w:rFonts w:ascii="Arial" w:eastAsia="Times New Roman" w:hAnsi="Arial" w:cs="Times New Roman"/>
      <w:sz w:val="20"/>
      <w:szCs w:val="24"/>
    </w:rPr>
  </w:style>
  <w:style w:type="paragraph" w:customStyle="1" w:styleId="ReverseHead">
    <w:name w:val="Reverse Head"/>
    <w:basedOn w:val="Normal"/>
    <w:next w:val="Body"/>
    <w:rsid w:val="004C4A28"/>
    <w:pPr>
      <w:keepNext/>
      <w:widowControl w:val="0"/>
      <w:pBdr>
        <w:top w:val="single" w:sz="6" w:space="2" w:color="auto"/>
        <w:left w:val="single" w:sz="6" w:space="2" w:color="auto"/>
        <w:bottom w:val="single" w:sz="6" w:space="2" w:color="auto"/>
        <w:right w:val="single" w:sz="6" w:space="2" w:color="auto"/>
      </w:pBdr>
      <w:shd w:val="clear" w:color="auto" w:fill="000000"/>
      <w:spacing w:before="360"/>
      <w:outlineLvl w:val="1"/>
    </w:pPr>
    <w:rPr>
      <w:b/>
      <w:szCs w:val="28"/>
    </w:rPr>
  </w:style>
  <w:style w:type="paragraph" w:customStyle="1" w:styleId="SOC">
    <w:name w:val="SOC"/>
    <w:basedOn w:val="Heading2"/>
    <w:next w:val="ProcessBullet"/>
    <w:rsid w:val="004C4A28"/>
    <w:pPr>
      <w:pBdr>
        <w:top w:val="single" w:sz="6" w:space="1" w:color="auto"/>
        <w:bottom w:val="single" w:sz="6" w:space="1" w:color="auto"/>
      </w:pBdr>
      <w:spacing w:after="0"/>
      <w:jc w:val="left"/>
    </w:pPr>
    <w:rPr>
      <w:i w:val="0"/>
      <w:smallCaps/>
      <w:sz w:val="22"/>
    </w:rPr>
  </w:style>
  <w:style w:type="paragraph" w:customStyle="1" w:styleId="Bullet">
    <w:name w:val="Bullet"/>
    <w:link w:val="BulletChar"/>
    <w:rsid w:val="00E67A7B"/>
    <w:pPr>
      <w:numPr>
        <w:numId w:val="2"/>
      </w:numPr>
      <w:tabs>
        <w:tab w:val="left" w:pos="576"/>
      </w:tabs>
      <w:spacing w:before="120" w:after="0" w:line="240" w:lineRule="auto"/>
      <w:ind w:left="576"/>
    </w:pPr>
    <w:rPr>
      <w:rFonts w:ascii="Arial" w:eastAsia="Times New Roman" w:hAnsi="Arial" w:cs="Times New Roman"/>
      <w:sz w:val="20"/>
      <w:szCs w:val="24"/>
    </w:rPr>
  </w:style>
  <w:style w:type="paragraph" w:customStyle="1" w:styleId="Dash">
    <w:name w:val="Dash"/>
    <w:rsid w:val="00E67A7B"/>
    <w:pPr>
      <w:numPr>
        <w:numId w:val="3"/>
      </w:numPr>
      <w:spacing w:before="60" w:after="0" w:line="240" w:lineRule="auto"/>
    </w:pPr>
    <w:rPr>
      <w:rFonts w:ascii="Arial" w:eastAsia="Times New Roman" w:hAnsi="Arial" w:cs="Times New Roman"/>
      <w:sz w:val="20"/>
      <w:szCs w:val="24"/>
    </w:rPr>
  </w:style>
  <w:style w:type="paragraph" w:styleId="CommentText">
    <w:name w:val="annotation text"/>
    <w:basedOn w:val="Normal"/>
    <w:link w:val="CommentTextChar"/>
    <w:rsid w:val="004C4A28"/>
  </w:style>
  <w:style w:type="character" w:customStyle="1" w:styleId="CommentTextChar">
    <w:name w:val="Comment Text Char"/>
    <w:basedOn w:val="DefaultParagraphFont"/>
    <w:link w:val="CommentText"/>
    <w:rsid w:val="004C4A28"/>
    <w:rPr>
      <w:rFonts w:ascii="Arial" w:eastAsia="Times New Roman" w:hAnsi="Arial" w:cs="Times New Roman"/>
      <w:sz w:val="20"/>
      <w:szCs w:val="24"/>
    </w:rPr>
  </w:style>
  <w:style w:type="character" w:customStyle="1" w:styleId="BulletChar">
    <w:name w:val="Bullet Char"/>
    <w:basedOn w:val="DefaultParagraphFont"/>
    <w:link w:val="Bullet"/>
    <w:rsid w:val="004C4A28"/>
    <w:rPr>
      <w:rFonts w:ascii="Arial" w:eastAsia="Times New Roman" w:hAnsi="Arial" w:cs="Times New Roman"/>
      <w:sz w:val="20"/>
      <w:szCs w:val="24"/>
    </w:rPr>
  </w:style>
  <w:style w:type="paragraph" w:customStyle="1" w:styleId="Breakpage">
    <w:name w:val="Break page"/>
    <w:basedOn w:val="Body"/>
    <w:link w:val="BreakpageChar"/>
    <w:qFormat/>
    <w:rsid w:val="00E67A7B"/>
    <w:pPr>
      <w:spacing w:before="0"/>
      <w:jc w:val="right"/>
    </w:pPr>
    <w:rPr>
      <w:b/>
      <w:sz w:val="48"/>
    </w:rPr>
  </w:style>
  <w:style w:type="character" w:customStyle="1" w:styleId="BreakpageChar">
    <w:name w:val="Break page Char"/>
    <w:basedOn w:val="DefaultParagraphFont"/>
    <w:link w:val="Breakpage"/>
    <w:rsid w:val="004C4A28"/>
    <w:rPr>
      <w:rFonts w:ascii="Arial" w:eastAsia="Times New Roman" w:hAnsi="Arial" w:cs="Times New Roman"/>
      <w:b/>
      <w:sz w:val="48"/>
      <w:szCs w:val="24"/>
    </w:rPr>
  </w:style>
  <w:style w:type="character" w:customStyle="1" w:styleId="Heading1Char">
    <w:name w:val="Heading 1 Char"/>
    <w:basedOn w:val="DefaultParagraphFont"/>
    <w:link w:val="Heading1"/>
    <w:rsid w:val="00E67A7B"/>
    <w:rPr>
      <w:rFonts w:ascii="Arial" w:eastAsia="Times New Roman" w:hAnsi="Arial" w:cs="Times New Roman"/>
      <w:b/>
      <w:bCs/>
      <w:kern w:val="32"/>
      <w:sz w:val="32"/>
      <w:szCs w:val="32"/>
    </w:rPr>
  </w:style>
  <w:style w:type="character" w:customStyle="1" w:styleId="Heading3Char">
    <w:name w:val="Heading 3 Char"/>
    <w:basedOn w:val="DefaultParagraphFont"/>
    <w:link w:val="Heading3"/>
    <w:rsid w:val="00E67A7B"/>
    <w:rPr>
      <w:rFonts w:ascii="Arial" w:eastAsia="Times New Roman" w:hAnsi="Arial" w:cs="Arial"/>
      <w:b/>
      <w:bCs/>
      <w:szCs w:val="26"/>
    </w:rPr>
  </w:style>
  <w:style w:type="paragraph" w:customStyle="1" w:styleId="StdHead">
    <w:name w:val="Std Head"/>
    <w:rsid w:val="00E67A7B"/>
    <w:pPr>
      <w:pBdr>
        <w:top w:val="single" w:sz="6" w:space="2" w:color="auto"/>
        <w:left w:val="single" w:sz="6" w:space="2" w:color="auto"/>
        <w:bottom w:val="single" w:sz="6" w:space="2" w:color="auto"/>
        <w:right w:val="single" w:sz="6" w:space="2" w:color="auto"/>
      </w:pBdr>
      <w:shd w:val="clear" w:color="auto" w:fill="000000"/>
      <w:spacing w:before="360" w:after="0" w:line="240" w:lineRule="auto"/>
    </w:pPr>
    <w:rPr>
      <w:rFonts w:ascii="Arial" w:eastAsia="Times New Roman" w:hAnsi="Arial" w:cs="Times New Roman"/>
      <w:b/>
      <w:color w:val="FFFFFF"/>
      <w:szCs w:val="28"/>
    </w:rPr>
  </w:style>
  <w:style w:type="paragraph" w:customStyle="1" w:styleId="TableText">
    <w:name w:val="Table Text"/>
    <w:rsid w:val="00E67A7B"/>
    <w:pPr>
      <w:spacing w:before="40" w:after="40" w:line="200" w:lineRule="exact"/>
    </w:pPr>
    <w:rPr>
      <w:rFonts w:ascii="Arial Narrow" w:eastAsia="Times New Roman" w:hAnsi="Arial Narrow" w:cs="Times New Roman"/>
      <w:sz w:val="20"/>
      <w:szCs w:val="19"/>
    </w:rPr>
  </w:style>
  <w:style w:type="paragraph" w:customStyle="1" w:styleId="TableHead">
    <w:name w:val="Table Head"/>
    <w:rsid w:val="00E67A7B"/>
    <w:pPr>
      <w:spacing w:before="40" w:after="40" w:line="200" w:lineRule="exact"/>
      <w:jc w:val="center"/>
    </w:pPr>
    <w:rPr>
      <w:rFonts w:ascii="Arial Narrow" w:eastAsia="Times New Roman" w:hAnsi="Arial Narrow" w:cs="Times New Roman"/>
      <w:b/>
      <w:color w:val="FFFFFF"/>
      <w:sz w:val="20"/>
      <w:szCs w:val="20"/>
    </w:rPr>
  </w:style>
  <w:style w:type="paragraph" w:customStyle="1" w:styleId="TableBullet">
    <w:name w:val="Table Bullet"/>
    <w:rsid w:val="00E67A7B"/>
    <w:pPr>
      <w:numPr>
        <w:numId w:val="17"/>
      </w:numPr>
      <w:spacing w:before="40" w:after="40" w:line="200" w:lineRule="exact"/>
      <w:ind w:left="158" w:hanging="158"/>
    </w:pPr>
    <w:rPr>
      <w:rFonts w:ascii="Arial Narrow" w:eastAsia="Times New Roman" w:hAnsi="Arial Narrow" w:cs="Times New Roman"/>
      <w:sz w:val="20"/>
      <w:szCs w:val="24"/>
    </w:rPr>
  </w:style>
  <w:style w:type="paragraph" w:customStyle="1" w:styleId="TableDash">
    <w:name w:val="Table Dash"/>
    <w:rsid w:val="00E67A7B"/>
    <w:pPr>
      <w:numPr>
        <w:numId w:val="5"/>
      </w:numPr>
      <w:tabs>
        <w:tab w:val="clear" w:pos="432"/>
      </w:tabs>
      <w:spacing w:after="0" w:line="240" w:lineRule="auto"/>
      <w:ind w:left="374" w:hanging="158"/>
    </w:pPr>
    <w:rPr>
      <w:rFonts w:ascii="Arial Narrow" w:eastAsia="Times New Roman" w:hAnsi="Arial Narrow" w:cs="Times New Roman"/>
      <w:sz w:val="20"/>
      <w:szCs w:val="24"/>
    </w:rPr>
  </w:style>
  <w:style w:type="paragraph" w:customStyle="1" w:styleId="MarginHead">
    <w:name w:val="Margin Head"/>
    <w:rsid w:val="00E67A7B"/>
    <w:pPr>
      <w:spacing w:before="180" w:after="0" w:line="240" w:lineRule="auto"/>
    </w:pPr>
    <w:rPr>
      <w:rFonts w:ascii="Arial" w:eastAsia="Times New Roman" w:hAnsi="Arial" w:cs="Times New Roman"/>
      <w:b/>
      <w:szCs w:val="24"/>
    </w:rPr>
  </w:style>
  <w:style w:type="paragraph" w:customStyle="1" w:styleId="MarginSubhead">
    <w:name w:val="Margin Subhead"/>
    <w:rsid w:val="00E67A7B"/>
    <w:pPr>
      <w:spacing w:before="180" w:after="0" w:line="240" w:lineRule="auto"/>
      <w:ind w:left="216"/>
    </w:pPr>
    <w:rPr>
      <w:rFonts w:ascii="Arial" w:eastAsia="Times New Roman" w:hAnsi="Arial" w:cs="Times New Roman"/>
      <w:b/>
      <w:sz w:val="20"/>
      <w:szCs w:val="24"/>
    </w:rPr>
  </w:style>
  <w:style w:type="paragraph" w:customStyle="1" w:styleId="SubHead">
    <w:name w:val="Sub Head"/>
    <w:rsid w:val="00E67A7B"/>
    <w:pPr>
      <w:pBdr>
        <w:bottom w:val="single" w:sz="6" w:space="2" w:color="auto"/>
      </w:pBdr>
      <w:spacing w:before="360" w:after="0" w:line="240" w:lineRule="auto"/>
    </w:pPr>
    <w:rPr>
      <w:rFonts w:ascii="Arial" w:eastAsia="Times New Roman" w:hAnsi="Arial" w:cs="Times New Roman"/>
      <w:b/>
      <w:szCs w:val="24"/>
    </w:rPr>
  </w:style>
  <w:style w:type="paragraph" w:customStyle="1" w:styleId="ProcessDash">
    <w:name w:val="Process Dash"/>
    <w:rsid w:val="00E67A7B"/>
    <w:pPr>
      <w:numPr>
        <w:numId w:val="6"/>
      </w:numPr>
      <w:tabs>
        <w:tab w:val="clear" w:pos="432"/>
        <w:tab w:val="left" w:pos="216"/>
      </w:tabs>
      <w:spacing w:before="60" w:after="0" w:line="240" w:lineRule="auto"/>
    </w:pPr>
    <w:rPr>
      <w:rFonts w:ascii="Arial" w:eastAsia="Times New Roman" w:hAnsi="Arial" w:cs="Times New Roman"/>
      <w:sz w:val="20"/>
      <w:szCs w:val="24"/>
    </w:rPr>
  </w:style>
  <w:style w:type="paragraph" w:customStyle="1" w:styleId="Memo">
    <w:name w:val="Memo"/>
    <w:basedOn w:val="Body"/>
    <w:rsid w:val="00E67A7B"/>
    <w:rPr>
      <w:rFonts w:ascii="Times New Roman" w:hAnsi="Times New Roman"/>
      <w:sz w:val="24"/>
    </w:rPr>
  </w:style>
  <w:style w:type="paragraph" w:styleId="BalloonText">
    <w:name w:val="Balloon Text"/>
    <w:basedOn w:val="Normal"/>
    <w:link w:val="BalloonTextChar"/>
    <w:uiPriority w:val="99"/>
    <w:semiHidden/>
    <w:unhideWhenUsed/>
    <w:rsid w:val="00DE59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9C2"/>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F40215"/>
    <w:rPr>
      <w:sz w:val="16"/>
      <w:szCs w:val="16"/>
    </w:rPr>
  </w:style>
  <w:style w:type="paragraph" w:styleId="CommentSubject">
    <w:name w:val="annotation subject"/>
    <w:basedOn w:val="CommentText"/>
    <w:next w:val="CommentText"/>
    <w:link w:val="CommentSubjectChar"/>
    <w:uiPriority w:val="99"/>
    <w:semiHidden/>
    <w:unhideWhenUsed/>
    <w:rsid w:val="00F40215"/>
    <w:rPr>
      <w:b/>
      <w:bCs/>
      <w:szCs w:val="20"/>
    </w:rPr>
  </w:style>
  <w:style w:type="character" w:customStyle="1" w:styleId="CommentSubjectChar">
    <w:name w:val="Comment Subject Char"/>
    <w:basedOn w:val="CommentTextChar"/>
    <w:link w:val="CommentSubject"/>
    <w:uiPriority w:val="99"/>
    <w:semiHidden/>
    <w:rsid w:val="00F40215"/>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footer" Target="footer4.xml"/><Relationship Id="rId39" Type="http://schemas.openxmlformats.org/officeDocument/2006/relationships/fontTable" Target="fontTable.xml"/><Relationship Id="rId21" Type="http://schemas.openxmlformats.org/officeDocument/2006/relationships/header" Target="header10.xml"/><Relationship Id="rId34" Type="http://schemas.openxmlformats.org/officeDocument/2006/relationships/footer" Target="footer7.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3.xml"/><Relationship Id="rId33" Type="http://schemas.openxmlformats.org/officeDocument/2006/relationships/header" Target="header18.xml"/><Relationship Id="rId38" Type="http://schemas.openxmlformats.org/officeDocument/2006/relationships/header" Target="header2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9.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17.xml"/><Relationship Id="rId37" Type="http://schemas.openxmlformats.org/officeDocument/2006/relationships/header" Target="header20.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5.xml"/><Relationship Id="rId36" Type="http://schemas.openxmlformats.org/officeDocument/2006/relationships/header" Target="header19.xm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footer" Target="foot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4.xml"/><Relationship Id="rId30" Type="http://schemas.openxmlformats.org/officeDocument/2006/relationships/header" Target="header16.xml"/><Relationship Id="rId35" Type="http://schemas.openxmlformats.org/officeDocument/2006/relationships/footer" Target="footer8.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H:\Product%20Delivery\Policy\Policies%20&amp;%20Procedures\Word%20Publication%20Templates\HEDIS%20Publica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4615f93-1352-4a7e-b7a8-3b07e39b200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E95EDCDDB71B4A976398AAECCAAC99" ma:contentTypeVersion="12" ma:contentTypeDescription="Create a new document." ma:contentTypeScope="" ma:versionID="f34f3f0c0af1e9bb9dab317f274c8d54">
  <xsd:schema xmlns:xsd="http://www.w3.org/2001/XMLSchema" xmlns:xs="http://www.w3.org/2001/XMLSchema" xmlns:p="http://schemas.microsoft.com/office/2006/metadata/properties" xmlns:ns2="64615f93-1352-4a7e-b7a8-3b07e39b2009" targetNamespace="http://schemas.microsoft.com/office/2006/metadata/properties" ma:root="true" ma:fieldsID="66b4066c5de3fcaf967e6fb2eefd6a83" ns2:_="">
    <xsd:import namespace="64615f93-1352-4a7e-b7a8-3b07e39b2009"/>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615f93-1352-4a7e-b7a8-3b07e39b20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ED7AF4-83D4-4866-984E-A10C5FAFB33A}">
  <ds:schemaRefs>
    <ds:schemaRef ds:uri="http://schemas.openxmlformats.org/package/2006/metadata/core-properties"/>
    <ds:schemaRef ds:uri="http://purl.org/dc/elements/1.1/"/>
    <ds:schemaRef ds:uri="http://schemas.microsoft.com/office/2006/metadata/properties"/>
    <ds:schemaRef ds:uri="http://purl.org/dc/dcmitype/"/>
    <ds:schemaRef ds:uri="http://purl.org/dc/terms/"/>
    <ds:schemaRef ds:uri="64615f93-1352-4a7e-b7a8-3b07e39b2009"/>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56577308-0767-4359-BD14-248CAF17C023}">
  <ds:schemaRefs>
    <ds:schemaRef ds:uri="http://schemas.microsoft.com/sharepoint/v3/contenttype/forms"/>
  </ds:schemaRefs>
</ds:datastoreItem>
</file>

<file path=customXml/itemProps3.xml><?xml version="1.0" encoding="utf-8"?>
<ds:datastoreItem xmlns:ds="http://schemas.openxmlformats.org/officeDocument/2006/customXml" ds:itemID="{A46EF3DF-7613-402A-9D83-77F07B1102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615f93-1352-4a7e-b7a8-3b07e39b2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HEDIS Publications</Template>
  <TotalTime>0</TotalTime>
  <Pages>12</Pages>
  <Words>1171</Words>
  <Characters>6676</Characters>
  <Application>Microsoft Office Word</Application>
  <DocSecurity>2</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DeWitt</dc:creator>
  <cp:keywords/>
  <dc:description/>
  <cp:lastModifiedBy>Judy</cp:lastModifiedBy>
  <cp:revision>3</cp:revision>
  <dcterms:created xsi:type="dcterms:W3CDTF">2015-06-03T14:54:00Z</dcterms:created>
  <dcterms:modified xsi:type="dcterms:W3CDTF">2015-06-08T14:51:00Z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0x010100F5E95EDCDDB71B4A976398AAECCAAC99</vt:lpwstr>
  </property>
</Properties>
</file>