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6.xml" ContentType="application/vnd.openxmlformats-officedocument.wordprocessingml.header+xml"/>
  <Override PartName="/word/footer1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1.xml" ContentType="application/vnd.openxmlformats-officedocument.wordprocessingml.footer+xml"/>
  <Override PartName="/word/header39.xml" ContentType="application/vnd.openxmlformats-officedocument.wordprocessingml.header+xml"/>
  <Override PartName="/word/footer1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3.xml" ContentType="application/vnd.openxmlformats-officedocument.wordprocessingml.footer+xml"/>
  <Override PartName="/word/header4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36505" w14:textId="77777777" w:rsidR="008F735B" w:rsidRPr="00463667" w:rsidRDefault="008F735B" w:rsidP="008F735B">
      <w:pPr>
        <w:pStyle w:val="Breakpage"/>
      </w:pPr>
      <w:bookmarkStart w:id="0" w:name="_GoBack"/>
      <w:bookmarkEnd w:id="0"/>
    </w:p>
    <w:p w14:paraId="6C77531F" w14:textId="77777777" w:rsidR="008F735B" w:rsidRPr="00463667" w:rsidRDefault="008F735B" w:rsidP="008F735B">
      <w:pPr>
        <w:pStyle w:val="Breakpage"/>
      </w:pPr>
    </w:p>
    <w:p w14:paraId="38BCB217" w14:textId="77777777" w:rsidR="008F735B" w:rsidRPr="00463667" w:rsidRDefault="008F735B" w:rsidP="008F735B">
      <w:pPr>
        <w:pStyle w:val="Breakpage"/>
      </w:pPr>
    </w:p>
    <w:p w14:paraId="3A08F080" w14:textId="77777777" w:rsidR="008F735B" w:rsidRPr="00463667" w:rsidRDefault="008F735B" w:rsidP="008F735B">
      <w:pPr>
        <w:pStyle w:val="Breakpage"/>
      </w:pPr>
    </w:p>
    <w:p w14:paraId="03FF37AB" w14:textId="77777777" w:rsidR="008F735B" w:rsidRPr="00463667" w:rsidRDefault="008F735B" w:rsidP="008F735B">
      <w:pPr>
        <w:pStyle w:val="Breakpage"/>
      </w:pPr>
    </w:p>
    <w:p w14:paraId="71075470" w14:textId="77777777" w:rsidR="008F735B" w:rsidRPr="00463667" w:rsidRDefault="008F735B" w:rsidP="008F735B">
      <w:pPr>
        <w:pStyle w:val="Breakpage"/>
      </w:pPr>
      <w:r w:rsidRPr="00463667">
        <w:t>Access/Availability of Care</w:t>
      </w:r>
    </w:p>
    <w:p w14:paraId="413F4B2B" w14:textId="77777777" w:rsidR="008F735B" w:rsidRPr="00463667" w:rsidRDefault="008F735B" w:rsidP="008F735B">
      <w:pPr>
        <w:pStyle w:val="Breakpage"/>
        <w:sectPr w:rsidR="008F735B" w:rsidRPr="00463667" w:rsidSect="00F578E0">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440" w:header="720" w:footer="720" w:gutter="0"/>
          <w:cols w:space="720"/>
        </w:sectPr>
      </w:pPr>
    </w:p>
    <w:p w14:paraId="34337B7A" w14:textId="5BC96EB8" w:rsidR="008F735B" w:rsidRPr="00463667" w:rsidRDefault="008F735B" w:rsidP="008F735B">
      <w:pPr>
        <w:pStyle w:val="SectionHead"/>
        <w:spacing w:after="0"/>
      </w:pPr>
      <w:bookmarkStart w:id="1" w:name="_Toc400546160"/>
      <w:r w:rsidRPr="003F7CDF">
        <w:lastRenderedPageBreak/>
        <w:t xml:space="preserve">Guidelines for </w:t>
      </w:r>
      <w:r w:rsidRPr="003F7CDF">
        <w:br/>
        <w:t>Access/Availability of Care Measures</w:t>
      </w:r>
      <w:bookmarkEnd w:id="1"/>
    </w:p>
    <w:p w14:paraId="3614BC68" w14:textId="77777777" w:rsidR="008F735B" w:rsidRPr="00463667" w:rsidRDefault="008F735B" w:rsidP="00081D64">
      <w:pPr>
        <w:pStyle w:val="ReverseHead"/>
      </w:pPr>
      <w:r w:rsidRPr="00463667">
        <w:t xml:space="preserve">Continuous Enrollment </w:t>
      </w:r>
    </w:p>
    <w:p w14:paraId="548CA764" w14:textId="77777777" w:rsidR="008F735B" w:rsidRPr="00463667" w:rsidRDefault="008F735B" w:rsidP="008F735B">
      <w:pPr>
        <w:pStyle w:val="Body"/>
        <w:rPr>
          <w:i/>
        </w:rPr>
      </w:pPr>
      <w:r w:rsidRPr="00463667">
        <w:t xml:space="preserve">For some </w:t>
      </w:r>
      <w:r w:rsidRPr="00463667">
        <w:rPr>
          <w:iCs/>
        </w:rPr>
        <w:t xml:space="preserve">Access/Availability of Care </w:t>
      </w:r>
      <w:r w:rsidRPr="00463667">
        <w:t xml:space="preserve">measures, the eligible population includes individuals who were continuously enrolled for a specific period (e.g., during the measurement year). For these measures, follow the guidelines on </w:t>
      </w:r>
      <w:r w:rsidRPr="00463667">
        <w:rPr>
          <w:bCs/>
        </w:rPr>
        <w:t>continuous enrollment</w:t>
      </w:r>
      <w:r w:rsidRPr="00463667">
        <w:t xml:space="preserve"> described in the </w:t>
      </w:r>
      <w:r w:rsidRPr="00463667">
        <w:rPr>
          <w:i/>
        </w:rPr>
        <w:t>General Guidelines.</w:t>
      </w:r>
    </w:p>
    <w:p w14:paraId="32FE775A" w14:textId="77777777" w:rsidR="008F735B" w:rsidRPr="00463667" w:rsidRDefault="008F735B" w:rsidP="00081D64">
      <w:pPr>
        <w:pStyle w:val="ReverseHead"/>
      </w:pPr>
      <w:r w:rsidRPr="00463667">
        <w:t>Which Services Count</w:t>
      </w:r>
    </w:p>
    <w:p w14:paraId="6735913C" w14:textId="77777777" w:rsidR="008F735B" w:rsidRPr="00463667" w:rsidRDefault="008F735B" w:rsidP="008F735B">
      <w:pPr>
        <w:pStyle w:val="Body"/>
      </w:pPr>
      <w:r w:rsidRPr="00463667">
        <w:t xml:space="preserve">Report all services for </w:t>
      </w:r>
      <w:r w:rsidRPr="00463667">
        <w:rPr>
          <w:iCs/>
        </w:rPr>
        <w:t xml:space="preserve">Access/Availability of Care </w:t>
      </w:r>
      <w:r w:rsidRPr="00463667">
        <w:t xml:space="preserve">measures, whether or not the organization paid for them (e.g., report services paid for by a third party such as a community center, or services for which payment was denied because they were not properly authorized). Include all paid, suspended, pending and denied claims. Organizations are ultimately responsible for the quality of care they provide to members and for ensuring that certain services have been provided, even if another community practitioner provides the services. </w:t>
      </w:r>
    </w:p>
    <w:p w14:paraId="0D1186F6" w14:textId="77777777" w:rsidR="008F735B" w:rsidRPr="00463667" w:rsidRDefault="008F735B" w:rsidP="008F735B">
      <w:pPr>
        <w:pStyle w:val="Body"/>
      </w:pPr>
      <w:r w:rsidRPr="00463667">
        <w:t>To count services in the medical record, documentation in the medical record must indicate the date when the procedure was performed and the result or finding (when applicable).</w:t>
      </w:r>
    </w:p>
    <w:p w14:paraId="74734EE0" w14:textId="77777777" w:rsidR="008F735B" w:rsidRPr="00463667" w:rsidRDefault="008F735B" w:rsidP="00081D64">
      <w:pPr>
        <w:pStyle w:val="ReverseHead"/>
      </w:pPr>
      <w:r w:rsidRPr="00463667">
        <w:t>Hybrid Methodology</w:t>
      </w:r>
    </w:p>
    <w:p w14:paraId="06A5DA78" w14:textId="77777777" w:rsidR="008F735B" w:rsidRPr="00463667" w:rsidRDefault="008F735B" w:rsidP="008F735B">
      <w:pPr>
        <w:pStyle w:val="Body"/>
      </w:pPr>
      <w:r w:rsidRPr="00463667">
        <w:t xml:space="preserve">Organizations that use the Hybrid Method for measures that include a hybrid specification must follow the guidelines pertaining to that method and substitution of medical records in the </w:t>
      </w:r>
      <w:r w:rsidRPr="00463667">
        <w:rPr>
          <w:i/>
        </w:rPr>
        <w:t>Guidelines for Calculations and Sampling.</w:t>
      </w:r>
    </w:p>
    <w:p w14:paraId="23BAE112" w14:textId="77777777" w:rsidR="008F735B" w:rsidRPr="00463667" w:rsidRDefault="008F735B" w:rsidP="008F735B">
      <w:pPr>
        <w:numPr>
          <w:ilvl w:val="12"/>
          <w:numId w:val="0"/>
        </w:numPr>
        <w:spacing w:after="60"/>
      </w:pPr>
    </w:p>
    <w:p w14:paraId="53594136" w14:textId="77777777" w:rsidR="008F735B" w:rsidRPr="00463667" w:rsidRDefault="008F735B" w:rsidP="008F735B">
      <w:pPr>
        <w:pStyle w:val="Footer"/>
        <w:numPr>
          <w:ilvl w:val="12"/>
          <w:numId w:val="0"/>
        </w:numPr>
        <w:tabs>
          <w:tab w:val="left" w:pos="8460"/>
        </w:tabs>
        <w:spacing w:after="240"/>
        <w:sectPr w:rsidR="008F735B" w:rsidRPr="00463667" w:rsidSect="00106873">
          <w:headerReference w:type="even" r:id="rId20"/>
          <w:headerReference w:type="default" r:id="rId21"/>
          <w:footerReference w:type="even" r:id="rId22"/>
          <w:footerReference w:type="default" r:id="rId23"/>
          <w:headerReference w:type="first" r:id="rId24"/>
          <w:footerReference w:type="first" r:id="rId25"/>
          <w:pgSz w:w="12240" w:h="15840" w:code="1"/>
          <w:pgMar w:top="1080" w:right="1080" w:bottom="1080" w:left="1440" w:header="720" w:footer="720" w:gutter="0"/>
          <w:pgNumType w:start="240"/>
          <w:cols w:space="720"/>
        </w:sectPr>
      </w:pPr>
    </w:p>
    <w:p w14:paraId="22278E02" w14:textId="54FA9FFB" w:rsidR="008F735B" w:rsidRPr="00463667" w:rsidRDefault="008F735B" w:rsidP="00DB6ED0">
      <w:pPr>
        <w:pStyle w:val="Heading2"/>
      </w:pPr>
      <w:bookmarkStart w:id="2" w:name="_Toc400546161"/>
      <w:r w:rsidRPr="003F7CDF">
        <w:lastRenderedPageBreak/>
        <w:t>Adults’ Access to Preventive/Ambulatory Health Services (AAP)</w:t>
      </w:r>
      <w:bookmarkEnd w:id="2"/>
    </w:p>
    <w:p w14:paraId="627FB0F3" w14:textId="64A6C65A" w:rsidR="008F735B" w:rsidRPr="00463667" w:rsidRDefault="008F735B" w:rsidP="00081D64">
      <w:pPr>
        <w:pStyle w:val="SOC"/>
      </w:pPr>
      <w:r w:rsidRPr="00463667">
        <w:t xml:space="preserve">Summary of Changes to HEDIS </w:t>
      </w:r>
      <w:r w:rsidR="00A47F13">
        <w:t>2016</w:t>
      </w:r>
    </w:p>
    <w:p w14:paraId="57B44C64" w14:textId="7009BF33" w:rsidR="008F735B" w:rsidRPr="00463667" w:rsidRDefault="005D59EF" w:rsidP="008F735B">
      <w:pPr>
        <w:pStyle w:val="ProcessBullet"/>
        <w:rPr>
          <w:i/>
          <w:iCs/>
        </w:rPr>
      </w:pPr>
      <w:r>
        <w:t>No changes to this measure.</w:t>
      </w:r>
    </w:p>
    <w:p w14:paraId="3AE38AAB" w14:textId="77777777" w:rsidR="008F735B" w:rsidRPr="00463667" w:rsidRDefault="008F735B" w:rsidP="00081D64">
      <w:pPr>
        <w:pStyle w:val="ReverseHead"/>
      </w:pPr>
      <w:r w:rsidRPr="00463667">
        <w:t xml:space="preserve">Description </w:t>
      </w:r>
    </w:p>
    <w:p w14:paraId="464BA301" w14:textId="77777777" w:rsidR="008F735B" w:rsidRPr="00463667" w:rsidRDefault="008F735B" w:rsidP="008F735B">
      <w:pPr>
        <w:pStyle w:val="Body"/>
      </w:pPr>
      <w:r w:rsidRPr="00463667">
        <w:t>The percentage of members 20 years and older who had an ambulatory or preventive care visit. The organization reports three separate percentages for each product line.</w:t>
      </w:r>
    </w:p>
    <w:p w14:paraId="5EB931E1" w14:textId="77777777" w:rsidR="008F735B" w:rsidRPr="00463667" w:rsidRDefault="008F735B" w:rsidP="008F735B">
      <w:pPr>
        <w:pStyle w:val="Bullet"/>
      </w:pPr>
      <w:r w:rsidRPr="00463667">
        <w:t>Medicaid and Medicare members who had an ambulatory or preventive care visit during the measurement year.</w:t>
      </w:r>
    </w:p>
    <w:p w14:paraId="01BB80C0" w14:textId="77777777" w:rsidR="008F735B" w:rsidRPr="00463667" w:rsidRDefault="008F735B" w:rsidP="008F735B">
      <w:pPr>
        <w:pStyle w:val="Bullet"/>
      </w:pPr>
      <w:r w:rsidRPr="00463667">
        <w:t>Commercial members who had an ambulatory or preventive care visit during the measurement year or the two years prior to the measurement year.</w:t>
      </w:r>
    </w:p>
    <w:p w14:paraId="1146EA78" w14:textId="77777777" w:rsidR="008F735B" w:rsidRPr="00463667" w:rsidRDefault="008F735B" w:rsidP="00081D64">
      <w:pPr>
        <w:pStyle w:val="ReverseHead"/>
      </w:pPr>
      <w:r w:rsidRPr="00463667">
        <w:t xml:space="preserve">Eligible Population </w:t>
      </w:r>
    </w:p>
    <w:tbl>
      <w:tblPr>
        <w:tblW w:w="9900" w:type="dxa"/>
        <w:tblInd w:w="-72" w:type="dxa"/>
        <w:tblLayout w:type="fixed"/>
        <w:tblLook w:val="0000" w:firstRow="0" w:lastRow="0" w:firstColumn="0" w:lastColumn="0" w:noHBand="0" w:noVBand="0"/>
      </w:tblPr>
      <w:tblGrid>
        <w:gridCol w:w="1800"/>
        <w:gridCol w:w="2880"/>
        <w:gridCol w:w="5220"/>
      </w:tblGrid>
      <w:tr w:rsidR="008F735B" w:rsidRPr="00463667" w14:paraId="3BCC2A16" w14:textId="77777777" w:rsidTr="00F578E0">
        <w:tc>
          <w:tcPr>
            <w:tcW w:w="1800" w:type="dxa"/>
          </w:tcPr>
          <w:p w14:paraId="689DB138" w14:textId="77777777" w:rsidR="008F735B" w:rsidRPr="00463667" w:rsidRDefault="008F735B" w:rsidP="00F578E0">
            <w:pPr>
              <w:pStyle w:val="MarginSubhead"/>
            </w:pPr>
            <w:r w:rsidRPr="00463667">
              <w:t>Product lines</w:t>
            </w:r>
          </w:p>
        </w:tc>
        <w:tc>
          <w:tcPr>
            <w:tcW w:w="8100" w:type="dxa"/>
            <w:gridSpan w:val="2"/>
          </w:tcPr>
          <w:p w14:paraId="04A4A7F6" w14:textId="77777777" w:rsidR="008F735B" w:rsidRPr="00463667" w:rsidRDefault="008F735B" w:rsidP="00F578E0">
            <w:pPr>
              <w:pStyle w:val="Body"/>
              <w:rPr>
                <w:b/>
                <w:i/>
              </w:rPr>
            </w:pPr>
            <w:r w:rsidRPr="00463667">
              <w:t>Commercial, Medicaid, Medicare (report each product line separately).</w:t>
            </w:r>
          </w:p>
        </w:tc>
      </w:tr>
      <w:tr w:rsidR="008F735B" w:rsidRPr="00463667" w14:paraId="754CE6C3" w14:textId="77777777" w:rsidTr="00F578E0">
        <w:tc>
          <w:tcPr>
            <w:tcW w:w="1800" w:type="dxa"/>
            <w:vMerge w:val="restart"/>
          </w:tcPr>
          <w:p w14:paraId="22775DCB" w14:textId="77777777" w:rsidR="008F735B" w:rsidRPr="00463667" w:rsidRDefault="008F735B" w:rsidP="00F578E0">
            <w:pPr>
              <w:pStyle w:val="MarginSubhead"/>
            </w:pPr>
            <w:r w:rsidRPr="00463667">
              <w:t>Ages</w:t>
            </w:r>
          </w:p>
        </w:tc>
        <w:tc>
          <w:tcPr>
            <w:tcW w:w="8100" w:type="dxa"/>
            <w:gridSpan w:val="2"/>
          </w:tcPr>
          <w:p w14:paraId="5855F961" w14:textId="77777777" w:rsidR="008F735B" w:rsidRPr="00463667" w:rsidRDefault="008F735B" w:rsidP="00F578E0">
            <w:pPr>
              <w:pStyle w:val="ProcessBullet"/>
              <w:numPr>
                <w:ilvl w:val="0"/>
                <w:numId w:val="0"/>
              </w:numPr>
              <w:spacing w:before="180"/>
            </w:pPr>
            <w:r w:rsidRPr="00463667">
              <w:t>20 years and older as of December 31 of the measurement year. Report three age stratifications and a total rate.</w:t>
            </w:r>
          </w:p>
        </w:tc>
      </w:tr>
      <w:tr w:rsidR="008F735B" w:rsidRPr="00463667" w14:paraId="0B6D2F37" w14:textId="77777777" w:rsidTr="00F578E0">
        <w:tc>
          <w:tcPr>
            <w:tcW w:w="1800" w:type="dxa"/>
            <w:vMerge/>
          </w:tcPr>
          <w:p w14:paraId="223DAF97" w14:textId="77777777" w:rsidR="008F735B" w:rsidRPr="00463667" w:rsidRDefault="008F735B" w:rsidP="00F578E0">
            <w:pPr>
              <w:pStyle w:val="MarginSubhead"/>
            </w:pPr>
          </w:p>
        </w:tc>
        <w:tc>
          <w:tcPr>
            <w:tcW w:w="2880" w:type="dxa"/>
          </w:tcPr>
          <w:p w14:paraId="33860B4C" w14:textId="77777777" w:rsidR="008F735B" w:rsidRPr="00463667" w:rsidRDefault="008F735B" w:rsidP="00DB6ED0">
            <w:pPr>
              <w:pStyle w:val="Bullet"/>
              <w:spacing w:before="60"/>
            </w:pPr>
            <w:r w:rsidRPr="00463667">
              <w:t>20–44 years.</w:t>
            </w:r>
          </w:p>
          <w:p w14:paraId="386C3B7A" w14:textId="77777777" w:rsidR="008F735B" w:rsidRPr="00463667" w:rsidRDefault="008F735B" w:rsidP="00DB6ED0">
            <w:pPr>
              <w:pStyle w:val="Bullet"/>
              <w:spacing w:before="60"/>
            </w:pPr>
            <w:r w:rsidRPr="00463667">
              <w:t>45–64 years.</w:t>
            </w:r>
          </w:p>
        </w:tc>
        <w:tc>
          <w:tcPr>
            <w:tcW w:w="5220" w:type="dxa"/>
          </w:tcPr>
          <w:p w14:paraId="2B327B22" w14:textId="77777777" w:rsidR="008F735B" w:rsidRPr="00463667" w:rsidRDefault="008F735B" w:rsidP="00DB6ED0">
            <w:pPr>
              <w:pStyle w:val="ProcessBullet"/>
              <w:spacing w:before="60"/>
            </w:pPr>
            <w:r w:rsidRPr="00463667">
              <w:t>65 years and older.</w:t>
            </w:r>
          </w:p>
          <w:p w14:paraId="4AAA8996" w14:textId="77777777" w:rsidR="008F735B" w:rsidRPr="00463667" w:rsidRDefault="008F735B" w:rsidP="00DB6ED0">
            <w:pPr>
              <w:pStyle w:val="ProcessBullet"/>
              <w:spacing w:before="60"/>
            </w:pPr>
            <w:r w:rsidRPr="00463667">
              <w:t>Total.</w:t>
            </w:r>
          </w:p>
        </w:tc>
      </w:tr>
      <w:tr w:rsidR="008F735B" w:rsidRPr="00463667" w14:paraId="6B339D8A" w14:textId="77777777" w:rsidTr="00F578E0">
        <w:tc>
          <w:tcPr>
            <w:tcW w:w="1800" w:type="dxa"/>
            <w:vMerge/>
          </w:tcPr>
          <w:p w14:paraId="76B8FDC9" w14:textId="77777777" w:rsidR="008F735B" w:rsidRPr="00463667" w:rsidRDefault="008F735B" w:rsidP="00F578E0">
            <w:pPr>
              <w:pStyle w:val="MarginSubhead"/>
              <w:spacing w:before="120"/>
            </w:pPr>
          </w:p>
        </w:tc>
        <w:tc>
          <w:tcPr>
            <w:tcW w:w="8100" w:type="dxa"/>
            <w:gridSpan w:val="2"/>
          </w:tcPr>
          <w:p w14:paraId="31ECF9B0" w14:textId="77777777" w:rsidR="008F735B" w:rsidRPr="00463667" w:rsidRDefault="008F735B" w:rsidP="00F578E0">
            <w:pPr>
              <w:pStyle w:val="ProcessBullet"/>
              <w:numPr>
                <w:ilvl w:val="0"/>
                <w:numId w:val="0"/>
              </w:numPr>
              <w:ind w:left="216" w:hanging="216"/>
            </w:pPr>
            <w:r w:rsidRPr="00463667">
              <w:t>The total is the sum of the age stratifications.</w:t>
            </w:r>
          </w:p>
        </w:tc>
      </w:tr>
      <w:tr w:rsidR="008F735B" w:rsidRPr="00463667" w14:paraId="60B6914B" w14:textId="77777777" w:rsidTr="00F578E0">
        <w:tc>
          <w:tcPr>
            <w:tcW w:w="1800" w:type="dxa"/>
          </w:tcPr>
          <w:p w14:paraId="362FB7B6" w14:textId="77777777" w:rsidR="008F735B" w:rsidRPr="00463667" w:rsidRDefault="008F735B" w:rsidP="00F578E0">
            <w:pPr>
              <w:pStyle w:val="MarginSubhead"/>
            </w:pPr>
            <w:r w:rsidRPr="00463667">
              <w:t>Continuous enrollment</w:t>
            </w:r>
          </w:p>
        </w:tc>
        <w:tc>
          <w:tcPr>
            <w:tcW w:w="8100" w:type="dxa"/>
            <w:gridSpan w:val="2"/>
          </w:tcPr>
          <w:p w14:paraId="5FA78F44" w14:textId="77777777" w:rsidR="008F735B" w:rsidRPr="00463667" w:rsidRDefault="008F735B" w:rsidP="00F578E0">
            <w:pPr>
              <w:pStyle w:val="Body"/>
            </w:pPr>
            <w:r w:rsidRPr="00463667">
              <w:rPr>
                <w:i/>
              </w:rPr>
              <w:t>Medicaid and Medicare:</w:t>
            </w:r>
            <w:r w:rsidRPr="00463667">
              <w:t xml:space="preserve"> The measurement year. </w:t>
            </w:r>
          </w:p>
          <w:p w14:paraId="3A300EDA" w14:textId="77777777" w:rsidR="008F735B" w:rsidRPr="00463667" w:rsidRDefault="008F735B" w:rsidP="00F578E0">
            <w:pPr>
              <w:pStyle w:val="Body"/>
            </w:pPr>
            <w:r w:rsidRPr="00463667">
              <w:rPr>
                <w:i/>
              </w:rPr>
              <w:t>Commercial:</w:t>
            </w:r>
            <w:r w:rsidRPr="00463667">
              <w:t xml:space="preserve"> The measurement year and the two years prior to the measurement year.</w:t>
            </w:r>
          </w:p>
        </w:tc>
      </w:tr>
      <w:tr w:rsidR="008F735B" w:rsidRPr="00463667" w14:paraId="6A87906A" w14:textId="77777777" w:rsidTr="00F578E0">
        <w:tc>
          <w:tcPr>
            <w:tcW w:w="1800" w:type="dxa"/>
          </w:tcPr>
          <w:p w14:paraId="56F0CAC1" w14:textId="77777777" w:rsidR="008F735B" w:rsidRPr="00463667" w:rsidRDefault="008F735B" w:rsidP="00F578E0">
            <w:pPr>
              <w:pStyle w:val="MarginSubhead"/>
            </w:pPr>
            <w:r w:rsidRPr="00463667">
              <w:t>Allowable gap</w:t>
            </w:r>
          </w:p>
        </w:tc>
        <w:tc>
          <w:tcPr>
            <w:tcW w:w="8100" w:type="dxa"/>
            <w:gridSpan w:val="2"/>
          </w:tcPr>
          <w:p w14:paraId="6E9F2627" w14:textId="77777777" w:rsidR="008F735B" w:rsidRPr="00463667" w:rsidRDefault="008F735B" w:rsidP="00F578E0">
            <w:pPr>
              <w:pStyle w:val="Body"/>
            </w:pPr>
            <w:r w:rsidRPr="00463667">
              <w:t xml:space="preserve">No more than one gap in enrollment of up to 45 days during each year of continuous enrollment. To determine continuous enrollment for a Medicaid beneficiary for </w:t>
            </w:r>
            <w:r w:rsidRPr="00463667">
              <w:br/>
              <w:t xml:space="preserve">whom enrollment is verified monthly, the member may not have more than a 1-month gap in coverage (i.e., a member whose coverage lapses for 2 months [60 days] is not considered continuously enrolled). </w:t>
            </w:r>
          </w:p>
        </w:tc>
      </w:tr>
      <w:tr w:rsidR="008F735B" w:rsidRPr="00463667" w14:paraId="0F4FBBFB" w14:textId="77777777" w:rsidTr="00F578E0">
        <w:tc>
          <w:tcPr>
            <w:tcW w:w="1800" w:type="dxa"/>
          </w:tcPr>
          <w:p w14:paraId="6DBC2239" w14:textId="77777777" w:rsidR="008F735B" w:rsidRPr="00463667" w:rsidRDefault="008F735B" w:rsidP="00F578E0">
            <w:pPr>
              <w:pStyle w:val="MarginSubhead"/>
            </w:pPr>
            <w:r w:rsidRPr="00463667">
              <w:t>Anchor date</w:t>
            </w:r>
          </w:p>
        </w:tc>
        <w:tc>
          <w:tcPr>
            <w:tcW w:w="8100" w:type="dxa"/>
            <w:gridSpan w:val="2"/>
          </w:tcPr>
          <w:p w14:paraId="6579DE3D" w14:textId="77777777" w:rsidR="008F735B" w:rsidRPr="00463667" w:rsidRDefault="008F735B" w:rsidP="00F578E0">
            <w:pPr>
              <w:pStyle w:val="Body"/>
            </w:pPr>
            <w:r w:rsidRPr="00463667">
              <w:t>December 31 of the measurement year.</w:t>
            </w:r>
          </w:p>
        </w:tc>
      </w:tr>
      <w:tr w:rsidR="008F735B" w:rsidRPr="00463667" w14:paraId="263FB07D" w14:textId="77777777" w:rsidTr="00F578E0">
        <w:tc>
          <w:tcPr>
            <w:tcW w:w="1800" w:type="dxa"/>
          </w:tcPr>
          <w:p w14:paraId="00EB3C4B" w14:textId="77777777" w:rsidR="008F735B" w:rsidRPr="00463667" w:rsidRDefault="008F735B" w:rsidP="00F578E0">
            <w:pPr>
              <w:pStyle w:val="MarginSubhead"/>
            </w:pPr>
            <w:r w:rsidRPr="00463667">
              <w:t>Benefit</w:t>
            </w:r>
          </w:p>
        </w:tc>
        <w:tc>
          <w:tcPr>
            <w:tcW w:w="8100" w:type="dxa"/>
            <w:gridSpan w:val="2"/>
          </w:tcPr>
          <w:p w14:paraId="5B74ADE2" w14:textId="77777777" w:rsidR="008F735B" w:rsidRPr="00463667" w:rsidRDefault="008F735B" w:rsidP="00F578E0">
            <w:pPr>
              <w:pStyle w:val="Body"/>
            </w:pPr>
            <w:r w:rsidRPr="00463667">
              <w:t>Medical.</w:t>
            </w:r>
          </w:p>
        </w:tc>
      </w:tr>
      <w:tr w:rsidR="008F735B" w:rsidRPr="00463667" w14:paraId="55DF8704" w14:textId="77777777" w:rsidTr="00F578E0">
        <w:tc>
          <w:tcPr>
            <w:tcW w:w="1800" w:type="dxa"/>
          </w:tcPr>
          <w:p w14:paraId="7462743D" w14:textId="77777777" w:rsidR="008F735B" w:rsidRPr="00463667" w:rsidRDefault="008F735B" w:rsidP="00F578E0">
            <w:pPr>
              <w:pStyle w:val="MarginSubhead"/>
            </w:pPr>
            <w:r w:rsidRPr="00463667">
              <w:t>Event/ diagnosis</w:t>
            </w:r>
          </w:p>
        </w:tc>
        <w:tc>
          <w:tcPr>
            <w:tcW w:w="8100" w:type="dxa"/>
            <w:gridSpan w:val="2"/>
          </w:tcPr>
          <w:p w14:paraId="00123748" w14:textId="77777777" w:rsidR="008F735B" w:rsidRPr="00463667" w:rsidRDefault="008F735B" w:rsidP="00F578E0">
            <w:pPr>
              <w:pStyle w:val="Body"/>
            </w:pPr>
            <w:r w:rsidRPr="00463667">
              <w:t>None.</w:t>
            </w:r>
          </w:p>
        </w:tc>
      </w:tr>
    </w:tbl>
    <w:p w14:paraId="7B4B97B1" w14:textId="77777777" w:rsidR="008F735B" w:rsidRPr="00463667" w:rsidRDefault="008F735B" w:rsidP="008F735B">
      <w:pPr>
        <w:sectPr w:rsidR="008F735B" w:rsidRPr="00463667" w:rsidSect="00F578E0">
          <w:headerReference w:type="even" r:id="rId26"/>
          <w:headerReference w:type="default" r:id="rId27"/>
          <w:pgSz w:w="12240" w:h="15840" w:code="1"/>
          <w:pgMar w:top="1080" w:right="1080" w:bottom="1080" w:left="1440" w:header="720" w:footer="720" w:gutter="0"/>
          <w:cols w:space="720"/>
        </w:sectPr>
      </w:pPr>
    </w:p>
    <w:p w14:paraId="1E0756B7" w14:textId="77777777" w:rsidR="008F735B" w:rsidRPr="00463667" w:rsidRDefault="008F735B" w:rsidP="00081D64">
      <w:pPr>
        <w:pStyle w:val="ReverseHead"/>
        <w:spacing w:before="0"/>
      </w:pPr>
      <w:r w:rsidRPr="00463667">
        <w:lastRenderedPageBreak/>
        <w:t>Administrative Specification</w:t>
      </w:r>
    </w:p>
    <w:tbl>
      <w:tblPr>
        <w:tblW w:w="0" w:type="auto"/>
        <w:tblInd w:w="-72" w:type="dxa"/>
        <w:tblLayout w:type="fixed"/>
        <w:tblLook w:val="0000" w:firstRow="0" w:lastRow="0" w:firstColumn="0" w:lastColumn="0" w:noHBand="0" w:noVBand="0"/>
      </w:tblPr>
      <w:tblGrid>
        <w:gridCol w:w="1980"/>
        <w:gridCol w:w="7920"/>
      </w:tblGrid>
      <w:tr w:rsidR="008F735B" w:rsidRPr="00463667" w14:paraId="2D2B37D0" w14:textId="77777777" w:rsidTr="00F578E0">
        <w:tc>
          <w:tcPr>
            <w:tcW w:w="1980" w:type="dxa"/>
          </w:tcPr>
          <w:p w14:paraId="1A96763C" w14:textId="77777777" w:rsidR="008F735B" w:rsidRPr="00463667" w:rsidRDefault="008F735B" w:rsidP="00F578E0">
            <w:pPr>
              <w:pStyle w:val="MarginSubhead"/>
              <w:spacing w:before="160"/>
            </w:pPr>
            <w:r w:rsidRPr="00463667">
              <w:t xml:space="preserve">Denominator </w:t>
            </w:r>
          </w:p>
        </w:tc>
        <w:tc>
          <w:tcPr>
            <w:tcW w:w="7920" w:type="dxa"/>
          </w:tcPr>
          <w:p w14:paraId="1942A7C7" w14:textId="77777777" w:rsidR="008F735B" w:rsidRPr="00463667" w:rsidRDefault="008F735B" w:rsidP="00F578E0">
            <w:pPr>
              <w:pStyle w:val="Body"/>
            </w:pPr>
            <w:r w:rsidRPr="00463667">
              <w:t>The eligible population (report each age stratification separately).</w:t>
            </w:r>
          </w:p>
        </w:tc>
      </w:tr>
      <w:tr w:rsidR="008F735B" w:rsidRPr="00463667" w14:paraId="686A4EB4" w14:textId="77777777" w:rsidTr="00F578E0">
        <w:trPr>
          <w:trHeight w:val="2349"/>
        </w:trPr>
        <w:tc>
          <w:tcPr>
            <w:tcW w:w="1980" w:type="dxa"/>
          </w:tcPr>
          <w:p w14:paraId="6E08FB14" w14:textId="77777777" w:rsidR="008F735B" w:rsidRPr="00463667" w:rsidRDefault="008F735B" w:rsidP="00F578E0">
            <w:pPr>
              <w:pStyle w:val="MarginSubhead"/>
              <w:spacing w:before="160"/>
            </w:pPr>
            <w:r w:rsidRPr="00463667">
              <w:t>Numerator</w:t>
            </w:r>
          </w:p>
        </w:tc>
        <w:tc>
          <w:tcPr>
            <w:tcW w:w="7920" w:type="dxa"/>
          </w:tcPr>
          <w:p w14:paraId="69952A45" w14:textId="77777777" w:rsidR="008F735B" w:rsidRPr="00463667" w:rsidRDefault="008F735B" w:rsidP="00F578E0">
            <w:pPr>
              <w:pStyle w:val="Body"/>
              <w:spacing w:before="160"/>
            </w:pPr>
            <w:r w:rsidRPr="00463667">
              <w:rPr>
                <w:i/>
              </w:rPr>
              <w:t>Medicaid and Medicare:</w:t>
            </w:r>
            <w:r w:rsidRPr="00463667">
              <w:t xml:space="preserve"> One or more ambulatory or preventive care visits during the measurement year.</w:t>
            </w:r>
          </w:p>
          <w:p w14:paraId="1A838A96" w14:textId="77777777" w:rsidR="008F735B" w:rsidRPr="00463667" w:rsidRDefault="008F735B" w:rsidP="00F578E0">
            <w:pPr>
              <w:pStyle w:val="Body"/>
              <w:spacing w:before="160"/>
            </w:pPr>
            <w:r w:rsidRPr="00463667">
              <w:rPr>
                <w:i/>
              </w:rPr>
              <w:t xml:space="preserve">Commercial: </w:t>
            </w:r>
            <w:r w:rsidRPr="00463667">
              <w:t xml:space="preserve">One or more ambulatory or preventive care visits during the measurement year or the two years prior to the measurement year. </w:t>
            </w:r>
          </w:p>
          <w:p w14:paraId="43685716" w14:textId="77777777" w:rsidR="008F735B" w:rsidRPr="00463667" w:rsidRDefault="008F735B" w:rsidP="00F578E0">
            <w:pPr>
              <w:pStyle w:val="Body"/>
              <w:spacing w:before="160"/>
            </w:pPr>
            <w:r w:rsidRPr="00463667">
              <w:t>Use the following value sets to identify ambulatory or preventive care visits:</w:t>
            </w:r>
          </w:p>
          <w:p w14:paraId="14E1C27C" w14:textId="77777777" w:rsidR="008F735B" w:rsidRPr="00463667" w:rsidRDefault="008F735B" w:rsidP="00F328AD">
            <w:pPr>
              <w:pStyle w:val="Bullet"/>
              <w:spacing w:before="60"/>
            </w:pPr>
            <w:r w:rsidRPr="00463667">
              <w:rPr>
                <w:u w:val="single"/>
              </w:rPr>
              <w:t>Ambulatory Visits Value Set</w:t>
            </w:r>
            <w:r w:rsidRPr="00463667">
              <w:t>.</w:t>
            </w:r>
          </w:p>
          <w:p w14:paraId="33EEBA35" w14:textId="77777777" w:rsidR="008F735B" w:rsidRPr="00463667" w:rsidRDefault="008F735B" w:rsidP="00F328AD">
            <w:pPr>
              <w:pStyle w:val="Bullet"/>
              <w:spacing w:before="60"/>
            </w:pPr>
            <w:r w:rsidRPr="00463667">
              <w:rPr>
                <w:u w:val="single"/>
              </w:rPr>
              <w:t>Other Ambulatory Visits Value Set</w:t>
            </w:r>
            <w:r w:rsidRPr="00463667">
              <w:t>.</w:t>
            </w:r>
          </w:p>
        </w:tc>
      </w:tr>
    </w:tbl>
    <w:p w14:paraId="515A4C38" w14:textId="77777777" w:rsidR="008F735B" w:rsidRPr="00463667" w:rsidRDefault="008F735B" w:rsidP="00081D64">
      <w:pPr>
        <w:pStyle w:val="ReverseHead"/>
      </w:pPr>
      <w:r w:rsidRPr="00463667">
        <w:t xml:space="preserve">Data Elements for Reporting </w:t>
      </w:r>
    </w:p>
    <w:p w14:paraId="102AF1B7" w14:textId="77777777" w:rsidR="008F735B" w:rsidRPr="00463667" w:rsidRDefault="008F735B" w:rsidP="008F735B">
      <w:pPr>
        <w:pStyle w:val="Body"/>
      </w:pPr>
      <w:r w:rsidRPr="00463667">
        <w:t>Organizations that submit HEDIS data to NCQA must provide the following data elements.</w:t>
      </w:r>
    </w:p>
    <w:p w14:paraId="5A87A623" w14:textId="77777777" w:rsidR="008F735B" w:rsidRPr="00463667" w:rsidRDefault="008F735B" w:rsidP="00081D64">
      <w:pPr>
        <w:pStyle w:val="TableHeadNotCondensed"/>
        <w:ind w:left="1800" w:hanging="1800"/>
      </w:pPr>
      <w:r w:rsidRPr="00463667">
        <w:t>Table AAP-1/2/3:</w:t>
      </w:r>
      <w:r w:rsidRPr="00463667">
        <w:tab/>
        <w:t>Data Elements for Adults’ Access to Preventive/Ambulatory</w:t>
      </w:r>
      <w:r w:rsidRPr="00463667">
        <w:br/>
        <w:t>Health Services</w:t>
      </w:r>
    </w:p>
    <w:tbl>
      <w:tblPr>
        <w:tblW w:w="72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8"/>
        <w:gridCol w:w="2970"/>
      </w:tblGrid>
      <w:tr w:rsidR="008F735B" w:rsidRPr="00463667" w14:paraId="77C181EE" w14:textId="77777777" w:rsidTr="00CA7033">
        <w:tc>
          <w:tcPr>
            <w:tcW w:w="4328" w:type="dxa"/>
            <w:tcBorders>
              <w:bottom w:val="single" w:sz="6" w:space="0" w:color="auto"/>
              <w:right w:val="nil"/>
            </w:tcBorders>
            <w:shd w:val="clear" w:color="auto" w:fill="000000"/>
          </w:tcPr>
          <w:p w14:paraId="20FD7072" w14:textId="77777777" w:rsidR="008F735B" w:rsidRPr="00463667" w:rsidRDefault="008F735B" w:rsidP="00F578E0">
            <w:pPr>
              <w:pStyle w:val="TableHead"/>
              <w:rPr>
                <w:color w:val="auto"/>
              </w:rPr>
            </w:pPr>
          </w:p>
        </w:tc>
        <w:tc>
          <w:tcPr>
            <w:tcW w:w="2970" w:type="dxa"/>
            <w:tcBorders>
              <w:left w:val="single" w:sz="6" w:space="0" w:color="FFFFFF"/>
              <w:bottom w:val="single" w:sz="6" w:space="0" w:color="auto"/>
              <w:right w:val="single" w:sz="4" w:space="0" w:color="auto"/>
            </w:tcBorders>
            <w:shd w:val="clear" w:color="auto" w:fill="000000"/>
          </w:tcPr>
          <w:p w14:paraId="35CF9630" w14:textId="77777777" w:rsidR="008F735B" w:rsidRPr="00463667" w:rsidRDefault="008F735B" w:rsidP="00F578E0">
            <w:pPr>
              <w:pStyle w:val="TableHead"/>
              <w:rPr>
                <w:color w:val="auto"/>
              </w:rPr>
            </w:pPr>
            <w:r w:rsidRPr="00463667">
              <w:rPr>
                <w:color w:val="auto"/>
              </w:rPr>
              <w:t>Administrative</w:t>
            </w:r>
          </w:p>
        </w:tc>
      </w:tr>
      <w:tr w:rsidR="008F735B" w:rsidRPr="00463667" w14:paraId="1682AE1E" w14:textId="77777777" w:rsidTr="00CA7033">
        <w:tc>
          <w:tcPr>
            <w:tcW w:w="4328" w:type="dxa"/>
            <w:tcBorders>
              <w:bottom w:val="single" w:sz="6" w:space="0" w:color="auto"/>
            </w:tcBorders>
          </w:tcPr>
          <w:p w14:paraId="55A28723" w14:textId="77777777" w:rsidR="008F735B" w:rsidRPr="00463667" w:rsidRDefault="008F735B" w:rsidP="00F578E0">
            <w:pPr>
              <w:pStyle w:val="TableText"/>
            </w:pPr>
            <w:r w:rsidRPr="00463667">
              <w:t>Measurement year</w:t>
            </w:r>
          </w:p>
        </w:tc>
        <w:tc>
          <w:tcPr>
            <w:tcW w:w="2970" w:type="dxa"/>
            <w:tcBorders>
              <w:bottom w:val="single" w:sz="6" w:space="0" w:color="auto"/>
            </w:tcBorders>
            <w:vAlign w:val="center"/>
          </w:tcPr>
          <w:p w14:paraId="57273755" w14:textId="77777777" w:rsidR="008F735B" w:rsidRPr="00463667" w:rsidRDefault="008F735B" w:rsidP="00F578E0">
            <w:pPr>
              <w:pStyle w:val="TableText"/>
              <w:jc w:val="center"/>
              <w:rPr>
                <w:i/>
                <w:sz w:val="24"/>
                <w:szCs w:val="24"/>
              </w:rPr>
            </w:pPr>
            <w:r w:rsidRPr="00463667">
              <w:rPr>
                <w:sz w:val="24"/>
                <w:szCs w:val="24"/>
              </w:rPr>
              <w:sym w:font="Wingdings" w:char="F0FC"/>
            </w:r>
          </w:p>
        </w:tc>
      </w:tr>
      <w:tr w:rsidR="008F735B" w:rsidRPr="00463667" w14:paraId="6534910A" w14:textId="77777777" w:rsidTr="00CA7033">
        <w:tc>
          <w:tcPr>
            <w:tcW w:w="4328" w:type="dxa"/>
            <w:shd w:val="clear" w:color="auto" w:fill="D9D9D9"/>
          </w:tcPr>
          <w:p w14:paraId="2E5E8081" w14:textId="77777777" w:rsidR="008F735B" w:rsidRPr="00463667" w:rsidRDefault="008F735B" w:rsidP="00F578E0">
            <w:pPr>
              <w:pStyle w:val="TableText"/>
            </w:pPr>
            <w:r w:rsidRPr="00463667">
              <w:t>Data collection methodology (Administrative)</w:t>
            </w:r>
          </w:p>
        </w:tc>
        <w:tc>
          <w:tcPr>
            <w:tcW w:w="2970" w:type="dxa"/>
            <w:shd w:val="clear" w:color="auto" w:fill="D9D9D9"/>
            <w:vAlign w:val="center"/>
          </w:tcPr>
          <w:p w14:paraId="7A7492E7" w14:textId="77777777" w:rsidR="008F735B" w:rsidRPr="00463667" w:rsidRDefault="008F735B" w:rsidP="00F578E0">
            <w:pPr>
              <w:pStyle w:val="TableText"/>
              <w:jc w:val="center"/>
              <w:rPr>
                <w:i/>
                <w:sz w:val="24"/>
                <w:szCs w:val="24"/>
              </w:rPr>
            </w:pPr>
            <w:r w:rsidRPr="00463667">
              <w:rPr>
                <w:sz w:val="24"/>
                <w:szCs w:val="24"/>
              </w:rPr>
              <w:sym w:font="Wingdings" w:char="F0FC"/>
            </w:r>
          </w:p>
        </w:tc>
      </w:tr>
      <w:tr w:rsidR="008F735B" w:rsidRPr="00463667" w14:paraId="6F8FA7A4" w14:textId="77777777" w:rsidTr="00CA7033">
        <w:tc>
          <w:tcPr>
            <w:tcW w:w="4328" w:type="dxa"/>
          </w:tcPr>
          <w:p w14:paraId="2CAD26D8" w14:textId="77777777" w:rsidR="008F735B" w:rsidRPr="00463667" w:rsidRDefault="008F735B" w:rsidP="00F578E0">
            <w:pPr>
              <w:pStyle w:val="TableText"/>
            </w:pPr>
            <w:r w:rsidRPr="00463667">
              <w:t xml:space="preserve">Eligible population </w:t>
            </w:r>
          </w:p>
        </w:tc>
        <w:tc>
          <w:tcPr>
            <w:tcW w:w="2970" w:type="dxa"/>
          </w:tcPr>
          <w:p w14:paraId="09B7E9C4"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161AB6AF" w14:textId="77777777" w:rsidTr="00CA7033">
        <w:tc>
          <w:tcPr>
            <w:tcW w:w="4328" w:type="dxa"/>
            <w:shd w:val="clear" w:color="auto" w:fill="D9D9D9"/>
          </w:tcPr>
          <w:p w14:paraId="751F3B8E" w14:textId="77777777" w:rsidR="008F735B" w:rsidRPr="00463667" w:rsidRDefault="008F735B" w:rsidP="00F578E0">
            <w:pPr>
              <w:pStyle w:val="TableText"/>
            </w:pPr>
            <w:r w:rsidRPr="00463667">
              <w:t>Numerator events by administrative data</w:t>
            </w:r>
          </w:p>
        </w:tc>
        <w:tc>
          <w:tcPr>
            <w:tcW w:w="2970" w:type="dxa"/>
            <w:shd w:val="clear" w:color="auto" w:fill="D9D9D9"/>
          </w:tcPr>
          <w:p w14:paraId="4A3CB5E4"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0B730764" w14:textId="77777777" w:rsidTr="00CA7033">
        <w:tc>
          <w:tcPr>
            <w:tcW w:w="4328" w:type="dxa"/>
          </w:tcPr>
          <w:p w14:paraId="19DF1CA9" w14:textId="77777777" w:rsidR="008F735B" w:rsidRPr="00463667" w:rsidRDefault="008F735B" w:rsidP="00F578E0">
            <w:pPr>
              <w:pStyle w:val="TableText"/>
            </w:pPr>
            <w:r w:rsidRPr="00463667">
              <w:t>Reported rate</w:t>
            </w:r>
          </w:p>
        </w:tc>
        <w:tc>
          <w:tcPr>
            <w:tcW w:w="2970" w:type="dxa"/>
          </w:tcPr>
          <w:p w14:paraId="1F5B4501"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62AC270D" w14:textId="77777777" w:rsidTr="00CA7033">
        <w:tc>
          <w:tcPr>
            <w:tcW w:w="4328" w:type="dxa"/>
            <w:tcBorders>
              <w:bottom w:val="single" w:sz="6" w:space="0" w:color="auto"/>
            </w:tcBorders>
            <w:shd w:val="clear" w:color="auto" w:fill="D9D9D9"/>
          </w:tcPr>
          <w:p w14:paraId="56EF3A81" w14:textId="77777777" w:rsidR="008F735B" w:rsidRPr="00463667" w:rsidRDefault="008F735B" w:rsidP="00F578E0">
            <w:pPr>
              <w:pStyle w:val="TableText"/>
            </w:pPr>
            <w:r w:rsidRPr="00463667">
              <w:t>Lower 95% confidence interval</w:t>
            </w:r>
          </w:p>
        </w:tc>
        <w:tc>
          <w:tcPr>
            <w:tcW w:w="2970" w:type="dxa"/>
            <w:tcBorders>
              <w:bottom w:val="single" w:sz="6" w:space="0" w:color="auto"/>
            </w:tcBorders>
            <w:shd w:val="clear" w:color="auto" w:fill="D9D9D9"/>
          </w:tcPr>
          <w:p w14:paraId="32A44307"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2C6FA218" w14:textId="77777777" w:rsidTr="00CA7033">
        <w:tc>
          <w:tcPr>
            <w:tcW w:w="4328" w:type="dxa"/>
            <w:tcBorders>
              <w:bottom w:val="single" w:sz="6" w:space="0" w:color="auto"/>
            </w:tcBorders>
          </w:tcPr>
          <w:p w14:paraId="016310D1" w14:textId="77777777" w:rsidR="008F735B" w:rsidRPr="00463667" w:rsidRDefault="008F735B" w:rsidP="00F578E0">
            <w:pPr>
              <w:pStyle w:val="TableText"/>
            </w:pPr>
            <w:r w:rsidRPr="00463667">
              <w:t>Upper 95% confidence interval</w:t>
            </w:r>
          </w:p>
        </w:tc>
        <w:tc>
          <w:tcPr>
            <w:tcW w:w="2970" w:type="dxa"/>
            <w:tcBorders>
              <w:bottom w:val="single" w:sz="6" w:space="0" w:color="auto"/>
            </w:tcBorders>
          </w:tcPr>
          <w:p w14:paraId="5088D567" w14:textId="77777777" w:rsidR="008F735B" w:rsidRPr="00463667" w:rsidRDefault="008F735B" w:rsidP="00F578E0">
            <w:pPr>
              <w:pStyle w:val="TableText"/>
              <w:jc w:val="center"/>
              <w:rPr>
                <w:i/>
              </w:rPr>
            </w:pPr>
            <w:r w:rsidRPr="00463667">
              <w:rPr>
                <w:i/>
              </w:rPr>
              <w:t>For each age stratification and total</w:t>
            </w:r>
          </w:p>
        </w:tc>
      </w:tr>
    </w:tbl>
    <w:p w14:paraId="51AA3135" w14:textId="77777777" w:rsidR="008F735B" w:rsidRPr="00463667" w:rsidRDefault="008F735B" w:rsidP="008F735B">
      <w:pPr>
        <w:rPr>
          <w:sz w:val="16"/>
          <w:szCs w:val="16"/>
        </w:rPr>
      </w:pPr>
    </w:p>
    <w:p w14:paraId="092EAAD4" w14:textId="77777777" w:rsidR="008F735B" w:rsidRPr="00463667" w:rsidRDefault="008F735B" w:rsidP="008F735B">
      <w:pPr>
        <w:rPr>
          <w:sz w:val="16"/>
          <w:szCs w:val="16"/>
        </w:rPr>
      </w:pPr>
    </w:p>
    <w:p w14:paraId="5E5C420F" w14:textId="77777777" w:rsidR="008F735B" w:rsidRPr="00463667" w:rsidRDefault="008F735B" w:rsidP="008F735B">
      <w:pPr>
        <w:rPr>
          <w:sz w:val="16"/>
          <w:szCs w:val="16"/>
        </w:rPr>
      </w:pPr>
    </w:p>
    <w:p w14:paraId="145F1863" w14:textId="77777777" w:rsidR="008F735B" w:rsidRPr="00463667" w:rsidRDefault="008F735B" w:rsidP="008F735B">
      <w:pPr>
        <w:rPr>
          <w:sz w:val="16"/>
          <w:szCs w:val="16"/>
        </w:rPr>
      </w:pPr>
    </w:p>
    <w:p w14:paraId="1F3746C3" w14:textId="77777777" w:rsidR="008F735B" w:rsidRPr="00463667" w:rsidRDefault="008F735B" w:rsidP="008F735B">
      <w:pPr>
        <w:rPr>
          <w:sz w:val="16"/>
          <w:szCs w:val="16"/>
        </w:rPr>
      </w:pPr>
    </w:p>
    <w:p w14:paraId="26A2748B" w14:textId="77777777" w:rsidR="008F735B" w:rsidRPr="00463667" w:rsidRDefault="008F735B" w:rsidP="008F735B">
      <w:pPr>
        <w:rPr>
          <w:sz w:val="16"/>
          <w:szCs w:val="16"/>
        </w:rPr>
      </w:pPr>
    </w:p>
    <w:p w14:paraId="415DB9D5" w14:textId="77777777" w:rsidR="008F735B" w:rsidRPr="00463667" w:rsidRDefault="008F735B" w:rsidP="008F735B">
      <w:pPr>
        <w:rPr>
          <w:sz w:val="16"/>
          <w:szCs w:val="16"/>
        </w:rPr>
      </w:pPr>
    </w:p>
    <w:p w14:paraId="43AF0934" w14:textId="77777777" w:rsidR="008F735B" w:rsidRPr="00463667" w:rsidRDefault="008F735B" w:rsidP="008F735B">
      <w:pPr>
        <w:pStyle w:val="TableText"/>
        <w:spacing w:before="120" w:after="0"/>
        <w:rPr>
          <w:rFonts w:ascii="Arial" w:hAnsi="Arial" w:cs="Arial"/>
          <w:sz w:val="18"/>
          <w:szCs w:val="18"/>
        </w:rPr>
      </w:pPr>
    </w:p>
    <w:p w14:paraId="2D00EE27" w14:textId="77777777" w:rsidR="008F735B" w:rsidRPr="00463667" w:rsidRDefault="008F735B" w:rsidP="008F735B">
      <w:pPr>
        <w:tabs>
          <w:tab w:val="left" w:pos="8460"/>
        </w:tabs>
        <w:spacing w:after="240"/>
        <w:rPr>
          <w:b/>
          <w:i/>
          <w:smallCaps/>
          <w:sz w:val="18"/>
          <w:szCs w:val="18"/>
        </w:rPr>
        <w:sectPr w:rsidR="008F735B" w:rsidRPr="00463667" w:rsidSect="00F578E0">
          <w:headerReference w:type="default" r:id="rId28"/>
          <w:pgSz w:w="12240" w:h="15840" w:code="1"/>
          <w:pgMar w:top="1080" w:right="1080" w:bottom="1080" w:left="1440" w:header="720" w:footer="720" w:gutter="0"/>
          <w:cols w:space="720"/>
        </w:sectPr>
      </w:pPr>
    </w:p>
    <w:p w14:paraId="17BD14FA" w14:textId="7A21DF09" w:rsidR="008F735B" w:rsidRPr="00463667" w:rsidRDefault="008F735B" w:rsidP="008F735B">
      <w:pPr>
        <w:pStyle w:val="Heading2"/>
      </w:pPr>
      <w:bookmarkStart w:id="3" w:name="_Toc400546162"/>
      <w:r w:rsidRPr="003F7CDF">
        <w:lastRenderedPageBreak/>
        <w:t>Children and Adolescents’ Access to Primary Care Practitioners (CAP)</w:t>
      </w:r>
      <w:bookmarkEnd w:id="3"/>
    </w:p>
    <w:p w14:paraId="4BDA873F" w14:textId="4C1BD1F5" w:rsidR="008F735B" w:rsidRPr="00463667" w:rsidRDefault="008F735B" w:rsidP="00081D64">
      <w:pPr>
        <w:pStyle w:val="SOC"/>
        <w:rPr>
          <w:i/>
        </w:rPr>
      </w:pPr>
      <w:r w:rsidRPr="00463667">
        <w:t xml:space="preserve">Summary of Changes to HEDIS </w:t>
      </w:r>
      <w:r w:rsidR="00A47F13">
        <w:t>2016</w:t>
      </w:r>
    </w:p>
    <w:p w14:paraId="19836038" w14:textId="2D3A1C37" w:rsidR="008F735B" w:rsidRPr="00463667" w:rsidRDefault="005D59EF" w:rsidP="008F735B">
      <w:pPr>
        <w:pStyle w:val="ProcessBullet"/>
        <w:rPr>
          <w:i/>
          <w:iCs/>
        </w:rPr>
      </w:pPr>
      <w:r>
        <w:t>No changes to this measure.</w:t>
      </w:r>
    </w:p>
    <w:p w14:paraId="600F0023" w14:textId="77777777" w:rsidR="008F735B" w:rsidRPr="00463667" w:rsidRDefault="008F735B" w:rsidP="00081D64">
      <w:pPr>
        <w:pStyle w:val="ReverseHead"/>
      </w:pPr>
      <w:r w:rsidRPr="00463667">
        <w:t>Description</w:t>
      </w:r>
    </w:p>
    <w:p w14:paraId="3A85169B" w14:textId="77777777" w:rsidR="008F735B" w:rsidRPr="00463667" w:rsidRDefault="008F735B" w:rsidP="008F735B">
      <w:pPr>
        <w:pStyle w:val="Body"/>
      </w:pPr>
      <w:r w:rsidRPr="00463667">
        <w:t>The percentage of members 12 months–19 years of age who had a visit with a PCP. The organization reports four separate percentages for each product line.</w:t>
      </w:r>
    </w:p>
    <w:p w14:paraId="1EC1149F" w14:textId="77777777" w:rsidR="008F735B" w:rsidRPr="00463667" w:rsidRDefault="008F735B" w:rsidP="00F328AD">
      <w:pPr>
        <w:pStyle w:val="Bullet"/>
        <w:spacing w:before="60"/>
      </w:pPr>
      <w:r w:rsidRPr="00463667">
        <w:t>Children 12–24 months and 25 months–6 years who had a visit with a PCP during the measurement year.</w:t>
      </w:r>
    </w:p>
    <w:p w14:paraId="7040E935" w14:textId="77777777" w:rsidR="008F735B" w:rsidRPr="00463667" w:rsidRDefault="008F735B" w:rsidP="00F328AD">
      <w:pPr>
        <w:pStyle w:val="Bullet"/>
        <w:spacing w:before="60"/>
      </w:pPr>
      <w:r w:rsidRPr="00463667">
        <w:t>Children 7–11 years and adolescents 12–19 years who had a visit with a PCP during the measurement year or the year prior to the measurement year.</w:t>
      </w:r>
    </w:p>
    <w:p w14:paraId="053F811B" w14:textId="77777777" w:rsidR="008F735B" w:rsidRPr="00463667" w:rsidRDefault="008F735B" w:rsidP="00081D64">
      <w:pPr>
        <w:pStyle w:val="ReverseHead"/>
      </w:pPr>
      <w:r w:rsidRPr="00463667">
        <w:t xml:space="preserve">Eligible Population </w:t>
      </w:r>
    </w:p>
    <w:tbl>
      <w:tblPr>
        <w:tblW w:w="9792" w:type="dxa"/>
        <w:tblInd w:w="18" w:type="dxa"/>
        <w:tblLayout w:type="fixed"/>
        <w:tblLook w:val="0000" w:firstRow="0" w:lastRow="0" w:firstColumn="0" w:lastColumn="0" w:noHBand="0" w:noVBand="0"/>
      </w:tblPr>
      <w:tblGrid>
        <w:gridCol w:w="1890"/>
        <w:gridCol w:w="7902"/>
      </w:tblGrid>
      <w:tr w:rsidR="008F735B" w:rsidRPr="00463667" w14:paraId="4CFD1E07" w14:textId="77777777" w:rsidTr="00F578E0">
        <w:tc>
          <w:tcPr>
            <w:tcW w:w="1890" w:type="dxa"/>
          </w:tcPr>
          <w:p w14:paraId="70489D2E" w14:textId="77777777" w:rsidR="008F735B" w:rsidRPr="00463667" w:rsidRDefault="008F735B" w:rsidP="00F578E0">
            <w:pPr>
              <w:pStyle w:val="MarginSubhead"/>
            </w:pPr>
            <w:r w:rsidRPr="00463667">
              <w:t>Product lines</w:t>
            </w:r>
          </w:p>
        </w:tc>
        <w:tc>
          <w:tcPr>
            <w:tcW w:w="7902" w:type="dxa"/>
          </w:tcPr>
          <w:p w14:paraId="2CC2ECA4" w14:textId="77777777" w:rsidR="008F735B" w:rsidRPr="00463667" w:rsidRDefault="008F735B" w:rsidP="00F578E0">
            <w:pPr>
              <w:pStyle w:val="Body"/>
            </w:pPr>
            <w:r w:rsidRPr="00463667">
              <w:t>Commercial, Medicaid (report each product line separately).</w:t>
            </w:r>
          </w:p>
        </w:tc>
      </w:tr>
      <w:tr w:rsidR="008F735B" w:rsidRPr="00463667" w14:paraId="11ADEBE0" w14:textId="77777777" w:rsidTr="00F578E0">
        <w:tc>
          <w:tcPr>
            <w:tcW w:w="1890" w:type="dxa"/>
          </w:tcPr>
          <w:p w14:paraId="2575D334" w14:textId="77777777" w:rsidR="008F735B" w:rsidRPr="00463667" w:rsidRDefault="008F735B" w:rsidP="00F578E0">
            <w:pPr>
              <w:pStyle w:val="MarginSubhead"/>
            </w:pPr>
            <w:r w:rsidRPr="00463667">
              <w:t>Ages</w:t>
            </w:r>
          </w:p>
        </w:tc>
        <w:tc>
          <w:tcPr>
            <w:tcW w:w="7902" w:type="dxa"/>
          </w:tcPr>
          <w:p w14:paraId="34343181" w14:textId="77777777" w:rsidR="008F735B" w:rsidRPr="00463667" w:rsidRDefault="008F735B" w:rsidP="00F578E0">
            <w:pPr>
              <w:pStyle w:val="ProcessBullet"/>
              <w:numPr>
                <w:ilvl w:val="0"/>
                <w:numId w:val="0"/>
              </w:numPr>
              <w:spacing w:before="180"/>
            </w:pPr>
            <w:r w:rsidRPr="00463667">
              <w:t>12 months–19 years as of December 31 of the measurement year. Report four age stratifications:</w:t>
            </w:r>
          </w:p>
          <w:p w14:paraId="515C03DE" w14:textId="7AF4A54F" w:rsidR="008F735B" w:rsidRPr="00463667" w:rsidRDefault="008F735B" w:rsidP="00F578E0">
            <w:pPr>
              <w:pStyle w:val="Bullet"/>
            </w:pPr>
            <w:r w:rsidRPr="00463667">
              <w:t>12–24 months as of December 31 of the measurement year. Include all children who are at least 12 months old but younger than 25 months old during the measurement year (i.e., born on or between December 1, 201</w:t>
            </w:r>
            <w:r w:rsidR="00A47F13">
              <w:t>3</w:t>
            </w:r>
            <w:r w:rsidRPr="00463667">
              <w:t xml:space="preserve"> and December 31, 201</w:t>
            </w:r>
            <w:r w:rsidR="00A47F13">
              <w:t>4</w:t>
            </w:r>
            <w:r w:rsidRPr="00463667">
              <w:t>).</w:t>
            </w:r>
          </w:p>
          <w:p w14:paraId="520D4BF7" w14:textId="6C996CD2" w:rsidR="008F735B" w:rsidRPr="00463667" w:rsidRDefault="008F735B" w:rsidP="00F578E0">
            <w:pPr>
              <w:pStyle w:val="Bullet"/>
            </w:pPr>
            <w:r w:rsidRPr="00463667">
              <w:t>25 months–6 years as of December 31 of the measurement year. Include all children who are at least 2 years and 31 days old but not older than 6 years during the measurement year (i.e., born on or between January 1, 200</w:t>
            </w:r>
            <w:r w:rsidR="00A47F13">
              <w:t>9</w:t>
            </w:r>
            <w:r w:rsidRPr="00463667">
              <w:t xml:space="preserve"> and November 30, 201</w:t>
            </w:r>
            <w:r w:rsidR="00A47F13">
              <w:t>3</w:t>
            </w:r>
            <w:r w:rsidRPr="00463667">
              <w:t>).</w:t>
            </w:r>
          </w:p>
          <w:p w14:paraId="63282748" w14:textId="77777777" w:rsidR="008F735B" w:rsidRPr="00463667" w:rsidRDefault="008F735B" w:rsidP="00F578E0">
            <w:pPr>
              <w:pStyle w:val="Bullet"/>
            </w:pPr>
            <w:r w:rsidRPr="00463667">
              <w:t>7–11 years as of December 31 of the measurement year.</w:t>
            </w:r>
          </w:p>
          <w:p w14:paraId="1677EC38" w14:textId="77777777" w:rsidR="008F735B" w:rsidRPr="00463667" w:rsidRDefault="008F735B" w:rsidP="00F578E0">
            <w:pPr>
              <w:pStyle w:val="Bullet"/>
            </w:pPr>
            <w:r w:rsidRPr="00463667">
              <w:t>12–19 years as of December 31 of the measurement year.</w:t>
            </w:r>
          </w:p>
        </w:tc>
      </w:tr>
      <w:tr w:rsidR="008F735B" w:rsidRPr="00463667" w14:paraId="6265C8AA" w14:textId="77777777" w:rsidTr="00F578E0">
        <w:tc>
          <w:tcPr>
            <w:tcW w:w="1890" w:type="dxa"/>
          </w:tcPr>
          <w:p w14:paraId="583EA772" w14:textId="77777777" w:rsidR="008F735B" w:rsidRPr="00463667" w:rsidRDefault="008F735B" w:rsidP="00F578E0">
            <w:pPr>
              <w:pStyle w:val="MarginSubhead"/>
            </w:pPr>
            <w:r w:rsidRPr="00463667">
              <w:t>Continuous enrollment</w:t>
            </w:r>
          </w:p>
        </w:tc>
        <w:tc>
          <w:tcPr>
            <w:tcW w:w="7902" w:type="dxa"/>
          </w:tcPr>
          <w:p w14:paraId="76AAADA8" w14:textId="77777777" w:rsidR="008F735B" w:rsidRPr="00463667" w:rsidRDefault="008F735B" w:rsidP="00F578E0">
            <w:pPr>
              <w:pStyle w:val="Body"/>
            </w:pPr>
            <w:r w:rsidRPr="00463667">
              <w:rPr>
                <w:i/>
              </w:rPr>
              <w:t>For 12–24 months, 25 months–6 years:</w:t>
            </w:r>
            <w:r w:rsidRPr="00463667">
              <w:t xml:space="preserve"> The measurement year.</w:t>
            </w:r>
          </w:p>
          <w:p w14:paraId="0CD4FFCB" w14:textId="77777777" w:rsidR="008F735B" w:rsidRPr="00463667" w:rsidRDefault="008F735B" w:rsidP="00DB6ED0">
            <w:pPr>
              <w:pStyle w:val="Body"/>
              <w:spacing w:before="120"/>
            </w:pPr>
            <w:r w:rsidRPr="00463667">
              <w:rPr>
                <w:i/>
              </w:rPr>
              <w:t>For 7–11 years, 12–19 years:</w:t>
            </w:r>
            <w:r w:rsidRPr="00463667">
              <w:t xml:space="preserve"> The measurement year and the year prior to the measurement year.</w:t>
            </w:r>
          </w:p>
        </w:tc>
      </w:tr>
      <w:tr w:rsidR="008F735B" w:rsidRPr="00463667" w14:paraId="6C91839E" w14:textId="77777777" w:rsidTr="00F578E0">
        <w:tc>
          <w:tcPr>
            <w:tcW w:w="1890" w:type="dxa"/>
          </w:tcPr>
          <w:p w14:paraId="75D00B41" w14:textId="77777777" w:rsidR="008F735B" w:rsidRPr="00463667" w:rsidRDefault="008F735B" w:rsidP="00F578E0">
            <w:pPr>
              <w:pStyle w:val="MarginSubhead"/>
            </w:pPr>
            <w:r w:rsidRPr="00463667">
              <w:t>Allowable gap</w:t>
            </w:r>
          </w:p>
        </w:tc>
        <w:tc>
          <w:tcPr>
            <w:tcW w:w="7902" w:type="dxa"/>
          </w:tcPr>
          <w:p w14:paraId="494CB339" w14:textId="77777777" w:rsidR="008F735B" w:rsidRPr="00463667" w:rsidRDefault="008F735B" w:rsidP="00F578E0">
            <w:pPr>
              <w:pStyle w:val="Body"/>
              <w:rPr>
                <w:i/>
              </w:rPr>
            </w:pPr>
            <w:r w:rsidRPr="00463667">
              <w:rPr>
                <w:i/>
              </w:rPr>
              <w:t xml:space="preserve">For 12–24 months, 25 months–6 years: </w:t>
            </w:r>
            <w:r w:rsidRPr="00463667">
              <w:t xml:space="preserve">No more than one gap in enrollment of up to 45 days during the measurement year. </w:t>
            </w:r>
          </w:p>
          <w:p w14:paraId="1E84803B" w14:textId="77777777" w:rsidR="008F735B" w:rsidRPr="00463667" w:rsidRDefault="008F735B" w:rsidP="00DB6ED0">
            <w:pPr>
              <w:pStyle w:val="Body"/>
              <w:spacing w:before="120"/>
            </w:pPr>
            <w:r w:rsidRPr="00463667">
              <w:rPr>
                <w:i/>
              </w:rPr>
              <w:t xml:space="preserve">For 7–11 years, 12–19 years: </w:t>
            </w:r>
            <w:r w:rsidRPr="00463667">
              <w:t>No more than one gap in enrollment of up to 45 days during each year of continuous enrollment.</w:t>
            </w:r>
          </w:p>
          <w:p w14:paraId="5C3807D6" w14:textId="77777777" w:rsidR="008F735B" w:rsidRPr="00463667" w:rsidRDefault="008F735B" w:rsidP="00F578E0">
            <w:pPr>
              <w:pStyle w:val="Body"/>
            </w:pPr>
            <w:r w:rsidRPr="00463667">
              <w:t xml:space="preserve">To determine continuous enrollment for a Medicaid beneficiary for whom enrollment is verified monthly, the member may not have more than a 1-month gap in coverage </w:t>
            </w:r>
            <w:r w:rsidRPr="00463667">
              <w:br/>
              <w:t>(i.e., a member whose coverage lapses for 2 months [60 days] is not considered continuously enrolled) during each year of continuous enrollment.</w:t>
            </w:r>
          </w:p>
        </w:tc>
      </w:tr>
    </w:tbl>
    <w:p w14:paraId="25732D4D" w14:textId="77777777" w:rsidR="008F735B" w:rsidRPr="00463667" w:rsidRDefault="008F735B" w:rsidP="008F735B">
      <w:pPr>
        <w:sectPr w:rsidR="008F735B" w:rsidRPr="00463667" w:rsidSect="00F578E0">
          <w:headerReference w:type="even" r:id="rId29"/>
          <w:headerReference w:type="default" r:id="rId30"/>
          <w:headerReference w:type="first" r:id="rId31"/>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2178"/>
        <w:gridCol w:w="7740"/>
      </w:tblGrid>
      <w:tr w:rsidR="008F735B" w:rsidRPr="00463667" w14:paraId="603E738C" w14:textId="77777777" w:rsidTr="00DB6ED0">
        <w:tc>
          <w:tcPr>
            <w:tcW w:w="2178" w:type="dxa"/>
          </w:tcPr>
          <w:p w14:paraId="4E9DA1D6" w14:textId="77777777" w:rsidR="008F735B" w:rsidRPr="00463667" w:rsidRDefault="008F735B" w:rsidP="00F578E0">
            <w:pPr>
              <w:pStyle w:val="MarginSubhead"/>
              <w:spacing w:before="0"/>
            </w:pPr>
            <w:r w:rsidRPr="00463667">
              <w:lastRenderedPageBreak/>
              <w:t>Anchor date</w:t>
            </w:r>
          </w:p>
        </w:tc>
        <w:tc>
          <w:tcPr>
            <w:tcW w:w="7740" w:type="dxa"/>
          </w:tcPr>
          <w:p w14:paraId="105677CB" w14:textId="77777777" w:rsidR="008F735B" w:rsidRPr="00463667" w:rsidRDefault="008F735B" w:rsidP="00F578E0">
            <w:pPr>
              <w:pStyle w:val="Body"/>
              <w:spacing w:before="0"/>
            </w:pPr>
            <w:r w:rsidRPr="00463667">
              <w:t>December 31 of the measurement year.</w:t>
            </w:r>
          </w:p>
        </w:tc>
      </w:tr>
      <w:tr w:rsidR="008F735B" w:rsidRPr="00463667" w14:paraId="519E6B3F" w14:textId="77777777" w:rsidTr="00DB6ED0">
        <w:tc>
          <w:tcPr>
            <w:tcW w:w="2178" w:type="dxa"/>
          </w:tcPr>
          <w:p w14:paraId="56E3A2AA" w14:textId="77777777" w:rsidR="008F735B" w:rsidRPr="00463667" w:rsidRDefault="008F735B" w:rsidP="00F578E0">
            <w:pPr>
              <w:pStyle w:val="MarginSubhead"/>
            </w:pPr>
            <w:r w:rsidRPr="00463667">
              <w:t>Benefit</w:t>
            </w:r>
          </w:p>
        </w:tc>
        <w:tc>
          <w:tcPr>
            <w:tcW w:w="7740" w:type="dxa"/>
          </w:tcPr>
          <w:p w14:paraId="75E447AB" w14:textId="77777777" w:rsidR="008F735B" w:rsidRPr="00463667" w:rsidRDefault="008F735B" w:rsidP="00F578E0">
            <w:pPr>
              <w:pStyle w:val="Body"/>
            </w:pPr>
            <w:r w:rsidRPr="00463667">
              <w:t>Medical.</w:t>
            </w:r>
          </w:p>
        </w:tc>
      </w:tr>
      <w:tr w:rsidR="008F735B" w:rsidRPr="00463667" w14:paraId="64C7AFCC" w14:textId="77777777" w:rsidTr="00DB6ED0">
        <w:tc>
          <w:tcPr>
            <w:tcW w:w="2178" w:type="dxa"/>
          </w:tcPr>
          <w:p w14:paraId="4585411A" w14:textId="77777777" w:rsidR="008F735B" w:rsidRPr="00463667" w:rsidRDefault="008F735B" w:rsidP="00F578E0">
            <w:pPr>
              <w:pStyle w:val="MarginSubhead"/>
            </w:pPr>
            <w:r w:rsidRPr="00463667">
              <w:t>Event/diagnosis</w:t>
            </w:r>
          </w:p>
        </w:tc>
        <w:tc>
          <w:tcPr>
            <w:tcW w:w="7740" w:type="dxa"/>
          </w:tcPr>
          <w:p w14:paraId="241F6DE5" w14:textId="77777777" w:rsidR="008F735B" w:rsidRPr="00463667" w:rsidRDefault="008F735B" w:rsidP="00F578E0">
            <w:pPr>
              <w:pStyle w:val="Body"/>
            </w:pPr>
            <w:r w:rsidRPr="00463667">
              <w:t>None.</w:t>
            </w:r>
          </w:p>
        </w:tc>
      </w:tr>
    </w:tbl>
    <w:p w14:paraId="5BB01B7F" w14:textId="77777777" w:rsidR="008F735B" w:rsidRPr="00463667" w:rsidRDefault="008F735B" w:rsidP="00081D64">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2178"/>
        <w:gridCol w:w="7740"/>
      </w:tblGrid>
      <w:tr w:rsidR="008F735B" w:rsidRPr="00463667" w14:paraId="0EA76B9B" w14:textId="77777777" w:rsidTr="00DB6ED0">
        <w:tc>
          <w:tcPr>
            <w:tcW w:w="2178" w:type="dxa"/>
          </w:tcPr>
          <w:p w14:paraId="0E1BB0AE" w14:textId="77777777" w:rsidR="008F735B" w:rsidRPr="00463667" w:rsidRDefault="008F735B" w:rsidP="00F578E0">
            <w:pPr>
              <w:pStyle w:val="MarginSubhead"/>
            </w:pPr>
            <w:r w:rsidRPr="00463667">
              <w:t xml:space="preserve">Denominator </w:t>
            </w:r>
          </w:p>
        </w:tc>
        <w:tc>
          <w:tcPr>
            <w:tcW w:w="7740" w:type="dxa"/>
          </w:tcPr>
          <w:p w14:paraId="5755B902" w14:textId="77777777" w:rsidR="008F735B" w:rsidRPr="00463667" w:rsidRDefault="008F735B" w:rsidP="00F578E0">
            <w:pPr>
              <w:pStyle w:val="Body"/>
            </w:pPr>
            <w:r w:rsidRPr="00463667">
              <w:t xml:space="preserve">The eligible population. </w:t>
            </w:r>
          </w:p>
        </w:tc>
      </w:tr>
      <w:tr w:rsidR="008F735B" w:rsidRPr="00463667" w14:paraId="68942438" w14:textId="77777777" w:rsidTr="00DB6ED0">
        <w:tc>
          <w:tcPr>
            <w:tcW w:w="2178" w:type="dxa"/>
          </w:tcPr>
          <w:p w14:paraId="47D7BFAC" w14:textId="77777777" w:rsidR="008F735B" w:rsidRPr="00463667" w:rsidRDefault="008F735B" w:rsidP="00F578E0">
            <w:pPr>
              <w:pStyle w:val="MarginSubhead"/>
            </w:pPr>
            <w:r w:rsidRPr="00463667">
              <w:t>Numerator</w:t>
            </w:r>
          </w:p>
        </w:tc>
        <w:tc>
          <w:tcPr>
            <w:tcW w:w="7740" w:type="dxa"/>
          </w:tcPr>
          <w:p w14:paraId="3AE10353" w14:textId="77777777" w:rsidR="008F735B" w:rsidRPr="00463667" w:rsidRDefault="008F735B" w:rsidP="00F578E0">
            <w:pPr>
              <w:pStyle w:val="Body"/>
            </w:pPr>
            <w:r w:rsidRPr="00463667">
              <w:rPr>
                <w:i/>
              </w:rPr>
              <w:t>For 12–24 months, 25 months–6 years:</w:t>
            </w:r>
            <w:r w:rsidRPr="00463667">
              <w:t xml:space="preserve"> One or more visits with a PCP (</w:t>
            </w:r>
            <w:r w:rsidRPr="00463667">
              <w:rPr>
                <w:u w:val="single"/>
              </w:rPr>
              <w:t>Ambulatory Visits Value Set</w:t>
            </w:r>
            <w:r w:rsidRPr="00463667">
              <w:t xml:space="preserve">) during the measurement year. </w:t>
            </w:r>
          </w:p>
          <w:p w14:paraId="654958D2" w14:textId="77777777" w:rsidR="008F735B" w:rsidRPr="00463667" w:rsidRDefault="008F735B" w:rsidP="00F578E0">
            <w:pPr>
              <w:pStyle w:val="Body"/>
            </w:pPr>
            <w:r w:rsidRPr="00463667">
              <w:rPr>
                <w:i/>
              </w:rPr>
              <w:t>For 7–11 years, 12–19 years:</w:t>
            </w:r>
            <w:r w:rsidRPr="00463667">
              <w:t xml:space="preserve"> One or more visits with a PCP (</w:t>
            </w:r>
            <w:r w:rsidRPr="00463667">
              <w:rPr>
                <w:u w:val="single"/>
              </w:rPr>
              <w:t>Ambulatory Visits Value Set</w:t>
            </w:r>
            <w:r w:rsidRPr="00463667">
              <w:t>) during the measurement year or the year prior to the measurement year.</w:t>
            </w:r>
          </w:p>
          <w:p w14:paraId="49E1700B" w14:textId="77777777" w:rsidR="008F735B" w:rsidRPr="00463667" w:rsidRDefault="008F735B" w:rsidP="00F578E0">
            <w:pPr>
              <w:pStyle w:val="Body"/>
            </w:pPr>
            <w:r w:rsidRPr="00463667">
              <w:t xml:space="preserve">Count all members who had an ambulatory or preventive care visit to </w:t>
            </w:r>
            <w:r w:rsidRPr="00463667">
              <w:rPr>
                <w:i/>
              </w:rPr>
              <w:t xml:space="preserve">any </w:t>
            </w:r>
            <w:r w:rsidRPr="00463667">
              <w:t>PCP. Exclude specialist visits.</w:t>
            </w:r>
          </w:p>
        </w:tc>
      </w:tr>
    </w:tbl>
    <w:p w14:paraId="163E6A76" w14:textId="77777777" w:rsidR="008F735B" w:rsidRPr="00463667" w:rsidRDefault="008F735B" w:rsidP="00081D64">
      <w:pPr>
        <w:pStyle w:val="SubHead20"/>
        <w:rPr>
          <w:i/>
        </w:rPr>
      </w:pPr>
      <w:r w:rsidRPr="00463667">
        <w:rPr>
          <w:i/>
        </w:rPr>
        <w:t>Note</w:t>
      </w:r>
    </w:p>
    <w:p w14:paraId="7386FCD7" w14:textId="77777777" w:rsidR="008F735B" w:rsidRPr="00463667" w:rsidRDefault="008F735B" w:rsidP="008F735B">
      <w:pPr>
        <w:pStyle w:val="ProcessBullet"/>
        <w:rPr>
          <w:i/>
          <w:iCs/>
        </w:rPr>
      </w:pPr>
      <w:r w:rsidRPr="00463667">
        <w:rPr>
          <w:i/>
          <w:iCs/>
        </w:rPr>
        <w:t xml:space="preserve">Refer to Appendix 3 for the definition of </w:t>
      </w:r>
      <w:r w:rsidRPr="00463667">
        <w:rPr>
          <w:iCs/>
        </w:rPr>
        <w:t>PCP</w:t>
      </w:r>
      <w:r w:rsidRPr="00463667">
        <w:rPr>
          <w:i/>
          <w:iCs/>
        </w:rPr>
        <w:t>.</w:t>
      </w:r>
    </w:p>
    <w:p w14:paraId="1C9ECB5B" w14:textId="77777777" w:rsidR="008F735B" w:rsidRPr="00463667" w:rsidRDefault="008F735B" w:rsidP="00081D64">
      <w:pPr>
        <w:pStyle w:val="ReverseHead"/>
      </w:pPr>
      <w:r w:rsidRPr="00463667">
        <w:t xml:space="preserve">Data Elements for Reporting </w:t>
      </w:r>
    </w:p>
    <w:p w14:paraId="12EC104B" w14:textId="77777777" w:rsidR="008F735B" w:rsidRPr="00463667" w:rsidRDefault="008F735B" w:rsidP="008F735B">
      <w:pPr>
        <w:pStyle w:val="Body"/>
      </w:pPr>
      <w:r w:rsidRPr="00463667">
        <w:t>Organizations that submit HEDIS data to NCQA must provide the following data elements.</w:t>
      </w:r>
    </w:p>
    <w:p w14:paraId="0539C380" w14:textId="77777777" w:rsidR="008F735B" w:rsidRPr="00463667" w:rsidRDefault="008F735B" w:rsidP="00081D64">
      <w:pPr>
        <w:pStyle w:val="TableHeadNotCondensed"/>
        <w:ind w:left="1620" w:hanging="1620"/>
      </w:pPr>
      <w:r w:rsidRPr="00463667">
        <w:t>Table CAP-1/2:</w:t>
      </w:r>
      <w:r w:rsidRPr="00463667">
        <w:tab/>
        <w:t>Data Elements for Children and Adolescents’ Access to</w:t>
      </w:r>
      <w:r w:rsidRPr="00463667">
        <w:br/>
        <w:t>Primary Care Practitioners</w:t>
      </w:r>
    </w:p>
    <w:tbl>
      <w:tblPr>
        <w:tblW w:w="684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8"/>
        <w:gridCol w:w="2700"/>
      </w:tblGrid>
      <w:tr w:rsidR="008F735B" w:rsidRPr="00463667" w14:paraId="0D611EB8" w14:textId="77777777" w:rsidTr="00CA7033">
        <w:tc>
          <w:tcPr>
            <w:tcW w:w="4148" w:type="dxa"/>
            <w:tcBorders>
              <w:bottom w:val="single" w:sz="6" w:space="0" w:color="auto"/>
              <w:right w:val="nil"/>
            </w:tcBorders>
            <w:shd w:val="clear" w:color="auto" w:fill="000000"/>
          </w:tcPr>
          <w:p w14:paraId="140DA619" w14:textId="77777777" w:rsidR="008F735B" w:rsidRPr="00463667" w:rsidRDefault="008F735B" w:rsidP="00F578E0">
            <w:pPr>
              <w:pStyle w:val="TableHead"/>
              <w:rPr>
                <w:color w:val="auto"/>
              </w:rPr>
            </w:pPr>
          </w:p>
        </w:tc>
        <w:tc>
          <w:tcPr>
            <w:tcW w:w="2700" w:type="dxa"/>
            <w:tcBorders>
              <w:left w:val="single" w:sz="6" w:space="0" w:color="FFFFFF"/>
              <w:bottom w:val="single" w:sz="6" w:space="0" w:color="auto"/>
              <w:right w:val="single" w:sz="4" w:space="0" w:color="auto"/>
            </w:tcBorders>
            <w:shd w:val="clear" w:color="auto" w:fill="000000"/>
          </w:tcPr>
          <w:p w14:paraId="6AA9C114" w14:textId="77777777" w:rsidR="008F735B" w:rsidRPr="00463667" w:rsidRDefault="008F735B" w:rsidP="00F578E0">
            <w:pPr>
              <w:pStyle w:val="TableHead"/>
              <w:rPr>
                <w:color w:val="auto"/>
              </w:rPr>
            </w:pPr>
            <w:r w:rsidRPr="00463667">
              <w:rPr>
                <w:color w:val="auto"/>
              </w:rPr>
              <w:t>Administrative</w:t>
            </w:r>
          </w:p>
        </w:tc>
      </w:tr>
      <w:tr w:rsidR="008F735B" w:rsidRPr="00463667" w14:paraId="7129F006" w14:textId="77777777" w:rsidTr="00CA7033">
        <w:tc>
          <w:tcPr>
            <w:tcW w:w="4148" w:type="dxa"/>
            <w:tcBorders>
              <w:bottom w:val="single" w:sz="6" w:space="0" w:color="auto"/>
            </w:tcBorders>
          </w:tcPr>
          <w:p w14:paraId="61E43562" w14:textId="77777777" w:rsidR="008F735B" w:rsidRPr="00463667" w:rsidRDefault="008F735B" w:rsidP="00F578E0">
            <w:pPr>
              <w:pStyle w:val="TableText"/>
            </w:pPr>
            <w:r w:rsidRPr="00463667">
              <w:t>Measurement year</w:t>
            </w:r>
          </w:p>
        </w:tc>
        <w:tc>
          <w:tcPr>
            <w:tcW w:w="2700" w:type="dxa"/>
            <w:tcBorders>
              <w:bottom w:val="single" w:sz="6" w:space="0" w:color="auto"/>
            </w:tcBorders>
            <w:vAlign w:val="center"/>
          </w:tcPr>
          <w:p w14:paraId="0AE0E7D1" w14:textId="77777777" w:rsidR="008F735B" w:rsidRPr="00463667" w:rsidRDefault="008F735B" w:rsidP="00F578E0">
            <w:pPr>
              <w:pStyle w:val="TableText"/>
              <w:jc w:val="center"/>
              <w:rPr>
                <w:i/>
                <w:iCs/>
                <w:sz w:val="24"/>
                <w:szCs w:val="24"/>
              </w:rPr>
            </w:pPr>
            <w:r w:rsidRPr="00463667">
              <w:rPr>
                <w:sz w:val="24"/>
                <w:szCs w:val="24"/>
              </w:rPr>
              <w:sym w:font="Wingdings" w:char="F0FC"/>
            </w:r>
          </w:p>
        </w:tc>
      </w:tr>
      <w:tr w:rsidR="008F735B" w:rsidRPr="00463667" w14:paraId="3839B48B" w14:textId="77777777" w:rsidTr="00CA7033">
        <w:tc>
          <w:tcPr>
            <w:tcW w:w="4148" w:type="dxa"/>
            <w:shd w:val="clear" w:color="auto" w:fill="D9D9D9"/>
          </w:tcPr>
          <w:p w14:paraId="70EA11BC" w14:textId="77777777" w:rsidR="008F735B" w:rsidRPr="00463667" w:rsidRDefault="008F735B" w:rsidP="00F578E0">
            <w:pPr>
              <w:pStyle w:val="TableText"/>
            </w:pPr>
            <w:r w:rsidRPr="00463667">
              <w:t>Data collection methodology (Administrative)</w:t>
            </w:r>
          </w:p>
        </w:tc>
        <w:tc>
          <w:tcPr>
            <w:tcW w:w="2700" w:type="dxa"/>
            <w:shd w:val="clear" w:color="auto" w:fill="D9D9D9"/>
            <w:vAlign w:val="center"/>
          </w:tcPr>
          <w:p w14:paraId="5EB7475D" w14:textId="77777777" w:rsidR="008F735B" w:rsidRPr="00463667" w:rsidRDefault="008F735B" w:rsidP="00F578E0">
            <w:pPr>
              <w:pStyle w:val="TableText"/>
              <w:jc w:val="center"/>
              <w:rPr>
                <w:i/>
                <w:iCs/>
                <w:sz w:val="24"/>
                <w:szCs w:val="24"/>
              </w:rPr>
            </w:pPr>
            <w:r w:rsidRPr="00463667">
              <w:rPr>
                <w:sz w:val="24"/>
                <w:szCs w:val="24"/>
              </w:rPr>
              <w:sym w:font="Wingdings" w:char="F0FC"/>
            </w:r>
          </w:p>
        </w:tc>
      </w:tr>
      <w:tr w:rsidR="008F735B" w:rsidRPr="00463667" w14:paraId="6847991A" w14:textId="77777777" w:rsidTr="00CA7033">
        <w:tc>
          <w:tcPr>
            <w:tcW w:w="4148" w:type="dxa"/>
          </w:tcPr>
          <w:p w14:paraId="18D018B5" w14:textId="77777777" w:rsidR="008F735B" w:rsidRPr="00463667" w:rsidRDefault="008F735B" w:rsidP="00F578E0">
            <w:pPr>
              <w:pStyle w:val="TableText"/>
            </w:pPr>
            <w:r w:rsidRPr="00463667">
              <w:t xml:space="preserve">Eligible population </w:t>
            </w:r>
          </w:p>
        </w:tc>
        <w:tc>
          <w:tcPr>
            <w:tcW w:w="2700" w:type="dxa"/>
          </w:tcPr>
          <w:p w14:paraId="025093ED" w14:textId="77777777" w:rsidR="008F735B" w:rsidRPr="00463667" w:rsidRDefault="008F735B" w:rsidP="00F578E0">
            <w:pPr>
              <w:pStyle w:val="TableText"/>
              <w:jc w:val="center"/>
              <w:rPr>
                <w:i/>
                <w:iCs/>
              </w:rPr>
            </w:pPr>
            <w:r w:rsidRPr="00463667">
              <w:rPr>
                <w:i/>
                <w:iCs/>
              </w:rPr>
              <w:t>For each age stratification</w:t>
            </w:r>
          </w:p>
        </w:tc>
      </w:tr>
      <w:tr w:rsidR="008F735B" w:rsidRPr="00463667" w14:paraId="7D4EC5F6" w14:textId="77777777" w:rsidTr="00CA7033">
        <w:tc>
          <w:tcPr>
            <w:tcW w:w="4148" w:type="dxa"/>
            <w:shd w:val="clear" w:color="auto" w:fill="D9D9D9"/>
          </w:tcPr>
          <w:p w14:paraId="1DC96885" w14:textId="77777777" w:rsidR="008F735B" w:rsidRPr="00463667" w:rsidRDefault="008F735B" w:rsidP="00F578E0">
            <w:pPr>
              <w:pStyle w:val="TableText"/>
            </w:pPr>
            <w:r w:rsidRPr="00463667">
              <w:t>Numerator events by administrative data</w:t>
            </w:r>
          </w:p>
        </w:tc>
        <w:tc>
          <w:tcPr>
            <w:tcW w:w="2700" w:type="dxa"/>
            <w:shd w:val="clear" w:color="auto" w:fill="D9D9D9"/>
          </w:tcPr>
          <w:p w14:paraId="52BB7A47" w14:textId="77777777" w:rsidR="008F735B" w:rsidRPr="00463667" w:rsidRDefault="008F735B" w:rsidP="00F578E0">
            <w:pPr>
              <w:pStyle w:val="TableText"/>
              <w:jc w:val="center"/>
              <w:rPr>
                <w:i/>
                <w:iCs/>
              </w:rPr>
            </w:pPr>
            <w:r w:rsidRPr="00463667">
              <w:rPr>
                <w:i/>
                <w:iCs/>
              </w:rPr>
              <w:t>For each age stratification</w:t>
            </w:r>
          </w:p>
        </w:tc>
      </w:tr>
      <w:tr w:rsidR="008F735B" w:rsidRPr="00463667" w14:paraId="6C024F7A" w14:textId="77777777" w:rsidTr="00CA7033">
        <w:tc>
          <w:tcPr>
            <w:tcW w:w="4148" w:type="dxa"/>
          </w:tcPr>
          <w:p w14:paraId="520D7C35" w14:textId="77777777" w:rsidR="008F735B" w:rsidRPr="00463667" w:rsidRDefault="008F735B" w:rsidP="00F578E0">
            <w:pPr>
              <w:pStyle w:val="TableText"/>
            </w:pPr>
            <w:r w:rsidRPr="00463667">
              <w:t>Reported rate</w:t>
            </w:r>
          </w:p>
        </w:tc>
        <w:tc>
          <w:tcPr>
            <w:tcW w:w="2700" w:type="dxa"/>
          </w:tcPr>
          <w:p w14:paraId="6A62D13F" w14:textId="77777777" w:rsidR="008F735B" w:rsidRPr="00463667" w:rsidRDefault="008F735B" w:rsidP="00F578E0">
            <w:pPr>
              <w:pStyle w:val="TableText"/>
              <w:jc w:val="center"/>
              <w:rPr>
                <w:i/>
                <w:iCs/>
              </w:rPr>
            </w:pPr>
            <w:r w:rsidRPr="00463667">
              <w:rPr>
                <w:i/>
                <w:iCs/>
              </w:rPr>
              <w:t>For each age stratification</w:t>
            </w:r>
          </w:p>
        </w:tc>
      </w:tr>
      <w:tr w:rsidR="008F735B" w:rsidRPr="00463667" w14:paraId="6991D261" w14:textId="77777777" w:rsidTr="00CA7033">
        <w:tc>
          <w:tcPr>
            <w:tcW w:w="4148" w:type="dxa"/>
            <w:tcBorders>
              <w:bottom w:val="single" w:sz="6" w:space="0" w:color="auto"/>
            </w:tcBorders>
            <w:shd w:val="clear" w:color="auto" w:fill="D9D9D9"/>
          </w:tcPr>
          <w:p w14:paraId="2FAFE33F" w14:textId="77777777" w:rsidR="008F735B" w:rsidRPr="00463667" w:rsidRDefault="008F735B" w:rsidP="00F578E0">
            <w:pPr>
              <w:pStyle w:val="TableText"/>
            </w:pPr>
            <w:r w:rsidRPr="00463667">
              <w:t>Lower 95% confidence interval</w:t>
            </w:r>
          </w:p>
        </w:tc>
        <w:tc>
          <w:tcPr>
            <w:tcW w:w="2700" w:type="dxa"/>
            <w:tcBorders>
              <w:bottom w:val="single" w:sz="6" w:space="0" w:color="auto"/>
            </w:tcBorders>
            <w:shd w:val="clear" w:color="auto" w:fill="D9D9D9"/>
          </w:tcPr>
          <w:p w14:paraId="09ADBF55" w14:textId="77777777" w:rsidR="008F735B" w:rsidRPr="00463667" w:rsidRDefault="008F735B" w:rsidP="00F578E0">
            <w:pPr>
              <w:pStyle w:val="TableText"/>
              <w:jc w:val="center"/>
              <w:rPr>
                <w:i/>
                <w:iCs/>
              </w:rPr>
            </w:pPr>
            <w:r w:rsidRPr="00463667">
              <w:rPr>
                <w:i/>
                <w:iCs/>
              </w:rPr>
              <w:t>For each age stratification</w:t>
            </w:r>
          </w:p>
        </w:tc>
      </w:tr>
      <w:tr w:rsidR="008F735B" w:rsidRPr="00463667" w14:paraId="204661BE" w14:textId="77777777" w:rsidTr="00CA7033">
        <w:tc>
          <w:tcPr>
            <w:tcW w:w="4148" w:type="dxa"/>
            <w:tcBorders>
              <w:bottom w:val="single" w:sz="6" w:space="0" w:color="auto"/>
            </w:tcBorders>
          </w:tcPr>
          <w:p w14:paraId="1A40BD6A" w14:textId="77777777" w:rsidR="008F735B" w:rsidRPr="00463667" w:rsidRDefault="008F735B" w:rsidP="00F578E0">
            <w:pPr>
              <w:pStyle w:val="TableText"/>
            </w:pPr>
            <w:r w:rsidRPr="00463667">
              <w:t>Upper 95% confidence interval</w:t>
            </w:r>
          </w:p>
        </w:tc>
        <w:tc>
          <w:tcPr>
            <w:tcW w:w="2700" w:type="dxa"/>
            <w:tcBorders>
              <w:bottom w:val="single" w:sz="6" w:space="0" w:color="auto"/>
            </w:tcBorders>
          </w:tcPr>
          <w:p w14:paraId="40AF4DBF" w14:textId="77777777" w:rsidR="008F735B" w:rsidRPr="00463667" w:rsidRDefault="008F735B" w:rsidP="00F578E0">
            <w:pPr>
              <w:pStyle w:val="TableText"/>
              <w:jc w:val="center"/>
              <w:rPr>
                <w:i/>
                <w:iCs/>
              </w:rPr>
            </w:pPr>
            <w:r w:rsidRPr="00463667">
              <w:rPr>
                <w:i/>
                <w:iCs/>
              </w:rPr>
              <w:t>For each age stratification</w:t>
            </w:r>
          </w:p>
        </w:tc>
      </w:tr>
    </w:tbl>
    <w:p w14:paraId="47208932" w14:textId="77777777" w:rsidR="008F735B" w:rsidRPr="00463667" w:rsidRDefault="008F735B" w:rsidP="008F735B">
      <w:pPr>
        <w:pStyle w:val="TableText"/>
        <w:spacing w:before="120" w:after="0"/>
        <w:rPr>
          <w:rFonts w:ascii="Arial" w:hAnsi="Arial" w:cs="Arial"/>
          <w:sz w:val="18"/>
          <w:szCs w:val="18"/>
        </w:rPr>
      </w:pPr>
    </w:p>
    <w:p w14:paraId="463C0E78" w14:textId="77777777" w:rsidR="008F735B" w:rsidRPr="00463667" w:rsidRDefault="008F735B" w:rsidP="008F735B">
      <w:pPr>
        <w:pStyle w:val="ProcessBullet"/>
        <w:numPr>
          <w:ilvl w:val="0"/>
          <w:numId w:val="0"/>
        </w:numPr>
        <w:ind w:left="216" w:hanging="216"/>
        <w:rPr>
          <w:iCs/>
        </w:rPr>
        <w:sectPr w:rsidR="008F735B" w:rsidRPr="00463667" w:rsidSect="00F578E0">
          <w:pgSz w:w="12240" w:h="15840" w:code="1"/>
          <w:pgMar w:top="1080" w:right="1080" w:bottom="1080" w:left="1440" w:header="720" w:footer="720" w:gutter="0"/>
          <w:cols w:space="720"/>
        </w:sectPr>
      </w:pPr>
    </w:p>
    <w:p w14:paraId="0903DA21" w14:textId="7A009C6F" w:rsidR="008F735B" w:rsidRPr="00463667" w:rsidRDefault="008F735B" w:rsidP="008F735B">
      <w:pPr>
        <w:pStyle w:val="Heading2"/>
      </w:pPr>
      <w:bookmarkStart w:id="4" w:name="_Toc400546163"/>
      <w:bookmarkStart w:id="5" w:name="_Toc474721264"/>
      <w:r w:rsidRPr="003F7CDF">
        <w:lastRenderedPageBreak/>
        <w:t>Annual Dental Visit (ADV)</w:t>
      </w:r>
      <w:bookmarkEnd w:id="4"/>
    </w:p>
    <w:p w14:paraId="73D3D0DE" w14:textId="0FA0D1E0" w:rsidR="008F735B" w:rsidRPr="00463667" w:rsidRDefault="008F735B" w:rsidP="00081D64">
      <w:pPr>
        <w:pStyle w:val="SOC"/>
        <w:rPr>
          <w:i/>
        </w:rPr>
      </w:pPr>
      <w:r w:rsidRPr="00463667">
        <w:t xml:space="preserve">Summary of Changes to HEDIS </w:t>
      </w:r>
      <w:r w:rsidR="00A47F13">
        <w:t>2016</w:t>
      </w:r>
    </w:p>
    <w:p w14:paraId="2000CD49" w14:textId="54F0ADBF" w:rsidR="008F735B" w:rsidRPr="00463667" w:rsidRDefault="00194325" w:rsidP="008F735B">
      <w:pPr>
        <w:pStyle w:val="ProcessBullet"/>
        <w:rPr>
          <w:i/>
          <w:iCs/>
        </w:rPr>
      </w:pPr>
      <w:r>
        <w:t>Revised the upper age limit to 20 years of age</w:t>
      </w:r>
      <w:r w:rsidR="00990D7F">
        <w:t xml:space="preserve"> </w:t>
      </w:r>
      <w:r w:rsidR="00990D7F" w:rsidRPr="00990D7F">
        <w:t>to align with the EPSDT se</w:t>
      </w:r>
      <w:r w:rsidR="00990D7F">
        <w:t>rvices guidelines</w:t>
      </w:r>
      <w:r w:rsidR="00DB6ED0">
        <w:t>,</w:t>
      </w:r>
      <w:r w:rsidR="00990D7F">
        <w:t xml:space="preserve"> which include</w:t>
      </w:r>
      <w:r w:rsidR="00990D7F" w:rsidRPr="00990D7F">
        <w:t xml:space="preserve"> dental coverage for children under 21 </w:t>
      </w:r>
      <w:r w:rsidR="00DB6ED0">
        <w:t xml:space="preserve">who are </w:t>
      </w:r>
      <w:r w:rsidR="00990D7F" w:rsidRPr="00990D7F">
        <w:t>enrolled in Medicaid</w:t>
      </w:r>
      <w:r>
        <w:t xml:space="preserve">. </w:t>
      </w:r>
    </w:p>
    <w:p w14:paraId="59D02E14" w14:textId="77777777" w:rsidR="008F735B" w:rsidRPr="00463667" w:rsidRDefault="008F735B" w:rsidP="00081D64">
      <w:pPr>
        <w:pStyle w:val="ReverseHead"/>
      </w:pPr>
      <w:r w:rsidRPr="00463667">
        <w:t>Description</w:t>
      </w:r>
    </w:p>
    <w:p w14:paraId="228496D3" w14:textId="30466329" w:rsidR="008F735B" w:rsidRPr="00463667" w:rsidRDefault="008F735B" w:rsidP="008F735B">
      <w:pPr>
        <w:pStyle w:val="Body"/>
      </w:pPr>
      <w:r w:rsidRPr="00463667">
        <w:t>The percentage of members 2–2</w:t>
      </w:r>
      <w:r w:rsidR="00194325">
        <w:t>0</w:t>
      </w:r>
      <w:r w:rsidRPr="00463667">
        <w:t xml:space="preserve"> years of age who had at least one dental visit during the measurement year. This measure applies only if dental care is a covered benefit in the organization’s Medicaid contract. </w:t>
      </w:r>
    </w:p>
    <w:p w14:paraId="539AE329" w14:textId="77777777" w:rsidR="008F735B" w:rsidRPr="00463667" w:rsidRDefault="008F735B" w:rsidP="00081D64">
      <w:pPr>
        <w:pStyle w:val="ReverseHead"/>
      </w:pPr>
      <w:r w:rsidRPr="00463667">
        <w:t>Eligible Population</w:t>
      </w:r>
    </w:p>
    <w:tbl>
      <w:tblPr>
        <w:tblW w:w="9810" w:type="dxa"/>
        <w:tblInd w:w="-90" w:type="dxa"/>
        <w:tblLayout w:type="fixed"/>
        <w:tblLook w:val="0000" w:firstRow="0" w:lastRow="0" w:firstColumn="0" w:lastColumn="0" w:noHBand="0" w:noVBand="0"/>
      </w:tblPr>
      <w:tblGrid>
        <w:gridCol w:w="1818"/>
        <w:gridCol w:w="2340"/>
        <w:gridCol w:w="5652"/>
      </w:tblGrid>
      <w:tr w:rsidR="008F735B" w:rsidRPr="00463667" w14:paraId="47B7A7D2" w14:textId="77777777" w:rsidTr="00DB6ED0">
        <w:tc>
          <w:tcPr>
            <w:tcW w:w="1818" w:type="dxa"/>
          </w:tcPr>
          <w:p w14:paraId="780972CF" w14:textId="77777777" w:rsidR="008F735B" w:rsidRPr="00463667" w:rsidRDefault="008F735B" w:rsidP="00F578E0">
            <w:pPr>
              <w:pStyle w:val="MarginSubhead"/>
            </w:pPr>
            <w:r w:rsidRPr="00463667">
              <w:t>Product line</w:t>
            </w:r>
          </w:p>
        </w:tc>
        <w:tc>
          <w:tcPr>
            <w:tcW w:w="7992" w:type="dxa"/>
            <w:gridSpan w:val="2"/>
          </w:tcPr>
          <w:p w14:paraId="1D866404" w14:textId="77777777" w:rsidR="008F735B" w:rsidRPr="00463667" w:rsidRDefault="008F735B" w:rsidP="00F578E0">
            <w:pPr>
              <w:pStyle w:val="Body"/>
            </w:pPr>
            <w:r w:rsidRPr="00463667">
              <w:t xml:space="preserve">Medicaid. </w:t>
            </w:r>
          </w:p>
        </w:tc>
      </w:tr>
      <w:tr w:rsidR="008F735B" w:rsidRPr="00463667" w14:paraId="2E1422FB" w14:textId="77777777" w:rsidTr="00DB6ED0">
        <w:tc>
          <w:tcPr>
            <w:tcW w:w="1818" w:type="dxa"/>
            <w:vMerge w:val="restart"/>
          </w:tcPr>
          <w:p w14:paraId="6BAE103C" w14:textId="77777777" w:rsidR="008F735B" w:rsidRPr="00463667" w:rsidRDefault="008F735B" w:rsidP="00F578E0">
            <w:pPr>
              <w:pStyle w:val="MarginSubhead"/>
            </w:pPr>
            <w:r w:rsidRPr="00463667">
              <w:t>Ages</w:t>
            </w:r>
          </w:p>
        </w:tc>
        <w:tc>
          <w:tcPr>
            <w:tcW w:w="7992" w:type="dxa"/>
            <w:gridSpan w:val="2"/>
          </w:tcPr>
          <w:p w14:paraId="0FB1ABAF" w14:textId="1756EF84" w:rsidR="008F735B" w:rsidRPr="00463667" w:rsidRDefault="008F735B" w:rsidP="00F578E0">
            <w:pPr>
              <w:pStyle w:val="Body"/>
            </w:pPr>
            <w:r w:rsidRPr="00463667">
              <w:t>2–2</w:t>
            </w:r>
            <w:r w:rsidR="00194325">
              <w:t>0</w:t>
            </w:r>
            <w:r w:rsidRPr="00463667">
              <w:t xml:space="preserve"> years as of December 31 of the measurement year. Report six age stratifications and a total rate.</w:t>
            </w:r>
          </w:p>
        </w:tc>
      </w:tr>
      <w:tr w:rsidR="008F735B" w:rsidRPr="00463667" w14:paraId="6519587F" w14:textId="77777777" w:rsidTr="00DB6ED0">
        <w:tc>
          <w:tcPr>
            <w:tcW w:w="1818" w:type="dxa"/>
            <w:vMerge/>
          </w:tcPr>
          <w:p w14:paraId="558EB8D2" w14:textId="77777777" w:rsidR="008F735B" w:rsidRPr="00463667" w:rsidRDefault="008F735B" w:rsidP="00F578E0">
            <w:pPr>
              <w:pStyle w:val="MarginSubhead"/>
            </w:pPr>
          </w:p>
        </w:tc>
        <w:tc>
          <w:tcPr>
            <w:tcW w:w="2340" w:type="dxa"/>
          </w:tcPr>
          <w:p w14:paraId="5F552E9F" w14:textId="77777777" w:rsidR="008F735B" w:rsidRPr="00463667" w:rsidRDefault="008F735B" w:rsidP="00DB6ED0">
            <w:pPr>
              <w:pStyle w:val="Bullet"/>
              <w:spacing w:before="60"/>
            </w:pPr>
            <w:r w:rsidRPr="00463667">
              <w:t>2–3 years.</w:t>
            </w:r>
          </w:p>
          <w:p w14:paraId="61EA7DE6" w14:textId="77777777" w:rsidR="008F735B" w:rsidRPr="00463667" w:rsidRDefault="008F735B" w:rsidP="00DB6ED0">
            <w:pPr>
              <w:pStyle w:val="Bullet"/>
              <w:spacing w:before="60"/>
            </w:pPr>
            <w:r w:rsidRPr="00463667">
              <w:t>4–6 years.</w:t>
            </w:r>
          </w:p>
          <w:p w14:paraId="7BECCF38" w14:textId="77777777" w:rsidR="008F735B" w:rsidRPr="00463667" w:rsidRDefault="008F735B" w:rsidP="00DB6ED0">
            <w:pPr>
              <w:pStyle w:val="Bullet"/>
              <w:spacing w:before="60"/>
            </w:pPr>
            <w:r w:rsidRPr="00463667">
              <w:t>7–10 years.</w:t>
            </w:r>
          </w:p>
          <w:p w14:paraId="46D6A269" w14:textId="7C650B0D" w:rsidR="008F735B" w:rsidRPr="00463667" w:rsidRDefault="00DB6ED0" w:rsidP="00DB6ED0">
            <w:pPr>
              <w:pStyle w:val="Bullet"/>
              <w:spacing w:before="60"/>
            </w:pPr>
            <w:r w:rsidRPr="00463667">
              <w:t>11–14 years.</w:t>
            </w:r>
          </w:p>
        </w:tc>
        <w:tc>
          <w:tcPr>
            <w:tcW w:w="5652" w:type="dxa"/>
          </w:tcPr>
          <w:p w14:paraId="332174C8" w14:textId="77777777" w:rsidR="008F735B" w:rsidRPr="00463667" w:rsidRDefault="008F735B" w:rsidP="00DB6ED0">
            <w:pPr>
              <w:pStyle w:val="ProcessBullet"/>
              <w:spacing w:before="60"/>
            </w:pPr>
            <w:r w:rsidRPr="00463667">
              <w:t>15–18 years.</w:t>
            </w:r>
          </w:p>
          <w:p w14:paraId="2589DFF2" w14:textId="7D2F69B3" w:rsidR="008F735B" w:rsidRPr="00463667" w:rsidRDefault="008F735B" w:rsidP="00DB6ED0">
            <w:pPr>
              <w:pStyle w:val="ProcessBullet"/>
              <w:spacing w:before="60"/>
            </w:pPr>
            <w:r w:rsidRPr="00463667">
              <w:t>19–2</w:t>
            </w:r>
            <w:r w:rsidR="00194325">
              <w:t>0</w:t>
            </w:r>
            <w:r w:rsidRPr="00463667">
              <w:t xml:space="preserve"> years.</w:t>
            </w:r>
          </w:p>
          <w:p w14:paraId="3560FEBD" w14:textId="77777777" w:rsidR="008F735B" w:rsidRPr="00463667" w:rsidRDefault="008F735B" w:rsidP="00DB6ED0">
            <w:pPr>
              <w:pStyle w:val="ProcessBullet"/>
              <w:spacing w:before="60"/>
            </w:pPr>
            <w:r w:rsidRPr="00463667">
              <w:t>Total.</w:t>
            </w:r>
          </w:p>
        </w:tc>
      </w:tr>
      <w:tr w:rsidR="008F735B" w:rsidRPr="00463667" w14:paraId="182FC1BE" w14:textId="77777777" w:rsidTr="00DB6ED0">
        <w:tc>
          <w:tcPr>
            <w:tcW w:w="1818" w:type="dxa"/>
            <w:vMerge/>
          </w:tcPr>
          <w:p w14:paraId="1864F70D" w14:textId="77777777" w:rsidR="008F735B" w:rsidRPr="00463667" w:rsidRDefault="008F735B" w:rsidP="00F578E0">
            <w:pPr>
              <w:pStyle w:val="MarginSubhead"/>
            </w:pPr>
          </w:p>
        </w:tc>
        <w:tc>
          <w:tcPr>
            <w:tcW w:w="7992" w:type="dxa"/>
            <w:gridSpan w:val="2"/>
          </w:tcPr>
          <w:p w14:paraId="74666B50" w14:textId="77777777" w:rsidR="008F735B" w:rsidRPr="00463667" w:rsidRDefault="008F735B" w:rsidP="00F578E0">
            <w:pPr>
              <w:pStyle w:val="ProcessBullet"/>
              <w:numPr>
                <w:ilvl w:val="0"/>
                <w:numId w:val="0"/>
              </w:numPr>
              <w:ind w:left="216" w:hanging="216"/>
            </w:pPr>
            <w:r w:rsidRPr="00463667">
              <w:t>The total is the sum of the age stratifications.</w:t>
            </w:r>
          </w:p>
        </w:tc>
      </w:tr>
      <w:tr w:rsidR="008F735B" w:rsidRPr="00463667" w14:paraId="4DFD2B0A" w14:textId="77777777" w:rsidTr="00DB6ED0">
        <w:tc>
          <w:tcPr>
            <w:tcW w:w="1818" w:type="dxa"/>
          </w:tcPr>
          <w:p w14:paraId="7B285C3A" w14:textId="77777777" w:rsidR="008F735B" w:rsidRPr="00463667" w:rsidRDefault="008F735B" w:rsidP="00F578E0">
            <w:pPr>
              <w:pStyle w:val="MarginSubhead"/>
            </w:pPr>
            <w:r w:rsidRPr="00463667">
              <w:t>Continuous enrollment</w:t>
            </w:r>
          </w:p>
        </w:tc>
        <w:tc>
          <w:tcPr>
            <w:tcW w:w="7992" w:type="dxa"/>
            <w:gridSpan w:val="2"/>
          </w:tcPr>
          <w:p w14:paraId="566724D7" w14:textId="77777777" w:rsidR="008F735B" w:rsidRPr="00463667" w:rsidRDefault="008F735B" w:rsidP="00F578E0">
            <w:pPr>
              <w:pStyle w:val="Body"/>
            </w:pPr>
            <w:r w:rsidRPr="00463667">
              <w:t xml:space="preserve">The measurement year. </w:t>
            </w:r>
          </w:p>
        </w:tc>
      </w:tr>
      <w:tr w:rsidR="008F735B" w:rsidRPr="00463667" w14:paraId="207F571E" w14:textId="77777777" w:rsidTr="00DB6ED0">
        <w:tc>
          <w:tcPr>
            <w:tcW w:w="1818" w:type="dxa"/>
          </w:tcPr>
          <w:p w14:paraId="0468FDCC" w14:textId="77777777" w:rsidR="008F735B" w:rsidRPr="00463667" w:rsidRDefault="008F735B" w:rsidP="00F578E0">
            <w:pPr>
              <w:pStyle w:val="MarginSubhead"/>
            </w:pPr>
            <w:r w:rsidRPr="00463667">
              <w:t>Allowable gap</w:t>
            </w:r>
          </w:p>
        </w:tc>
        <w:tc>
          <w:tcPr>
            <w:tcW w:w="7992" w:type="dxa"/>
            <w:gridSpan w:val="2"/>
          </w:tcPr>
          <w:p w14:paraId="4ADD2272" w14:textId="77777777" w:rsidR="008F735B" w:rsidRPr="00463667" w:rsidRDefault="008F735B" w:rsidP="00F578E0">
            <w:pPr>
              <w:pStyle w:val="Body"/>
            </w:pPr>
            <w:r w:rsidRPr="00463667">
              <w:t xml:space="preserve">No more than one gap in enrollment of up to 45 days during the measurement year. To determine </w:t>
            </w:r>
            <w:r w:rsidRPr="00463667">
              <w:rPr>
                <w:bCs/>
              </w:rPr>
              <w:t>continuous enrollment</w:t>
            </w:r>
            <w:r w:rsidRPr="00463667">
              <w:t xml:space="preserve"> for a Medicaid beneficiary for whom enrollment is verified monthly, the member may not have more than a 1-month gap in coverage (i.e., a member whose coverage lapses for 2 months [60 days] is not considered continuously enrolled). </w:t>
            </w:r>
          </w:p>
        </w:tc>
      </w:tr>
      <w:tr w:rsidR="008F735B" w:rsidRPr="00463667" w14:paraId="389D6762" w14:textId="77777777" w:rsidTr="00DB6ED0">
        <w:tc>
          <w:tcPr>
            <w:tcW w:w="1818" w:type="dxa"/>
          </w:tcPr>
          <w:p w14:paraId="503DDC5C" w14:textId="77777777" w:rsidR="008F735B" w:rsidRPr="00463667" w:rsidRDefault="008F735B" w:rsidP="00F578E0">
            <w:pPr>
              <w:pStyle w:val="MarginSubhead"/>
            </w:pPr>
            <w:r w:rsidRPr="00463667">
              <w:t>Anchor date</w:t>
            </w:r>
          </w:p>
        </w:tc>
        <w:tc>
          <w:tcPr>
            <w:tcW w:w="7992" w:type="dxa"/>
            <w:gridSpan w:val="2"/>
          </w:tcPr>
          <w:p w14:paraId="703B93AE" w14:textId="77777777" w:rsidR="008F735B" w:rsidRPr="00463667" w:rsidRDefault="008F735B" w:rsidP="00F578E0">
            <w:pPr>
              <w:pStyle w:val="Body"/>
            </w:pPr>
            <w:r w:rsidRPr="00463667">
              <w:t>December 31 of the measurement year.</w:t>
            </w:r>
          </w:p>
        </w:tc>
      </w:tr>
      <w:tr w:rsidR="008F735B" w:rsidRPr="00463667" w14:paraId="7ED0460E" w14:textId="77777777" w:rsidTr="00DB6ED0">
        <w:tc>
          <w:tcPr>
            <w:tcW w:w="1818" w:type="dxa"/>
          </w:tcPr>
          <w:p w14:paraId="0993E71B" w14:textId="77777777" w:rsidR="008F735B" w:rsidRPr="00463667" w:rsidRDefault="008F735B" w:rsidP="00F578E0">
            <w:pPr>
              <w:pStyle w:val="MarginSubhead"/>
            </w:pPr>
            <w:r w:rsidRPr="00463667">
              <w:t>Benefit</w:t>
            </w:r>
          </w:p>
        </w:tc>
        <w:tc>
          <w:tcPr>
            <w:tcW w:w="7992" w:type="dxa"/>
            <w:gridSpan w:val="2"/>
          </w:tcPr>
          <w:p w14:paraId="0A15BBBF" w14:textId="77777777" w:rsidR="008F735B" w:rsidRPr="00463667" w:rsidRDefault="008F735B" w:rsidP="00F578E0">
            <w:pPr>
              <w:pStyle w:val="Body"/>
            </w:pPr>
            <w:r w:rsidRPr="00463667">
              <w:t xml:space="preserve">Dental. </w:t>
            </w:r>
          </w:p>
        </w:tc>
      </w:tr>
      <w:tr w:rsidR="008F735B" w:rsidRPr="00463667" w14:paraId="61917803" w14:textId="77777777" w:rsidTr="00DB6ED0">
        <w:tc>
          <w:tcPr>
            <w:tcW w:w="1818" w:type="dxa"/>
          </w:tcPr>
          <w:p w14:paraId="171C85B8" w14:textId="77777777" w:rsidR="008F735B" w:rsidRPr="00463667" w:rsidRDefault="008F735B" w:rsidP="00F578E0">
            <w:pPr>
              <w:pStyle w:val="MarginSubhead"/>
            </w:pPr>
            <w:r w:rsidRPr="00463667">
              <w:t>Event/ diagnosis</w:t>
            </w:r>
          </w:p>
        </w:tc>
        <w:tc>
          <w:tcPr>
            <w:tcW w:w="7992" w:type="dxa"/>
            <w:gridSpan w:val="2"/>
          </w:tcPr>
          <w:p w14:paraId="3C42966C" w14:textId="77777777" w:rsidR="008F735B" w:rsidRPr="00463667" w:rsidRDefault="008F735B" w:rsidP="00F578E0">
            <w:pPr>
              <w:pStyle w:val="Body"/>
            </w:pPr>
            <w:r w:rsidRPr="00463667">
              <w:t>None.</w:t>
            </w:r>
          </w:p>
        </w:tc>
      </w:tr>
    </w:tbl>
    <w:p w14:paraId="24B5EF92" w14:textId="77777777" w:rsidR="008F735B" w:rsidRPr="00463667" w:rsidRDefault="008F735B" w:rsidP="008F735B">
      <w:pPr>
        <w:pStyle w:val="Note"/>
        <w:rPr>
          <w:bCs/>
          <w:iCs/>
        </w:rPr>
      </w:pPr>
      <w:r w:rsidRPr="00463667">
        <w:rPr>
          <w:b/>
          <w:bCs/>
          <w:iCs/>
        </w:rPr>
        <w:t xml:space="preserve">Note: </w:t>
      </w:r>
      <w:r w:rsidRPr="00463667">
        <w:rPr>
          <w:bCs/>
          <w:iCs/>
        </w:rPr>
        <w:t>Visits for many 1-year-olds will be counted because the specification includes children whose second birthday occurs during the measurement year.</w:t>
      </w:r>
    </w:p>
    <w:p w14:paraId="72B47DC4" w14:textId="77777777" w:rsidR="008F735B" w:rsidRPr="00463667" w:rsidRDefault="008F735B" w:rsidP="00081D64">
      <w:pPr>
        <w:pStyle w:val="ReverseHead"/>
      </w:pPr>
      <w:r w:rsidRPr="00463667">
        <w:t>Administrative Specification</w:t>
      </w:r>
    </w:p>
    <w:tbl>
      <w:tblPr>
        <w:tblW w:w="9837" w:type="dxa"/>
        <w:tblInd w:w="-90" w:type="dxa"/>
        <w:tblLayout w:type="fixed"/>
        <w:tblLook w:val="0000" w:firstRow="0" w:lastRow="0" w:firstColumn="0" w:lastColumn="0" w:noHBand="0" w:noVBand="0"/>
      </w:tblPr>
      <w:tblGrid>
        <w:gridCol w:w="1818"/>
        <w:gridCol w:w="8019"/>
      </w:tblGrid>
      <w:tr w:rsidR="008F735B" w:rsidRPr="00463667" w14:paraId="59EA4D45" w14:textId="77777777" w:rsidTr="00DB6ED0">
        <w:tc>
          <w:tcPr>
            <w:tcW w:w="1818" w:type="dxa"/>
          </w:tcPr>
          <w:p w14:paraId="1149BE38" w14:textId="77777777" w:rsidR="008F735B" w:rsidRPr="00463667" w:rsidRDefault="008F735B" w:rsidP="00F578E0">
            <w:pPr>
              <w:pStyle w:val="MarginSubhead"/>
            </w:pPr>
            <w:r w:rsidRPr="00463667">
              <w:t>Denominator</w:t>
            </w:r>
          </w:p>
        </w:tc>
        <w:tc>
          <w:tcPr>
            <w:tcW w:w="8019" w:type="dxa"/>
          </w:tcPr>
          <w:p w14:paraId="5513211E" w14:textId="77777777" w:rsidR="008F735B" w:rsidRPr="00463667" w:rsidRDefault="008F735B" w:rsidP="00F578E0">
            <w:pPr>
              <w:pStyle w:val="Body"/>
            </w:pPr>
            <w:r w:rsidRPr="00463667">
              <w:t xml:space="preserve">The eligible population. </w:t>
            </w:r>
          </w:p>
        </w:tc>
      </w:tr>
      <w:tr w:rsidR="008F735B" w:rsidRPr="00463667" w14:paraId="3CD42961" w14:textId="77777777" w:rsidTr="00DB6ED0">
        <w:tc>
          <w:tcPr>
            <w:tcW w:w="1818" w:type="dxa"/>
          </w:tcPr>
          <w:p w14:paraId="0CA333F3" w14:textId="77777777" w:rsidR="008F735B" w:rsidRPr="00463667" w:rsidRDefault="008F735B" w:rsidP="00F578E0">
            <w:pPr>
              <w:pStyle w:val="MarginSubhead"/>
            </w:pPr>
            <w:r w:rsidRPr="00463667">
              <w:t>Numerator</w:t>
            </w:r>
          </w:p>
        </w:tc>
        <w:tc>
          <w:tcPr>
            <w:tcW w:w="8019" w:type="dxa"/>
          </w:tcPr>
          <w:p w14:paraId="6C0CA99F" w14:textId="77777777" w:rsidR="008F735B" w:rsidRPr="00463667" w:rsidRDefault="008F735B" w:rsidP="00F578E0">
            <w:pPr>
              <w:pStyle w:val="Body"/>
            </w:pPr>
            <w:r w:rsidRPr="00463667">
              <w:t>One or more dental visits (</w:t>
            </w:r>
            <w:r w:rsidRPr="00463667">
              <w:rPr>
                <w:u w:val="single"/>
              </w:rPr>
              <w:t>Dental Visits Value Set</w:t>
            </w:r>
            <w:r w:rsidRPr="00463667">
              <w:t xml:space="preserve">) with a dental practitioner during the measurement year. </w:t>
            </w:r>
          </w:p>
        </w:tc>
      </w:tr>
    </w:tbl>
    <w:p w14:paraId="0099786D" w14:textId="77777777" w:rsidR="008F735B" w:rsidRPr="00463667" w:rsidRDefault="008F735B" w:rsidP="00DB6ED0">
      <w:pPr>
        <w:pStyle w:val="SubHead20"/>
        <w:spacing w:before="120"/>
        <w:rPr>
          <w:i/>
        </w:rPr>
      </w:pPr>
      <w:r w:rsidRPr="00463667">
        <w:rPr>
          <w:i/>
        </w:rPr>
        <w:t>Note</w:t>
      </w:r>
    </w:p>
    <w:p w14:paraId="6BFE88EE" w14:textId="77777777" w:rsidR="00DB6ED0" w:rsidRDefault="008F735B" w:rsidP="008F735B">
      <w:pPr>
        <w:pStyle w:val="ProcessBullet"/>
        <w:rPr>
          <w:iCs/>
        </w:rPr>
        <w:sectPr w:rsidR="00DB6ED0" w:rsidSect="00F578E0">
          <w:headerReference w:type="even" r:id="rId32"/>
          <w:headerReference w:type="default" r:id="rId33"/>
          <w:pgSz w:w="12240" w:h="15840" w:code="1"/>
          <w:pgMar w:top="1080" w:right="1080" w:bottom="1080" w:left="1440" w:header="720" w:footer="720" w:gutter="0"/>
          <w:cols w:space="720"/>
        </w:sectPr>
      </w:pPr>
      <w:r w:rsidRPr="00463667">
        <w:rPr>
          <w:i/>
          <w:iCs/>
        </w:rPr>
        <w:t xml:space="preserve">Refer to Appendix 3 for the definition of </w:t>
      </w:r>
      <w:r w:rsidRPr="00463667">
        <w:rPr>
          <w:iCs/>
        </w:rPr>
        <w:t>dental practitioner.</w:t>
      </w:r>
    </w:p>
    <w:p w14:paraId="0F7F84CE" w14:textId="77777777" w:rsidR="008F735B" w:rsidRPr="00463667" w:rsidRDefault="008F735B" w:rsidP="00DB6ED0">
      <w:pPr>
        <w:pStyle w:val="ReverseHead"/>
        <w:spacing w:before="0"/>
      </w:pPr>
      <w:r w:rsidRPr="00463667">
        <w:lastRenderedPageBreak/>
        <w:t xml:space="preserve">Data Elements for Reporting </w:t>
      </w:r>
    </w:p>
    <w:p w14:paraId="2A169C01" w14:textId="77777777" w:rsidR="008F735B" w:rsidRPr="00463667" w:rsidRDefault="008F735B" w:rsidP="008F735B">
      <w:pPr>
        <w:pStyle w:val="Body"/>
      </w:pPr>
      <w:r w:rsidRPr="00463667">
        <w:t>Organizations that submit HEDIS data to NCQA must provide the following data elements.</w:t>
      </w:r>
    </w:p>
    <w:p w14:paraId="406BA74B" w14:textId="77777777" w:rsidR="008F735B" w:rsidRPr="00463667" w:rsidRDefault="008F735B" w:rsidP="00081D64">
      <w:pPr>
        <w:pStyle w:val="TableHeadNotCondensed"/>
      </w:pPr>
      <w:r w:rsidRPr="00463667">
        <w:t>Table ADV-1: Data Elements for Annual Dental Visit</w:t>
      </w:r>
    </w:p>
    <w:tbl>
      <w:tblPr>
        <w:tblW w:w="684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8"/>
        <w:gridCol w:w="2880"/>
      </w:tblGrid>
      <w:tr w:rsidR="008F735B" w:rsidRPr="00463667" w14:paraId="7DA72344" w14:textId="77777777" w:rsidTr="00CA7033">
        <w:tc>
          <w:tcPr>
            <w:tcW w:w="3968" w:type="dxa"/>
            <w:tcBorders>
              <w:bottom w:val="single" w:sz="6" w:space="0" w:color="auto"/>
              <w:right w:val="nil"/>
            </w:tcBorders>
            <w:shd w:val="clear" w:color="auto" w:fill="000000"/>
          </w:tcPr>
          <w:p w14:paraId="7CFDD108" w14:textId="77777777" w:rsidR="008F735B" w:rsidRPr="00463667" w:rsidRDefault="008F735B" w:rsidP="00F578E0">
            <w:pPr>
              <w:pStyle w:val="TableHead"/>
              <w:rPr>
                <w:color w:val="auto"/>
              </w:rPr>
            </w:pPr>
          </w:p>
        </w:tc>
        <w:tc>
          <w:tcPr>
            <w:tcW w:w="2880" w:type="dxa"/>
            <w:tcBorders>
              <w:left w:val="single" w:sz="6" w:space="0" w:color="FFFFFF"/>
              <w:bottom w:val="single" w:sz="6" w:space="0" w:color="auto"/>
              <w:right w:val="single" w:sz="4" w:space="0" w:color="auto"/>
            </w:tcBorders>
            <w:shd w:val="clear" w:color="auto" w:fill="000000"/>
          </w:tcPr>
          <w:p w14:paraId="30490DE7" w14:textId="77777777" w:rsidR="008F735B" w:rsidRPr="00463667" w:rsidRDefault="008F735B" w:rsidP="00F578E0">
            <w:pPr>
              <w:pStyle w:val="TableHead"/>
              <w:rPr>
                <w:color w:val="auto"/>
              </w:rPr>
            </w:pPr>
            <w:r w:rsidRPr="00463667">
              <w:rPr>
                <w:color w:val="auto"/>
              </w:rPr>
              <w:t>Administrative</w:t>
            </w:r>
          </w:p>
        </w:tc>
      </w:tr>
      <w:tr w:rsidR="008F735B" w:rsidRPr="00463667" w14:paraId="5ECC1AA2" w14:textId="77777777" w:rsidTr="00CA7033">
        <w:tc>
          <w:tcPr>
            <w:tcW w:w="3968" w:type="dxa"/>
            <w:tcBorders>
              <w:bottom w:val="single" w:sz="6" w:space="0" w:color="auto"/>
            </w:tcBorders>
          </w:tcPr>
          <w:p w14:paraId="1000EB6E" w14:textId="77777777" w:rsidR="008F735B" w:rsidRPr="00463667" w:rsidRDefault="008F735B" w:rsidP="00F578E0">
            <w:pPr>
              <w:pStyle w:val="TableText"/>
            </w:pPr>
            <w:r w:rsidRPr="00463667">
              <w:t>Measurement year</w:t>
            </w:r>
          </w:p>
        </w:tc>
        <w:tc>
          <w:tcPr>
            <w:tcW w:w="2880" w:type="dxa"/>
            <w:tcBorders>
              <w:bottom w:val="single" w:sz="6" w:space="0" w:color="auto"/>
            </w:tcBorders>
            <w:vAlign w:val="center"/>
          </w:tcPr>
          <w:p w14:paraId="0E549B07" w14:textId="77777777" w:rsidR="008F735B" w:rsidRPr="00463667" w:rsidRDefault="008F735B" w:rsidP="00F578E0">
            <w:pPr>
              <w:pStyle w:val="TableText"/>
              <w:jc w:val="center"/>
              <w:rPr>
                <w:i/>
                <w:sz w:val="24"/>
                <w:szCs w:val="24"/>
              </w:rPr>
            </w:pPr>
            <w:r w:rsidRPr="00463667">
              <w:rPr>
                <w:sz w:val="24"/>
                <w:szCs w:val="24"/>
              </w:rPr>
              <w:sym w:font="Wingdings" w:char="F0FC"/>
            </w:r>
          </w:p>
        </w:tc>
      </w:tr>
      <w:tr w:rsidR="008F735B" w:rsidRPr="00463667" w14:paraId="3838FE21" w14:textId="77777777" w:rsidTr="00CA7033">
        <w:tc>
          <w:tcPr>
            <w:tcW w:w="3968" w:type="dxa"/>
            <w:shd w:val="clear" w:color="auto" w:fill="D9D9D9"/>
          </w:tcPr>
          <w:p w14:paraId="57269071" w14:textId="77777777" w:rsidR="008F735B" w:rsidRPr="00463667" w:rsidRDefault="008F735B" w:rsidP="00F578E0">
            <w:pPr>
              <w:pStyle w:val="TableText"/>
            </w:pPr>
            <w:r w:rsidRPr="00463667">
              <w:t>Data collection methodology (Administrative)</w:t>
            </w:r>
          </w:p>
        </w:tc>
        <w:tc>
          <w:tcPr>
            <w:tcW w:w="2880" w:type="dxa"/>
            <w:shd w:val="clear" w:color="auto" w:fill="D9D9D9"/>
            <w:vAlign w:val="center"/>
          </w:tcPr>
          <w:p w14:paraId="7D8025D9" w14:textId="77777777" w:rsidR="008F735B" w:rsidRPr="00463667" w:rsidRDefault="008F735B" w:rsidP="00F578E0">
            <w:pPr>
              <w:pStyle w:val="TableText"/>
              <w:jc w:val="center"/>
              <w:rPr>
                <w:i/>
                <w:sz w:val="24"/>
                <w:szCs w:val="24"/>
              </w:rPr>
            </w:pPr>
            <w:r w:rsidRPr="00463667">
              <w:rPr>
                <w:sz w:val="24"/>
                <w:szCs w:val="24"/>
              </w:rPr>
              <w:sym w:font="Wingdings" w:char="F0FC"/>
            </w:r>
          </w:p>
        </w:tc>
      </w:tr>
      <w:tr w:rsidR="008F735B" w:rsidRPr="00463667" w14:paraId="776451B6" w14:textId="77777777" w:rsidTr="00CA7033">
        <w:tc>
          <w:tcPr>
            <w:tcW w:w="3968" w:type="dxa"/>
          </w:tcPr>
          <w:p w14:paraId="7D79FB0C" w14:textId="77777777" w:rsidR="008F735B" w:rsidRPr="00463667" w:rsidRDefault="008F735B" w:rsidP="00F578E0">
            <w:pPr>
              <w:pStyle w:val="TableText"/>
            </w:pPr>
            <w:r w:rsidRPr="00463667">
              <w:t xml:space="preserve">Eligible population </w:t>
            </w:r>
          </w:p>
        </w:tc>
        <w:tc>
          <w:tcPr>
            <w:tcW w:w="2880" w:type="dxa"/>
          </w:tcPr>
          <w:p w14:paraId="4BA0EB01"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2BBD12DC" w14:textId="77777777" w:rsidTr="00CA7033">
        <w:tc>
          <w:tcPr>
            <w:tcW w:w="3968" w:type="dxa"/>
            <w:shd w:val="clear" w:color="auto" w:fill="D9D9D9"/>
          </w:tcPr>
          <w:p w14:paraId="5E9FB6D7" w14:textId="77777777" w:rsidR="008F735B" w:rsidRPr="00463667" w:rsidRDefault="008F735B" w:rsidP="00F578E0">
            <w:pPr>
              <w:pStyle w:val="TableText"/>
            </w:pPr>
            <w:r w:rsidRPr="00463667">
              <w:t>Numerator events by administrative data</w:t>
            </w:r>
          </w:p>
        </w:tc>
        <w:tc>
          <w:tcPr>
            <w:tcW w:w="2880" w:type="dxa"/>
            <w:shd w:val="clear" w:color="auto" w:fill="D9D9D9"/>
          </w:tcPr>
          <w:p w14:paraId="30363C89"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4AA92742" w14:textId="77777777" w:rsidTr="00CA7033">
        <w:tc>
          <w:tcPr>
            <w:tcW w:w="3968" w:type="dxa"/>
          </w:tcPr>
          <w:p w14:paraId="0F895984" w14:textId="77777777" w:rsidR="008F735B" w:rsidRPr="00463667" w:rsidRDefault="008F735B" w:rsidP="00F578E0">
            <w:pPr>
              <w:pStyle w:val="TableText"/>
            </w:pPr>
            <w:r w:rsidRPr="00463667">
              <w:t>Reported rate</w:t>
            </w:r>
          </w:p>
        </w:tc>
        <w:tc>
          <w:tcPr>
            <w:tcW w:w="2880" w:type="dxa"/>
          </w:tcPr>
          <w:p w14:paraId="233BDD65"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04774558" w14:textId="77777777" w:rsidTr="00CA7033">
        <w:tc>
          <w:tcPr>
            <w:tcW w:w="3968" w:type="dxa"/>
            <w:tcBorders>
              <w:bottom w:val="single" w:sz="6" w:space="0" w:color="auto"/>
            </w:tcBorders>
            <w:shd w:val="clear" w:color="auto" w:fill="D9D9D9"/>
          </w:tcPr>
          <w:p w14:paraId="5653F853" w14:textId="77777777" w:rsidR="008F735B" w:rsidRPr="00463667" w:rsidRDefault="008F735B" w:rsidP="00F578E0">
            <w:pPr>
              <w:pStyle w:val="TableText"/>
            </w:pPr>
            <w:r w:rsidRPr="00463667">
              <w:t>Lower 95% confidence interval</w:t>
            </w:r>
          </w:p>
        </w:tc>
        <w:tc>
          <w:tcPr>
            <w:tcW w:w="2880" w:type="dxa"/>
            <w:tcBorders>
              <w:bottom w:val="single" w:sz="6" w:space="0" w:color="auto"/>
            </w:tcBorders>
            <w:shd w:val="clear" w:color="auto" w:fill="D9D9D9"/>
          </w:tcPr>
          <w:p w14:paraId="6E6A70D3" w14:textId="77777777" w:rsidR="008F735B" w:rsidRPr="00463667" w:rsidRDefault="008F735B" w:rsidP="00F578E0">
            <w:pPr>
              <w:pStyle w:val="TableText"/>
              <w:jc w:val="center"/>
              <w:rPr>
                <w:i/>
              </w:rPr>
            </w:pPr>
            <w:r w:rsidRPr="00463667">
              <w:rPr>
                <w:i/>
              </w:rPr>
              <w:t>For each age stratification and total</w:t>
            </w:r>
          </w:p>
        </w:tc>
      </w:tr>
      <w:tr w:rsidR="008F735B" w:rsidRPr="00463667" w14:paraId="41C21447" w14:textId="77777777" w:rsidTr="00CA7033">
        <w:tc>
          <w:tcPr>
            <w:tcW w:w="3968" w:type="dxa"/>
            <w:tcBorders>
              <w:bottom w:val="single" w:sz="4" w:space="0" w:color="auto"/>
            </w:tcBorders>
          </w:tcPr>
          <w:p w14:paraId="6EABE9A7" w14:textId="77777777" w:rsidR="008F735B" w:rsidRPr="00463667" w:rsidRDefault="008F735B" w:rsidP="00F578E0">
            <w:pPr>
              <w:pStyle w:val="TableText"/>
            </w:pPr>
            <w:r w:rsidRPr="00463667">
              <w:t>Upper 95% confidence interval</w:t>
            </w:r>
          </w:p>
        </w:tc>
        <w:tc>
          <w:tcPr>
            <w:tcW w:w="2880" w:type="dxa"/>
            <w:tcBorders>
              <w:bottom w:val="single" w:sz="4" w:space="0" w:color="auto"/>
            </w:tcBorders>
          </w:tcPr>
          <w:p w14:paraId="542F9DB5" w14:textId="77777777" w:rsidR="008F735B" w:rsidRPr="00463667" w:rsidRDefault="008F735B" w:rsidP="00F578E0">
            <w:pPr>
              <w:pStyle w:val="TableText"/>
              <w:jc w:val="center"/>
              <w:rPr>
                <w:i/>
              </w:rPr>
            </w:pPr>
            <w:r w:rsidRPr="00463667">
              <w:rPr>
                <w:i/>
              </w:rPr>
              <w:t>For each age stratification and total</w:t>
            </w:r>
          </w:p>
        </w:tc>
      </w:tr>
    </w:tbl>
    <w:p w14:paraId="4D90B45F" w14:textId="77777777" w:rsidR="008F735B" w:rsidRPr="00463667" w:rsidRDefault="008F735B" w:rsidP="008F735B">
      <w:pPr>
        <w:pStyle w:val="TableText"/>
      </w:pPr>
    </w:p>
    <w:p w14:paraId="43646C6A" w14:textId="77777777" w:rsidR="008F735B" w:rsidRPr="00463667" w:rsidRDefault="008F735B" w:rsidP="008F735B">
      <w:pPr>
        <w:pStyle w:val="TableText"/>
      </w:pPr>
    </w:p>
    <w:p w14:paraId="7E9FF86B" w14:textId="77777777" w:rsidR="008F735B" w:rsidRPr="00463667" w:rsidRDefault="008F735B" w:rsidP="008F735B">
      <w:pPr>
        <w:pStyle w:val="TableText"/>
      </w:pPr>
    </w:p>
    <w:p w14:paraId="5A0A1FE0" w14:textId="77777777" w:rsidR="008F735B" w:rsidRPr="00463667" w:rsidRDefault="008F735B" w:rsidP="008F735B">
      <w:pPr>
        <w:pStyle w:val="TableText"/>
      </w:pPr>
    </w:p>
    <w:p w14:paraId="5175A9B8" w14:textId="77777777" w:rsidR="008F735B" w:rsidRPr="00463667" w:rsidRDefault="008F735B" w:rsidP="008F735B">
      <w:pPr>
        <w:pStyle w:val="TableText"/>
        <w:spacing w:before="120" w:after="0"/>
      </w:pPr>
    </w:p>
    <w:p w14:paraId="29FCCD6A" w14:textId="77777777" w:rsidR="008F735B" w:rsidRPr="00463667" w:rsidRDefault="008F735B" w:rsidP="008F735B">
      <w:pPr>
        <w:sectPr w:rsidR="008F735B" w:rsidRPr="00463667" w:rsidSect="00F578E0">
          <w:pgSz w:w="12240" w:h="15840" w:code="1"/>
          <w:pgMar w:top="1080" w:right="1080" w:bottom="1080" w:left="1440" w:header="720" w:footer="720" w:gutter="0"/>
          <w:cols w:space="720"/>
        </w:sectPr>
      </w:pPr>
    </w:p>
    <w:p w14:paraId="62611F9E" w14:textId="22E8BD81" w:rsidR="008F735B" w:rsidRPr="00463667" w:rsidRDefault="008F735B" w:rsidP="008F735B">
      <w:pPr>
        <w:pStyle w:val="Heading2"/>
      </w:pPr>
      <w:bookmarkStart w:id="6" w:name="_Toc400546164"/>
      <w:r w:rsidRPr="003F7CDF">
        <w:lastRenderedPageBreak/>
        <w:t xml:space="preserve">Initiation and Engagement of Alcohol and </w:t>
      </w:r>
      <w:r w:rsidRPr="003F7CDF">
        <w:br/>
        <w:t>Other Drug Dependence Treatment (IET)</w:t>
      </w:r>
      <w:bookmarkEnd w:id="6"/>
    </w:p>
    <w:p w14:paraId="4306CE82" w14:textId="27A040D7" w:rsidR="008F735B" w:rsidRPr="00463667" w:rsidRDefault="008F735B" w:rsidP="00081D64">
      <w:pPr>
        <w:pStyle w:val="SOC"/>
        <w:rPr>
          <w:i/>
        </w:rPr>
      </w:pPr>
      <w:r w:rsidRPr="00463667">
        <w:t xml:space="preserve">Summary of Changes to HEDIS </w:t>
      </w:r>
      <w:r w:rsidR="00A47F13">
        <w:t>2016</w:t>
      </w:r>
    </w:p>
    <w:p w14:paraId="6ECBA33F" w14:textId="44353A2D" w:rsidR="00F93C94" w:rsidRPr="00002D28" w:rsidRDefault="00F93C94" w:rsidP="00F93C94">
      <w:pPr>
        <w:pStyle w:val="ProcessBullet"/>
        <w:rPr>
          <w:i/>
          <w:iCs/>
        </w:rPr>
      </w:pPr>
      <w:r>
        <w:rPr>
          <w:iCs/>
        </w:rPr>
        <w:t xml:space="preserve">Added value sets to identify acute </w:t>
      </w:r>
      <w:r w:rsidR="006244FC">
        <w:rPr>
          <w:iCs/>
        </w:rPr>
        <w:t xml:space="preserve">and nonacute </w:t>
      </w:r>
      <w:r>
        <w:rPr>
          <w:iCs/>
        </w:rPr>
        <w:t>inpatient discharges for</w:t>
      </w:r>
      <w:r w:rsidR="008D7576">
        <w:rPr>
          <w:iCs/>
        </w:rPr>
        <w:t xml:space="preserve"> step 1 of the event/diagnosis and for both numerators</w:t>
      </w:r>
      <w:r>
        <w:rPr>
          <w:iCs/>
        </w:rPr>
        <w:t>.</w:t>
      </w:r>
    </w:p>
    <w:p w14:paraId="54F1B4ED" w14:textId="77777777" w:rsidR="008F735B" w:rsidRPr="00463667" w:rsidRDefault="008F735B" w:rsidP="00081D64">
      <w:pPr>
        <w:pStyle w:val="ReverseHead"/>
      </w:pPr>
      <w:r w:rsidRPr="00463667">
        <w:t>Description</w:t>
      </w:r>
    </w:p>
    <w:p w14:paraId="57B6C169" w14:textId="77777777" w:rsidR="008F735B" w:rsidRPr="00463667" w:rsidRDefault="008F735B" w:rsidP="008F735B">
      <w:pPr>
        <w:pStyle w:val="Body"/>
      </w:pPr>
      <w:r w:rsidRPr="00463667">
        <w:t>The percentage of adolescent and adult members with a new episode of alcohol or other drug (AOD) dependence who received the following.</w:t>
      </w:r>
    </w:p>
    <w:p w14:paraId="1926C6C4" w14:textId="77777777" w:rsidR="008F735B" w:rsidRPr="00463667" w:rsidRDefault="008F735B" w:rsidP="008F735B">
      <w:pPr>
        <w:pStyle w:val="Bullet"/>
        <w:spacing w:before="100"/>
      </w:pPr>
      <w:r w:rsidRPr="00463667">
        <w:rPr>
          <w:i/>
        </w:rPr>
        <w:t xml:space="preserve">Initiation of AOD Treatment. </w:t>
      </w:r>
      <w:r w:rsidRPr="00463667">
        <w:t>The percentage of members who initiate treatment through an inpatient AOD admission, outpatient visit, intensive outpatient encounter or partial hospitalization within 14 days of the diagnosis.</w:t>
      </w:r>
    </w:p>
    <w:p w14:paraId="7FA41D13" w14:textId="77777777" w:rsidR="008F735B" w:rsidRPr="00463667" w:rsidRDefault="008F735B" w:rsidP="008F735B">
      <w:pPr>
        <w:pStyle w:val="Bullet"/>
        <w:spacing w:before="100"/>
      </w:pPr>
      <w:r w:rsidRPr="00463667">
        <w:rPr>
          <w:i/>
        </w:rPr>
        <w:t>Engagement of AOD Treatment.</w:t>
      </w:r>
      <w:r w:rsidRPr="00463667">
        <w:t xml:space="preserve"> The percentage of members who initiated treatment and who had two or more additional services with a diagnosis of AOD within 30 days of the initiation visit.</w:t>
      </w:r>
    </w:p>
    <w:p w14:paraId="55FC53DE" w14:textId="77777777" w:rsidR="008F735B" w:rsidRPr="00463667" w:rsidRDefault="008F735B" w:rsidP="00081D64">
      <w:pPr>
        <w:pStyle w:val="ReverseHead"/>
      </w:pPr>
      <w:r w:rsidRPr="00463667">
        <w:t>Definitions</w:t>
      </w:r>
    </w:p>
    <w:tbl>
      <w:tblPr>
        <w:tblW w:w="9785" w:type="dxa"/>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710"/>
        <w:gridCol w:w="8075"/>
      </w:tblGrid>
      <w:tr w:rsidR="008F735B" w:rsidRPr="00463667" w14:paraId="4CA4217E" w14:textId="77777777" w:rsidTr="00F578E0">
        <w:tc>
          <w:tcPr>
            <w:tcW w:w="1710" w:type="dxa"/>
            <w:tcBorders>
              <w:top w:val="nil"/>
              <w:left w:val="nil"/>
              <w:bottom w:val="nil"/>
              <w:right w:val="nil"/>
            </w:tcBorders>
            <w:tcMar>
              <w:left w:w="115" w:type="dxa"/>
              <w:right w:w="115" w:type="dxa"/>
            </w:tcMar>
          </w:tcPr>
          <w:p w14:paraId="4C2A5020" w14:textId="77777777" w:rsidR="008F735B" w:rsidRPr="00463667" w:rsidRDefault="008F735B" w:rsidP="00F578E0">
            <w:pPr>
              <w:pStyle w:val="MarginSubhead"/>
            </w:pPr>
            <w:r w:rsidRPr="00463667">
              <w:t>Intake Period</w:t>
            </w:r>
          </w:p>
        </w:tc>
        <w:tc>
          <w:tcPr>
            <w:tcW w:w="8075" w:type="dxa"/>
            <w:tcBorders>
              <w:top w:val="nil"/>
              <w:left w:val="nil"/>
              <w:bottom w:val="nil"/>
              <w:right w:val="nil"/>
            </w:tcBorders>
            <w:tcMar>
              <w:left w:w="115" w:type="dxa"/>
              <w:right w:w="115" w:type="dxa"/>
            </w:tcMar>
          </w:tcPr>
          <w:p w14:paraId="0E50CBB9" w14:textId="77777777" w:rsidR="008F735B" w:rsidRPr="00463667" w:rsidRDefault="008F735B" w:rsidP="00F578E0">
            <w:pPr>
              <w:pStyle w:val="Body"/>
            </w:pPr>
            <w:r w:rsidRPr="00463667">
              <w:t>January 1–November 15 of the measurement year. The Intake Period is used to capture new episodes of AOD.</w:t>
            </w:r>
          </w:p>
        </w:tc>
      </w:tr>
      <w:tr w:rsidR="008F735B" w:rsidRPr="00463667" w14:paraId="6FDCF762" w14:textId="77777777" w:rsidTr="00F578E0">
        <w:tc>
          <w:tcPr>
            <w:tcW w:w="1710" w:type="dxa"/>
            <w:tcBorders>
              <w:top w:val="nil"/>
              <w:left w:val="nil"/>
              <w:bottom w:val="nil"/>
              <w:right w:val="nil"/>
            </w:tcBorders>
            <w:tcMar>
              <w:left w:w="115" w:type="dxa"/>
              <w:right w:w="115" w:type="dxa"/>
            </w:tcMar>
          </w:tcPr>
          <w:p w14:paraId="4FA5BBD5" w14:textId="77777777" w:rsidR="008F735B" w:rsidRPr="00463667" w:rsidRDefault="008F735B" w:rsidP="00F578E0">
            <w:pPr>
              <w:pStyle w:val="MarginSubhead"/>
            </w:pPr>
            <w:r w:rsidRPr="00463667">
              <w:t>Index Episode</w:t>
            </w:r>
          </w:p>
        </w:tc>
        <w:tc>
          <w:tcPr>
            <w:tcW w:w="8075" w:type="dxa"/>
            <w:tcBorders>
              <w:top w:val="nil"/>
              <w:left w:val="nil"/>
              <w:bottom w:val="nil"/>
              <w:right w:val="nil"/>
            </w:tcBorders>
            <w:tcMar>
              <w:left w:w="115" w:type="dxa"/>
              <w:right w:w="115" w:type="dxa"/>
            </w:tcMar>
          </w:tcPr>
          <w:p w14:paraId="2423CB26" w14:textId="77777777" w:rsidR="008F735B" w:rsidRPr="00463667" w:rsidRDefault="008F735B" w:rsidP="00F578E0">
            <w:pPr>
              <w:pStyle w:val="Body"/>
            </w:pPr>
            <w:r w:rsidRPr="00463667">
              <w:t>The earliest inpatient, intensive outpatient, partial hospitalization, outpatient, detoxification or ED visit during the Intake Period with a diagnosis of AOD.</w:t>
            </w:r>
          </w:p>
          <w:p w14:paraId="0C353272" w14:textId="77777777" w:rsidR="008F735B" w:rsidRPr="00463667" w:rsidDel="00BA2122" w:rsidRDefault="008F735B" w:rsidP="00F578E0">
            <w:pPr>
              <w:pStyle w:val="Body"/>
              <w:spacing w:before="120"/>
            </w:pPr>
            <w:r w:rsidRPr="00463667">
              <w:rPr>
                <w:i/>
              </w:rPr>
              <w:t>For ED visits that result in an inpatient stay</w:t>
            </w:r>
            <w:r w:rsidRPr="00463667">
              <w:t>, the inpatient stay is the Index Episode.</w:t>
            </w:r>
          </w:p>
        </w:tc>
      </w:tr>
      <w:tr w:rsidR="008F735B" w:rsidRPr="00463667" w14:paraId="547D834F" w14:textId="77777777" w:rsidTr="00F578E0">
        <w:tc>
          <w:tcPr>
            <w:tcW w:w="1710" w:type="dxa"/>
            <w:tcBorders>
              <w:top w:val="nil"/>
              <w:left w:val="nil"/>
              <w:bottom w:val="nil"/>
              <w:right w:val="nil"/>
            </w:tcBorders>
            <w:tcMar>
              <w:left w:w="115" w:type="dxa"/>
              <w:right w:w="115" w:type="dxa"/>
            </w:tcMar>
          </w:tcPr>
          <w:p w14:paraId="0B0B5EBE" w14:textId="77777777" w:rsidR="008F735B" w:rsidRPr="00463667" w:rsidRDefault="008F735B" w:rsidP="00F578E0">
            <w:pPr>
              <w:pStyle w:val="MarginSubhead"/>
            </w:pPr>
            <w:r w:rsidRPr="00463667">
              <w:t>IESD</w:t>
            </w:r>
          </w:p>
        </w:tc>
        <w:tc>
          <w:tcPr>
            <w:tcW w:w="8075" w:type="dxa"/>
            <w:tcBorders>
              <w:top w:val="nil"/>
              <w:left w:val="nil"/>
              <w:bottom w:val="nil"/>
              <w:right w:val="nil"/>
            </w:tcBorders>
            <w:tcMar>
              <w:left w:w="115" w:type="dxa"/>
              <w:right w:w="115" w:type="dxa"/>
            </w:tcMar>
          </w:tcPr>
          <w:p w14:paraId="4E3E677B" w14:textId="77777777" w:rsidR="008F735B" w:rsidRPr="00463667" w:rsidRDefault="008F735B" w:rsidP="00F578E0">
            <w:pPr>
              <w:pStyle w:val="Body"/>
            </w:pPr>
            <w:r w:rsidRPr="00463667">
              <w:t>Index Episode Start Date. The earliest date of service for an inpatient, intensive outpatient, partial hospitalization, outpatient, detoxification or ED encounter during the Intake Period with a diagnosis of AOD.</w:t>
            </w:r>
          </w:p>
          <w:p w14:paraId="4B14A5F6" w14:textId="77777777" w:rsidR="008F735B" w:rsidRPr="00463667" w:rsidRDefault="008F735B" w:rsidP="00F578E0">
            <w:pPr>
              <w:pStyle w:val="Body"/>
              <w:spacing w:before="120"/>
            </w:pPr>
            <w:r w:rsidRPr="00463667">
              <w:rPr>
                <w:i/>
              </w:rPr>
              <w:t xml:space="preserve">For an outpatient, intensive outpatient, partial hospitalization, detoxification or ED visit (not resulting in an inpatient stay), </w:t>
            </w:r>
            <w:r w:rsidRPr="00463667">
              <w:t xml:space="preserve">the IESD is the date of service. </w:t>
            </w:r>
          </w:p>
          <w:p w14:paraId="722FA4C2" w14:textId="77777777" w:rsidR="008F735B" w:rsidRPr="00463667" w:rsidRDefault="008F735B" w:rsidP="00F578E0">
            <w:pPr>
              <w:pStyle w:val="Body"/>
              <w:spacing w:before="120"/>
            </w:pPr>
            <w:r w:rsidRPr="00463667">
              <w:rPr>
                <w:i/>
              </w:rPr>
              <w:t xml:space="preserve">For an inpatient (acute or nonacute) event, </w:t>
            </w:r>
            <w:r w:rsidRPr="00463667">
              <w:t xml:space="preserve">the IESD is the date of discharge. </w:t>
            </w:r>
          </w:p>
          <w:p w14:paraId="28D090E0" w14:textId="77777777" w:rsidR="008F735B" w:rsidRPr="00463667" w:rsidRDefault="008F735B" w:rsidP="00F578E0">
            <w:pPr>
              <w:pStyle w:val="Body"/>
              <w:spacing w:before="120"/>
            </w:pPr>
            <w:r w:rsidRPr="00463667">
              <w:rPr>
                <w:i/>
              </w:rPr>
              <w:t xml:space="preserve">For an ED visit that results in an inpatient event, </w:t>
            </w:r>
            <w:r w:rsidRPr="00463667">
              <w:t>the IESD is the date of the inpatient discharge.</w:t>
            </w:r>
          </w:p>
          <w:p w14:paraId="6452B884" w14:textId="4CB210BA" w:rsidR="008F735B" w:rsidRPr="00463667" w:rsidRDefault="008F735B" w:rsidP="003F7E73">
            <w:pPr>
              <w:pStyle w:val="Body"/>
              <w:spacing w:before="120"/>
            </w:pPr>
            <w:r w:rsidRPr="00463667">
              <w:rPr>
                <w:i/>
                <w:iCs/>
              </w:rPr>
              <w:t>For direct transfers</w:t>
            </w:r>
            <w:r w:rsidRPr="00463667">
              <w:t xml:space="preserve">, the IESD is the discharge date from the </w:t>
            </w:r>
            <w:r w:rsidR="003F7E73">
              <w:t>last</w:t>
            </w:r>
            <w:r w:rsidR="003F7E73" w:rsidRPr="00463667">
              <w:t xml:space="preserve"> </w:t>
            </w:r>
            <w:r w:rsidRPr="00463667">
              <w:t>admission.</w:t>
            </w:r>
          </w:p>
        </w:tc>
      </w:tr>
      <w:tr w:rsidR="008F735B" w:rsidRPr="00463667" w14:paraId="0770424B" w14:textId="77777777" w:rsidTr="00F578E0">
        <w:tc>
          <w:tcPr>
            <w:tcW w:w="1710" w:type="dxa"/>
            <w:tcBorders>
              <w:top w:val="nil"/>
              <w:left w:val="nil"/>
              <w:bottom w:val="nil"/>
              <w:right w:val="nil"/>
            </w:tcBorders>
            <w:tcMar>
              <w:left w:w="115" w:type="dxa"/>
              <w:right w:w="115" w:type="dxa"/>
            </w:tcMar>
          </w:tcPr>
          <w:p w14:paraId="6E2341FE" w14:textId="77777777" w:rsidR="008F735B" w:rsidRPr="00463667" w:rsidRDefault="008F735B" w:rsidP="00F578E0">
            <w:pPr>
              <w:pStyle w:val="MarginSubhead"/>
            </w:pPr>
            <w:r w:rsidRPr="00463667">
              <w:t>Negative Diagnosis History</w:t>
            </w:r>
          </w:p>
        </w:tc>
        <w:tc>
          <w:tcPr>
            <w:tcW w:w="8075" w:type="dxa"/>
            <w:tcBorders>
              <w:top w:val="nil"/>
              <w:left w:val="nil"/>
              <w:bottom w:val="nil"/>
              <w:right w:val="nil"/>
            </w:tcBorders>
            <w:tcMar>
              <w:left w:w="115" w:type="dxa"/>
              <w:right w:w="115" w:type="dxa"/>
            </w:tcMar>
          </w:tcPr>
          <w:p w14:paraId="59A79460" w14:textId="77777777" w:rsidR="008F735B" w:rsidRPr="00463667" w:rsidRDefault="008F735B" w:rsidP="00F578E0">
            <w:pPr>
              <w:pStyle w:val="Body"/>
            </w:pPr>
            <w:r w:rsidRPr="00463667">
              <w:t xml:space="preserve">A period of 60 days (2 months) before the IESD when the member had no claims/ encounters with a diagnosis of AOD dependence. </w:t>
            </w:r>
          </w:p>
          <w:p w14:paraId="4D04A4CF" w14:textId="77777777" w:rsidR="008F735B" w:rsidRDefault="008F735B" w:rsidP="00F578E0">
            <w:pPr>
              <w:pStyle w:val="Body"/>
              <w:spacing w:before="120"/>
            </w:pPr>
            <w:r w:rsidRPr="00463667">
              <w:rPr>
                <w:i/>
              </w:rPr>
              <w:t xml:space="preserve">For an inpatient event, </w:t>
            </w:r>
            <w:r w:rsidRPr="00463667">
              <w:t xml:space="preserve">use the admission date to determine the Negative Diagnosis History. </w:t>
            </w:r>
          </w:p>
          <w:p w14:paraId="30843367" w14:textId="77777777" w:rsidR="00D76147" w:rsidRPr="00D76147" w:rsidRDefault="00D76147" w:rsidP="00D76147">
            <w:pPr>
              <w:pStyle w:val="Body"/>
              <w:spacing w:before="120"/>
            </w:pPr>
            <w:r w:rsidRPr="00D76147">
              <w:rPr>
                <w:i/>
              </w:rPr>
              <w:t>For ED visits that result in an inpatient event,</w:t>
            </w:r>
            <w:r w:rsidRPr="00D76147">
              <w:t xml:space="preserve"> use the ED date of service to determine the Negative Diagnosis History.</w:t>
            </w:r>
          </w:p>
          <w:p w14:paraId="0CF3FE52" w14:textId="5AB4C4B7" w:rsidR="00D76147" w:rsidRPr="00463667" w:rsidRDefault="00D76147" w:rsidP="00D76147">
            <w:pPr>
              <w:pStyle w:val="Body"/>
              <w:spacing w:before="120"/>
            </w:pPr>
            <w:r w:rsidRPr="00D76147">
              <w:rPr>
                <w:i/>
              </w:rPr>
              <w:t>For direct transfers,</w:t>
            </w:r>
            <w:r w:rsidRPr="00D76147">
              <w:t xml:space="preserve"> use the first admission to determine the Negative Diagnosis History.</w:t>
            </w:r>
          </w:p>
        </w:tc>
      </w:tr>
    </w:tbl>
    <w:p w14:paraId="78ABFB0E" w14:textId="77777777" w:rsidR="008F735B" w:rsidRPr="00463667" w:rsidRDefault="008F735B" w:rsidP="008F735B">
      <w:pPr>
        <w:sectPr w:rsidR="008F735B" w:rsidRPr="00463667" w:rsidSect="00F578E0">
          <w:headerReference w:type="even" r:id="rId34"/>
          <w:headerReference w:type="default" r:id="rId35"/>
          <w:headerReference w:type="first" r:id="rId36"/>
          <w:pgSz w:w="12240" w:h="15840" w:code="1"/>
          <w:pgMar w:top="1080" w:right="1080" w:bottom="1080" w:left="1440" w:header="720" w:footer="720" w:gutter="0"/>
          <w:cols w:space="720"/>
        </w:sectPr>
      </w:pPr>
    </w:p>
    <w:p w14:paraId="6CFD81EB" w14:textId="77777777" w:rsidR="008F735B" w:rsidRPr="00463667" w:rsidRDefault="008F735B" w:rsidP="00D76147">
      <w:pPr>
        <w:pStyle w:val="ReverseHead"/>
        <w:spacing w:before="0"/>
      </w:pPr>
      <w:r w:rsidRPr="00463667">
        <w:lastRenderedPageBreak/>
        <w:t>Eligible Population</w:t>
      </w:r>
    </w:p>
    <w:tbl>
      <w:tblPr>
        <w:tblW w:w="9882" w:type="dxa"/>
        <w:tblInd w:w="-72" w:type="dxa"/>
        <w:tblLayout w:type="fixed"/>
        <w:tblLook w:val="0000" w:firstRow="0" w:lastRow="0" w:firstColumn="0" w:lastColumn="0" w:noHBand="0" w:noVBand="0"/>
      </w:tblPr>
      <w:tblGrid>
        <w:gridCol w:w="1872"/>
        <w:gridCol w:w="8010"/>
      </w:tblGrid>
      <w:tr w:rsidR="008F735B" w:rsidRPr="00463667" w14:paraId="715BBA17" w14:textId="77777777" w:rsidTr="00F578E0">
        <w:tc>
          <w:tcPr>
            <w:tcW w:w="1872" w:type="dxa"/>
          </w:tcPr>
          <w:p w14:paraId="546DF5EE" w14:textId="77777777" w:rsidR="008F735B" w:rsidRPr="00463667" w:rsidRDefault="008F735B" w:rsidP="00F578E0">
            <w:pPr>
              <w:pStyle w:val="MarginSubhead"/>
            </w:pPr>
            <w:r w:rsidRPr="00463667">
              <w:t>Product lines</w:t>
            </w:r>
          </w:p>
        </w:tc>
        <w:tc>
          <w:tcPr>
            <w:tcW w:w="8010" w:type="dxa"/>
          </w:tcPr>
          <w:p w14:paraId="19807D83" w14:textId="77777777" w:rsidR="008F735B" w:rsidRPr="00463667" w:rsidRDefault="008F735B" w:rsidP="00F578E0">
            <w:pPr>
              <w:pStyle w:val="Body"/>
            </w:pPr>
            <w:r w:rsidRPr="00463667">
              <w:t>Commercial, Medicaid, Medicare (report each product line separately).</w:t>
            </w:r>
          </w:p>
        </w:tc>
      </w:tr>
      <w:tr w:rsidR="008F735B" w:rsidRPr="00463667" w14:paraId="640BE3AC" w14:textId="77777777" w:rsidTr="00F578E0">
        <w:tc>
          <w:tcPr>
            <w:tcW w:w="1872" w:type="dxa"/>
          </w:tcPr>
          <w:p w14:paraId="66FF0AB3" w14:textId="77777777" w:rsidR="008F735B" w:rsidRPr="00463667" w:rsidRDefault="008F735B" w:rsidP="00F578E0">
            <w:pPr>
              <w:pStyle w:val="MarginSubhead"/>
            </w:pPr>
            <w:r w:rsidRPr="00463667">
              <w:t>Age</w:t>
            </w:r>
          </w:p>
        </w:tc>
        <w:tc>
          <w:tcPr>
            <w:tcW w:w="8010" w:type="dxa"/>
          </w:tcPr>
          <w:p w14:paraId="614A6917" w14:textId="77777777" w:rsidR="008F735B" w:rsidRPr="00463667" w:rsidRDefault="008F735B" w:rsidP="00F578E0">
            <w:pPr>
              <w:pStyle w:val="Body"/>
            </w:pPr>
            <w:r w:rsidRPr="00463667">
              <w:t>13 years and older as of December 31 of the measurement year. Report two age stratifications and a total rate.</w:t>
            </w:r>
          </w:p>
          <w:p w14:paraId="7EAE7F0D" w14:textId="77777777" w:rsidR="008F735B" w:rsidRPr="00463667" w:rsidRDefault="008F735B" w:rsidP="00F328AD">
            <w:pPr>
              <w:pStyle w:val="Bullet"/>
              <w:spacing w:before="60"/>
            </w:pPr>
            <w:r w:rsidRPr="00463667">
              <w:t>13–17 years.</w:t>
            </w:r>
          </w:p>
          <w:p w14:paraId="074D24EA" w14:textId="77777777" w:rsidR="008F735B" w:rsidRPr="00463667" w:rsidRDefault="008F735B" w:rsidP="00F328AD">
            <w:pPr>
              <w:pStyle w:val="Bullet"/>
              <w:spacing w:before="60"/>
            </w:pPr>
            <w:r w:rsidRPr="00463667">
              <w:t>18+ years.</w:t>
            </w:r>
          </w:p>
          <w:p w14:paraId="358DDCFB" w14:textId="77777777" w:rsidR="008F735B" w:rsidRPr="00463667" w:rsidRDefault="008F735B" w:rsidP="00F328AD">
            <w:pPr>
              <w:pStyle w:val="Bullet"/>
              <w:spacing w:before="60"/>
            </w:pPr>
            <w:r w:rsidRPr="00463667">
              <w:t>Total.</w:t>
            </w:r>
          </w:p>
          <w:p w14:paraId="1E6356F6" w14:textId="77777777" w:rsidR="008F735B" w:rsidRPr="00463667" w:rsidRDefault="008F735B" w:rsidP="00F578E0">
            <w:pPr>
              <w:pStyle w:val="Body"/>
            </w:pPr>
            <w:r w:rsidRPr="00463667">
              <w:t>The total is the sum of the age stratifications.</w:t>
            </w:r>
          </w:p>
        </w:tc>
      </w:tr>
      <w:tr w:rsidR="008F735B" w:rsidRPr="00463667" w14:paraId="34E81E30" w14:textId="77777777" w:rsidTr="00F578E0">
        <w:tc>
          <w:tcPr>
            <w:tcW w:w="1872" w:type="dxa"/>
          </w:tcPr>
          <w:p w14:paraId="372A2230" w14:textId="77777777" w:rsidR="008F735B" w:rsidRPr="00463667" w:rsidRDefault="008F735B" w:rsidP="00F578E0">
            <w:pPr>
              <w:pStyle w:val="MarginSubhead"/>
            </w:pPr>
            <w:r w:rsidRPr="00463667">
              <w:t>Continuous enrollment</w:t>
            </w:r>
          </w:p>
        </w:tc>
        <w:tc>
          <w:tcPr>
            <w:tcW w:w="8010" w:type="dxa"/>
          </w:tcPr>
          <w:p w14:paraId="666E6A12" w14:textId="4423BCA3" w:rsidR="008F735B" w:rsidRPr="00463667" w:rsidRDefault="008F735B" w:rsidP="00F578E0">
            <w:pPr>
              <w:pStyle w:val="Body"/>
            </w:pPr>
            <w:r w:rsidRPr="00463667">
              <w:t>60 days (2 months) prior to the IESD through 44 days after the IESD (</w:t>
            </w:r>
            <w:r w:rsidR="00BA2935">
              <w:t>105 total days</w:t>
            </w:r>
            <w:r w:rsidRPr="00463667">
              <w:t xml:space="preserve">). </w:t>
            </w:r>
          </w:p>
        </w:tc>
      </w:tr>
      <w:tr w:rsidR="008F735B" w:rsidRPr="00463667" w14:paraId="47CA6647" w14:textId="77777777" w:rsidTr="00F578E0">
        <w:tc>
          <w:tcPr>
            <w:tcW w:w="1872" w:type="dxa"/>
          </w:tcPr>
          <w:p w14:paraId="47DAF59F" w14:textId="77777777" w:rsidR="008F735B" w:rsidRPr="00463667" w:rsidRDefault="008F735B" w:rsidP="00F578E0">
            <w:pPr>
              <w:pStyle w:val="MarginSubhead"/>
            </w:pPr>
            <w:r w:rsidRPr="00463667">
              <w:t>Allowable gap</w:t>
            </w:r>
          </w:p>
        </w:tc>
        <w:tc>
          <w:tcPr>
            <w:tcW w:w="8010" w:type="dxa"/>
          </w:tcPr>
          <w:p w14:paraId="360DBAF7" w14:textId="77777777" w:rsidR="008F735B" w:rsidRPr="00463667" w:rsidRDefault="008F735B" w:rsidP="00F578E0">
            <w:pPr>
              <w:pStyle w:val="Body"/>
            </w:pPr>
            <w:r w:rsidRPr="00463667">
              <w:t>None.</w:t>
            </w:r>
          </w:p>
        </w:tc>
      </w:tr>
      <w:tr w:rsidR="008F735B" w:rsidRPr="00463667" w14:paraId="18AAA050" w14:textId="77777777" w:rsidTr="00F578E0">
        <w:tc>
          <w:tcPr>
            <w:tcW w:w="1872" w:type="dxa"/>
          </w:tcPr>
          <w:p w14:paraId="3AC295BF" w14:textId="77777777" w:rsidR="008F735B" w:rsidRPr="00463667" w:rsidRDefault="008F735B" w:rsidP="00F578E0">
            <w:pPr>
              <w:pStyle w:val="MarginSubhead"/>
            </w:pPr>
            <w:r w:rsidRPr="00463667">
              <w:t>Anchor date</w:t>
            </w:r>
          </w:p>
        </w:tc>
        <w:tc>
          <w:tcPr>
            <w:tcW w:w="8010" w:type="dxa"/>
          </w:tcPr>
          <w:p w14:paraId="55F7A610" w14:textId="77777777" w:rsidR="008F735B" w:rsidRPr="00463667" w:rsidRDefault="008F735B" w:rsidP="00F578E0">
            <w:pPr>
              <w:pStyle w:val="Body"/>
            </w:pPr>
            <w:r w:rsidRPr="00463667">
              <w:t>None.</w:t>
            </w:r>
          </w:p>
        </w:tc>
      </w:tr>
      <w:tr w:rsidR="008F735B" w:rsidRPr="00463667" w14:paraId="05619FEC" w14:textId="77777777" w:rsidTr="00F578E0">
        <w:tc>
          <w:tcPr>
            <w:tcW w:w="1872" w:type="dxa"/>
          </w:tcPr>
          <w:p w14:paraId="64D4D123" w14:textId="77777777" w:rsidR="008F735B" w:rsidRPr="00463667" w:rsidRDefault="008F735B" w:rsidP="00F578E0">
            <w:pPr>
              <w:pStyle w:val="MarginSubhead"/>
            </w:pPr>
            <w:r w:rsidRPr="00463667">
              <w:t>Benefits</w:t>
            </w:r>
          </w:p>
        </w:tc>
        <w:tc>
          <w:tcPr>
            <w:tcW w:w="8010" w:type="dxa"/>
          </w:tcPr>
          <w:p w14:paraId="53680EC5" w14:textId="77777777" w:rsidR="008F735B" w:rsidRPr="00463667" w:rsidRDefault="008F735B" w:rsidP="00F578E0">
            <w:pPr>
              <w:pStyle w:val="Body"/>
            </w:pPr>
            <w:r w:rsidRPr="00463667">
              <w:t>Medical and chemical dependency (inpatient and outpatient).</w:t>
            </w:r>
          </w:p>
          <w:p w14:paraId="5A0B7A59" w14:textId="77777777" w:rsidR="008F735B" w:rsidRPr="00463667" w:rsidRDefault="008F735B" w:rsidP="00F578E0">
            <w:pPr>
              <w:pStyle w:val="Note"/>
            </w:pPr>
            <w:r w:rsidRPr="00463667">
              <w:rPr>
                <w:b/>
                <w:bCs/>
              </w:rPr>
              <w:t xml:space="preserve">Note: </w:t>
            </w:r>
            <w:r w:rsidRPr="00463667">
              <w:t>Members with detoxification-only chemical dependency benefits do not meet these criteria.</w:t>
            </w:r>
          </w:p>
        </w:tc>
      </w:tr>
      <w:tr w:rsidR="008F735B" w:rsidRPr="00463667" w14:paraId="033D461D" w14:textId="77777777" w:rsidTr="00F578E0">
        <w:tc>
          <w:tcPr>
            <w:tcW w:w="1872" w:type="dxa"/>
          </w:tcPr>
          <w:p w14:paraId="0D40D051" w14:textId="77777777" w:rsidR="008F735B" w:rsidRPr="00463667" w:rsidRDefault="008F735B" w:rsidP="00F578E0">
            <w:pPr>
              <w:pStyle w:val="MarginSubhead"/>
            </w:pPr>
            <w:r w:rsidRPr="00463667">
              <w:t>Event/ diagnosis</w:t>
            </w:r>
          </w:p>
        </w:tc>
        <w:tc>
          <w:tcPr>
            <w:tcW w:w="8010" w:type="dxa"/>
          </w:tcPr>
          <w:p w14:paraId="0A847404" w14:textId="77777777" w:rsidR="008F735B" w:rsidRPr="00463667" w:rsidRDefault="008F735B" w:rsidP="00F578E0">
            <w:pPr>
              <w:pStyle w:val="Body"/>
            </w:pPr>
            <w:r w:rsidRPr="00463667">
              <w:t xml:space="preserve">New episode of AOD during the Intake Period. </w:t>
            </w:r>
          </w:p>
          <w:p w14:paraId="166386F6" w14:textId="77777777" w:rsidR="008F735B" w:rsidRPr="00463667" w:rsidRDefault="008F735B" w:rsidP="00F578E0">
            <w:pPr>
              <w:pStyle w:val="Body"/>
            </w:pPr>
            <w:r w:rsidRPr="00463667">
              <w:t xml:space="preserve">Follow the steps below to identify the eligible population, which is the denominator for both rates. </w:t>
            </w:r>
          </w:p>
        </w:tc>
      </w:tr>
      <w:tr w:rsidR="008F735B" w:rsidRPr="00463667" w14:paraId="634433CE" w14:textId="77777777" w:rsidTr="001E5AA9">
        <w:trPr>
          <w:trHeight w:val="4707"/>
        </w:trPr>
        <w:tc>
          <w:tcPr>
            <w:tcW w:w="1872" w:type="dxa"/>
          </w:tcPr>
          <w:p w14:paraId="60B78998" w14:textId="77777777" w:rsidR="008F735B" w:rsidRPr="00463667" w:rsidRDefault="008F735B" w:rsidP="00F578E0">
            <w:pPr>
              <w:pStyle w:val="MarginSubhead"/>
              <w:jc w:val="right"/>
              <w:rPr>
                <w:i/>
              </w:rPr>
            </w:pPr>
            <w:r w:rsidRPr="00463667">
              <w:rPr>
                <w:i/>
              </w:rPr>
              <w:t xml:space="preserve">Step 1 </w:t>
            </w:r>
          </w:p>
        </w:tc>
        <w:tc>
          <w:tcPr>
            <w:tcW w:w="8010" w:type="dxa"/>
          </w:tcPr>
          <w:p w14:paraId="7C267BDC" w14:textId="77777777" w:rsidR="008F735B" w:rsidRPr="00463667" w:rsidRDefault="008F735B" w:rsidP="00F578E0">
            <w:pPr>
              <w:pStyle w:val="Body"/>
            </w:pPr>
            <w:r w:rsidRPr="00463667">
              <w:t>Identify the Index Episode. Identify all members in the specified age range who during the Intake Period had one of the following:</w:t>
            </w:r>
          </w:p>
          <w:p w14:paraId="6B6AB07D" w14:textId="77777777" w:rsidR="008F735B" w:rsidRPr="00463667" w:rsidRDefault="008F735B" w:rsidP="00F578E0">
            <w:pPr>
              <w:pStyle w:val="Bullet"/>
              <w:spacing w:before="100"/>
            </w:pPr>
            <w:r w:rsidRPr="00463667">
              <w:t>An outpatient visit, intensive outpatient visit or partial hospitalization with a diagnosis of AOD. Any of the following code combinations meet criteria:</w:t>
            </w:r>
          </w:p>
          <w:p w14:paraId="77019821" w14:textId="77777777" w:rsidR="008F735B" w:rsidRPr="00463667" w:rsidRDefault="008F735B" w:rsidP="00F578E0">
            <w:pPr>
              <w:pStyle w:val="Dash"/>
            </w:pPr>
            <w:r w:rsidRPr="00463667">
              <w:rPr>
                <w:u w:val="single"/>
              </w:rPr>
              <w:t>IET Stand Alone Visits Value Set</w:t>
            </w:r>
            <w:r w:rsidRPr="00463667">
              <w:t xml:space="preserve"> </w:t>
            </w:r>
            <w:r w:rsidRPr="00463667">
              <w:rPr>
                <w:b/>
                <w:i/>
              </w:rPr>
              <w:t>with</w:t>
            </w:r>
            <w:r w:rsidRPr="00463667">
              <w:t xml:space="preserve"> </w:t>
            </w:r>
            <w:r w:rsidRPr="00463667">
              <w:rPr>
                <w:u w:val="single"/>
              </w:rPr>
              <w:t>AOD Dependence Value Set.</w:t>
            </w:r>
          </w:p>
          <w:p w14:paraId="13361969" w14:textId="77777777" w:rsidR="008F735B" w:rsidRPr="00463667" w:rsidRDefault="008F735B" w:rsidP="00F578E0">
            <w:pPr>
              <w:pStyle w:val="Dash"/>
            </w:pPr>
            <w:r w:rsidRPr="00463667">
              <w:rPr>
                <w:u w:val="single"/>
              </w:rPr>
              <w:t>IET Visits Group 1 Value Set</w:t>
            </w:r>
            <w:r w:rsidRPr="00463667">
              <w:t xml:space="preserve"> </w:t>
            </w:r>
            <w:r w:rsidRPr="00463667">
              <w:rPr>
                <w:b/>
                <w:i/>
              </w:rPr>
              <w:t>with</w:t>
            </w:r>
            <w:r w:rsidRPr="00463667">
              <w:t xml:space="preserve"> </w:t>
            </w:r>
            <w:r w:rsidRPr="00463667">
              <w:rPr>
                <w:u w:val="single"/>
              </w:rPr>
              <w:t>IET POS Group 1 Value Set</w:t>
            </w:r>
            <w:r w:rsidRPr="00463667">
              <w:t xml:space="preserve"> </w:t>
            </w:r>
            <w:r w:rsidRPr="00463667">
              <w:rPr>
                <w:b/>
                <w:i/>
              </w:rPr>
              <w:t>and</w:t>
            </w:r>
            <w:r w:rsidRPr="00463667">
              <w:t xml:space="preserve"> </w:t>
            </w:r>
            <w:r w:rsidRPr="00463667">
              <w:rPr>
                <w:u w:val="single"/>
              </w:rPr>
              <w:t>AOD Dependence Value Set.</w:t>
            </w:r>
          </w:p>
          <w:p w14:paraId="1D798885" w14:textId="77777777" w:rsidR="008F735B" w:rsidRPr="00463667" w:rsidRDefault="008F735B" w:rsidP="00F578E0">
            <w:pPr>
              <w:pStyle w:val="Dash"/>
            </w:pPr>
            <w:r w:rsidRPr="00463667">
              <w:rPr>
                <w:u w:val="single"/>
              </w:rPr>
              <w:t>IET Visits Group 2 Value Set</w:t>
            </w:r>
            <w:r w:rsidRPr="00463667">
              <w:t xml:space="preserve"> </w:t>
            </w:r>
            <w:r w:rsidRPr="00463667">
              <w:rPr>
                <w:b/>
                <w:i/>
              </w:rPr>
              <w:t>with</w:t>
            </w:r>
            <w:r w:rsidRPr="00463667">
              <w:t xml:space="preserve"> </w:t>
            </w:r>
            <w:r w:rsidRPr="00463667">
              <w:rPr>
                <w:u w:val="single"/>
              </w:rPr>
              <w:t>IET POS Group 2 Value Set</w:t>
            </w:r>
            <w:r w:rsidRPr="00463667">
              <w:t xml:space="preserve"> </w:t>
            </w:r>
            <w:r w:rsidRPr="00463667">
              <w:rPr>
                <w:b/>
                <w:i/>
              </w:rPr>
              <w:t>and</w:t>
            </w:r>
            <w:r w:rsidRPr="00463667">
              <w:t xml:space="preserve"> </w:t>
            </w:r>
            <w:r w:rsidRPr="00463667">
              <w:rPr>
                <w:u w:val="single"/>
              </w:rPr>
              <w:t>AOD Dependence Value Set.</w:t>
            </w:r>
          </w:p>
          <w:p w14:paraId="5A7712B5" w14:textId="77777777" w:rsidR="008F735B" w:rsidRPr="00463667" w:rsidRDefault="008F735B" w:rsidP="00F578E0">
            <w:pPr>
              <w:pStyle w:val="Bullet"/>
              <w:spacing w:before="100"/>
            </w:pPr>
            <w:r w:rsidRPr="00463667">
              <w:t>A detoxification visit (</w:t>
            </w:r>
            <w:r w:rsidRPr="00463667">
              <w:rPr>
                <w:u w:val="single"/>
              </w:rPr>
              <w:t>Detoxification Value Set</w:t>
            </w:r>
            <w:r w:rsidRPr="00463667">
              <w:t>).</w:t>
            </w:r>
          </w:p>
          <w:p w14:paraId="25159308" w14:textId="77777777" w:rsidR="008F735B" w:rsidRPr="00463667" w:rsidRDefault="008F735B" w:rsidP="00F578E0">
            <w:pPr>
              <w:pStyle w:val="Bullet"/>
              <w:spacing w:before="100"/>
            </w:pPr>
            <w:r w:rsidRPr="00463667">
              <w:t>An ED visit (</w:t>
            </w:r>
            <w:r w:rsidRPr="00463667">
              <w:rPr>
                <w:u w:val="single"/>
              </w:rPr>
              <w:t>ED Value Set</w:t>
            </w:r>
            <w:r w:rsidRPr="00463667">
              <w:t>) with a diagnosis of AOD (</w:t>
            </w:r>
            <w:r w:rsidRPr="00463667">
              <w:rPr>
                <w:u w:val="single"/>
              </w:rPr>
              <w:t>AOD Dependence Value Set</w:t>
            </w:r>
            <w:r w:rsidRPr="00463667">
              <w:t>).</w:t>
            </w:r>
          </w:p>
          <w:p w14:paraId="55AC64C0" w14:textId="223CA860" w:rsidR="00DA20CD" w:rsidRDefault="008F735B" w:rsidP="00F578E0">
            <w:pPr>
              <w:pStyle w:val="Bullet"/>
              <w:spacing w:before="100"/>
            </w:pPr>
            <w:r w:rsidRPr="00463667">
              <w:t xml:space="preserve">An </w:t>
            </w:r>
            <w:r w:rsidR="00DA20CD">
              <w:t xml:space="preserve">acute or nonacute </w:t>
            </w:r>
            <w:r w:rsidRPr="00463667">
              <w:t xml:space="preserve">inpatient discharge with </w:t>
            </w:r>
            <w:r w:rsidR="00DA20CD">
              <w:t xml:space="preserve">either </w:t>
            </w:r>
            <w:r w:rsidRPr="00463667">
              <w:t xml:space="preserve">a diagnosis of AOD </w:t>
            </w:r>
            <w:r w:rsidR="00DA20CD">
              <w:t>(</w:t>
            </w:r>
            <w:r w:rsidR="00DA20CD" w:rsidRPr="00DA20CD">
              <w:rPr>
                <w:u w:val="single"/>
              </w:rPr>
              <w:t>AOD Dependence Value Set</w:t>
            </w:r>
            <w:r w:rsidR="00DA20CD">
              <w:t>) or an AOD procedure code (</w:t>
            </w:r>
            <w:r w:rsidR="00DA20CD" w:rsidRPr="00DA20CD">
              <w:rPr>
                <w:u w:val="single"/>
              </w:rPr>
              <w:t>AOD Procedures Value Set</w:t>
            </w:r>
            <w:r w:rsidR="00DA20CD">
              <w:t>). To identify acute and nonacute inpatient discharges:</w:t>
            </w:r>
          </w:p>
          <w:p w14:paraId="27DA6C99" w14:textId="77777777" w:rsidR="00DA20CD" w:rsidRDefault="00DA20CD" w:rsidP="00A61801">
            <w:pPr>
              <w:pStyle w:val="Dash"/>
              <w:numPr>
                <w:ilvl w:val="0"/>
                <w:numId w:val="40"/>
              </w:numPr>
            </w:pPr>
            <w:r>
              <w:t>Identify all acute and nonacute inpatient stays (</w:t>
            </w:r>
            <w:r w:rsidRPr="00DA20CD">
              <w:rPr>
                <w:u w:val="single"/>
              </w:rPr>
              <w:t>Inpatient Stay Value Set</w:t>
            </w:r>
            <w:r>
              <w:t>).</w:t>
            </w:r>
          </w:p>
          <w:p w14:paraId="0AA86994" w14:textId="77777777" w:rsidR="00D76147" w:rsidRDefault="00DA20CD" w:rsidP="00A61801">
            <w:pPr>
              <w:pStyle w:val="Dash"/>
              <w:numPr>
                <w:ilvl w:val="0"/>
                <w:numId w:val="40"/>
              </w:numPr>
            </w:pPr>
            <w:r>
              <w:t>Identify the discharge date for the stay.</w:t>
            </w:r>
          </w:p>
          <w:p w14:paraId="4AB658C5" w14:textId="77777777" w:rsidR="00D76147" w:rsidRPr="00463667" w:rsidRDefault="00D76147" w:rsidP="00D76147">
            <w:pPr>
              <w:pStyle w:val="Body"/>
              <w:spacing w:before="120"/>
            </w:pPr>
            <w:r w:rsidRPr="00463667">
              <w:rPr>
                <w:i/>
              </w:rPr>
              <w:t xml:space="preserve">For members with more than one episode of AOD, </w:t>
            </w:r>
            <w:r w:rsidRPr="00463667">
              <w:t xml:space="preserve">use the first episode. </w:t>
            </w:r>
          </w:p>
          <w:p w14:paraId="50784EB7" w14:textId="77777777" w:rsidR="00D76147" w:rsidRPr="00463667" w:rsidRDefault="00D76147" w:rsidP="00D76147">
            <w:pPr>
              <w:pStyle w:val="Body"/>
              <w:spacing w:before="120"/>
            </w:pPr>
            <w:r w:rsidRPr="00463667">
              <w:rPr>
                <w:i/>
              </w:rPr>
              <w:t>For members whose first episode was an ED visit that resulted in an inpatient event,</w:t>
            </w:r>
            <w:r w:rsidRPr="00463667">
              <w:t xml:space="preserve"> use the inpatient discharge.</w:t>
            </w:r>
          </w:p>
          <w:p w14:paraId="1C181757" w14:textId="4C272592" w:rsidR="008F735B" w:rsidRPr="00463667" w:rsidRDefault="00D76147" w:rsidP="00D76147">
            <w:pPr>
              <w:pStyle w:val="Body"/>
            </w:pPr>
            <w:r w:rsidRPr="00463667">
              <w:t>Select the IESD.</w:t>
            </w:r>
          </w:p>
        </w:tc>
      </w:tr>
    </w:tbl>
    <w:p w14:paraId="4A843F73" w14:textId="3E0B0891" w:rsidR="008F735B" w:rsidRPr="00463667" w:rsidRDefault="008F735B" w:rsidP="008F735B">
      <w:pPr>
        <w:sectPr w:rsidR="008F735B" w:rsidRPr="00463667" w:rsidSect="00F578E0">
          <w:headerReference w:type="even" r:id="rId37"/>
          <w:headerReference w:type="default" r:id="rId38"/>
          <w:headerReference w:type="first" r:id="rId39"/>
          <w:pgSz w:w="12240" w:h="15840" w:code="1"/>
          <w:pgMar w:top="1080" w:right="1080" w:bottom="1080" w:left="1440" w:header="720" w:footer="720" w:gutter="0"/>
          <w:cols w:space="720"/>
        </w:sectPr>
      </w:pPr>
    </w:p>
    <w:tbl>
      <w:tblPr>
        <w:tblW w:w="9918"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890"/>
        <w:gridCol w:w="8028"/>
      </w:tblGrid>
      <w:tr w:rsidR="008F735B" w:rsidRPr="00463667" w14:paraId="797094C6" w14:textId="77777777" w:rsidTr="00F578E0">
        <w:trPr>
          <w:cantSplit/>
        </w:trPr>
        <w:tc>
          <w:tcPr>
            <w:tcW w:w="1890" w:type="dxa"/>
            <w:tcBorders>
              <w:top w:val="nil"/>
              <w:left w:val="nil"/>
              <w:bottom w:val="nil"/>
              <w:right w:val="nil"/>
            </w:tcBorders>
          </w:tcPr>
          <w:p w14:paraId="661C8FAD" w14:textId="77777777" w:rsidR="008F735B" w:rsidRPr="00463667" w:rsidRDefault="008F735B" w:rsidP="00D76147">
            <w:pPr>
              <w:pStyle w:val="MarginSubhead"/>
              <w:spacing w:before="0"/>
              <w:ind w:left="0"/>
              <w:jc w:val="right"/>
              <w:rPr>
                <w:i/>
                <w:iCs/>
              </w:rPr>
            </w:pPr>
            <w:r w:rsidRPr="00463667">
              <w:rPr>
                <w:i/>
                <w:iCs/>
              </w:rPr>
              <w:lastRenderedPageBreak/>
              <w:t>Step 2</w:t>
            </w:r>
          </w:p>
        </w:tc>
        <w:tc>
          <w:tcPr>
            <w:tcW w:w="8028" w:type="dxa"/>
            <w:tcBorders>
              <w:top w:val="nil"/>
              <w:left w:val="nil"/>
              <w:bottom w:val="nil"/>
              <w:right w:val="nil"/>
            </w:tcBorders>
          </w:tcPr>
          <w:p w14:paraId="70C0C2D3" w14:textId="77777777" w:rsidR="008F735B" w:rsidRPr="00463667" w:rsidRDefault="008F735B" w:rsidP="00D76147">
            <w:pPr>
              <w:pStyle w:val="Body"/>
              <w:spacing w:before="0"/>
            </w:pPr>
            <w:r w:rsidRPr="00463667">
              <w:rPr>
                <w:bCs/>
              </w:rPr>
              <w:t>Test for Negative Diagnosis History.</w:t>
            </w:r>
            <w:r w:rsidRPr="00463667">
              <w:t xml:space="preserve"> Exclude members who had a claim/encounter with a diagnosis of AOD (</w:t>
            </w:r>
            <w:r w:rsidRPr="00463667">
              <w:rPr>
                <w:u w:val="single"/>
              </w:rPr>
              <w:t>AOD Dependence Value Set</w:t>
            </w:r>
            <w:r w:rsidRPr="00463667">
              <w:t xml:space="preserve">) during the 60 days (2 months) before the IESD. </w:t>
            </w:r>
          </w:p>
          <w:p w14:paraId="2DFF16D5" w14:textId="111004AD" w:rsidR="008F735B" w:rsidRPr="00463667" w:rsidRDefault="008F735B" w:rsidP="00D76147">
            <w:pPr>
              <w:pStyle w:val="Body"/>
              <w:spacing w:before="120"/>
            </w:pPr>
            <w:r w:rsidRPr="00463667">
              <w:rPr>
                <w:i/>
              </w:rPr>
              <w:t>For an inpatient IESD,</w:t>
            </w:r>
            <w:r w:rsidRPr="00463667">
              <w:t xml:space="preserve"> use the admission date to determine the </w:t>
            </w:r>
            <w:r w:rsidR="00094997">
              <w:t xml:space="preserve">60-day </w:t>
            </w:r>
            <w:r w:rsidRPr="00463667">
              <w:t>Negative Diagnosis History</w:t>
            </w:r>
            <w:r w:rsidR="00094997">
              <w:t xml:space="preserve"> period</w:t>
            </w:r>
            <w:r w:rsidRPr="00463667">
              <w:t xml:space="preserve">. </w:t>
            </w:r>
          </w:p>
          <w:p w14:paraId="2E1BBEB9" w14:textId="6A2EB163" w:rsidR="008F735B" w:rsidRPr="00463667" w:rsidRDefault="008F735B" w:rsidP="00D76147">
            <w:pPr>
              <w:pStyle w:val="Body"/>
              <w:spacing w:before="120"/>
            </w:pPr>
            <w:r w:rsidRPr="00463667">
              <w:rPr>
                <w:i/>
              </w:rPr>
              <w:t>For an ED visit that results in an inpatient event</w:t>
            </w:r>
            <w:r w:rsidRPr="00463667">
              <w:t xml:space="preserve">, use the ED date of service to determine the </w:t>
            </w:r>
            <w:r w:rsidR="00094997">
              <w:t xml:space="preserve">60-day </w:t>
            </w:r>
            <w:r w:rsidRPr="00463667">
              <w:t>Negative Diagnosis History</w:t>
            </w:r>
            <w:r w:rsidR="00094997">
              <w:t xml:space="preserve"> period</w:t>
            </w:r>
            <w:r w:rsidRPr="00463667">
              <w:t>.</w:t>
            </w:r>
          </w:p>
        </w:tc>
      </w:tr>
      <w:tr w:rsidR="008F735B" w:rsidRPr="00463667" w14:paraId="25DA9D39" w14:textId="77777777" w:rsidTr="00F578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cantSplit/>
        </w:trPr>
        <w:tc>
          <w:tcPr>
            <w:tcW w:w="1890" w:type="dxa"/>
          </w:tcPr>
          <w:p w14:paraId="6F085A66" w14:textId="77777777" w:rsidR="008F735B" w:rsidRPr="00463667" w:rsidRDefault="008F735B" w:rsidP="00F578E0">
            <w:pPr>
              <w:pStyle w:val="MarginSubhead"/>
              <w:jc w:val="right"/>
              <w:rPr>
                <w:i/>
              </w:rPr>
            </w:pPr>
            <w:r w:rsidRPr="00463667">
              <w:rPr>
                <w:i/>
              </w:rPr>
              <w:t>Step 3</w:t>
            </w:r>
          </w:p>
        </w:tc>
        <w:tc>
          <w:tcPr>
            <w:tcW w:w="8028" w:type="dxa"/>
          </w:tcPr>
          <w:p w14:paraId="2E80FF9B" w14:textId="36DDBAAD" w:rsidR="008F735B" w:rsidRPr="00463667" w:rsidRDefault="008F735B" w:rsidP="00F578E0">
            <w:pPr>
              <w:pStyle w:val="Body"/>
            </w:pPr>
            <w:r w:rsidRPr="00463667">
              <w:t xml:space="preserve">Calculate continuous enrollment. Members must be continuously enrolled for 60 days </w:t>
            </w:r>
            <w:r w:rsidRPr="00463667">
              <w:br/>
              <w:t>(2 months) before the IESD through 44 days after the IESD</w:t>
            </w:r>
            <w:r w:rsidR="00BA2935">
              <w:t xml:space="preserve"> (105 total days)</w:t>
            </w:r>
            <w:r w:rsidRPr="00463667">
              <w:t>, with no gaps.</w:t>
            </w:r>
          </w:p>
        </w:tc>
      </w:tr>
    </w:tbl>
    <w:p w14:paraId="4ECE6B39" w14:textId="77777777" w:rsidR="008F735B" w:rsidRPr="00463667" w:rsidRDefault="008F735B" w:rsidP="00081D64">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1890"/>
        <w:gridCol w:w="8028"/>
      </w:tblGrid>
      <w:tr w:rsidR="008F735B" w:rsidRPr="00463667" w14:paraId="19F1090D" w14:textId="77777777" w:rsidTr="00F578E0">
        <w:tc>
          <w:tcPr>
            <w:tcW w:w="1890" w:type="dxa"/>
          </w:tcPr>
          <w:p w14:paraId="5FF4498A" w14:textId="77777777" w:rsidR="008F735B" w:rsidRPr="00463667" w:rsidRDefault="008F735B" w:rsidP="00F578E0">
            <w:pPr>
              <w:pStyle w:val="MarginSubhead"/>
            </w:pPr>
            <w:r w:rsidRPr="00463667">
              <w:t>Denominator</w:t>
            </w:r>
          </w:p>
        </w:tc>
        <w:tc>
          <w:tcPr>
            <w:tcW w:w="8028" w:type="dxa"/>
          </w:tcPr>
          <w:p w14:paraId="39B61930" w14:textId="77777777" w:rsidR="008F735B" w:rsidRPr="00463667" w:rsidRDefault="008F735B" w:rsidP="00F578E0">
            <w:pPr>
              <w:pStyle w:val="Body"/>
            </w:pPr>
            <w:r w:rsidRPr="00463667">
              <w:t>The eligible population</w:t>
            </w:r>
            <w:r w:rsidRPr="00463667">
              <w:rPr>
                <w:sz w:val="24"/>
              </w:rPr>
              <w:t>.</w:t>
            </w:r>
          </w:p>
        </w:tc>
      </w:tr>
      <w:tr w:rsidR="008F735B" w:rsidRPr="00463667" w14:paraId="29363622" w14:textId="77777777" w:rsidTr="00F578E0">
        <w:tc>
          <w:tcPr>
            <w:tcW w:w="1890" w:type="dxa"/>
          </w:tcPr>
          <w:p w14:paraId="4EF4FD8E" w14:textId="77777777" w:rsidR="008F735B" w:rsidRPr="00463667" w:rsidRDefault="008F735B" w:rsidP="00F578E0">
            <w:pPr>
              <w:pStyle w:val="MarginSubhead"/>
            </w:pPr>
            <w:r w:rsidRPr="00463667">
              <w:t>Numerator</w:t>
            </w:r>
          </w:p>
        </w:tc>
        <w:tc>
          <w:tcPr>
            <w:tcW w:w="8028" w:type="dxa"/>
          </w:tcPr>
          <w:p w14:paraId="27B01584" w14:textId="77777777" w:rsidR="008F735B" w:rsidRPr="00463667" w:rsidRDefault="008F735B" w:rsidP="00F578E0">
            <w:pPr>
              <w:pStyle w:val="Body"/>
            </w:pPr>
          </w:p>
        </w:tc>
      </w:tr>
      <w:tr w:rsidR="008F735B" w:rsidRPr="00463667" w14:paraId="5A4B74B4" w14:textId="77777777" w:rsidTr="00F578E0">
        <w:tc>
          <w:tcPr>
            <w:tcW w:w="1890" w:type="dxa"/>
          </w:tcPr>
          <w:p w14:paraId="1FC76D47" w14:textId="77777777" w:rsidR="008F735B" w:rsidRPr="00463667" w:rsidRDefault="008F735B" w:rsidP="00F578E0">
            <w:pPr>
              <w:pStyle w:val="MarginSubhead"/>
              <w:spacing w:before="120"/>
              <w:ind w:left="0"/>
              <w:jc w:val="right"/>
              <w:rPr>
                <w:i/>
              </w:rPr>
            </w:pPr>
            <w:r w:rsidRPr="00463667">
              <w:rPr>
                <w:i/>
              </w:rPr>
              <w:t>Initiation of AOD Treatment</w:t>
            </w:r>
          </w:p>
        </w:tc>
        <w:tc>
          <w:tcPr>
            <w:tcW w:w="8028" w:type="dxa"/>
          </w:tcPr>
          <w:p w14:paraId="40B7F5BD" w14:textId="12F194B0" w:rsidR="008F735B" w:rsidRPr="00463667" w:rsidRDefault="008F735B" w:rsidP="00F578E0">
            <w:pPr>
              <w:pStyle w:val="Body"/>
              <w:spacing w:before="120"/>
            </w:pPr>
            <w:r w:rsidRPr="00463667">
              <w:t xml:space="preserve">Initiation of AOD treatment through an inpatient admission, outpatient visit, intensive outpatient encounter or partial hospitalization within 14 days of </w:t>
            </w:r>
            <w:r w:rsidR="00540EEE">
              <w:t>the IESD.</w:t>
            </w:r>
          </w:p>
          <w:p w14:paraId="6C5B2F4C" w14:textId="77777777" w:rsidR="008F735B" w:rsidRPr="00463667" w:rsidRDefault="008F735B" w:rsidP="00F578E0">
            <w:pPr>
              <w:pStyle w:val="Body"/>
              <w:spacing w:before="120"/>
            </w:pPr>
            <w:r w:rsidRPr="00463667">
              <w:rPr>
                <w:i/>
              </w:rPr>
              <w:t>If the Index Episode was an inpatient discharge,</w:t>
            </w:r>
            <w:r w:rsidRPr="00463667">
              <w:t xml:space="preserve"> the inpatient stay is considered initiation of treatment and the member is compliant.</w:t>
            </w:r>
          </w:p>
          <w:p w14:paraId="01325612" w14:textId="4FDDD962" w:rsidR="008F735B" w:rsidRPr="00463667" w:rsidRDefault="008F735B" w:rsidP="00F578E0">
            <w:pPr>
              <w:pStyle w:val="Bullet"/>
              <w:numPr>
                <w:ilvl w:val="0"/>
                <w:numId w:val="0"/>
              </w:numPr>
            </w:pPr>
            <w:r w:rsidRPr="00463667">
              <w:rPr>
                <w:i/>
              </w:rPr>
              <w:t>If the Index Episode was an outpatient, intensive outpatient, partial hospitalization, detoxification or ED visit,</w:t>
            </w:r>
            <w:r w:rsidRPr="00463667">
              <w:t xml:space="preserve"> the member must have an inpatient admission, outpatient visit, intensive outpatient encounter or partial hospitalization, with a diagnosis of AOD, </w:t>
            </w:r>
            <w:r w:rsidR="00BA2935">
              <w:t xml:space="preserve">on the IESD </w:t>
            </w:r>
            <w:r w:rsidR="00465A32">
              <w:t>or</w:t>
            </w:r>
            <w:r w:rsidR="00C75945">
              <w:t xml:space="preserve"> in</w:t>
            </w:r>
            <w:r w:rsidR="00465A32">
              <w:t xml:space="preserve"> the</w:t>
            </w:r>
            <w:r w:rsidR="00BA2935">
              <w:t xml:space="preserve"> 13 days after </w:t>
            </w:r>
            <w:r w:rsidRPr="00463667">
              <w:t>the IESD (</w:t>
            </w:r>
            <w:r w:rsidR="00BA2935">
              <w:t>14 total days</w:t>
            </w:r>
            <w:r w:rsidRPr="00463667">
              <w:t>). If the IESD and the initiation visit occur on the same day, they must be with different providers in order to count. Any of the following code combinations meet criteria:</w:t>
            </w:r>
          </w:p>
          <w:p w14:paraId="031CB3E7" w14:textId="3028D7A4" w:rsidR="008F735B" w:rsidRDefault="008F735B" w:rsidP="00F578E0">
            <w:pPr>
              <w:pStyle w:val="Bullet"/>
            </w:pPr>
            <w:r w:rsidRPr="00463667">
              <w:t xml:space="preserve">An </w:t>
            </w:r>
            <w:r w:rsidR="00465A32">
              <w:t xml:space="preserve">acute or nonacute </w:t>
            </w:r>
            <w:r w:rsidRPr="00463667">
              <w:t>inpatient admission with a diagnosis of AOD (</w:t>
            </w:r>
            <w:r w:rsidRPr="00463667">
              <w:rPr>
                <w:u w:val="single"/>
              </w:rPr>
              <w:t>AOD Dependence Value Set</w:t>
            </w:r>
            <w:r w:rsidRPr="00463667">
              <w:t>).</w:t>
            </w:r>
            <w:r w:rsidR="00465A32">
              <w:t xml:space="preserve"> To identify acute and nonacute inpatient admissions:</w:t>
            </w:r>
          </w:p>
          <w:p w14:paraId="29E58293" w14:textId="41E87260" w:rsidR="00465A32" w:rsidRDefault="00465A32" w:rsidP="00A61801">
            <w:pPr>
              <w:pStyle w:val="Dash"/>
              <w:numPr>
                <w:ilvl w:val="0"/>
                <w:numId w:val="41"/>
              </w:numPr>
            </w:pPr>
            <w:r>
              <w:t>Identify all acute and nonacute inpatient stays (</w:t>
            </w:r>
            <w:r w:rsidRPr="00465A32">
              <w:rPr>
                <w:u w:val="single"/>
              </w:rPr>
              <w:t>Inpatient Stay Value Set</w:t>
            </w:r>
            <w:r>
              <w:t>).</w:t>
            </w:r>
          </w:p>
          <w:p w14:paraId="0D789D5A" w14:textId="19CBD93A" w:rsidR="00465A32" w:rsidRPr="00463667" w:rsidRDefault="00465A32" w:rsidP="00A61801">
            <w:pPr>
              <w:pStyle w:val="Dash"/>
              <w:numPr>
                <w:ilvl w:val="0"/>
                <w:numId w:val="41"/>
              </w:numPr>
            </w:pPr>
            <w:r>
              <w:t>Identify the admission date for the stay.</w:t>
            </w:r>
          </w:p>
          <w:p w14:paraId="7F2E63B5" w14:textId="77777777" w:rsidR="008F735B" w:rsidRPr="00463667" w:rsidRDefault="008F735B" w:rsidP="00F578E0">
            <w:pPr>
              <w:pStyle w:val="Bullet"/>
            </w:pPr>
            <w:r w:rsidRPr="00463667">
              <w:rPr>
                <w:u w:val="single"/>
              </w:rPr>
              <w:t>IET Stand Alone Visits Value Set</w:t>
            </w:r>
            <w:r w:rsidRPr="00463667">
              <w:t xml:space="preserve"> </w:t>
            </w:r>
            <w:r w:rsidRPr="00463667">
              <w:rPr>
                <w:b/>
                <w:i/>
              </w:rPr>
              <w:t>with</w:t>
            </w:r>
            <w:r w:rsidRPr="00463667">
              <w:t xml:space="preserve"> </w:t>
            </w:r>
            <w:r w:rsidRPr="00463667">
              <w:rPr>
                <w:u w:val="single"/>
              </w:rPr>
              <w:t>AOD Dependence Value Set</w:t>
            </w:r>
            <w:r w:rsidRPr="00463667">
              <w:t>.</w:t>
            </w:r>
          </w:p>
          <w:p w14:paraId="31B40456" w14:textId="77777777" w:rsidR="008F735B" w:rsidRPr="00463667" w:rsidRDefault="008F735B" w:rsidP="00F578E0">
            <w:pPr>
              <w:pStyle w:val="Bullet"/>
            </w:pPr>
            <w:r w:rsidRPr="00463667">
              <w:rPr>
                <w:u w:val="single"/>
              </w:rPr>
              <w:t>IET Visits Group 1 Value Set</w:t>
            </w:r>
            <w:r w:rsidRPr="00463667">
              <w:t xml:space="preserve"> </w:t>
            </w:r>
            <w:r w:rsidRPr="00463667">
              <w:rPr>
                <w:b/>
                <w:i/>
              </w:rPr>
              <w:t>with</w:t>
            </w:r>
            <w:r w:rsidRPr="00463667">
              <w:t xml:space="preserve"> </w:t>
            </w:r>
            <w:r w:rsidRPr="00463667">
              <w:rPr>
                <w:u w:val="single"/>
              </w:rPr>
              <w:t>IET POS Group 1 Value Set</w:t>
            </w:r>
            <w:r w:rsidRPr="00463667">
              <w:t xml:space="preserve"> </w:t>
            </w:r>
            <w:r w:rsidRPr="00463667">
              <w:rPr>
                <w:b/>
                <w:i/>
              </w:rPr>
              <w:t>and</w:t>
            </w:r>
            <w:r w:rsidRPr="00463667">
              <w:t xml:space="preserve"> </w:t>
            </w:r>
            <w:r w:rsidRPr="00463667">
              <w:rPr>
                <w:u w:val="single"/>
              </w:rPr>
              <w:t>AOD Dependence Value Set</w:t>
            </w:r>
            <w:r w:rsidRPr="00463667">
              <w:t>.</w:t>
            </w:r>
          </w:p>
          <w:p w14:paraId="62171FD9" w14:textId="77777777" w:rsidR="008F735B" w:rsidRPr="00463667" w:rsidRDefault="008F735B" w:rsidP="00F578E0">
            <w:pPr>
              <w:pStyle w:val="Bullet"/>
            </w:pPr>
            <w:r w:rsidRPr="00463667">
              <w:rPr>
                <w:u w:val="single"/>
              </w:rPr>
              <w:t>IET Visits Group 2 Value Set</w:t>
            </w:r>
            <w:r w:rsidRPr="00463667">
              <w:t xml:space="preserve"> </w:t>
            </w:r>
            <w:r w:rsidRPr="00463667">
              <w:rPr>
                <w:b/>
                <w:i/>
              </w:rPr>
              <w:t>with</w:t>
            </w:r>
            <w:r w:rsidRPr="00463667">
              <w:t xml:space="preserve"> </w:t>
            </w:r>
            <w:r w:rsidRPr="00463667">
              <w:rPr>
                <w:u w:val="single"/>
              </w:rPr>
              <w:t>IET POS Group 2 Value Set</w:t>
            </w:r>
            <w:r w:rsidRPr="00463667">
              <w:t xml:space="preserve"> </w:t>
            </w:r>
            <w:r w:rsidRPr="00463667">
              <w:rPr>
                <w:b/>
                <w:i/>
              </w:rPr>
              <w:t>and</w:t>
            </w:r>
            <w:r w:rsidRPr="00463667">
              <w:t xml:space="preserve"> </w:t>
            </w:r>
            <w:r w:rsidRPr="00463667">
              <w:rPr>
                <w:u w:val="single"/>
              </w:rPr>
              <w:t>AOD Dependence Value Set</w:t>
            </w:r>
            <w:r w:rsidRPr="00463667">
              <w:t>.</w:t>
            </w:r>
          </w:p>
          <w:p w14:paraId="6DAE7482" w14:textId="77777777" w:rsidR="008F735B" w:rsidRPr="00463667" w:rsidRDefault="008F735B" w:rsidP="00F578E0">
            <w:pPr>
              <w:pStyle w:val="Body"/>
            </w:pPr>
            <w:r w:rsidRPr="00463667">
              <w:t>Do not count events that include inpatient detoxification or detoxification codes (</w:t>
            </w:r>
            <w:r w:rsidRPr="00463667">
              <w:rPr>
                <w:u w:val="single"/>
              </w:rPr>
              <w:t>Detoxification Value Set</w:t>
            </w:r>
            <w:r w:rsidRPr="00463667">
              <w:t>) when identifying initiation of treatment.</w:t>
            </w:r>
          </w:p>
          <w:p w14:paraId="3AA15520" w14:textId="4610FCFD" w:rsidR="008F735B" w:rsidRPr="00463667" w:rsidRDefault="008F735B" w:rsidP="00F578E0">
            <w:pPr>
              <w:pStyle w:val="Body"/>
            </w:pPr>
            <w:r w:rsidRPr="00463667">
              <w:t xml:space="preserve">Exclude the member from the denominator for both indicators </w:t>
            </w:r>
            <w:r w:rsidRPr="00463667">
              <w:rPr>
                <w:i/>
              </w:rPr>
              <w:t>(Initiation of AOD Treatment and Engagement of AOD Treatment)</w:t>
            </w:r>
            <w:r w:rsidRPr="00463667">
              <w:t xml:space="preserve"> if the initiation of treatment event is an inpatient stay with a discharge date after December 1 of the measurement year. </w:t>
            </w:r>
          </w:p>
        </w:tc>
      </w:tr>
    </w:tbl>
    <w:p w14:paraId="1BC9138E" w14:textId="67393C51" w:rsidR="008F735B" w:rsidRPr="00463667" w:rsidRDefault="008F735B" w:rsidP="008F735B">
      <w:pPr>
        <w:sectPr w:rsidR="008F735B" w:rsidRPr="00463667" w:rsidSect="00F578E0">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872"/>
        <w:gridCol w:w="7938"/>
      </w:tblGrid>
      <w:tr w:rsidR="008F735B" w:rsidRPr="00463667" w14:paraId="57DF81D8" w14:textId="77777777" w:rsidTr="00F578E0">
        <w:tc>
          <w:tcPr>
            <w:tcW w:w="1872" w:type="dxa"/>
          </w:tcPr>
          <w:p w14:paraId="0BFFF339" w14:textId="77777777" w:rsidR="008F735B" w:rsidRPr="00463667" w:rsidRDefault="008F735B" w:rsidP="00F578E0">
            <w:pPr>
              <w:pStyle w:val="MarginSubhead"/>
              <w:spacing w:before="0"/>
              <w:ind w:left="0"/>
              <w:jc w:val="right"/>
              <w:rPr>
                <w:i/>
                <w:iCs/>
              </w:rPr>
            </w:pPr>
            <w:r w:rsidRPr="00463667">
              <w:rPr>
                <w:i/>
                <w:iCs/>
              </w:rPr>
              <w:lastRenderedPageBreak/>
              <w:t>Engagement of AOD Treatment</w:t>
            </w:r>
          </w:p>
        </w:tc>
        <w:tc>
          <w:tcPr>
            <w:tcW w:w="7938" w:type="dxa"/>
          </w:tcPr>
          <w:p w14:paraId="44666C89" w14:textId="152668E6" w:rsidR="00970E8E" w:rsidRDefault="00BE73D3" w:rsidP="00970E8E">
            <w:pPr>
              <w:pStyle w:val="Bullet"/>
              <w:numPr>
                <w:ilvl w:val="0"/>
                <w:numId w:val="0"/>
              </w:numPr>
              <w:spacing w:before="0"/>
            </w:pPr>
            <w:r>
              <w:t xml:space="preserve">Identify all members who </w:t>
            </w:r>
            <w:r w:rsidR="00970E8E">
              <w:t>m</w:t>
            </w:r>
            <w:r>
              <w:t>eet the following</w:t>
            </w:r>
            <w:r w:rsidR="00970E8E">
              <w:t xml:space="preserve"> criteria</w:t>
            </w:r>
            <w:r>
              <w:t>:</w:t>
            </w:r>
          </w:p>
          <w:p w14:paraId="285E90F3" w14:textId="4ED1283E" w:rsidR="00970E8E" w:rsidRPr="00463667" w:rsidRDefault="00970E8E" w:rsidP="005A7514">
            <w:pPr>
              <w:pStyle w:val="Bullet"/>
            </w:pPr>
            <w:r>
              <w:t xml:space="preserve">Numerator compliant for </w:t>
            </w:r>
            <w:r w:rsidR="00F328AD">
              <w:t xml:space="preserve">the </w:t>
            </w:r>
            <w:r w:rsidR="00BE73D3">
              <w:rPr>
                <w:i/>
              </w:rPr>
              <w:t>Initiation of AOD T</w:t>
            </w:r>
            <w:r w:rsidRPr="00BE73D3">
              <w:rPr>
                <w:i/>
              </w:rPr>
              <w:t>reatment</w:t>
            </w:r>
            <w:r w:rsidR="00BE73D3">
              <w:t xml:space="preserve"> numerator </w:t>
            </w:r>
            <w:r w:rsidR="00BE73D3" w:rsidRPr="00BE73D3">
              <w:rPr>
                <w:b/>
                <w:i/>
              </w:rPr>
              <w:t>and</w:t>
            </w:r>
          </w:p>
          <w:p w14:paraId="62E84F17" w14:textId="4901C217" w:rsidR="00BE73D3" w:rsidRPr="00463667" w:rsidRDefault="00970E8E" w:rsidP="005A7514">
            <w:pPr>
              <w:pStyle w:val="Bullet"/>
            </w:pPr>
            <w:r>
              <w:t>T</w:t>
            </w:r>
            <w:r w:rsidRPr="00463667">
              <w:t>wo or more inpatient admissions, outpatient visits, intensive outpatient encounters or partial hospitalizations with any AOD diagnosis</w:t>
            </w:r>
            <w:r w:rsidR="00F328AD">
              <w:t>,</w:t>
            </w:r>
            <w:r>
              <w:t xml:space="preserve"> beginning on the day after the initiation encounter through 29 </w:t>
            </w:r>
            <w:r w:rsidRPr="00463667">
              <w:t xml:space="preserve">days after the </w:t>
            </w:r>
            <w:r>
              <w:t>i</w:t>
            </w:r>
            <w:r w:rsidRPr="00463667">
              <w:t>nitiation</w:t>
            </w:r>
            <w:r w:rsidR="00F328AD">
              <w:t xml:space="preserve"> e</w:t>
            </w:r>
            <w:r w:rsidR="00310717">
              <w:t xml:space="preserve">vent </w:t>
            </w:r>
            <w:r w:rsidR="00BE73D3">
              <w:t>(29 total days)</w:t>
            </w:r>
            <w:r w:rsidRPr="00463667">
              <w:t>. Multiple engagement visits may occur on the same day, but they must be with different providers in order to count. Any of the following code combinations meet criteria:</w:t>
            </w:r>
          </w:p>
          <w:p w14:paraId="4A8F9466" w14:textId="3266608C" w:rsidR="008F735B" w:rsidRDefault="008F735B" w:rsidP="005A7514">
            <w:pPr>
              <w:pStyle w:val="Dash"/>
            </w:pPr>
            <w:r w:rsidRPr="00463667">
              <w:t xml:space="preserve">An </w:t>
            </w:r>
            <w:r w:rsidR="00DA15CD">
              <w:t xml:space="preserve">acute or nonacute </w:t>
            </w:r>
            <w:r w:rsidRPr="00463667">
              <w:t>inpatient admission with a diagnosis of AOD (</w:t>
            </w:r>
            <w:r w:rsidRPr="00463667">
              <w:rPr>
                <w:u w:val="single"/>
              </w:rPr>
              <w:t>AOD Dependence Value Set</w:t>
            </w:r>
            <w:r w:rsidRPr="00463667">
              <w:t>).</w:t>
            </w:r>
            <w:r w:rsidR="00DA15CD">
              <w:t xml:space="preserve"> To identify acute or nonacute inpatient admissions:</w:t>
            </w:r>
          </w:p>
          <w:p w14:paraId="1C92B766" w14:textId="66E0787B" w:rsidR="00DA15CD" w:rsidRDefault="00DA15CD" w:rsidP="005A7514">
            <w:pPr>
              <w:pStyle w:val="Dash"/>
              <w:numPr>
                <w:ilvl w:val="0"/>
                <w:numId w:val="42"/>
              </w:numPr>
              <w:spacing w:before="0"/>
              <w:ind w:left="1080"/>
            </w:pPr>
            <w:r>
              <w:t>Identify all acute and nonacute inpatient stays (</w:t>
            </w:r>
            <w:r w:rsidRPr="00C55DCD">
              <w:rPr>
                <w:u w:val="single"/>
              </w:rPr>
              <w:t>Inpatient Stay Value Set</w:t>
            </w:r>
            <w:r>
              <w:t>).</w:t>
            </w:r>
          </w:p>
          <w:p w14:paraId="4C7AE265" w14:textId="00EC1B5B" w:rsidR="00DA15CD" w:rsidRPr="00463667" w:rsidRDefault="00DA15CD" w:rsidP="005A7514">
            <w:pPr>
              <w:pStyle w:val="Dash"/>
              <w:numPr>
                <w:ilvl w:val="0"/>
                <w:numId w:val="42"/>
              </w:numPr>
              <w:spacing w:before="0"/>
              <w:ind w:left="1080"/>
            </w:pPr>
            <w:r>
              <w:t xml:space="preserve">Identify the admission date for the stay. </w:t>
            </w:r>
          </w:p>
          <w:p w14:paraId="013CE480" w14:textId="77777777" w:rsidR="008F735B" w:rsidRPr="00463667" w:rsidRDefault="008F735B" w:rsidP="00F328AD">
            <w:pPr>
              <w:pStyle w:val="Dash"/>
            </w:pPr>
            <w:r w:rsidRPr="00593441">
              <w:rPr>
                <w:u w:val="single"/>
              </w:rPr>
              <w:t>IET Stand Alone Visits Value Set</w:t>
            </w:r>
            <w:r w:rsidRPr="00463667">
              <w:t xml:space="preserve"> </w:t>
            </w:r>
            <w:r w:rsidRPr="00463667">
              <w:rPr>
                <w:b/>
                <w:i/>
              </w:rPr>
              <w:t>with</w:t>
            </w:r>
            <w:r w:rsidRPr="00463667">
              <w:t xml:space="preserve"> </w:t>
            </w:r>
            <w:r w:rsidRPr="00593441">
              <w:rPr>
                <w:u w:val="single"/>
              </w:rPr>
              <w:t>AOD Dependence Value Set</w:t>
            </w:r>
            <w:r w:rsidRPr="00463667">
              <w:t>.</w:t>
            </w:r>
          </w:p>
          <w:p w14:paraId="1816B501" w14:textId="77777777" w:rsidR="008F735B" w:rsidRPr="00463667" w:rsidRDefault="008F735B" w:rsidP="00F328AD">
            <w:pPr>
              <w:pStyle w:val="Dash"/>
            </w:pPr>
            <w:r w:rsidRPr="00593441">
              <w:rPr>
                <w:u w:val="single"/>
              </w:rPr>
              <w:t>IET Visits Group 1 Value Set</w:t>
            </w:r>
            <w:r w:rsidRPr="00463667">
              <w:t xml:space="preserve"> </w:t>
            </w:r>
            <w:r w:rsidRPr="00463667">
              <w:rPr>
                <w:b/>
                <w:i/>
              </w:rPr>
              <w:t>with</w:t>
            </w:r>
            <w:r w:rsidRPr="00463667">
              <w:t xml:space="preserve"> </w:t>
            </w:r>
            <w:r w:rsidRPr="00593441">
              <w:rPr>
                <w:u w:val="single"/>
              </w:rPr>
              <w:t>IET POS Group 1 Value Set</w:t>
            </w:r>
            <w:r w:rsidRPr="00463667">
              <w:t xml:space="preserve"> </w:t>
            </w:r>
            <w:r w:rsidRPr="00463667">
              <w:rPr>
                <w:b/>
                <w:i/>
              </w:rPr>
              <w:t>and</w:t>
            </w:r>
            <w:r w:rsidRPr="00463667">
              <w:t xml:space="preserve"> </w:t>
            </w:r>
            <w:r w:rsidRPr="00593441">
              <w:rPr>
                <w:u w:val="single"/>
              </w:rPr>
              <w:t>AOD Dependence Value Set</w:t>
            </w:r>
            <w:r w:rsidRPr="00463667">
              <w:t>.</w:t>
            </w:r>
          </w:p>
          <w:p w14:paraId="3A2AAB2D" w14:textId="77777777" w:rsidR="008F735B" w:rsidRPr="00463667" w:rsidRDefault="008F735B" w:rsidP="00F328AD">
            <w:pPr>
              <w:pStyle w:val="Dash"/>
            </w:pPr>
            <w:r w:rsidRPr="00593441">
              <w:rPr>
                <w:u w:val="single"/>
              </w:rPr>
              <w:t>IET Visits Group 2 Value Set</w:t>
            </w:r>
            <w:r w:rsidRPr="00463667">
              <w:t xml:space="preserve"> </w:t>
            </w:r>
            <w:r w:rsidRPr="00463667">
              <w:rPr>
                <w:b/>
                <w:i/>
              </w:rPr>
              <w:t>with</w:t>
            </w:r>
            <w:r w:rsidRPr="00463667">
              <w:t xml:space="preserve"> </w:t>
            </w:r>
            <w:r w:rsidRPr="00593441">
              <w:rPr>
                <w:u w:val="single"/>
              </w:rPr>
              <w:t>IET POS Group 2 Value Set</w:t>
            </w:r>
            <w:r w:rsidRPr="00463667">
              <w:t xml:space="preserve"> </w:t>
            </w:r>
            <w:r w:rsidRPr="00463667">
              <w:rPr>
                <w:b/>
                <w:i/>
              </w:rPr>
              <w:t>and</w:t>
            </w:r>
            <w:r w:rsidRPr="00463667">
              <w:t xml:space="preserve"> </w:t>
            </w:r>
            <w:r w:rsidRPr="00593441">
              <w:rPr>
                <w:u w:val="single"/>
              </w:rPr>
              <w:t>AOD Dependence Value Set</w:t>
            </w:r>
            <w:r w:rsidRPr="00463667">
              <w:t>.</w:t>
            </w:r>
          </w:p>
          <w:p w14:paraId="11F5AB17" w14:textId="3AF81C38" w:rsidR="008F735B" w:rsidRPr="00463667" w:rsidRDefault="008F735B" w:rsidP="00F578E0">
            <w:pPr>
              <w:pStyle w:val="Body"/>
            </w:pPr>
            <w:r w:rsidRPr="00463667">
              <w:rPr>
                <w:i/>
              </w:rPr>
              <w:t>For members who initiated treatment via an inpatient admission,</w:t>
            </w:r>
            <w:r w:rsidRPr="00463667">
              <w:t xml:space="preserve"> </w:t>
            </w:r>
            <w:r w:rsidR="00F10C8E">
              <w:t xml:space="preserve">the 29-day period for the two engagement visits begins the day after discharge. </w:t>
            </w:r>
          </w:p>
          <w:p w14:paraId="684E91B2" w14:textId="77777777" w:rsidR="008F735B" w:rsidRDefault="008F735B" w:rsidP="00F578E0">
            <w:pPr>
              <w:pStyle w:val="Body"/>
            </w:pPr>
            <w:r w:rsidRPr="00463667">
              <w:t>Do not count events that include inpatient detoxification or detoxification codes (</w:t>
            </w:r>
            <w:r w:rsidRPr="00463667">
              <w:rPr>
                <w:u w:val="single"/>
              </w:rPr>
              <w:t>Detoxification Value Set</w:t>
            </w:r>
            <w:r w:rsidRPr="00463667">
              <w:t>) when identifying engagement of AOD treatment.</w:t>
            </w:r>
          </w:p>
          <w:p w14:paraId="63629448" w14:textId="0E941CF4" w:rsidR="00970E8E" w:rsidRPr="00463667" w:rsidRDefault="00970E8E" w:rsidP="00F328AD">
            <w:pPr>
              <w:pStyle w:val="Body"/>
            </w:pPr>
            <w:r w:rsidRPr="00970E8E">
              <w:t>The time</w:t>
            </w:r>
            <w:r w:rsidR="00F328AD">
              <w:t xml:space="preserve"> </w:t>
            </w:r>
            <w:r w:rsidRPr="00970E8E">
              <w:t>frame for engagement</w:t>
            </w:r>
            <w:r w:rsidR="00FF38E5">
              <w:t xml:space="preserve">, which includes the initiation event, </w:t>
            </w:r>
            <w:r w:rsidRPr="00970E8E">
              <w:t xml:space="preserve">is 30 </w:t>
            </w:r>
            <w:r w:rsidR="00310717">
              <w:t xml:space="preserve">total </w:t>
            </w:r>
            <w:r w:rsidRPr="00970E8E">
              <w:t>days</w:t>
            </w:r>
            <w:r>
              <w:t>.</w:t>
            </w:r>
          </w:p>
        </w:tc>
      </w:tr>
    </w:tbl>
    <w:p w14:paraId="348526B1" w14:textId="50D3A9DE" w:rsidR="008F735B" w:rsidRPr="00463667" w:rsidRDefault="008F735B" w:rsidP="00081D64">
      <w:pPr>
        <w:pStyle w:val="SubHead20"/>
        <w:rPr>
          <w:i/>
        </w:rPr>
      </w:pPr>
      <w:r w:rsidRPr="00463667">
        <w:rPr>
          <w:i/>
        </w:rPr>
        <w:t>Note</w:t>
      </w:r>
    </w:p>
    <w:p w14:paraId="732A2B5D" w14:textId="15B1C28B" w:rsidR="008F735B" w:rsidRPr="00463667" w:rsidRDefault="008F735B" w:rsidP="008F735B">
      <w:pPr>
        <w:pStyle w:val="ProcessBullet"/>
        <w:rPr>
          <w:i/>
        </w:rPr>
      </w:pPr>
      <w:r w:rsidRPr="00463667">
        <w:rPr>
          <w:i/>
        </w:rPr>
        <w:t>Organizations may have different methods for billing intensive outpatient encounters and partial hospitalizations. Some organizations may bill comparable to outpatient billing, with separate claims for each date of service; others may bill comparable to inpatient billing, with an admission date, a discharge date and units of service. Organizations whose billing is comparable to inpatient billing may count each unit of service as an individual visit. The unit of service must have occurred during the required time frame for the rate.</w:t>
      </w:r>
    </w:p>
    <w:p w14:paraId="33CE9189" w14:textId="77777777" w:rsidR="008F735B" w:rsidRPr="00463667" w:rsidRDefault="008F735B" w:rsidP="005A7514">
      <w:pPr>
        <w:pStyle w:val="ReverseHead"/>
        <w:spacing w:before="240"/>
      </w:pPr>
      <w:r w:rsidRPr="00463667">
        <w:t>Data Elements for Reporting</w:t>
      </w:r>
    </w:p>
    <w:p w14:paraId="16B20D43" w14:textId="77777777" w:rsidR="008F735B" w:rsidRPr="00463667" w:rsidRDefault="008F735B" w:rsidP="008F735B">
      <w:pPr>
        <w:pStyle w:val="Body"/>
        <w:rPr>
          <w:sz w:val="24"/>
        </w:rPr>
      </w:pPr>
      <w:r w:rsidRPr="00463667">
        <w:t>Organizations that submit HEDIS data to NCQA must provide the following data elements.</w:t>
      </w:r>
    </w:p>
    <w:p w14:paraId="47B38AAC" w14:textId="77777777" w:rsidR="008F735B" w:rsidRPr="00463667" w:rsidRDefault="008F735B" w:rsidP="00081D64">
      <w:pPr>
        <w:pStyle w:val="TableHeadNotCondensed"/>
        <w:ind w:left="1710" w:hanging="1710"/>
      </w:pPr>
      <w:r w:rsidRPr="00463667">
        <w:t>Table IET-1/2/3:</w:t>
      </w:r>
      <w:r w:rsidRPr="00463667">
        <w:tab/>
        <w:t xml:space="preserve">Data Elements for Initiation and Engagement of Alcohol and </w:t>
      </w:r>
      <w:r w:rsidRPr="00463667">
        <w:br/>
        <w:t>Other Drug Dependence Treatment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5"/>
        <w:gridCol w:w="3960"/>
      </w:tblGrid>
      <w:tr w:rsidR="008F735B" w:rsidRPr="00463667" w14:paraId="15C3DB6B" w14:textId="77777777" w:rsidTr="00CA7033">
        <w:tc>
          <w:tcPr>
            <w:tcW w:w="3965" w:type="dxa"/>
            <w:tcBorders>
              <w:right w:val="nil"/>
            </w:tcBorders>
            <w:shd w:val="clear" w:color="auto" w:fill="000000"/>
          </w:tcPr>
          <w:p w14:paraId="4DDBBF53" w14:textId="77777777" w:rsidR="008F735B" w:rsidRPr="00463667" w:rsidRDefault="008F735B" w:rsidP="00F578E0">
            <w:pPr>
              <w:pStyle w:val="TableHead"/>
              <w:rPr>
                <w:color w:val="auto"/>
              </w:rPr>
            </w:pPr>
          </w:p>
        </w:tc>
        <w:tc>
          <w:tcPr>
            <w:tcW w:w="3960" w:type="dxa"/>
            <w:tcBorders>
              <w:left w:val="single" w:sz="4" w:space="0" w:color="FFFFFF"/>
            </w:tcBorders>
            <w:shd w:val="clear" w:color="auto" w:fill="000000"/>
          </w:tcPr>
          <w:p w14:paraId="0247C100" w14:textId="77777777" w:rsidR="008F735B" w:rsidRPr="00463667" w:rsidRDefault="008F735B" w:rsidP="00F578E0">
            <w:pPr>
              <w:pStyle w:val="TableHead"/>
              <w:rPr>
                <w:color w:val="auto"/>
              </w:rPr>
            </w:pPr>
            <w:r w:rsidRPr="00463667">
              <w:rPr>
                <w:color w:val="auto"/>
              </w:rPr>
              <w:t>Administrative</w:t>
            </w:r>
          </w:p>
        </w:tc>
      </w:tr>
      <w:tr w:rsidR="008F735B" w:rsidRPr="00463667" w14:paraId="2F65D3E3" w14:textId="77777777" w:rsidTr="00CA7033">
        <w:tc>
          <w:tcPr>
            <w:tcW w:w="3965" w:type="dxa"/>
            <w:tcBorders>
              <w:bottom w:val="nil"/>
            </w:tcBorders>
          </w:tcPr>
          <w:p w14:paraId="15C5571E" w14:textId="77777777" w:rsidR="008F735B" w:rsidRPr="00463667" w:rsidRDefault="008F735B" w:rsidP="00F578E0">
            <w:pPr>
              <w:pStyle w:val="TableText"/>
            </w:pPr>
            <w:r w:rsidRPr="00463667">
              <w:t>Measurement year</w:t>
            </w:r>
          </w:p>
        </w:tc>
        <w:tc>
          <w:tcPr>
            <w:tcW w:w="3960" w:type="dxa"/>
            <w:tcBorders>
              <w:bottom w:val="nil"/>
            </w:tcBorders>
            <w:vAlign w:val="center"/>
          </w:tcPr>
          <w:p w14:paraId="4EABC9B4"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116F6112" w14:textId="77777777" w:rsidTr="00CA7033">
        <w:tc>
          <w:tcPr>
            <w:tcW w:w="3965" w:type="dxa"/>
            <w:tcBorders>
              <w:bottom w:val="nil"/>
            </w:tcBorders>
            <w:shd w:val="clear" w:color="auto" w:fill="D9D9D9"/>
          </w:tcPr>
          <w:p w14:paraId="707E689B" w14:textId="77777777" w:rsidR="008F735B" w:rsidRPr="00463667" w:rsidRDefault="008F735B" w:rsidP="00F578E0">
            <w:pPr>
              <w:pStyle w:val="TableText"/>
            </w:pPr>
            <w:r w:rsidRPr="00463667">
              <w:t>Data collection methodology (administrative)</w:t>
            </w:r>
          </w:p>
        </w:tc>
        <w:tc>
          <w:tcPr>
            <w:tcW w:w="3960" w:type="dxa"/>
            <w:tcBorders>
              <w:bottom w:val="nil"/>
            </w:tcBorders>
            <w:shd w:val="clear" w:color="auto" w:fill="D9D9D9"/>
            <w:vAlign w:val="center"/>
          </w:tcPr>
          <w:p w14:paraId="3C7FE48A"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07B4DD55" w14:textId="77777777" w:rsidTr="00CA7033">
        <w:tc>
          <w:tcPr>
            <w:tcW w:w="3965" w:type="dxa"/>
          </w:tcPr>
          <w:p w14:paraId="78EBA855" w14:textId="77777777" w:rsidR="008F735B" w:rsidRPr="00463667" w:rsidRDefault="008F735B" w:rsidP="00F578E0">
            <w:pPr>
              <w:pStyle w:val="TableText"/>
            </w:pPr>
            <w:r w:rsidRPr="00463667">
              <w:t xml:space="preserve">Eligible population </w:t>
            </w:r>
          </w:p>
        </w:tc>
        <w:tc>
          <w:tcPr>
            <w:tcW w:w="3960" w:type="dxa"/>
            <w:vAlign w:val="center"/>
          </w:tcPr>
          <w:p w14:paraId="03A5B8F2" w14:textId="77777777" w:rsidR="008F735B" w:rsidRPr="00463667" w:rsidRDefault="008F735B" w:rsidP="00F578E0">
            <w:pPr>
              <w:pStyle w:val="TableText"/>
              <w:jc w:val="center"/>
              <w:rPr>
                <w:i/>
                <w:iCs/>
                <w:sz w:val="24"/>
                <w:szCs w:val="24"/>
              </w:rPr>
            </w:pPr>
            <w:r w:rsidRPr="00463667">
              <w:rPr>
                <w:rFonts w:cs="Arial"/>
                <w:i/>
                <w:iCs/>
              </w:rPr>
              <w:t>For each age stratification and total</w:t>
            </w:r>
          </w:p>
        </w:tc>
      </w:tr>
      <w:tr w:rsidR="008F735B" w:rsidRPr="00463667" w14:paraId="4399AE45" w14:textId="77777777" w:rsidTr="00CA7033">
        <w:tc>
          <w:tcPr>
            <w:tcW w:w="3965" w:type="dxa"/>
            <w:shd w:val="clear" w:color="auto" w:fill="D9D9D9"/>
          </w:tcPr>
          <w:p w14:paraId="409BA8F2" w14:textId="77777777" w:rsidR="008F735B" w:rsidRPr="00463667" w:rsidRDefault="008F735B" w:rsidP="00F578E0">
            <w:pPr>
              <w:pStyle w:val="TableText"/>
            </w:pPr>
            <w:r w:rsidRPr="00463667">
              <w:t>Numerator events by administrative data</w:t>
            </w:r>
          </w:p>
        </w:tc>
        <w:tc>
          <w:tcPr>
            <w:tcW w:w="3960" w:type="dxa"/>
            <w:shd w:val="clear" w:color="auto" w:fill="D9D9D9"/>
            <w:vAlign w:val="center"/>
          </w:tcPr>
          <w:p w14:paraId="2EAD260E" w14:textId="77777777" w:rsidR="008F735B" w:rsidRPr="00463667" w:rsidRDefault="008F735B" w:rsidP="00F578E0">
            <w:pPr>
              <w:pStyle w:val="TableText"/>
              <w:jc w:val="center"/>
              <w:rPr>
                <w:i/>
                <w:iCs/>
                <w:sz w:val="24"/>
                <w:szCs w:val="24"/>
              </w:rPr>
            </w:pPr>
            <w:r w:rsidRPr="00463667">
              <w:rPr>
                <w:rFonts w:cs="Arial"/>
                <w:i/>
                <w:iCs/>
              </w:rPr>
              <w:t>Each rate, for each age stratification and total</w:t>
            </w:r>
          </w:p>
        </w:tc>
      </w:tr>
      <w:tr w:rsidR="008F735B" w:rsidRPr="00463667" w14:paraId="310425BE" w14:textId="77777777" w:rsidTr="00CA7033">
        <w:tc>
          <w:tcPr>
            <w:tcW w:w="3965" w:type="dxa"/>
            <w:tcBorders>
              <w:bottom w:val="nil"/>
            </w:tcBorders>
          </w:tcPr>
          <w:p w14:paraId="79BF55F8" w14:textId="77777777" w:rsidR="008F735B" w:rsidRPr="00463667" w:rsidRDefault="008F735B" w:rsidP="00F578E0">
            <w:pPr>
              <w:pStyle w:val="TableText"/>
            </w:pPr>
            <w:r w:rsidRPr="00463667">
              <w:t>Reported rate</w:t>
            </w:r>
          </w:p>
        </w:tc>
        <w:tc>
          <w:tcPr>
            <w:tcW w:w="3960" w:type="dxa"/>
            <w:tcBorders>
              <w:bottom w:val="nil"/>
            </w:tcBorders>
            <w:vAlign w:val="center"/>
          </w:tcPr>
          <w:p w14:paraId="3C52012E" w14:textId="77777777" w:rsidR="008F735B" w:rsidRPr="00463667" w:rsidRDefault="008F735B" w:rsidP="00F578E0">
            <w:pPr>
              <w:pStyle w:val="TableText"/>
              <w:jc w:val="center"/>
              <w:rPr>
                <w:i/>
                <w:iCs/>
                <w:sz w:val="24"/>
                <w:szCs w:val="24"/>
              </w:rPr>
            </w:pPr>
            <w:r w:rsidRPr="00463667">
              <w:rPr>
                <w:rFonts w:cs="Arial"/>
                <w:i/>
                <w:iCs/>
              </w:rPr>
              <w:t>Each rate, for each age stratification and total</w:t>
            </w:r>
          </w:p>
        </w:tc>
      </w:tr>
      <w:tr w:rsidR="008F735B" w:rsidRPr="00463667" w14:paraId="128988EF" w14:textId="77777777" w:rsidTr="00CA7033">
        <w:tc>
          <w:tcPr>
            <w:tcW w:w="3965" w:type="dxa"/>
            <w:shd w:val="clear" w:color="auto" w:fill="D9D9D9"/>
          </w:tcPr>
          <w:p w14:paraId="0728B04F" w14:textId="77777777" w:rsidR="008F735B" w:rsidRPr="00463667" w:rsidRDefault="008F735B" w:rsidP="00F578E0">
            <w:pPr>
              <w:pStyle w:val="TableText"/>
            </w:pPr>
            <w:r w:rsidRPr="00463667">
              <w:t>Lower 95% confidence interval</w:t>
            </w:r>
          </w:p>
        </w:tc>
        <w:tc>
          <w:tcPr>
            <w:tcW w:w="3960" w:type="dxa"/>
            <w:shd w:val="clear" w:color="auto" w:fill="D9D9D9"/>
            <w:vAlign w:val="center"/>
          </w:tcPr>
          <w:p w14:paraId="3F0088B6" w14:textId="77777777" w:rsidR="008F735B" w:rsidRPr="00463667" w:rsidRDefault="008F735B" w:rsidP="00F578E0">
            <w:pPr>
              <w:pStyle w:val="TableText"/>
              <w:jc w:val="center"/>
              <w:rPr>
                <w:i/>
                <w:iCs/>
                <w:sz w:val="24"/>
                <w:szCs w:val="24"/>
              </w:rPr>
            </w:pPr>
            <w:r w:rsidRPr="00463667">
              <w:rPr>
                <w:rFonts w:cs="Arial"/>
                <w:i/>
                <w:iCs/>
              </w:rPr>
              <w:t>Each rate, for each age stratification and total</w:t>
            </w:r>
          </w:p>
        </w:tc>
      </w:tr>
      <w:tr w:rsidR="008F735B" w:rsidRPr="00463667" w14:paraId="5AE35E05" w14:textId="77777777" w:rsidTr="00CA7033">
        <w:tc>
          <w:tcPr>
            <w:tcW w:w="3965" w:type="dxa"/>
          </w:tcPr>
          <w:p w14:paraId="4156F1FF" w14:textId="77777777" w:rsidR="008F735B" w:rsidRPr="00463667" w:rsidRDefault="008F735B" w:rsidP="00F578E0">
            <w:pPr>
              <w:pStyle w:val="TableText"/>
            </w:pPr>
            <w:r w:rsidRPr="00463667">
              <w:t>Upper 95% confidence interval</w:t>
            </w:r>
          </w:p>
        </w:tc>
        <w:tc>
          <w:tcPr>
            <w:tcW w:w="3960" w:type="dxa"/>
            <w:vAlign w:val="center"/>
          </w:tcPr>
          <w:p w14:paraId="3F8E8DD1" w14:textId="77777777" w:rsidR="008F735B" w:rsidRPr="00463667" w:rsidRDefault="008F735B" w:rsidP="00F578E0">
            <w:pPr>
              <w:pStyle w:val="TableText"/>
              <w:jc w:val="center"/>
              <w:rPr>
                <w:i/>
                <w:iCs/>
                <w:sz w:val="24"/>
                <w:szCs w:val="24"/>
              </w:rPr>
            </w:pPr>
            <w:r w:rsidRPr="00463667">
              <w:rPr>
                <w:rFonts w:cs="Arial"/>
                <w:i/>
                <w:iCs/>
              </w:rPr>
              <w:t>Each rate, for each age stratification and total</w:t>
            </w:r>
          </w:p>
        </w:tc>
      </w:tr>
    </w:tbl>
    <w:p w14:paraId="5F9AD083" w14:textId="77777777" w:rsidR="008F735B" w:rsidRPr="00463667" w:rsidRDefault="008F735B" w:rsidP="008F735B">
      <w:pPr>
        <w:sectPr w:rsidR="008F735B" w:rsidRPr="00463667" w:rsidSect="00F578E0">
          <w:pgSz w:w="12240" w:h="15840" w:code="1"/>
          <w:pgMar w:top="1080" w:right="1080" w:bottom="1080" w:left="1440" w:header="720" w:footer="720" w:gutter="0"/>
          <w:cols w:space="720"/>
        </w:sectPr>
      </w:pPr>
    </w:p>
    <w:p w14:paraId="513E249B" w14:textId="22454539" w:rsidR="008F735B" w:rsidRPr="00463667" w:rsidRDefault="008F735B" w:rsidP="008F735B">
      <w:pPr>
        <w:pStyle w:val="Heading2"/>
      </w:pPr>
      <w:bookmarkStart w:id="7" w:name="_Toc400546165"/>
      <w:r w:rsidRPr="003F7CDF">
        <w:lastRenderedPageBreak/>
        <w:t>Prenatal and Postpartum Care (PPC)</w:t>
      </w:r>
      <w:bookmarkEnd w:id="7"/>
    </w:p>
    <w:p w14:paraId="580F212E" w14:textId="49E43000" w:rsidR="008F735B" w:rsidRPr="00463667" w:rsidRDefault="008F735B" w:rsidP="00081D64">
      <w:pPr>
        <w:pStyle w:val="SOC"/>
        <w:rPr>
          <w:i/>
        </w:rPr>
      </w:pPr>
      <w:r w:rsidRPr="00463667">
        <w:t xml:space="preserve">Summary of Changes to HEDIS </w:t>
      </w:r>
      <w:r w:rsidR="00A47F13">
        <w:t>2016</w:t>
      </w:r>
    </w:p>
    <w:p w14:paraId="6C9762BB" w14:textId="6B08B943" w:rsidR="00F807F1" w:rsidRDefault="00F807F1" w:rsidP="00D76147">
      <w:pPr>
        <w:pStyle w:val="ProcessBullet"/>
      </w:pPr>
      <w:r>
        <w:t>Deleted the use of infant claims to identify deliveries.</w:t>
      </w:r>
    </w:p>
    <w:p w14:paraId="4D24A8E1" w14:textId="1833B46B" w:rsidR="008F735B" w:rsidRPr="00463667" w:rsidRDefault="000858FE" w:rsidP="005A7514">
      <w:pPr>
        <w:pStyle w:val="ProcessBullet"/>
        <w:spacing w:before="60"/>
      </w:pPr>
      <w:r>
        <w:t xml:space="preserve">Clarified the tests that must be included to meet criteria for an obstetric panel in the hybrid specification. </w:t>
      </w:r>
    </w:p>
    <w:p w14:paraId="126F917D" w14:textId="77777777" w:rsidR="008F735B" w:rsidRPr="00463667" w:rsidRDefault="008F735B" w:rsidP="00D76147">
      <w:pPr>
        <w:pStyle w:val="ReverseHead"/>
        <w:spacing w:before="320"/>
      </w:pPr>
      <w:r w:rsidRPr="00463667">
        <w:t xml:space="preserve">Description </w:t>
      </w:r>
    </w:p>
    <w:p w14:paraId="5D2D2267" w14:textId="77777777" w:rsidR="008F735B" w:rsidRPr="00463667" w:rsidRDefault="008F735B" w:rsidP="008F735B">
      <w:pPr>
        <w:pStyle w:val="Body"/>
      </w:pPr>
      <w:r w:rsidRPr="00463667">
        <w:t xml:space="preserve">The percentage of deliveries of live births between November 6 of the year prior to the measurement year and November 5 of the measurement year. For these women, the measure assesses the following facets of prenatal and postpartum care. </w:t>
      </w:r>
    </w:p>
    <w:p w14:paraId="278DB9E3" w14:textId="77777777" w:rsidR="008F735B" w:rsidRPr="00463667" w:rsidRDefault="008F735B" w:rsidP="008F735B">
      <w:pPr>
        <w:pStyle w:val="Bullet"/>
      </w:pPr>
      <w:r w:rsidRPr="00463667">
        <w:rPr>
          <w:i/>
        </w:rPr>
        <w:t xml:space="preserve">Timeliness of Prenatal Care. </w:t>
      </w:r>
      <w:r w:rsidRPr="00463667">
        <w:t xml:space="preserve">The percentage of deliveries that received a prenatal care visit as a member of the organization in the first trimester </w:t>
      </w:r>
      <w:r w:rsidRPr="00463667">
        <w:rPr>
          <w:i/>
        </w:rPr>
        <w:t>or</w:t>
      </w:r>
      <w:r w:rsidRPr="00463667">
        <w:t xml:space="preserve"> within 42 days of enrollment in the organization.</w:t>
      </w:r>
    </w:p>
    <w:p w14:paraId="03210599" w14:textId="77777777" w:rsidR="008F735B" w:rsidRPr="00463667" w:rsidRDefault="008F735B" w:rsidP="008F735B">
      <w:pPr>
        <w:pStyle w:val="Bullet"/>
      </w:pPr>
      <w:r w:rsidRPr="00463667">
        <w:rPr>
          <w:i/>
        </w:rPr>
        <w:t xml:space="preserve">Postpartum Care. </w:t>
      </w:r>
      <w:r w:rsidRPr="00463667">
        <w:t>The percentage of deliveries that had a postpartum visit on or between 21 and 56 days after delivery.</w:t>
      </w:r>
    </w:p>
    <w:p w14:paraId="24E060AD" w14:textId="77777777" w:rsidR="008F735B" w:rsidRPr="00463667" w:rsidRDefault="008F735B" w:rsidP="00D76147">
      <w:pPr>
        <w:pStyle w:val="ReverseHead"/>
        <w:spacing w:before="320"/>
      </w:pPr>
      <w:r w:rsidRPr="00463667">
        <w:t>Eligible Population</w:t>
      </w:r>
    </w:p>
    <w:tbl>
      <w:tblPr>
        <w:tblW w:w="9918" w:type="dxa"/>
        <w:tblInd w:w="-90" w:type="dxa"/>
        <w:tblLayout w:type="fixed"/>
        <w:tblLook w:val="0000" w:firstRow="0" w:lastRow="0" w:firstColumn="0" w:lastColumn="0" w:noHBand="0" w:noVBand="0"/>
      </w:tblPr>
      <w:tblGrid>
        <w:gridCol w:w="1890"/>
        <w:gridCol w:w="8028"/>
      </w:tblGrid>
      <w:tr w:rsidR="008F735B" w:rsidRPr="00463667" w14:paraId="2451F726" w14:textId="77777777" w:rsidTr="00D76147">
        <w:tc>
          <w:tcPr>
            <w:tcW w:w="1890" w:type="dxa"/>
          </w:tcPr>
          <w:p w14:paraId="4EE99920" w14:textId="77777777" w:rsidR="008F735B" w:rsidRPr="00463667" w:rsidRDefault="008F735B" w:rsidP="00F578E0">
            <w:pPr>
              <w:pStyle w:val="MarginSubhead"/>
            </w:pPr>
            <w:r w:rsidRPr="00463667">
              <w:t>Product lines</w:t>
            </w:r>
          </w:p>
        </w:tc>
        <w:tc>
          <w:tcPr>
            <w:tcW w:w="8028" w:type="dxa"/>
          </w:tcPr>
          <w:p w14:paraId="72A44E04" w14:textId="77777777" w:rsidR="008F735B" w:rsidRPr="00463667" w:rsidRDefault="008F735B" w:rsidP="00F578E0">
            <w:pPr>
              <w:pStyle w:val="Body"/>
            </w:pPr>
            <w:r w:rsidRPr="00463667">
              <w:t>Commercial, Medicaid (report each product line separately).</w:t>
            </w:r>
          </w:p>
        </w:tc>
      </w:tr>
      <w:tr w:rsidR="008F735B" w:rsidRPr="00463667" w14:paraId="2E8FE833" w14:textId="77777777" w:rsidTr="00D76147">
        <w:tc>
          <w:tcPr>
            <w:tcW w:w="1890" w:type="dxa"/>
          </w:tcPr>
          <w:p w14:paraId="778344D8" w14:textId="77777777" w:rsidR="008F735B" w:rsidRPr="00463667" w:rsidRDefault="008F735B" w:rsidP="00F578E0">
            <w:pPr>
              <w:pStyle w:val="MarginSubhead"/>
            </w:pPr>
            <w:r w:rsidRPr="00463667">
              <w:t>Age</w:t>
            </w:r>
          </w:p>
        </w:tc>
        <w:tc>
          <w:tcPr>
            <w:tcW w:w="8028" w:type="dxa"/>
          </w:tcPr>
          <w:p w14:paraId="01F4FCB9" w14:textId="77777777" w:rsidR="008F735B" w:rsidRPr="00463667" w:rsidRDefault="008F735B" w:rsidP="00F578E0">
            <w:pPr>
              <w:pStyle w:val="Body"/>
            </w:pPr>
            <w:r w:rsidRPr="00463667">
              <w:t>None specified.</w:t>
            </w:r>
          </w:p>
        </w:tc>
      </w:tr>
      <w:tr w:rsidR="008F735B" w:rsidRPr="00463667" w14:paraId="13605AB6" w14:textId="77777777" w:rsidTr="00D76147">
        <w:tc>
          <w:tcPr>
            <w:tcW w:w="1890" w:type="dxa"/>
          </w:tcPr>
          <w:p w14:paraId="61CBBFB3" w14:textId="77777777" w:rsidR="008F735B" w:rsidRPr="00463667" w:rsidRDefault="008F735B" w:rsidP="00F578E0">
            <w:pPr>
              <w:pStyle w:val="MarginSubhead"/>
            </w:pPr>
            <w:r w:rsidRPr="00463667">
              <w:t>Continuous enrollment</w:t>
            </w:r>
          </w:p>
        </w:tc>
        <w:tc>
          <w:tcPr>
            <w:tcW w:w="8028" w:type="dxa"/>
          </w:tcPr>
          <w:p w14:paraId="60861855" w14:textId="77777777" w:rsidR="008F735B" w:rsidRPr="00463667" w:rsidRDefault="008F735B" w:rsidP="00F578E0">
            <w:pPr>
              <w:pStyle w:val="Body"/>
            </w:pPr>
            <w:r w:rsidRPr="00463667">
              <w:t>43 days prior to delivery through 56 days after delivery.</w:t>
            </w:r>
          </w:p>
        </w:tc>
      </w:tr>
      <w:tr w:rsidR="008F735B" w:rsidRPr="00463667" w14:paraId="05E8A5B7" w14:textId="77777777" w:rsidTr="00D76147">
        <w:tc>
          <w:tcPr>
            <w:tcW w:w="1890" w:type="dxa"/>
          </w:tcPr>
          <w:p w14:paraId="7284A5D2" w14:textId="77777777" w:rsidR="008F735B" w:rsidRPr="00463667" w:rsidRDefault="008F735B" w:rsidP="00F578E0">
            <w:pPr>
              <w:pStyle w:val="MarginSubhead"/>
            </w:pPr>
            <w:r w:rsidRPr="00463667">
              <w:t>Allowable gap</w:t>
            </w:r>
          </w:p>
        </w:tc>
        <w:tc>
          <w:tcPr>
            <w:tcW w:w="8028" w:type="dxa"/>
          </w:tcPr>
          <w:p w14:paraId="65DA61D9" w14:textId="77777777" w:rsidR="008F735B" w:rsidRPr="00463667" w:rsidRDefault="008F735B" w:rsidP="00F578E0">
            <w:pPr>
              <w:pStyle w:val="Body"/>
            </w:pPr>
            <w:r w:rsidRPr="00463667">
              <w:t>No allowable gap during the continuous enrollment period.</w:t>
            </w:r>
          </w:p>
        </w:tc>
      </w:tr>
      <w:tr w:rsidR="008F735B" w:rsidRPr="00463667" w14:paraId="460CA121" w14:textId="77777777" w:rsidTr="00D76147">
        <w:tc>
          <w:tcPr>
            <w:tcW w:w="1890" w:type="dxa"/>
          </w:tcPr>
          <w:p w14:paraId="492A15D4" w14:textId="77777777" w:rsidR="008F735B" w:rsidRPr="00463667" w:rsidRDefault="008F735B" w:rsidP="00F578E0">
            <w:pPr>
              <w:pStyle w:val="MarginSubhead"/>
            </w:pPr>
            <w:r w:rsidRPr="00463667">
              <w:t>Anchor date</w:t>
            </w:r>
          </w:p>
        </w:tc>
        <w:tc>
          <w:tcPr>
            <w:tcW w:w="8028" w:type="dxa"/>
          </w:tcPr>
          <w:p w14:paraId="6E943044" w14:textId="77777777" w:rsidR="008F735B" w:rsidRPr="00463667" w:rsidRDefault="008F735B" w:rsidP="00F578E0">
            <w:pPr>
              <w:pStyle w:val="Body"/>
            </w:pPr>
            <w:r w:rsidRPr="00463667">
              <w:t xml:space="preserve">Date of delivery. </w:t>
            </w:r>
          </w:p>
        </w:tc>
      </w:tr>
      <w:tr w:rsidR="008F735B" w:rsidRPr="00463667" w14:paraId="77CB64AB" w14:textId="77777777" w:rsidTr="00D76147">
        <w:tc>
          <w:tcPr>
            <w:tcW w:w="1890" w:type="dxa"/>
          </w:tcPr>
          <w:p w14:paraId="6D8E55B6" w14:textId="77777777" w:rsidR="008F735B" w:rsidRPr="00463667" w:rsidRDefault="008F735B" w:rsidP="00F578E0">
            <w:pPr>
              <w:pStyle w:val="MarginSubhead"/>
            </w:pPr>
            <w:r w:rsidRPr="00463667">
              <w:t>Benefit</w:t>
            </w:r>
          </w:p>
        </w:tc>
        <w:tc>
          <w:tcPr>
            <w:tcW w:w="8028" w:type="dxa"/>
          </w:tcPr>
          <w:p w14:paraId="087B2872" w14:textId="77777777" w:rsidR="008F735B" w:rsidRPr="00463667" w:rsidRDefault="008F735B" w:rsidP="00F578E0">
            <w:pPr>
              <w:pStyle w:val="Body"/>
            </w:pPr>
            <w:r w:rsidRPr="00463667">
              <w:t>Medical.</w:t>
            </w:r>
          </w:p>
        </w:tc>
      </w:tr>
      <w:tr w:rsidR="008F735B" w:rsidRPr="00463667" w14:paraId="2302E7CA" w14:textId="77777777" w:rsidTr="00D76147">
        <w:tc>
          <w:tcPr>
            <w:tcW w:w="1890" w:type="dxa"/>
          </w:tcPr>
          <w:p w14:paraId="50E1EA5B" w14:textId="77777777" w:rsidR="008F735B" w:rsidRPr="00463667" w:rsidRDefault="008F735B" w:rsidP="00F578E0">
            <w:pPr>
              <w:pStyle w:val="MarginSubhead"/>
            </w:pPr>
            <w:r w:rsidRPr="00463667">
              <w:t>Event/ diagnosis</w:t>
            </w:r>
          </w:p>
        </w:tc>
        <w:tc>
          <w:tcPr>
            <w:tcW w:w="8028" w:type="dxa"/>
          </w:tcPr>
          <w:p w14:paraId="05E8972E" w14:textId="670035F0" w:rsidR="008F735B" w:rsidRPr="00463667" w:rsidRDefault="008F735B" w:rsidP="00F578E0">
            <w:pPr>
              <w:pStyle w:val="Body"/>
            </w:pPr>
            <w:r w:rsidRPr="00463667">
              <w:rPr>
                <w:i/>
              </w:rPr>
              <w:t>Delivered a live birth on or between November 6 of the year prior to the measurement year and November 5 of the measurement year.</w:t>
            </w:r>
            <w:r w:rsidRPr="00463667">
              <w:t xml:space="preserve"> Include women who delivered </w:t>
            </w:r>
            <w:r w:rsidR="005D59EF">
              <w:t>in any setting</w:t>
            </w:r>
            <w:r w:rsidRPr="00463667">
              <w:t xml:space="preserve">. </w:t>
            </w:r>
          </w:p>
          <w:p w14:paraId="46FC6553" w14:textId="77777777" w:rsidR="008F735B" w:rsidRPr="00463667" w:rsidRDefault="008F735B" w:rsidP="00D76147">
            <w:pPr>
              <w:pStyle w:val="Body"/>
              <w:spacing w:before="120"/>
            </w:pPr>
            <w:r w:rsidRPr="00463667">
              <w:rPr>
                <w:i/>
              </w:rPr>
              <w:t>Multiple births.</w:t>
            </w:r>
            <w:r w:rsidRPr="00463667">
              <w:t xml:space="preserve"> Women who had two separate deliveries (different dates of service) between November 6 of the year prior to the measurement year and November 5 of the measurement year count twice. Women who had multiple live births during one pregnancy count once.</w:t>
            </w:r>
          </w:p>
          <w:p w14:paraId="5BC80209" w14:textId="77777777" w:rsidR="008F735B" w:rsidRPr="00463667" w:rsidRDefault="008F735B" w:rsidP="00F578E0">
            <w:pPr>
              <w:pStyle w:val="Body"/>
            </w:pPr>
            <w:r w:rsidRPr="00463667">
              <w:t>Follow the steps below to identify the eligible population, which is the denominator for both rates.</w:t>
            </w:r>
          </w:p>
        </w:tc>
      </w:tr>
      <w:tr w:rsidR="008F735B" w:rsidRPr="00463667" w14:paraId="548DA503" w14:textId="77777777" w:rsidTr="00D76147">
        <w:tc>
          <w:tcPr>
            <w:tcW w:w="1890" w:type="dxa"/>
          </w:tcPr>
          <w:p w14:paraId="5A8B059F" w14:textId="77777777" w:rsidR="008F735B" w:rsidRPr="00463667" w:rsidRDefault="008F735B" w:rsidP="00D76147">
            <w:pPr>
              <w:pStyle w:val="MarginSubhead"/>
              <w:jc w:val="right"/>
              <w:rPr>
                <w:i/>
              </w:rPr>
            </w:pPr>
            <w:r w:rsidRPr="00463667">
              <w:rPr>
                <w:i/>
              </w:rPr>
              <w:t>Step 1</w:t>
            </w:r>
          </w:p>
        </w:tc>
        <w:tc>
          <w:tcPr>
            <w:tcW w:w="8028" w:type="dxa"/>
          </w:tcPr>
          <w:p w14:paraId="1DDD7992" w14:textId="30169EDD" w:rsidR="008F735B" w:rsidRPr="00463667" w:rsidRDefault="008F735B" w:rsidP="00F807F1">
            <w:pPr>
              <w:pStyle w:val="Body"/>
            </w:pPr>
            <w:r w:rsidRPr="00463667">
              <w:t xml:space="preserve">Identify deliveries. Identify all women with a delivery </w:t>
            </w:r>
            <w:r w:rsidR="00F807F1">
              <w:t>(</w:t>
            </w:r>
            <w:r w:rsidR="00F807F1" w:rsidRPr="00463667">
              <w:rPr>
                <w:u w:val="single"/>
              </w:rPr>
              <w:t>Deliveries Value Set</w:t>
            </w:r>
            <w:r w:rsidR="00F807F1" w:rsidRPr="00463667">
              <w:t>)</w:t>
            </w:r>
            <w:r w:rsidR="00F807F1">
              <w:t xml:space="preserve"> </w:t>
            </w:r>
            <w:r w:rsidRPr="00463667">
              <w:t xml:space="preserve">between November 6 of the year prior to the measurement year and November 5 of the measurement year. </w:t>
            </w:r>
          </w:p>
        </w:tc>
      </w:tr>
      <w:tr w:rsidR="008F735B" w:rsidRPr="00463667" w14:paraId="52930598" w14:textId="77777777" w:rsidTr="00D76147">
        <w:tc>
          <w:tcPr>
            <w:tcW w:w="1890" w:type="dxa"/>
          </w:tcPr>
          <w:p w14:paraId="59004F29" w14:textId="77777777" w:rsidR="008F735B" w:rsidRPr="00463667" w:rsidRDefault="008F735B" w:rsidP="00D76147">
            <w:pPr>
              <w:pStyle w:val="MarginSubhead"/>
              <w:spacing w:before="160"/>
              <w:jc w:val="right"/>
              <w:rPr>
                <w:i/>
              </w:rPr>
            </w:pPr>
            <w:r w:rsidRPr="00463667">
              <w:rPr>
                <w:i/>
              </w:rPr>
              <w:t>Step 2</w:t>
            </w:r>
          </w:p>
        </w:tc>
        <w:tc>
          <w:tcPr>
            <w:tcW w:w="8028" w:type="dxa"/>
          </w:tcPr>
          <w:p w14:paraId="7BE9C762" w14:textId="77777777" w:rsidR="008F735B" w:rsidRPr="00463667" w:rsidRDefault="008F735B" w:rsidP="00D76147">
            <w:pPr>
              <w:pStyle w:val="Body"/>
              <w:spacing w:before="160"/>
            </w:pPr>
            <w:r w:rsidRPr="00463667">
              <w:t>Exclude non-live births (</w:t>
            </w:r>
            <w:r w:rsidRPr="00463667">
              <w:rPr>
                <w:u w:val="single"/>
              </w:rPr>
              <w:t>Non-live Births Value Set</w:t>
            </w:r>
            <w:r w:rsidRPr="00463667">
              <w:t>).</w:t>
            </w:r>
          </w:p>
        </w:tc>
      </w:tr>
      <w:tr w:rsidR="008F735B" w:rsidRPr="00463667" w14:paraId="6FFA98DC" w14:textId="77777777" w:rsidTr="00D76147">
        <w:tc>
          <w:tcPr>
            <w:tcW w:w="1890" w:type="dxa"/>
          </w:tcPr>
          <w:p w14:paraId="6D4A6FF5" w14:textId="77777777" w:rsidR="008F735B" w:rsidRPr="00463667" w:rsidRDefault="008F735B" w:rsidP="00D76147">
            <w:pPr>
              <w:pStyle w:val="MarginSubhead"/>
              <w:spacing w:before="160"/>
              <w:jc w:val="right"/>
              <w:rPr>
                <w:i/>
              </w:rPr>
            </w:pPr>
            <w:r w:rsidRPr="00463667">
              <w:rPr>
                <w:i/>
              </w:rPr>
              <w:t>Step 3</w:t>
            </w:r>
          </w:p>
        </w:tc>
        <w:tc>
          <w:tcPr>
            <w:tcW w:w="8028" w:type="dxa"/>
          </w:tcPr>
          <w:p w14:paraId="5BB5FEBE" w14:textId="77777777" w:rsidR="008F735B" w:rsidRPr="00463667" w:rsidRDefault="008F735B" w:rsidP="00D76147">
            <w:pPr>
              <w:pStyle w:val="Body"/>
              <w:spacing w:before="160"/>
            </w:pPr>
            <w:r w:rsidRPr="00463667">
              <w:t>Identify continuous enrollment. Determine if enrollment was continuous between 43 days prior to delivery and 56 days after delivery, with no gaps.</w:t>
            </w:r>
          </w:p>
        </w:tc>
      </w:tr>
    </w:tbl>
    <w:p w14:paraId="7BC727F4" w14:textId="77777777" w:rsidR="008F735B" w:rsidRPr="00D76147" w:rsidRDefault="008F735B" w:rsidP="00D76147">
      <w:pPr>
        <w:pStyle w:val="StdHead"/>
      </w:pPr>
      <w:r w:rsidRPr="00D76147">
        <w:lastRenderedPageBreak/>
        <w:t>Administrative Specification</w:t>
      </w:r>
    </w:p>
    <w:tbl>
      <w:tblPr>
        <w:tblW w:w="9918" w:type="dxa"/>
        <w:tblInd w:w="-90" w:type="dxa"/>
        <w:tblLayout w:type="fixed"/>
        <w:tblLook w:val="0000" w:firstRow="0" w:lastRow="0" w:firstColumn="0" w:lastColumn="0" w:noHBand="0" w:noVBand="0"/>
      </w:tblPr>
      <w:tblGrid>
        <w:gridCol w:w="1818"/>
        <w:gridCol w:w="8100"/>
      </w:tblGrid>
      <w:tr w:rsidR="008F735B" w:rsidRPr="00463667" w14:paraId="7E1BB9C6" w14:textId="77777777" w:rsidTr="00D76147">
        <w:tc>
          <w:tcPr>
            <w:tcW w:w="1818" w:type="dxa"/>
          </w:tcPr>
          <w:p w14:paraId="2254BB8C" w14:textId="77777777" w:rsidR="008F735B" w:rsidRPr="00463667" w:rsidRDefault="008F735B" w:rsidP="00F578E0">
            <w:pPr>
              <w:pStyle w:val="MarginSubhead"/>
            </w:pPr>
            <w:r w:rsidRPr="00463667">
              <w:t>Denominator</w:t>
            </w:r>
          </w:p>
        </w:tc>
        <w:tc>
          <w:tcPr>
            <w:tcW w:w="8100" w:type="dxa"/>
          </w:tcPr>
          <w:p w14:paraId="27AB9FBC" w14:textId="77777777" w:rsidR="008F735B" w:rsidRPr="00463667" w:rsidRDefault="008F735B" w:rsidP="00F578E0">
            <w:pPr>
              <w:pStyle w:val="Body"/>
            </w:pPr>
            <w:r w:rsidRPr="00463667">
              <w:t xml:space="preserve">The eligible population. </w:t>
            </w:r>
          </w:p>
        </w:tc>
      </w:tr>
      <w:tr w:rsidR="008F735B" w:rsidRPr="00463667" w14:paraId="499B2796" w14:textId="77777777" w:rsidTr="00D76147">
        <w:tc>
          <w:tcPr>
            <w:tcW w:w="1818" w:type="dxa"/>
          </w:tcPr>
          <w:p w14:paraId="08B2CFE7" w14:textId="77777777" w:rsidR="008F735B" w:rsidRPr="00463667" w:rsidRDefault="008F735B" w:rsidP="00F578E0">
            <w:pPr>
              <w:pStyle w:val="MarginSubhead"/>
              <w:rPr>
                <w:i/>
              </w:rPr>
            </w:pPr>
            <w:r w:rsidRPr="00463667">
              <w:t>Numerator</w:t>
            </w:r>
          </w:p>
        </w:tc>
        <w:tc>
          <w:tcPr>
            <w:tcW w:w="8100" w:type="dxa"/>
          </w:tcPr>
          <w:p w14:paraId="4EDE84D8" w14:textId="77777777" w:rsidR="008F735B" w:rsidRPr="00463667" w:rsidRDefault="008F735B" w:rsidP="00F578E0">
            <w:pPr>
              <w:pStyle w:val="Body"/>
            </w:pPr>
          </w:p>
        </w:tc>
      </w:tr>
      <w:tr w:rsidR="008F735B" w:rsidRPr="00463667" w14:paraId="52158709" w14:textId="77777777" w:rsidTr="00D76147">
        <w:tc>
          <w:tcPr>
            <w:tcW w:w="1818" w:type="dxa"/>
          </w:tcPr>
          <w:p w14:paraId="604A8C84" w14:textId="77777777" w:rsidR="008F735B" w:rsidRPr="00463667" w:rsidRDefault="008F735B" w:rsidP="00F578E0">
            <w:pPr>
              <w:pStyle w:val="MarginSubhead"/>
              <w:spacing w:before="120"/>
              <w:ind w:left="0"/>
              <w:jc w:val="right"/>
              <w:rPr>
                <w:i/>
              </w:rPr>
            </w:pPr>
            <w:r w:rsidRPr="00463667">
              <w:rPr>
                <w:i/>
              </w:rPr>
              <w:t>Timeliness of Prenatal Care</w:t>
            </w:r>
          </w:p>
        </w:tc>
        <w:tc>
          <w:tcPr>
            <w:tcW w:w="8100" w:type="dxa"/>
          </w:tcPr>
          <w:p w14:paraId="26FD9ACB" w14:textId="77777777" w:rsidR="008F735B" w:rsidRPr="00463667" w:rsidRDefault="008F735B" w:rsidP="00F578E0">
            <w:pPr>
              <w:pStyle w:val="Body"/>
              <w:spacing w:before="120"/>
            </w:pPr>
            <w:r w:rsidRPr="00463667">
              <w:t>A prenatal visit in the first trimester or within 42 days of enrollment, depending on the date of enrollment in the organization and the gaps in enrollment during the pregnancy.</w:t>
            </w:r>
          </w:p>
          <w:p w14:paraId="6A28145E" w14:textId="77777777" w:rsidR="008F735B" w:rsidRPr="00463667" w:rsidRDefault="008F735B" w:rsidP="00D76147">
            <w:pPr>
              <w:pStyle w:val="Body"/>
              <w:spacing w:before="120"/>
              <w:rPr>
                <w:i/>
              </w:rPr>
            </w:pPr>
            <w:r w:rsidRPr="00463667">
              <w:rPr>
                <w:i/>
              </w:rPr>
              <w:t>Include only visits that occur while the member was enrolled.</w:t>
            </w:r>
          </w:p>
          <w:p w14:paraId="1EA243F3" w14:textId="77777777" w:rsidR="008F735B" w:rsidRPr="00463667" w:rsidRDefault="008F735B" w:rsidP="00F578E0">
            <w:pPr>
              <w:pStyle w:val="Body"/>
            </w:pPr>
            <w:r w:rsidRPr="00463667">
              <w:t>Follow the steps below to identify the numerator.</w:t>
            </w:r>
          </w:p>
        </w:tc>
      </w:tr>
      <w:tr w:rsidR="008F735B" w:rsidRPr="00463667" w14:paraId="27BF8D4D" w14:textId="77777777" w:rsidTr="00D76147">
        <w:tc>
          <w:tcPr>
            <w:tcW w:w="1818" w:type="dxa"/>
          </w:tcPr>
          <w:p w14:paraId="1EEA423B" w14:textId="77777777" w:rsidR="008F735B" w:rsidRPr="00463667" w:rsidRDefault="008F735B" w:rsidP="00F578E0">
            <w:pPr>
              <w:pStyle w:val="MarginSubhead"/>
              <w:jc w:val="right"/>
            </w:pPr>
            <w:r w:rsidRPr="00463667">
              <w:rPr>
                <w:i/>
              </w:rPr>
              <w:t>Step 1</w:t>
            </w:r>
          </w:p>
        </w:tc>
        <w:tc>
          <w:tcPr>
            <w:tcW w:w="8100" w:type="dxa"/>
          </w:tcPr>
          <w:p w14:paraId="1BFBA2BC" w14:textId="77777777" w:rsidR="008F735B" w:rsidRPr="00463667" w:rsidRDefault="008F735B" w:rsidP="00F578E0">
            <w:pPr>
              <w:pStyle w:val="Body"/>
            </w:pPr>
            <w:r w:rsidRPr="00463667">
              <w:t xml:space="preserve">Determine enrollment status during the first trimester. For all women in the eligible population, identify those who were enrolled on or before 280 days prior to delivery (or estimated date of delivery [EDD]). For these women, proceed to step 2. </w:t>
            </w:r>
          </w:p>
          <w:p w14:paraId="1F9EBCD9" w14:textId="77777777" w:rsidR="008F735B" w:rsidRPr="00463667" w:rsidRDefault="008F735B" w:rsidP="00F578E0">
            <w:pPr>
              <w:pStyle w:val="Body"/>
            </w:pPr>
            <w:r w:rsidRPr="00463667">
              <w:t>For women not enrolled on or before 280 days prior to delivery (or EDD), who were therefore pregnant at the time of enrollment, proceed to step 3.</w:t>
            </w:r>
          </w:p>
        </w:tc>
      </w:tr>
      <w:tr w:rsidR="008F735B" w:rsidRPr="00463667" w14:paraId="56B2F058" w14:textId="77777777" w:rsidTr="00D76147">
        <w:tc>
          <w:tcPr>
            <w:tcW w:w="1818" w:type="dxa"/>
          </w:tcPr>
          <w:p w14:paraId="7A9C8CD9" w14:textId="77777777" w:rsidR="008F735B" w:rsidRPr="00463667" w:rsidRDefault="008F735B" w:rsidP="00F578E0">
            <w:pPr>
              <w:pStyle w:val="MarginSubhead"/>
              <w:jc w:val="right"/>
              <w:rPr>
                <w:i/>
              </w:rPr>
            </w:pPr>
            <w:r w:rsidRPr="00463667">
              <w:rPr>
                <w:i/>
              </w:rPr>
              <w:t>Step 2</w:t>
            </w:r>
          </w:p>
        </w:tc>
        <w:tc>
          <w:tcPr>
            <w:tcW w:w="8100" w:type="dxa"/>
          </w:tcPr>
          <w:p w14:paraId="62D464C7" w14:textId="77777777" w:rsidR="008F735B" w:rsidRPr="00463667" w:rsidRDefault="008F735B" w:rsidP="00F578E0">
            <w:pPr>
              <w:pStyle w:val="Body"/>
              <w:rPr>
                <w:i/>
              </w:rPr>
            </w:pPr>
            <w:r w:rsidRPr="00463667">
              <w:t>Determine continuous enrollment for the first trimester. Identify women from step 1 who were continuously enrolled during the first trimester (176–280 days prior to delivery [or EDD]), with no gaps in enrollment. For these women, determine numerator compliance using the decision rules for</w:t>
            </w:r>
            <w:r w:rsidRPr="00463667">
              <w:rPr>
                <w:i/>
              </w:rPr>
              <w:t xml:space="preserve"> Identifying Prenatal Care For Women Continuously Enrolled During the First Trimester.</w:t>
            </w:r>
          </w:p>
          <w:p w14:paraId="092B218E" w14:textId="77777777" w:rsidR="008F735B" w:rsidRPr="00463667" w:rsidRDefault="008F735B" w:rsidP="00F578E0">
            <w:pPr>
              <w:pStyle w:val="Body"/>
            </w:pPr>
            <w:r w:rsidRPr="00463667">
              <w:t xml:space="preserve">For women who were not continuously enrolled during the first trimester (e.g., had a gap between 176 and 280 days before delivery), proceed to step 3. </w:t>
            </w:r>
          </w:p>
        </w:tc>
      </w:tr>
      <w:tr w:rsidR="008F735B" w:rsidRPr="00463667" w14:paraId="18F27075" w14:textId="77777777" w:rsidTr="00D76147">
        <w:trPr>
          <w:cantSplit/>
        </w:trPr>
        <w:tc>
          <w:tcPr>
            <w:tcW w:w="1818" w:type="dxa"/>
          </w:tcPr>
          <w:p w14:paraId="29BB3CCE" w14:textId="77777777" w:rsidR="008F735B" w:rsidRPr="00463667" w:rsidRDefault="008F735B" w:rsidP="00F578E0">
            <w:pPr>
              <w:pStyle w:val="MarginSubhead"/>
              <w:jc w:val="right"/>
              <w:rPr>
                <w:i/>
              </w:rPr>
            </w:pPr>
            <w:r w:rsidRPr="00463667">
              <w:rPr>
                <w:i/>
              </w:rPr>
              <w:t>Step 3</w:t>
            </w:r>
          </w:p>
        </w:tc>
        <w:tc>
          <w:tcPr>
            <w:tcW w:w="8100" w:type="dxa"/>
          </w:tcPr>
          <w:p w14:paraId="0F1886B4" w14:textId="77777777" w:rsidR="008F735B" w:rsidRPr="00463667" w:rsidRDefault="008F735B" w:rsidP="00F578E0">
            <w:pPr>
              <w:pStyle w:val="Body"/>
            </w:pPr>
            <w:r w:rsidRPr="00463667">
              <w:t>Determine the start date of the last enrollment segment (i.e., the enrollment segment during the pregnancy with the start date that is closest to the delivery date).</w:t>
            </w:r>
          </w:p>
          <w:p w14:paraId="3AF44F07" w14:textId="77777777" w:rsidR="008F735B" w:rsidRPr="00463667" w:rsidRDefault="008F735B" w:rsidP="00F578E0">
            <w:pPr>
              <w:pStyle w:val="Body"/>
            </w:pPr>
            <w:r w:rsidRPr="005A7514">
              <w:rPr>
                <w:i/>
              </w:rPr>
              <w:t>For women whose last enrollment started on or between 219 and 279 days before delivery,</w:t>
            </w:r>
            <w:r w:rsidRPr="00463667">
              <w:t xml:space="preserve"> proceed to step 4. </w:t>
            </w:r>
          </w:p>
          <w:p w14:paraId="49889CC1" w14:textId="76FA0AC3" w:rsidR="008F735B" w:rsidRPr="00463667" w:rsidRDefault="008F735B" w:rsidP="005A7514">
            <w:pPr>
              <w:pStyle w:val="Body"/>
            </w:pPr>
            <w:r w:rsidRPr="005A7514">
              <w:rPr>
                <w:i/>
              </w:rPr>
              <w:t>For women whose last enrollment started less than 219 days before delivery,</w:t>
            </w:r>
            <w:r w:rsidRPr="00463667">
              <w:t xml:space="preserve"> proceed to step 5.</w:t>
            </w:r>
          </w:p>
        </w:tc>
      </w:tr>
      <w:tr w:rsidR="008F735B" w:rsidRPr="00463667" w14:paraId="5615D14F" w14:textId="77777777" w:rsidTr="00D76147">
        <w:tc>
          <w:tcPr>
            <w:tcW w:w="1818" w:type="dxa"/>
          </w:tcPr>
          <w:p w14:paraId="27D0F1E7" w14:textId="77777777" w:rsidR="008F735B" w:rsidRPr="00463667" w:rsidRDefault="008F735B" w:rsidP="00F578E0">
            <w:pPr>
              <w:pStyle w:val="MarginSubhead"/>
              <w:jc w:val="right"/>
              <w:rPr>
                <w:i/>
              </w:rPr>
            </w:pPr>
            <w:r w:rsidRPr="00463667">
              <w:rPr>
                <w:i/>
              </w:rPr>
              <w:t>Step 4</w:t>
            </w:r>
          </w:p>
        </w:tc>
        <w:tc>
          <w:tcPr>
            <w:tcW w:w="8100" w:type="dxa"/>
          </w:tcPr>
          <w:p w14:paraId="15DCE3A4" w14:textId="77777777" w:rsidR="008F735B" w:rsidRPr="00463667" w:rsidRDefault="008F735B" w:rsidP="00F578E0">
            <w:pPr>
              <w:pStyle w:val="Body"/>
            </w:pPr>
            <w:r w:rsidRPr="00463667">
              <w:t xml:space="preserve">Determine numerator compliance. If the last enrollment segment started on or between 219 and 279 days before delivery, determine numerator compliance using the instructions for </w:t>
            </w:r>
            <w:r w:rsidRPr="00463667">
              <w:rPr>
                <w:i/>
              </w:rPr>
              <w:t>Identifying Prenatal Care for Women Not Continuously Enrolled During the First Trimester</w:t>
            </w:r>
            <w:r w:rsidRPr="00463667">
              <w:t xml:space="preserve"> and find a visit between the last enrollment start date and 176 days before delivery. </w:t>
            </w:r>
          </w:p>
        </w:tc>
      </w:tr>
      <w:tr w:rsidR="00D76147" w:rsidRPr="00463667" w14:paraId="62E5026F" w14:textId="77777777" w:rsidTr="00D76147">
        <w:tc>
          <w:tcPr>
            <w:tcW w:w="1818" w:type="dxa"/>
          </w:tcPr>
          <w:p w14:paraId="4FD768BC" w14:textId="77777777" w:rsidR="00D76147" w:rsidRPr="00463667" w:rsidRDefault="00D76147" w:rsidP="00D76147">
            <w:pPr>
              <w:pStyle w:val="MarginSubhead"/>
              <w:jc w:val="right"/>
              <w:rPr>
                <w:i/>
              </w:rPr>
            </w:pPr>
            <w:r w:rsidRPr="00463667">
              <w:rPr>
                <w:i/>
              </w:rPr>
              <w:t>Step 5</w:t>
            </w:r>
          </w:p>
        </w:tc>
        <w:tc>
          <w:tcPr>
            <w:tcW w:w="8100" w:type="dxa"/>
          </w:tcPr>
          <w:p w14:paraId="15D9E2F8" w14:textId="77777777" w:rsidR="00D76147" w:rsidRPr="00463667" w:rsidRDefault="00D76147" w:rsidP="00D76147">
            <w:pPr>
              <w:pStyle w:val="Body"/>
            </w:pPr>
            <w:r w:rsidRPr="00463667">
              <w:t xml:space="preserve">Determine numerator compliance. If the last enrollment segment started less than 219 days before delivery (i.e., between 219 days before delivery and the day of delivery), determine numerator compliance using the instructions for </w:t>
            </w:r>
            <w:r w:rsidRPr="00D76147">
              <w:t>Identifying Prenatal Care for Women Not Continuously Enrolled During the First Trimester</w:t>
            </w:r>
            <w:r w:rsidRPr="00463667">
              <w:t xml:space="preserve"> and find a visit within 42 days after enrollment.</w:t>
            </w:r>
          </w:p>
        </w:tc>
      </w:tr>
    </w:tbl>
    <w:p w14:paraId="1E0BAF86" w14:textId="77777777" w:rsidR="008F735B" w:rsidRPr="00463667" w:rsidRDefault="008F735B" w:rsidP="008F735B">
      <w:pPr>
        <w:pStyle w:val="TableText"/>
        <w:spacing w:before="120" w:after="0" w:line="240" w:lineRule="auto"/>
        <w:rPr>
          <w:rFonts w:ascii="Arial" w:hAnsi="Arial" w:cs="Arial"/>
          <w:sz w:val="18"/>
          <w:szCs w:val="18"/>
        </w:rPr>
      </w:pPr>
    </w:p>
    <w:p w14:paraId="415969C4" w14:textId="77777777" w:rsidR="008F735B" w:rsidRPr="00463667" w:rsidRDefault="008F735B" w:rsidP="008F735B">
      <w:pPr>
        <w:pStyle w:val="TableText"/>
        <w:spacing w:before="120" w:after="0" w:line="240" w:lineRule="auto"/>
        <w:rPr>
          <w:rFonts w:ascii="Arial" w:hAnsi="Arial" w:cs="Arial"/>
          <w:sz w:val="18"/>
          <w:szCs w:val="18"/>
        </w:rPr>
        <w:sectPr w:rsidR="008F735B" w:rsidRPr="00463667" w:rsidSect="00F578E0">
          <w:headerReference w:type="even" r:id="rId40"/>
          <w:headerReference w:type="default" r:id="rId41"/>
          <w:footnotePr>
            <w:numStart w:val="4"/>
          </w:footnotePr>
          <w:pgSz w:w="12240" w:h="15840" w:code="1"/>
          <w:pgMar w:top="1080" w:right="1080" w:bottom="1080" w:left="1440" w:header="720" w:footer="720" w:gutter="0"/>
          <w:cols w:space="720"/>
        </w:sectPr>
      </w:pPr>
    </w:p>
    <w:p w14:paraId="3378DF4F" w14:textId="5BCAAF70" w:rsidR="008F735B" w:rsidRPr="00463667" w:rsidRDefault="008F735B" w:rsidP="00D76147">
      <w:pPr>
        <w:pStyle w:val="SubHead20"/>
        <w:spacing w:before="0"/>
      </w:pPr>
      <w:r w:rsidRPr="00463667">
        <w:lastRenderedPageBreak/>
        <w:t xml:space="preserve">Identifying Prenatal Care </w:t>
      </w:r>
      <w:r w:rsidR="0032719C">
        <w:t>f</w:t>
      </w:r>
      <w:r w:rsidRPr="00463667">
        <w:t>or Women Continuously Enrolled During the First Trimester</w:t>
      </w:r>
    </w:p>
    <w:tbl>
      <w:tblPr>
        <w:tblW w:w="0" w:type="auto"/>
        <w:tblInd w:w="18" w:type="dxa"/>
        <w:tblLayout w:type="fixed"/>
        <w:tblLook w:val="0000" w:firstRow="0" w:lastRow="0" w:firstColumn="0" w:lastColumn="0" w:noHBand="0" w:noVBand="0"/>
      </w:tblPr>
      <w:tblGrid>
        <w:gridCol w:w="1710"/>
        <w:gridCol w:w="8100"/>
      </w:tblGrid>
      <w:tr w:rsidR="008F735B" w:rsidRPr="00463667" w14:paraId="334606A7" w14:textId="77777777" w:rsidTr="00F578E0">
        <w:tc>
          <w:tcPr>
            <w:tcW w:w="1710" w:type="dxa"/>
          </w:tcPr>
          <w:p w14:paraId="3F1BAFF1" w14:textId="77777777" w:rsidR="008F735B" w:rsidRPr="00463667" w:rsidRDefault="008F735B" w:rsidP="00F578E0">
            <w:pPr>
              <w:pStyle w:val="MarginSubhead"/>
            </w:pPr>
            <w:r w:rsidRPr="00463667">
              <w:t>Decision Rule 1</w:t>
            </w:r>
          </w:p>
        </w:tc>
        <w:tc>
          <w:tcPr>
            <w:tcW w:w="8100" w:type="dxa"/>
          </w:tcPr>
          <w:p w14:paraId="24398D04" w14:textId="77777777" w:rsidR="008F735B" w:rsidRPr="00463667" w:rsidRDefault="008F735B" w:rsidP="00F578E0">
            <w:pPr>
              <w:pStyle w:val="Body"/>
            </w:pPr>
            <w:r w:rsidRPr="00463667">
              <w:t>Either of the following during the first trimester, where the practitioner type is an OB/GYN or other prenatal care practitioner or PCP meets criteria:</w:t>
            </w:r>
          </w:p>
          <w:p w14:paraId="4EE38B79" w14:textId="77777777" w:rsidR="008F735B" w:rsidRPr="00463667" w:rsidRDefault="008F735B" w:rsidP="00F578E0">
            <w:pPr>
              <w:pStyle w:val="Bullet"/>
            </w:pPr>
            <w:r w:rsidRPr="00463667">
              <w:t>A bundled service (</w:t>
            </w:r>
            <w:r w:rsidRPr="00463667">
              <w:rPr>
                <w:u w:val="single"/>
              </w:rPr>
              <w:t>Prenatal Bundled Services Value Set</w:t>
            </w:r>
            <w:r w:rsidRPr="00463667">
              <w:t xml:space="preserve">) where the organization can identify the date when prenatal care was initiated (because bundled service codes are used on the date of delivery, these codes may be used only if the claim form indicates when prenatal care was initiated). </w:t>
            </w:r>
          </w:p>
          <w:p w14:paraId="0A6A8391" w14:textId="77777777" w:rsidR="008F735B" w:rsidRPr="00463667" w:rsidRDefault="008F735B" w:rsidP="00F578E0">
            <w:pPr>
              <w:pStyle w:val="Bullet"/>
            </w:pPr>
            <w:r w:rsidRPr="00463667">
              <w:t>A visit for prenatal care (</w:t>
            </w:r>
            <w:r w:rsidRPr="00463667">
              <w:rPr>
                <w:u w:val="single"/>
              </w:rPr>
              <w:t>Stand Alone Prenatal Visits Value Set</w:t>
            </w:r>
            <w:r w:rsidRPr="00463667">
              <w:t xml:space="preserve">). </w:t>
            </w:r>
          </w:p>
        </w:tc>
      </w:tr>
      <w:tr w:rsidR="008F735B" w:rsidRPr="00463667" w14:paraId="58C44BF3" w14:textId="77777777" w:rsidTr="00F578E0">
        <w:tc>
          <w:tcPr>
            <w:tcW w:w="1710" w:type="dxa"/>
          </w:tcPr>
          <w:p w14:paraId="2079F841" w14:textId="77777777" w:rsidR="008F735B" w:rsidRPr="00463667" w:rsidRDefault="008F735B" w:rsidP="00F578E0">
            <w:pPr>
              <w:pStyle w:val="MarginSubhead"/>
            </w:pPr>
            <w:r w:rsidRPr="00463667">
              <w:t>Decision Rule 2</w:t>
            </w:r>
          </w:p>
        </w:tc>
        <w:tc>
          <w:tcPr>
            <w:tcW w:w="8100" w:type="dxa"/>
          </w:tcPr>
          <w:p w14:paraId="0235A950" w14:textId="77777777" w:rsidR="008F735B" w:rsidRPr="00463667" w:rsidRDefault="008F735B" w:rsidP="00F578E0">
            <w:pPr>
              <w:pStyle w:val="Body"/>
            </w:pPr>
            <w:r w:rsidRPr="00463667">
              <w:t>Any of the following during the first trimester, where the practitioner type for the prenatal visit is an OB/GYN or other prenatal care practitioner, meet criteria:</w:t>
            </w:r>
          </w:p>
          <w:p w14:paraId="5FAD116A" w14:textId="77777777" w:rsidR="008F735B" w:rsidRPr="00463667" w:rsidRDefault="008F735B" w:rsidP="00F578E0">
            <w:pPr>
              <w:pStyle w:val="Bullet"/>
            </w:pPr>
            <w:r w:rsidRPr="00463667">
              <w:t>A prenatal visit (</w:t>
            </w:r>
            <w:r w:rsidRPr="00463667">
              <w:rPr>
                <w:u w:val="single"/>
              </w:rPr>
              <w:t>Prenatal Visits Value Set</w:t>
            </w:r>
            <w:r w:rsidRPr="00463667">
              <w:t>) with an obstetric panel (</w:t>
            </w:r>
            <w:r w:rsidRPr="00463667">
              <w:rPr>
                <w:u w:val="single"/>
              </w:rPr>
              <w:t>Obstetric Panel Value Set</w:t>
            </w:r>
            <w:r w:rsidRPr="00463667">
              <w:t>).</w:t>
            </w:r>
          </w:p>
          <w:p w14:paraId="0D8207EC" w14:textId="77777777" w:rsidR="008F735B" w:rsidRPr="00463667" w:rsidRDefault="008F735B" w:rsidP="00F578E0">
            <w:pPr>
              <w:pStyle w:val="Bullet"/>
            </w:pPr>
            <w:r w:rsidRPr="00463667">
              <w:t>A prenatal visit (</w:t>
            </w:r>
            <w:r w:rsidRPr="00463667">
              <w:rPr>
                <w:u w:val="single"/>
              </w:rPr>
              <w:t>Prenatal Visits Value Set</w:t>
            </w:r>
            <w:r w:rsidRPr="00463667">
              <w:t>) with</w:t>
            </w:r>
            <w:r w:rsidRPr="00463667" w:rsidDel="00DC2EC8">
              <w:t xml:space="preserve"> </w:t>
            </w:r>
            <w:r w:rsidRPr="00463667">
              <w:t>an ultrasound (echocardiography) of the pregnant uterus (</w:t>
            </w:r>
            <w:r w:rsidRPr="00463667">
              <w:rPr>
                <w:u w:val="single"/>
              </w:rPr>
              <w:t>Prenatal Ultrasound Value Set</w:t>
            </w:r>
            <w:r w:rsidRPr="00463667">
              <w:t>).</w:t>
            </w:r>
          </w:p>
          <w:p w14:paraId="5076AF3E" w14:textId="77777777" w:rsidR="008F735B" w:rsidRPr="00463667" w:rsidRDefault="008F735B" w:rsidP="00F578E0">
            <w:pPr>
              <w:pStyle w:val="Bullet"/>
            </w:pPr>
            <w:r w:rsidRPr="00463667">
              <w:t>A prenatal visit (</w:t>
            </w:r>
            <w:r w:rsidRPr="00463667">
              <w:rPr>
                <w:u w:val="single"/>
              </w:rPr>
              <w:t>Prenatal Visits Value Set</w:t>
            </w:r>
            <w:r w:rsidRPr="00463667">
              <w:t>) with</w:t>
            </w:r>
            <w:r w:rsidRPr="00463667" w:rsidDel="00DC2EC8">
              <w:t xml:space="preserve"> </w:t>
            </w:r>
            <w:r w:rsidRPr="00463667">
              <w:t>a pregnancy-related diagnosis code (</w:t>
            </w:r>
            <w:r w:rsidRPr="00463667">
              <w:rPr>
                <w:u w:val="single"/>
              </w:rPr>
              <w:t>Pregnancy Diagnosis Value Set</w:t>
            </w:r>
            <w:r w:rsidRPr="00463667">
              <w:t>).</w:t>
            </w:r>
          </w:p>
          <w:p w14:paraId="742DB470" w14:textId="77777777" w:rsidR="008F735B" w:rsidRPr="00463667" w:rsidRDefault="008F735B" w:rsidP="00F578E0">
            <w:pPr>
              <w:pStyle w:val="Bullet"/>
            </w:pPr>
            <w:r w:rsidRPr="00463667">
              <w:t>A prenatal visit (</w:t>
            </w:r>
            <w:r w:rsidRPr="00463667">
              <w:rPr>
                <w:u w:val="single"/>
              </w:rPr>
              <w:t>Prenatal Visits Value Set</w:t>
            </w:r>
            <w:r w:rsidRPr="00463667">
              <w:t>) with all of the following:</w:t>
            </w:r>
          </w:p>
          <w:p w14:paraId="18702181" w14:textId="77777777" w:rsidR="008F735B" w:rsidRPr="00463667" w:rsidRDefault="008F735B" w:rsidP="00F578E0">
            <w:pPr>
              <w:pStyle w:val="Dash"/>
            </w:pPr>
            <w:r w:rsidRPr="00463667">
              <w:t>Toxoplasma (</w:t>
            </w:r>
            <w:r w:rsidRPr="00463667">
              <w:rPr>
                <w:u w:val="single"/>
              </w:rPr>
              <w:t>Toxoplasma Antibody Value Set</w:t>
            </w:r>
            <w:r w:rsidRPr="00463667">
              <w:t>).</w:t>
            </w:r>
          </w:p>
          <w:p w14:paraId="20C20C3C" w14:textId="77777777" w:rsidR="008F735B" w:rsidRPr="00463667" w:rsidRDefault="008F735B" w:rsidP="00F578E0">
            <w:pPr>
              <w:pStyle w:val="Dash"/>
            </w:pPr>
            <w:r w:rsidRPr="00463667">
              <w:t>Rubella (</w:t>
            </w:r>
            <w:r w:rsidRPr="00463667">
              <w:rPr>
                <w:u w:val="single"/>
              </w:rPr>
              <w:t>Rubella Antibody Value Set</w:t>
            </w:r>
            <w:r w:rsidRPr="00463667">
              <w:t>).</w:t>
            </w:r>
          </w:p>
          <w:p w14:paraId="4F5C2061" w14:textId="77777777" w:rsidR="008F735B" w:rsidRPr="00463667" w:rsidRDefault="008F735B" w:rsidP="00F578E0">
            <w:pPr>
              <w:pStyle w:val="Dash"/>
            </w:pPr>
            <w:r w:rsidRPr="00463667">
              <w:t>Cytomegalovirus (</w:t>
            </w:r>
            <w:r w:rsidRPr="00463667">
              <w:rPr>
                <w:u w:val="single"/>
              </w:rPr>
              <w:t>Cytomegalovirus Antibody Value Set</w:t>
            </w:r>
            <w:r w:rsidRPr="00463667">
              <w:t>).</w:t>
            </w:r>
          </w:p>
          <w:p w14:paraId="1C530720" w14:textId="77777777" w:rsidR="008F735B" w:rsidRPr="00463667" w:rsidRDefault="008F735B" w:rsidP="00F578E0">
            <w:pPr>
              <w:pStyle w:val="Dash"/>
            </w:pPr>
            <w:r w:rsidRPr="00463667">
              <w:t>Herpes simplex (</w:t>
            </w:r>
            <w:r w:rsidRPr="00463667">
              <w:rPr>
                <w:u w:val="single"/>
              </w:rPr>
              <w:t>Herpes Simplex Antibody Value Set</w:t>
            </w:r>
            <w:r w:rsidRPr="00463667">
              <w:t>).</w:t>
            </w:r>
          </w:p>
          <w:p w14:paraId="384520F4" w14:textId="77777777" w:rsidR="008F735B" w:rsidRPr="00463667" w:rsidRDefault="008F735B" w:rsidP="00F578E0">
            <w:pPr>
              <w:pStyle w:val="Bullet"/>
            </w:pPr>
            <w:r w:rsidRPr="00463667">
              <w:t>A prenatal visit (</w:t>
            </w:r>
            <w:r w:rsidRPr="00463667">
              <w:rPr>
                <w:u w:val="single"/>
              </w:rPr>
              <w:t>Prenatal Visits Value Set</w:t>
            </w:r>
            <w:r w:rsidRPr="00463667">
              <w:t>) with rubella (</w:t>
            </w:r>
            <w:r w:rsidRPr="00463667">
              <w:rPr>
                <w:u w:val="single"/>
              </w:rPr>
              <w:t>Rubella Antibody Value Set</w:t>
            </w:r>
            <w:r w:rsidRPr="00463667">
              <w:t>) and ABO (</w:t>
            </w:r>
            <w:r w:rsidRPr="00463667">
              <w:rPr>
                <w:u w:val="single"/>
              </w:rPr>
              <w:t>ABO Value Set</w:t>
            </w:r>
            <w:r w:rsidRPr="00463667">
              <w:t>).</w:t>
            </w:r>
          </w:p>
          <w:p w14:paraId="4F0E11AC" w14:textId="77777777" w:rsidR="008F735B" w:rsidRPr="00463667" w:rsidRDefault="008F735B" w:rsidP="00F578E0">
            <w:pPr>
              <w:pStyle w:val="Bullet"/>
            </w:pPr>
            <w:r w:rsidRPr="00463667">
              <w:t>A prenatal visit (</w:t>
            </w:r>
            <w:r w:rsidRPr="00463667">
              <w:rPr>
                <w:u w:val="single"/>
              </w:rPr>
              <w:t>Prenatal Visits Value Set</w:t>
            </w:r>
            <w:r w:rsidRPr="00463667">
              <w:t>) with rubella (</w:t>
            </w:r>
            <w:r w:rsidRPr="00463667">
              <w:rPr>
                <w:u w:val="single"/>
              </w:rPr>
              <w:t>Rubella Antibody Value Set</w:t>
            </w:r>
            <w:r w:rsidRPr="00463667">
              <w:t>) and Rh (</w:t>
            </w:r>
            <w:r w:rsidRPr="00463667">
              <w:rPr>
                <w:u w:val="single"/>
              </w:rPr>
              <w:t>Rh Value Set</w:t>
            </w:r>
            <w:r w:rsidRPr="00463667">
              <w:t>).</w:t>
            </w:r>
          </w:p>
          <w:p w14:paraId="69C8D5F0" w14:textId="77777777" w:rsidR="008F735B" w:rsidRPr="00463667" w:rsidRDefault="008F735B" w:rsidP="00F578E0">
            <w:pPr>
              <w:pStyle w:val="Bullet"/>
            </w:pPr>
            <w:r w:rsidRPr="00463667">
              <w:t>A prenatal visit (</w:t>
            </w:r>
            <w:r w:rsidRPr="00463667">
              <w:rPr>
                <w:u w:val="single"/>
              </w:rPr>
              <w:t>Prenatal Visits Value Set</w:t>
            </w:r>
            <w:r w:rsidRPr="00463667">
              <w:t>) with rubella (</w:t>
            </w:r>
            <w:r w:rsidRPr="00463667">
              <w:rPr>
                <w:u w:val="single"/>
              </w:rPr>
              <w:t>Rubella Antibody Value Set</w:t>
            </w:r>
            <w:r w:rsidRPr="00463667">
              <w:t>) and ABO/Rh (</w:t>
            </w:r>
            <w:r w:rsidRPr="00463667">
              <w:rPr>
                <w:u w:val="single"/>
              </w:rPr>
              <w:t>ABO and Rh Value Set</w:t>
            </w:r>
            <w:r w:rsidRPr="00463667">
              <w:t>).</w:t>
            </w:r>
          </w:p>
        </w:tc>
      </w:tr>
      <w:tr w:rsidR="008F735B" w:rsidRPr="00463667" w14:paraId="2E9CA093" w14:textId="77777777" w:rsidTr="00F578E0">
        <w:tc>
          <w:tcPr>
            <w:tcW w:w="1710" w:type="dxa"/>
          </w:tcPr>
          <w:p w14:paraId="7DA29B77" w14:textId="77777777" w:rsidR="008F735B" w:rsidRPr="00463667" w:rsidRDefault="008F735B" w:rsidP="00F578E0">
            <w:pPr>
              <w:pStyle w:val="MarginSubhead"/>
            </w:pPr>
            <w:r w:rsidRPr="00463667">
              <w:t>Decision Rule 3</w:t>
            </w:r>
          </w:p>
        </w:tc>
        <w:tc>
          <w:tcPr>
            <w:tcW w:w="8100" w:type="dxa"/>
          </w:tcPr>
          <w:p w14:paraId="62331D8A" w14:textId="77777777" w:rsidR="008F735B" w:rsidRPr="00463667" w:rsidRDefault="008F735B" w:rsidP="00F578E0">
            <w:pPr>
              <w:pStyle w:val="Body"/>
            </w:pPr>
            <w:r w:rsidRPr="00463667">
              <w:t>Any of the following during the first trimester, where the practitioner type is a PCP, meet criteria:</w:t>
            </w:r>
          </w:p>
          <w:p w14:paraId="5E0113F8" w14:textId="77777777" w:rsidR="008F735B" w:rsidRPr="00463667" w:rsidRDefault="008F735B" w:rsidP="00F578E0">
            <w:pPr>
              <w:pStyle w:val="Bullet"/>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an obstetric panel (</w:t>
            </w:r>
            <w:r w:rsidRPr="00463667">
              <w:rPr>
                <w:u w:val="single"/>
              </w:rPr>
              <w:t>Obstetric Panel Value Set</w:t>
            </w:r>
            <w:r w:rsidRPr="00463667">
              <w:t xml:space="preserve">). </w:t>
            </w:r>
          </w:p>
          <w:p w14:paraId="6A67ECF4" w14:textId="77777777" w:rsidR="008F735B" w:rsidRPr="00463667" w:rsidRDefault="008F735B" w:rsidP="00F578E0">
            <w:pPr>
              <w:pStyle w:val="Bullet"/>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an ultrasound (echocardiography) of the pregnant uterus (</w:t>
            </w:r>
            <w:r w:rsidRPr="00463667">
              <w:rPr>
                <w:u w:val="single"/>
              </w:rPr>
              <w:t>Prenatal Ultrasound Value Set</w:t>
            </w:r>
            <w:r w:rsidRPr="00463667">
              <w:t>).</w:t>
            </w:r>
          </w:p>
          <w:p w14:paraId="26842958" w14:textId="77777777" w:rsidR="009E2937" w:rsidRPr="00463667" w:rsidRDefault="009E2937" w:rsidP="009E2937">
            <w:pPr>
              <w:pStyle w:val="Bullet"/>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all of the following:</w:t>
            </w:r>
          </w:p>
          <w:p w14:paraId="3732CFDD" w14:textId="77777777" w:rsidR="009E2937" w:rsidRPr="00463667" w:rsidRDefault="009E2937" w:rsidP="009E2937">
            <w:pPr>
              <w:pStyle w:val="Dash"/>
            </w:pPr>
            <w:r w:rsidRPr="00463667">
              <w:t>Toxoplasma (</w:t>
            </w:r>
            <w:r w:rsidRPr="00463667">
              <w:rPr>
                <w:u w:val="single"/>
              </w:rPr>
              <w:t>Toxoplasma Antibody Value Set</w:t>
            </w:r>
            <w:r w:rsidRPr="00463667">
              <w:t>).</w:t>
            </w:r>
          </w:p>
          <w:p w14:paraId="335D2249" w14:textId="77777777" w:rsidR="009E2937" w:rsidRPr="00463667" w:rsidRDefault="009E2937" w:rsidP="009E2937">
            <w:pPr>
              <w:pStyle w:val="Dash"/>
            </w:pPr>
            <w:r w:rsidRPr="00463667">
              <w:t>Rubella (</w:t>
            </w:r>
            <w:r w:rsidRPr="00463667">
              <w:rPr>
                <w:u w:val="single"/>
              </w:rPr>
              <w:t>Rubella Antibody Value Set</w:t>
            </w:r>
            <w:r w:rsidRPr="00463667">
              <w:t>).</w:t>
            </w:r>
          </w:p>
          <w:p w14:paraId="16F90B8F" w14:textId="77777777" w:rsidR="009E2937" w:rsidRPr="00463667" w:rsidRDefault="009E2937" w:rsidP="009E2937">
            <w:pPr>
              <w:pStyle w:val="Dash"/>
            </w:pPr>
            <w:r w:rsidRPr="00463667">
              <w:t>Cytomegalovirus (</w:t>
            </w:r>
            <w:r w:rsidRPr="00463667">
              <w:rPr>
                <w:u w:val="single"/>
              </w:rPr>
              <w:t>Cytomegalovirus Antibody Value Set</w:t>
            </w:r>
            <w:r w:rsidRPr="00463667">
              <w:t>).</w:t>
            </w:r>
          </w:p>
          <w:p w14:paraId="6B3D39E6" w14:textId="77777777" w:rsidR="009E2937" w:rsidRPr="00463667" w:rsidRDefault="009E2937" w:rsidP="009E2937">
            <w:pPr>
              <w:pStyle w:val="Dash"/>
            </w:pPr>
            <w:r w:rsidRPr="00463667">
              <w:t>Herpes simplex (</w:t>
            </w:r>
            <w:r w:rsidRPr="00463667">
              <w:rPr>
                <w:u w:val="single"/>
              </w:rPr>
              <w:t>Herpes Simplex Antibody Value Set</w:t>
            </w:r>
            <w:r w:rsidRPr="00463667">
              <w:t>).</w:t>
            </w:r>
          </w:p>
          <w:p w14:paraId="2FFA4101" w14:textId="77777777" w:rsidR="008F735B" w:rsidRPr="00463667" w:rsidRDefault="008F735B" w:rsidP="00F578E0">
            <w:pPr>
              <w:pStyle w:val="Note"/>
            </w:pPr>
          </w:p>
        </w:tc>
      </w:tr>
    </w:tbl>
    <w:p w14:paraId="49C8FFBE" w14:textId="77777777" w:rsidR="008F735B" w:rsidRPr="00463667" w:rsidRDefault="008F735B" w:rsidP="008F735B">
      <w:pPr>
        <w:sectPr w:rsidR="008F735B" w:rsidRPr="00463667" w:rsidSect="00F578E0">
          <w:headerReference w:type="even" r:id="rId42"/>
          <w:headerReference w:type="default" r:id="rId43"/>
          <w:footnotePr>
            <w:numStart w:val="4"/>
          </w:footnotePr>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1710"/>
        <w:gridCol w:w="8100"/>
      </w:tblGrid>
      <w:tr w:rsidR="008F735B" w:rsidRPr="00463667" w14:paraId="190B79EB" w14:textId="77777777" w:rsidTr="00F578E0">
        <w:tc>
          <w:tcPr>
            <w:tcW w:w="1710" w:type="dxa"/>
          </w:tcPr>
          <w:p w14:paraId="3F07FBC8" w14:textId="77777777" w:rsidR="008F735B" w:rsidRPr="00463667" w:rsidRDefault="008F735B" w:rsidP="00F578E0">
            <w:pPr>
              <w:pStyle w:val="MarginSubhead"/>
            </w:pPr>
          </w:p>
        </w:tc>
        <w:tc>
          <w:tcPr>
            <w:tcW w:w="8100" w:type="dxa"/>
          </w:tcPr>
          <w:p w14:paraId="0CDC50EC" w14:textId="77777777" w:rsidR="008F735B" w:rsidRPr="00463667" w:rsidRDefault="008F735B" w:rsidP="009E2937">
            <w:pPr>
              <w:pStyle w:val="Bullet"/>
              <w:spacing w:before="0"/>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rubella (</w:t>
            </w:r>
            <w:r w:rsidRPr="00463667">
              <w:rPr>
                <w:u w:val="single"/>
              </w:rPr>
              <w:t>Rubella Antibody Value Set</w:t>
            </w:r>
            <w:r w:rsidRPr="00463667">
              <w:t>) and ABO (</w:t>
            </w:r>
            <w:r w:rsidRPr="00463667">
              <w:rPr>
                <w:u w:val="single"/>
              </w:rPr>
              <w:t>ABO Value Set</w:t>
            </w:r>
            <w:r w:rsidRPr="00463667">
              <w:t>).</w:t>
            </w:r>
          </w:p>
          <w:p w14:paraId="7B1938A9" w14:textId="77777777" w:rsidR="008F735B" w:rsidRPr="00463667" w:rsidRDefault="008F735B" w:rsidP="00F578E0">
            <w:pPr>
              <w:pStyle w:val="Bullet"/>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rubella (</w:t>
            </w:r>
            <w:r w:rsidRPr="00463667">
              <w:rPr>
                <w:u w:val="single"/>
              </w:rPr>
              <w:t>Rubella Antibody Value Set</w:t>
            </w:r>
            <w:r w:rsidRPr="00463667">
              <w:t>) and Rh (</w:t>
            </w:r>
            <w:r w:rsidRPr="00463667">
              <w:rPr>
                <w:u w:val="single"/>
              </w:rPr>
              <w:t>Rh Value Set</w:t>
            </w:r>
            <w:r w:rsidRPr="00463667">
              <w:t>).</w:t>
            </w:r>
          </w:p>
          <w:p w14:paraId="119F9DD0" w14:textId="77777777" w:rsidR="008F735B" w:rsidRPr="00463667" w:rsidRDefault="008F735B" w:rsidP="00F578E0">
            <w:pPr>
              <w:pStyle w:val="Bullet"/>
            </w:pPr>
            <w:r w:rsidRPr="00463667">
              <w:t>A prenatal visit (</w:t>
            </w:r>
            <w:r w:rsidRPr="00463667">
              <w:rPr>
                <w:u w:val="single"/>
              </w:rPr>
              <w:t>Prenatal Visits Value Set</w:t>
            </w:r>
            <w:r w:rsidRPr="00463667">
              <w:t>) with a pregnancy-related diagnosis code (</w:t>
            </w:r>
            <w:r w:rsidRPr="00463667">
              <w:rPr>
                <w:u w:val="single"/>
              </w:rPr>
              <w:t>Pregnancy Diagnosis Value Set</w:t>
            </w:r>
            <w:r w:rsidRPr="00463667">
              <w:t>) and rubella (</w:t>
            </w:r>
            <w:r w:rsidRPr="00463667">
              <w:rPr>
                <w:u w:val="single"/>
              </w:rPr>
              <w:t>Rubella Antibody Value Set</w:t>
            </w:r>
            <w:r w:rsidRPr="00463667">
              <w:t>) and ABO/Rh (</w:t>
            </w:r>
            <w:r w:rsidRPr="00463667">
              <w:rPr>
                <w:u w:val="single"/>
              </w:rPr>
              <w:t>ABO and Rh Value Set</w:t>
            </w:r>
            <w:r w:rsidRPr="00463667">
              <w:t>).</w:t>
            </w:r>
          </w:p>
          <w:p w14:paraId="3375F620" w14:textId="77777777" w:rsidR="008F735B" w:rsidRPr="00463667" w:rsidRDefault="008F735B" w:rsidP="00F578E0">
            <w:pPr>
              <w:pStyle w:val="Bullet"/>
            </w:pPr>
            <w:r w:rsidRPr="00463667">
              <w:t>A prenatal visit (</w:t>
            </w:r>
            <w:r w:rsidRPr="00463667">
              <w:rPr>
                <w:u w:val="single"/>
              </w:rPr>
              <w:t>Prenatal Visits Value Set</w:t>
            </w:r>
            <w:r w:rsidRPr="00463667">
              <w:t>) with any internal organization code for LMP or EDD with an obstetrical history.</w:t>
            </w:r>
          </w:p>
          <w:p w14:paraId="4F7000FE" w14:textId="77777777" w:rsidR="008F735B" w:rsidRPr="00463667" w:rsidRDefault="008F735B" w:rsidP="00F578E0">
            <w:pPr>
              <w:pStyle w:val="Bullet"/>
            </w:pPr>
            <w:r w:rsidRPr="00463667">
              <w:t>A prenatal visit (</w:t>
            </w:r>
            <w:r w:rsidRPr="00463667">
              <w:rPr>
                <w:u w:val="single"/>
              </w:rPr>
              <w:t>Prenatal Visits Value Set</w:t>
            </w:r>
            <w:r w:rsidRPr="00463667">
              <w:t>) with any internal organization code for LMP or EDD with risk assessment and counseling/education.</w:t>
            </w:r>
          </w:p>
          <w:p w14:paraId="16E2E22C" w14:textId="77777777" w:rsidR="008F735B" w:rsidRPr="00463667" w:rsidRDefault="008F735B" w:rsidP="00F578E0">
            <w:pPr>
              <w:pStyle w:val="Note"/>
            </w:pPr>
            <w:r w:rsidRPr="00463667">
              <w:rPr>
                <w:b/>
                <w:bCs/>
              </w:rPr>
              <w:t xml:space="preserve">Note: </w:t>
            </w:r>
            <w:r w:rsidRPr="00463667">
              <w:t>For Decision Rule 3 criteria that require a prenatal visit code (</w:t>
            </w:r>
            <w:r w:rsidRPr="00463667">
              <w:rPr>
                <w:u w:val="single"/>
              </w:rPr>
              <w:t>Prenatal Visits Value Set</w:t>
            </w:r>
            <w:r w:rsidRPr="00463667">
              <w:t xml:space="preserve">) </w:t>
            </w:r>
            <w:r w:rsidRPr="00463667">
              <w:rPr>
                <w:b/>
                <w:bCs/>
              </w:rPr>
              <w:t xml:space="preserve">and </w:t>
            </w:r>
            <w:r w:rsidRPr="00463667">
              <w:t>a pregnancy-related diagnosis code (</w:t>
            </w:r>
            <w:r w:rsidRPr="00463667">
              <w:rPr>
                <w:u w:val="single"/>
              </w:rPr>
              <w:t>Pregnancy Diagnosis Value Set</w:t>
            </w:r>
            <w:r w:rsidRPr="00463667">
              <w:t xml:space="preserve">), codes must be on the same claim. </w:t>
            </w:r>
          </w:p>
        </w:tc>
      </w:tr>
    </w:tbl>
    <w:p w14:paraId="6850EE3B" w14:textId="09B93767" w:rsidR="008F735B" w:rsidRPr="00463667" w:rsidRDefault="008F735B" w:rsidP="00081D64">
      <w:pPr>
        <w:pStyle w:val="SubHead20"/>
      </w:pPr>
      <w:r w:rsidRPr="00463667">
        <w:t xml:space="preserve">Identifying Prenatal Care </w:t>
      </w:r>
      <w:r w:rsidR="0032719C">
        <w:t>f</w:t>
      </w:r>
      <w:r w:rsidRPr="00463667">
        <w:t>or Women Not Continuously Enrolled During the First Trimester</w:t>
      </w:r>
    </w:p>
    <w:p w14:paraId="03D040AD" w14:textId="77777777" w:rsidR="008F735B" w:rsidRPr="00463667" w:rsidRDefault="008F735B" w:rsidP="008F735B">
      <w:pPr>
        <w:pStyle w:val="Body"/>
      </w:pPr>
      <w:r w:rsidRPr="00463667">
        <w:t>Any of the following, where the practitioner type is an OB/GYN or other prenatal care practitioner or PCP, meet criteria:</w:t>
      </w:r>
    </w:p>
    <w:p w14:paraId="674DEE42" w14:textId="77777777" w:rsidR="008F735B" w:rsidRPr="00463667" w:rsidRDefault="008F735B" w:rsidP="008F735B">
      <w:pPr>
        <w:pStyle w:val="Bullet"/>
      </w:pPr>
      <w:r w:rsidRPr="00463667">
        <w:t>A bundled service (</w:t>
      </w:r>
      <w:r w:rsidRPr="00463667">
        <w:rPr>
          <w:u w:val="single"/>
        </w:rPr>
        <w:t>Prenatal Bundled Services Value Set</w:t>
      </w:r>
      <w:r w:rsidRPr="00463667">
        <w:t xml:space="preserve">) where the organization can identify the date when prenatal care was initiated (because bundled service codes are used on the date of delivery, these codes may be used only if the claim form indicates when prenatal care was initiated). </w:t>
      </w:r>
    </w:p>
    <w:p w14:paraId="33BA49C5" w14:textId="77777777" w:rsidR="008F735B" w:rsidRPr="00463667" w:rsidRDefault="008F735B" w:rsidP="008F735B">
      <w:pPr>
        <w:pStyle w:val="Bullet"/>
      </w:pPr>
      <w:r w:rsidRPr="00463667">
        <w:t>A visit for prenatal care (</w:t>
      </w:r>
      <w:r w:rsidRPr="00463667">
        <w:rPr>
          <w:u w:val="single"/>
        </w:rPr>
        <w:t>Stand Alone Prenatal Visits Value Set</w:t>
      </w:r>
      <w:r w:rsidRPr="00463667">
        <w:t xml:space="preserve">). </w:t>
      </w:r>
    </w:p>
    <w:p w14:paraId="0CACE4B5" w14:textId="77777777" w:rsidR="008F735B" w:rsidRPr="00463667" w:rsidRDefault="008F735B" w:rsidP="008F735B">
      <w:pPr>
        <w:pStyle w:val="Bullet"/>
      </w:pPr>
      <w:r w:rsidRPr="00463667">
        <w:t>A prenatal visit (</w:t>
      </w:r>
      <w:r w:rsidRPr="00463667">
        <w:rPr>
          <w:u w:val="single"/>
        </w:rPr>
        <w:t>Prenatal Visits Value Set</w:t>
      </w:r>
      <w:r w:rsidRPr="00463667">
        <w:t>) with</w:t>
      </w:r>
      <w:r w:rsidRPr="00463667" w:rsidDel="00DC2EC8">
        <w:t xml:space="preserve"> </w:t>
      </w:r>
      <w:r w:rsidRPr="00463667">
        <w:t>an ultrasound (echocardiography) of the pregnant uterus (</w:t>
      </w:r>
      <w:r w:rsidRPr="00463667">
        <w:rPr>
          <w:u w:val="single"/>
        </w:rPr>
        <w:t>Prenatal Ultrasound Value Set</w:t>
      </w:r>
      <w:r w:rsidRPr="00463667">
        <w:t>).</w:t>
      </w:r>
    </w:p>
    <w:p w14:paraId="5FCEBAEF" w14:textId="77777777" w:rsidR="008F735B" w:rsidRPr="00463667" w:rsidRDefault="008F735B" w:rsidP="008F735B">
      <w:pPr>
        <w:pStyle w:val="Bullet"/>
      </w:pPr>
      <w:r w:rsidRPr="00463667">
        <w:rPr>
          <w:rFonts w:cs="Arial"/>
        </w:rPr>
        <w:t>A prenatal visit (</w:t>
      </w:r>
      <w:r w:rsidRPr="00463667">
        <w:rPr>
          <w:rFonts w:cs="Arial"/>
          <w:u w:val="single"/>
        </w:rPr>
        <w:t>Prenatal Visits Value Set</w:t>
      </w:r>
      <w:r w:rsidRPr="00463667">
        <w:rPr>
          <w:rFonts w:cs="Arial"/>
        </w:rPr>
        <w:t>) with a principal pregnancy-related diagnosis code (</w:t>
      </w:r>
      <w:r w:rsidRPr="00463667">
        <w:rPr>
          <w:rFonts w:cs="Arial"/>
          <w:u w:val="single"/>
        </w:rPr>
        <w:t xml:space="preserve">Pregnancy </w:t>
      </w:r>
      <w:r w:rsidRPr="00463667">
        <w:rPr>
          <w:rFonts w:cs="Arial"/>
          <w:szCs w:val="20"/>
          <w:u w:val="single"/>
        </w:rPr>
        <w:t>Diagnosis Value Set</w:t>
      </w:r>
      <w:r w:rsidRPr="00463667">
        <w:rPr>
          <w:rFonts w:cs="Arial"/>
          <w:szCs w:val="20"/>
        </w:rPr>
        <w:t>).</w:t>
      </w:r>
      <w:r w:rsidRPr="00463667">
        <w:rPr>
          <w:rFonts w:ascii="Arial Narrow" w:hAnsi="Arial Narrow" w:cs="Arial Narrow"/>
          <w:szCs w:val="20"/>
        </w:rPr>
        <w:t xml:space="preserve"> </w:t>
      </w:r>
    </w:p>
    <w:p w14:paraId="18E65218" w14:textId="77777777" w:rsidR="008F735B" w:rsidRPr="00463667" w:rsidRDefault="008F735B" w:rsidP="008F735B">
      <w:pPr>
        <w:pStyle w:val="Note"/>
      </w:pPr>
      <w:r w:rsidRPr="00463667">
        <w:rPr>
          <w:b/>
        </w:rPr>
        <w:t xml:space="preserve">Note: </w:t>
      </w:r>
      <w:r w:rsidRPr="00463667">
        <w:t>For criteria that require a prenatal visit code (</w:t>
      </w:r>
      <w:r w:rsidRPr="00463667">
        <w:rPr>
          <w:u w:val="single"/>
        </w:rPr>
        <w:t>Prenatal Visits Value Set</w:t>
      </w:r>
      <w:r w:rsidRPr="00463667">
        <w:t xml:space="preserve">) </w:t>
      </w:r>
      <w:r w:rsidRPr="00261B3E">
        <w:rPr>
          <w:b/>
        </w:rPr>
        <w:t>and</w:t>
      </w:r>
      <w:r w:rsidRPr="00463667">
        <w:rPr>
          <w:i w:val="0"/>
        </w:rPr>
        <w:t xml:space="preserve"> </w:t>
      </w:r>
      <w:r w:rsidRPr="00463667">
        <w:t>a pregnancy-related diagnosis code (</w:t>
      </w:r>
      <w:r w:rsidRPr="00463667">
        <w:rPr>
          <w:u w:val="single"/>
        </w:rPr>
        <w:t>Pregnancy Diagnosis Value Set</w:t>
      </w:r>
      <w:r w:rsidRPr="00463667">
        <w:t>), codes must be on the</w:t>
      </w:r>
      <w:r w:rsidRPr="00261B3E">
        <w:t xml:space="preserve"> same claim.</w:t>
      </w:r>
    </w:p>
    <w:p w14:paraId="56E83271" w14:textId="77777777" w:rsidR="008F735B" w:rsidRPr="00463667" w:rsidRDefault="008F735B" w:rsidP="008F735B">
      <w:pPr>
        <w:pStyle w:val="Note"/>
        <w:rPr>
          <w:rFonts w:cs="Arial"/>
          <w:sz w:val="18"/>
          <w:szCs w:val="18"/>
        </w:rPr>
        <w:sectPr w:rsidR="008F735B" w:rsidRPr="00463667" w:rsidSect="00F578E0">
          <w:footnotePr>
            <w:numStart w:val="4"/>
          </w:footnotePr>
          <w:pgSz w:w="12240" w:h="15840" w:code="1"/>
          <w:pgMar w:top="1080" w:right="1080" w:bottom="1080" w:left="1440" w:header="720" w:footer="720" w:gutter="0"/>
          <w:cols w:space="720"/>
        </w:sectPr>
      </w:pPr>
    </w:p>
    <w:p w14:paraId="24E3FD15" w14:textId="2E8C5D32" w:rsidR="008F735B" w:rsidRPr="00463667" w:rsidRDefault="002064A9" w:rsidP="008F735B">
      <w:r>
        <w:lastRenderedPageBreak/>
        <w:pict w14:anchorId="6A007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7pt;height:366.9pt">
            <v:imagedata r:id="rId44" o:title=""/>
          </v:shape>
        </w:pict>
      </w:r>
    </w:p>
    <w:p w14:paraId="5970D4E9" w14:textId="77777777" w:rsidR="008F735B" w:rsidRPr="00463667" w:rsidRDefault="008F735B" w:rsidP="008F735B"/>
    <w:p w14:paraId="58A4D705" w14:textId="77777777" w:rsidR="008F735B" w:rsidRPr="00463667" w:rsidRDefault="008F735B" w:rsidP="008F735B"/>
    <w:tbl>
      <w:tblPr>
        <w:tblW w:w="9792" w:type="dxa"/>
        <w:tblInd w:w="18" w:type="dxa"/>
        <w:tblLayout w:type="fixed"/>
        <w:tblLook w:val="0000" w:firstRow="0" w:lastRow="0" w:firstColumn="0" w:lastColumn="0" w:noHBand="0" w:noVBand="0"/>
      </w:tblPr>
      <w:tblGrid>
        <w:gridCol w:w="2160"/>
        <w:gridCol w:w="7632"/>
      </w:tblGrid>
      <w:tr w:rsidR="008F735B" w:rsidRPr="00463667" w14:paraId="7533EEA8" w14:textId="77777777" w:rsidTr="00F578E0">
        <w:tc>
          <w:tcPr>
            <w:tcW w:w="2160" w:type="dxa"/>
          </w:tcPr>
          <w:p w14:paraId="46D9B5A1" w14:textId="77777777" w:rsidR="008F735B" w:rsidRPr="00463667" w:rsidRDefault="008F735B" w:rsidP="00F578E0">
            <w:pPr>
              <w:pStyle w:val="MarginSubhead"/>
              <w:spacing w:before="0"/>
              <w:jc w:val="right"/>
              <w:rPr>
                <w:i/>
              </w:rPr>
            </w:pPr>
            <w:r w:rsidRPr="00463667">
              <w:rPr>
                <w:i/>
              </w:rPr>
              <w:t>Postpartum Care</w:t>
            </w:r>
          </w:p>
        </w:tc>
        <w:tc>
          <w:tcPr>
            <w:tcW w:w="7632" w:type="dxa"/>
          </w:tcPr>
          <w:p w14:paraId="2919C106" w14:textId="77777777" w:rsidR="008F735B" w:rsidRPr="00463667" w:rsidRDefault="008F735B" w:rsidP="00F578E0">
            <w:pPr>
              <w:pStyle w:val="TableText"/>
              <w:rPr>
                <w:rFonts w:ascii="Arial" w:hAnsi="Arial" w:cs="Arial"/>
                <w:szCs w:val="20"/>
              </w:rPr>
            </w:pPr>
            <w:r w:rsidRPr="00463667">
              <w:rPr>
                <w:rFonts w:ascii="Arial" w:hAnsi="Arial" w:cs="Arial"/>
                <w:szCs w:val="20"/>
              </w:rPr>
              <w:t>A postpartum visit for a pelvic exam or postpartum care on or between 21 and 56 days after delivery. Any of the following meet criteria:</w:t>
            </w:r>
          </w:p>
          <w:p w14:paraId="5C0ECD5B" w14:textId="77777777" w:rsidR="008F735B" w:rsidRPr="00463667" w:rsidRDefault="008F735B" w:rsidP="00F578E0">
            <w:pPr>
              <w:pStyle w:val="Bullet"/>
            </w:pPr>
            <w:r w:rsidRPr="00463667">
              <w:t>A postpartum visit (</w:t>
            </w:r>
            <w:r w:rsidRPr="00463667">
              <w:rPr>
                <w:u w:val="single"/>
              </w:rPr>
              <w:t>Postpartum Visits Value Set</w:t>
            </w:r>
            <w:r w:rsidRPr="00463667">
              <w:t>).</w:t>
            </w:r>
          </w:p>
          <w:p w14:paraId="3EE91585" w14:textId="77777777" w:rsidR="008F735B" w:rsidRPr="00463667" w:rsidRDefault="008F735B" w:rsidP="00F578E0">
            <w:pPr>
              <w:pStyle w:val="Bullet"/>
            </w:pPr>
            <w:r w:rsidRPr="00463667">
              <w:t>Cervical cytology (</w:t>
            </w:r>
            <w:r w:rsidRPr="00463667">
              <w:rPr>
                <w:u w:val="single"/>
              </w:rPr>
              <w:t>Cervical Cytology Value Set</w:t>
            </w:r>
            <w:r w:rsidRPr="00463667">
              <w:t>).</w:t>
            </w:r>
          </w:p>
          <w:p w14:paraId="0EEB53A8" w14:textId="77777777" w:rsidR="008F735B" w:rsidRPr="00463667" w:rsidRDefault="008F735B" w:rsidP="00F578E0">
            <w:pPr>
              <w:pStyle w:val="Bullet"/>
            </w:pPr>
            <w:r w:rsidRPr="00463667">
              <w:t>A bundled service (</w:t>
            </w:r>
            <w:r w:rsidRPr="00463667">
              <w:rPr>
                <w:u w:val="single"/>
              </w:rPr>
              <w:t>Postpartum Bundled Services Value Set</w:t>
            </w:r>
            <w:r w:rsidRPr="00463667">
              <w:t>) where the organization can identify the date when postpartum care was rendered (because bundled service codes are used on the date of delivery, not on the date of the postpartum visit, these codes may be used only if the claim form indicates when postpartum care was rendered).</w:t>
            </w:r>
          </w:p>
          <w:p w14:paraId="74F4FA51" w14:textId="77777777" w:rsidR="008F735B" w:rsidRPr="00463667" w:rsidRDefault="008F735B" w:rsidP="00F578E0">
            <w:pPr>
              <w:pStyle w:val="Body"/>
              <w:spacing w:before="120"/>
              <w:rPr>
                <w:strike/>
              </w:rPr>
            </w:pPr>
            <w:r w:rsidRPr="00463667">
              <w:rPr>
                <w:b/>
                <w:i/>
              </w:rPr>
              <w:t>Note</w:t>
            </w:r>
            <w:r w:rsidRPr="00463667">
              <w:rPr>
                <w:b/>
              </w:rPr>
              <w:t>:</w:t>
            </w:r>
            <w:r w:rsidRPr="00463667">
              <w:t xml:space="preserve"> </w:t>
            </w:r>
            <w:r w:rsidRPr="00463667">
              <w:rPr>
                <w:i/>
              </w:rPr>
              <w:t>The practitioner requirement only applies to the Hybrid Specification. The organization is not required to identify practitioner type in administrative data.</w:t>
            </w:r>
          </w:p>
        </w:tc>
      </w:tr>
    </w:tbl>
    <w:p w14:paraId="64579F56" w14:textId="77777777" w:rsidR="008F735B" w:rsidRPr="00463667" w:rsidRDefault="008F735B" w:rsidP="008F735B">
      <w:pPr>
        <w:sectPr w:rsidR="008F735B" w:rsidRPr="00463667" w:rsidSect="00F578E0">
          <w:headerReference w:type="even" r:id="rId45"/>
          <w:pgSz w:w="12240" w:h="15840" w:code="1"/>
          <w:pgMar w:top="1080" w:right="1080" w:bottom="1080" w:left="1440" w:header="720" w:footer="720" w:gutter="0"/>
          <w:cols w:space="720"/>
        </w:sectPr>
      </w:pPr>
    </w:p>
    <w:p w14:paraId="10888D46" w14:textId="77777777" w:rsidR="008F735B" w:rsidRPr="00463667" w:rsidRDefault="008F735B" w:rsidP="00081D64">
      <w:pPr>
        <w:pStyle w:val="ReverseHead"/>
        <w:spacing w:before="0"/>
      </w:pPr>
      <w:r w:rsidRPr="00463667">
        <w:lastRenderedPageBreak/>
        <w:t>Hybrid Specification</w:t>
      </w:r>
    </w:p>
    <w:tbl>
      <w:tblPr>
        <w:tblW w:w="9891" w:type="dxa"/>
        <w:tblInd w:w="-63" w:type="dxa"/>
        <w:tblLayout w:type="fixed"/>
        <w:tblLook w:val="0000" w:firstRow="0" w:lastRow="0" w:firstColumn="0" w:lastColumn="0" w:noHBand="0" w:noVBand="0"/>
      </w:tblPr>
      <w:tblGrid>
        <w:gridCol w:w="2043"/>
        <w:gridCol w:w="7848"/>
      </w:tblGrid>
      <w:tr w:rsidR="008F735B" w:rsidRPr="00463667" w14:paraId="1EAE47B3" w14:textId="77777777" w:rsidTr="009E2937">
        <w:tc>
          <w:tcPr>
            <w:tcW w:w="2043" w:type="dxa"/>
          </w:tcPr>
          <w:p w14:paraId="61A0608A" w14:textId="77777777" w:rsidR="008F735B" w:rsidRPr="00463667" w:rsidRDefault="008F735B" w:rsidP="00F578E0">
            <w:pPr>
              <w:pStyle w:val="MarginSubhead"/>
            </w:pPr>
            <w:r w:rsidRPr="00463667">
              <w:t>Denominator</w:t>
            </w:r>
          </w:p>
        </w:tc>
        <w:tc>
          <w:tcPr>
            <w:tcW w:w="7848" w:type="dxa"/>
          </w:tcPr>
          <w:p w14:paraId="60A46B1E" w14:textId="77777777" w:rsidR="008F735B" w:rsidRPr="00463667" w:rsidRDefault="008F735B" w:rsidP="00F578E0">
            <w:pPr>
              <w:pStyle w:val="Body"/>
            </w:pPr>
            <w:r w:rsidRPr="00463667">
              <w:t xml:space="preserve">A systematic sample drawn from the eligible population for each product line. Organizations may reduce the sample size using the current year’s lowest product line-specific administrative rate of these two indicators and the &gt;81% indicator from </w:t>
            </w:r>
            <w:r w:rsidRPr="00463667">
              <w:rPr>
                <w:i/>
              </w:rPr>
              <w:t>Frequency of Ongoing Prenatal Care</w:t>
            </w:r>
            <w:r w:rsidRPr="00463667">
              <w:t xml:space="preserve"> or the prior year’s lowest audited product line-specific rate for these two indicators and the &gt;81% indicator from </w:t>
            </w:r>
            <w:r w:rsidRPr="00463667">
              <w:rPr>
                <w:i/>
              </w:rPr>
              <w:t>Frequency of Ongoing Prenatal Care</w:t>
            </w:r>
            <w:r w:rsidRPr="00463667">
              <w:t xml:space="preserve">. </w:t>
            </w:r>
          </w:p>
        </w:tc>
      </w:tr>
      <w:tr w:rsidR="008F735B" w:rsidRPr="00463667" w14:paraId="1665B57C" w14:textId="77777777" w:rsidTr="009E2937">
        <w:tc>
          <w:tcPr>
            <w:tcW w:w="2043" w:type="dxa"/>
          </w:tcPr>
          <w:p w14:paraId="1F0163CA" w14:textId="77777777" w:rsidR="008F735B" w:rsidRPr="00463667" w:rsidRDefault="008F735B" w:rsidP="00F578E0">
            <w:pPr>
              <w:pStyle w:val="MarginSubhead"/>
              <w:spacing w:before="120"/>
            </w:pPr>
            <w:r w:rsidRPr="00463667">
              <w:t>Numerator</w:t>
            </w:r>
          </w:p>
        </w:tc>
        <w:tc>
          <w:tcPr>
            <w:tcW w:w="7848" w:type="dxa"/>
          </w:tcPr>
          <w:p w14:paraId="135DF3FC" w14:textId="77777777" w:rsidR="008F735B" w:rsidRPr="00463667" w:rsidRDefault="008F735B" w:rsidP="00F578E0">
            <w:pPr>
              <w:pStyle w:val="Body"/>
              <w:spacing w:before="120"/>
            </w:pPr>
          </w:p>
        </w:tc>
      </w:tr>
      <w:tr w:rsidR="008F735B" w:rsidRPr="00463667" w14:paraId="3194EA9A" w14:textId="77777777" w:rsidTr="009E2937">
        <w:tc>
          <w:tcPr>
            <w:tcW w:w="2043" w:type="dxa"/>
          </w:tcPr>
          <w:p w14:paraId="56F00C98" w14:textId="77777777" w:rsidR="008F735B" w:rsidRPr="00463667" w:rsidRDefault="008F735B" w:rsidP="00F578E0">
            <w:pPr>
              <w:pStyle w:val="MarginSubhead"/>
              <w:spacing w:before="120"/>
              <w:jc w:val="right"/>
              <w:rPr>
                <w:i/>
              </w:rPr>
            </w:pPr>
            <w:r w:rsidRPr="00463667">
              <w:rPr>
                <w:i/>
              </w:rPr>
              <w:t>Timeliness of Prenatal Care</w:t>
            </w:r>
          </w:p>
        </w:tc>
        <w:tc>
          <w:tcPr>
            <w:tcW w:w="7848" w:type="dxa"/>
          </w:tcPr>
          <w:p w14:paraId="5220060C" w14:textId="77777777" w:rsidR="008F735B" w:rsidRPr="00463667" w:rsidRDefault="008F735B" w:rsidP="00F578E0">
            <w:pPr>
              <w:pStyle w:val="Body"/>
              <w:spacing w:before="120"/>
            </w:pPr>
            <w:r w:rsidRPr="00463667">
              <w:t>A prenatal visit in the first trimester or within 42 days of enrollment, depending on the date of enrollment in the organization and gaps in enrollment during the pregnancy. Include only visits that occurred while the member was enrolled.</w:t>
            </w:r>
          </w:p>
        </w:tc>
      </w:tr>
      <w:tr w:rsidR="008F735B" w:rsidRPr="00463667" w14:paraId="3807E539" w14:textId="77777777" w:rsidTr="009E2937">
        <w:tc>
          <w:tcPr>
            <w:tcW w:w="2043" w:type="dxa"/>
          </w:tcPr>
          <w:p w14:paraId="38F8F388" w14:textId="77777777" w:rsidR="008F735B" w:rsidRPr="00463667" w:rsidRDefault="008F735B" w:rsidP="00F578E0">
            <w:pPr>
              <w:pStyle w:val="MarginSubhead"/>
              <w:rPr>
                <w:u w:val="single"/>
              </w:rPr>
            </w:pPr>
            <w:r w:rsidRPr="00463667">
              <w:rPr>
                <w:u w:val="single"/>
              </w:rPr>
              <w:t>Administrative</w:t>
            </w:r>
          </w:p>
        </w:tc>
        <w:tc>
          <w:tcPr>
            <w:tcW w:w="7848" w:type="dxa"/>
          </w:tcPr>
          <w:p w14:paraId="41A37D3A" w14:textId="77777777" w:rsidR="008F735B" w:rsidRPr="00463667" w:rsidRDefault="008F735B" w:rsidP="00F578E0">
            <w:pPr>
              <w:pStyle w:val="Body"/>
            </w:pPr>
            <w:r w:rsidRPr="00463667">
              <w:t xml:space="preserve">Refer to </w:t>
            </w:r>
            <w:r w:rsidRPr="00463667">
              <w:rPr>
                <w:i/>
              </w:rPr>
              <w:t>Administrative Specification</w:t>
            </w:r>
            <w:r w:rsidRPr="00463667">
              <w:t xml:space="preserve"> to identify positive numerator hits from the administrative data.</w:t>
            </w:r>
          </w:p>
        </w:tc>
      </w:tr>
      <w:tr w:rsidR="008F735B" w:rsidRPr="00463667" w14:paraId="08CA0C73" w14:textId="77777777" w:rsidTr="009E2937">
        <w:tc>
          <w:tcPr>
            <w:tcW w:w="2043" w:type="dxa"/>
          </w:tcPr>
          <w:p w14:paraId="21F19CAB" w14:textId="77777777" w:rsidR="008F735B" w:rsidRPr="00463667" w:rsidRDefault="008F735B" w:rsidP="00F578E0">
            <w:pPr>
              <w:pStyle w:val="MarginSubhead"/>
              <w:rPr>
                <w:u w:val="single"/>
              </w:rPr>
            </w:pPr>
            <w:r w:rsidRPr="00463667">
              <w:rPr>
                <w:u w:val="single"/>
              </w:rPr>
              <w:t>Medical record</w:t>
            </w:r>
          </w:p>
        </w:tc>
        <w:tc>
          <w:tcPr>
            <w:tcW w:w="7848" w:type="dxa"/>
          </w:tcPr>
          <w:p w14:paraId="4D14013F" w14:textId="77777777" w:rsidR="008F735B" w:rsidRPr="00463667" w:rsidRDefault="008F735B" w:rsidP="00F578E0">
            <w:pPr>
              <w:pStyle w:val="Body"/>
            </w:pPr>
            <w:r w:rsidRPr="00463667">
              <w:t xml:space="preserve">Prenatal care visit to an OB/GYN or other prenatal care practitioner or PCP. For visits to a PCP, a diagnosis of pregnancy must be present. Documentation in the medical record must include a note indicating the date when the prenatal care visit occurred, and evidence of </w:t>
            </w:r>
            <w:r w:rsidRPr="00463667">
              <w:rPr>
                <w:i/>
              </w:rPr>
              <w:t>one</w:t>
            </w:r>
            <w:r w:rsidRPr="00463667">
              <w:t xml:space="preserve"> of the following.</w:t>
            </w:r>
          </w:p>
          <w:p w14:paraId="13809F69" w14:textId="77777777" w:rsidR="008F735B" w:rsidRPr="00463667" w:rsidRDefault="008F735B" w:rsidP="00F578E0">
            <w:pPr>
              <w:pStyle w:val="Bullet"/>
            </w:pPr>
            <w:r w:rsidRPr="00463667">
              <w:t xml:space="preserve">A basic physical obstetrical examination that includes auscultation for fetal heart tone, </w:t>
            </w:r>
            <w:r w:rsidRPr="00463667">
              <w:rPr>
                <w:b/>
                <w:bCs/>
                <w:i/>
              </w:rPr>
              <w:t>or</w:t>
            </w:r>
            <w:r w:rsidRPr="00463667">
              <w:t xml:space="preserve"> pelvic exam with obstetric observations, </w:t>
            </w:r>
            <w:r w:rsidRPr="00463667">
              <w:rPr>
                <w:b/>
                <w:bCs/>
                <w:i/>
              </w:rPr>
              <w:t>or</w:t>
            </w:r>
            <w:r w:rsidRPr="00463667">
              <w:t xml:space="preserve"> measurement of fundus height (a standardized prenatal flow sheet may be used).</w:t>
            </w:r>
          </w:p>
          <w:p w14:paraId="48704A99" w14:textId="77777777" w:rsidR="008F735B" w:rsidRPr="00463667" w:rsidRDefault="008F735B" w:rsidP="00F578E0">
            <w:pPr>
              <w:pStyle w:val="Bullet"/>
            </w:pPr>
            <w:r w:rsidRPr="00463667">
              <w:t>Evidence that a prenatal care procedure was performed, such as:</w:t>
            </w:r>
          </w:p>
          <w:p w14:paraId="16EAA60D" w14:textId="13D4D153" w:rsidR="008F735B" w:rsidRPr="00463667" w:rsidRDefault="008F735B" w:rsidP="00F578E0">
            <w:pPr>
              <w:pStyle w:val="Dash"/>
            </w:pPr>
            <w:r w:rsidRPr="00463667">
              <w:t>Screening test in the form of an obstetric panel</w:t>
            </w:r>
            <w:r w:rsidR="00811D6F">
              <w:t xml:space="preserve"> </w:t>
            </w:r>
            <w:r w:rsidRPr="00463667">
              <w:t>(</w:t>
            </w:r>
            <w:r w:rsidR="000858FE">
              <w:t xml:space="preserve">must include all of the following: </w:t>
            </w:r>
            <w:r w:rsidRPr="00463667">
              <w:t xml:space="preserve">hematocrit, differential WBC count, platelet count, hepatitis B surface antigen, rubella antibody, syphilis test, RBC antibody screen, Rh and ABO blood typing), </w:t>
            </w:r>
            <w:r w:rsidRPr="00463667">
              <w:rPr>
                <w:b/>
                <w:bCs/>
                <w:i/>
              </w:rPr>
              <w:t>or</w:t>
            </w:r>
          </w:p>
          <w:p w14:paraId="42F10BBA" w14:textId="77777777" w:rsidR="008F735B" w:rsidRPr="00463667" w:rsidRDefault="008F735B" w:rsidP="00F578E0">
            <w:pPr>
              <w:pStyle w:val="Dash"/>
            </w:pPr>
            <w:r w:rsidRPr="00463667">
              <w:t xml:space="preserve">TORCH antibody panel alone, </w:t>
            </w:r>
            <w:r w:rsidRPr="00463667">
              <w:rPr>
                <w:b/>
                <w:i/>
              </w:rPr>
              <w:t>or</w:t>
            </w:r>
            <w:r w:rsidRPr="00463667">
              <w:t xml:space="preserve"> </w:t>
            </w:r>
          </w:p>
          <w:p w14:paraId="345BB198" w14:textId="77777777" w:rsidR="008F735B" w:rsidRPr="00463667" w:rsidRDefault="008F735B" w:rsidP="00F578E0">
            <w:pPr>
              <w:pStyle w:val="Dash"/>
            </w:pPr>
            <w:r w:rsidRPr="00463667">
              <w:t xml:space="preserve">A rubella antibody test/titer with an Rh incompatibility (ABO/Rh) blood typing, </w:t>
            </w:r>
            <w:r w:rsidRPr="00463667">
              <w:rPr>
                <w:b/>
                <w:bCs/>
                <w:i/>
              </w:rPr>
              <w:t>or</w:t>
            </w:r>
          </w:p>
          <w:p w14:paraId="3CB8D196" w14:textId="77777777" w:rsidR="008F735B" w:rsidRPr="00463667" w:rsidRDefault="008F735B" w:rsidP="00F578E0">
            <w:pPr>
              <w:pStyle w:val="Dash"/>
            </w:pPr>
            <w:r w:rsidRPr="00463667">
              <w:t>Echography of a pregnant uterus.</w:t>
            </w:r>
          </w:p>
          <w:p w14:paraId="194D3844" w14:textId="77777777" w:rsidR="008F735B" w:rsidRPr="00463667" w:rsidRDefault="008F735B" w:rsidP="00F578E0">
            <w:pPr>
              <w:pStyle w:val="Bullet"/>
            </w:pPr>
            <w:r w:rsidRPr="00463667">
              <w:t xml:space="preserve">Documentation of LMP or EDD in conjunction with </w:t>
            </w:r>
            <w:r w:rsidRPr="00463667">
              <w:rPr>
                <w:i/>
              </w:rPr>
              <w:t>either</w:t>
            </w:r>
            <w:r w:rsidRPr="00463667">
              <w:t xml:space="preserve"> of the following.</w:t>
            </w:r>
          </w:p>
          <w:p w14:paraId="42745B33" w14:textId="77777777" w:rsidR="008F735B" w:rsidRPr="00463667" w:rsidRDefault="008F735B" w:rsidP="00F578E0">
            <w:pPr>
              <w:pStyle w:val="Dash"/>
            </w:pPr>
            <w:r w:rsidRPr="00463667">
              <w:t>Prenatal risk assessment and counseling/education.</w:t>
            </w:r>
          </w:p>
          <w:p w14:paraId="04DB8CD9" w14:textId="77777777" w:rsidR="008F735B" w:rsidRPr="00463667" w:rsidRDefault="008F735B" w:rsidP="00F578E0">
            <w:pPr>
              <w:pStyle w:val="Dash"/>
            </w:pPr>
            <w:r w:rsidRPr="00463667">
              <w:t>Complete obstetrical history.</w:t>
            </w:r>
          </w:p>
          <w:p w14:paraId="75B701B9" w14:textId="77777777" w:rsidR="008F735B" w:rsidRPr="00463667" w:rsidRDefault="008F735B" w:rsidP="00F578E0">
            <w:pPr>
              <w:pStyle w:val="Note"/>
            </w:pPr>
            <w:r w:rsidRPr="00463667">
              <w:rPr>
                <w:b/>
              </w:rPr>
              <w:t>Note:</w:t>
            </w:r>
            <w:r w:rsidRPr="00463667">
              <w:t xml:space="preserve"> For women whose last enrollment segment was after 219 days prior to delivery (i.e., between 219 days prior to delivery and the day of delivery) and women who had a gap during the first trimester, count documentation of a visit to an OB/GYN, family practitioner or other PCP with a principal diagnosis of pregnancy.</w:t>
            </w:r>
          </w:p>
        </w:tc>
      </w:tr>
      <w:tr w:rsidR="008F735B" w:rsidRPr="00463667" w14:paraId="6E13DC76" w14:textId="77777777" w:rsidTr="009E2937">
        <w:tc>
          <w:tcPr>
            <w:tcW w:w="2043" w:type="dxa"/>
          </w:tcPr>
          <w:p w14:paraId="4A4C3D2B" w14:textId="77777777" w:rsidR="008F735B" w:rsidRPr="00463667" w:rsidRDefault="008F735B" w:rsidP="00F578E0">
            <w:pPr>
              <w:pStyle w:val="MarginSubhead"/>
              <w:jc w:val="right"/>
              <w:rPr>
                <w:i/>
              </w:rPr>
            </w:pPr>
            <w:r w:rsidRPr="00463667">
              <w:rPr>
                <w:i/>
              </w:rPr>
              <w:t>Postpartum Care</w:t>
            </w:r>
          </w:p>
        </w:tc>
        <w:tc>
          <w:tcPr>
            <w:tcW w:w="7848" w:type="dxa"/>
          </w:tcPr>
          <w:p w14:paraId="69D36699" w14:textId="77777777" w:rsidR="008F735B" w:rsidRPr="00463667" w:rsidRDefault="008F735B" w:rsidP="00F578E0">
            <w:pPr>
              <w:pStyle w:val="Body"/>
            </w:pPr>
            <w:r w:rsidRPr="00463667">
              <w:t xml:space="preserve">A postpartum visit for a pelvic exam or postpartum care on or between 21 and 56 days after delivery, as documented through either administrative data or medical record review. </w:t>
            </w:r>
          </w:p>
        </w:tc>
      </w:tr>
      <w:tr w:rsidR="008F735B" w:rsidRPr="00463667" w14:paraId="295639C5" w14:textId="77777777" w:rsidTr="009E2937">
        <w:tc>
          <w:tcPr>
            <w:tcW w:w="2043" w:type="dxa"/>
          </w:tcPr>
          <w:p w14:paraId="0AFD95C1" w14:textId="77777777" w:rsidR="008F735B" w:rsidRPr="00463667" w:rsidRDefault="008F735B" w:rsidP="00F578E0">
            <w:pPr>
              <w:pStyle w:val="MarginSubhead"/>
              <w:rPr>
                <w:u w:val="single"/>
              </w:rPr>
            </w:pPr>
            <w:r w:rsidRPr="00463667">
              <w:rPr>
                <w:u w:val="single"/>
              </w:rPr>
              <w:t>Administrative</w:t>
            </w:r>
          </w:p>
        </w:tc>
        <w:tc>
          <w:tcPr>
            <w:tcW w:w="7848" w:type="dxa"/>
          </w:tcPr>
          <w:p w14:paraId="3D66BC65" w14:textId="77777777" w:rsidR="008F735B" w:rsidRPr="00463667" w:rsidRDefault="008F735B" w:rsidP="00F578E0">
            <w:pPr>
              <w:pStyle w:val="Body"/>
            </w:pPr>
            <w:r w:rsidRPr="00463667">
              <w:t xml:space="preserve">Refer to </w:t>
            </w:r>
            <w:r w:rsidRPr="00463667">
              <w:rPr>
                <w:i/>
              </w:rPr>
              <w:t xml:space="preserve">Administrative Specification </w:t>
            </w:r>
            <w:r w:rsidRPr="00463667">
              <w:t>to identify positive numerator hits from the administrative data.</w:t>
            </w:r>
          </w:p>
        </w:tc>
      </w:tr>
    </w:tbl>
    <w:p w14:paraId="6BF3148E" w14:textId="77777777" w:rsidR="008F735B" w:rsidRPr="00463667" w:rsidRDefault="008F735B" w:rsidP="008F735B">
      <w:pPr>
        <w:sectPr w:rsidR="008F735B" w:rsidRPr="00463667" w:rsidSect="00F578E0">
          <w:headerReference w:type="first" r:id="rId46"/>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1980"/>
        <w:gridCol w:w="7938"/>
      </w:tblGrid>
      <w:tr w:rsidR="008F735B" w:rsidRPr="00463667" w14:paraId="561CA468" w14:textId="77777777" w:rsidTr="009E2937">
        <w:tc>
          <w:tcPr>
            <w:tcW w:w="1980" w:type="dxa"/>
            <w:tcBorders>
              <w:bottom w:val="nil"/>
            </w:tcBorders>
          </w:tcPr>
          <w:p w14:paraId="67686B31" w14:textId="77777777" w:rsidR="008F735B" w:rsidRPr="00463667" w:rsidRDefault="008F735B" w:rsidP="00F578E0">
            <w:pPr>
              <w:pStyle w:val="MarginSubhead"/>
              <w:spacing w:before="0"/>
              <w:rPr>
                <w:u w:val="single"/>
              </w:rPr>
            </w:pPr>
            <w:r w:rsidRPr="00463667">
              <w:rPr>
                <w:u w:val="single"/>
              </w:rPr>
              <w:lastRenderedPageBreak/>
              <w:t>Medical record</w:t>
            </w:r>
          </w:p>
        </w:tc>
        <w:tc>
          <w:tcPr>
            <w:tcW w:w="7938" w:type="dxa"/>
            <w:tcBorders>
              <w:bottom w:val="nil"/>
            </w:tcBorders>
          </w:tcPr>
          <w:p w14:paraId="2BE52E50" w14:textId="77777777" w:rsidR="008F735B" w:rsidRPr="00463667" w:rsidRDefault="008F735B" w:rsidP="00F578E0">
            <w:pPr>
              <w:pStyle w:val="Body"/>
              <w:spacing w:before="0"/>
            </w:pPr>
            <w:r w:rsidRPr="00463667">
              <w:t xml:space="preserve">Postpartum visit to an OB/GYN practitioner or midwife, family practitioner or other PCP on or between 21 and 56 days after delivery. Documentation in the medical record must include a note indicating the date when a postpartum visit occurred and </w:t>
            </w:r>
            <w:r w:rsidRPr="00463667">
              <w:rPr>
                <w:i/>
              </w:rPr>
              <w:t>one</w:t>
            </w:r>
            <w:r w:rsidRPr="00463667">
              <w:t xml:space="preserve"> of the following.</w:t>
            </w:r>
          </w:p>
          <w:p w14:paraId="122E820A" w14:textId="77777777" w:rsidR="008F735B" w:rsidRPr="00463667" w:rsidRDefault="008F735B" w:rsidP="00F578E0">
            <w:pPr>
              <w:pStyle w:val="Bullet"/>
            </w:pPr>
            <w:r w:rsidRPr="00463667">
              <w:t xml:space="preserve">Pelvic exam. </w:t>
            </w:r>
          </w:p>
          <w:p w14:paraId="1D3F7E58" w14:textId="77777777" w:rsidR="008F735B" w:rsidRPr="00463667" w:rsidRDefault="008F735B" w:rsidP="00F578E0">
            <w:pPr>
              <w:pStyle w:val="Bullet"/>
            </w:pPr>
            <w:r w:rsidRPr="00463667">
              <w:t>Evaluation of weight, BP, breasts and abdomen.</w:t>
            </w:r>
          </w:p>
          <w:p w14:paraId="27DEBF1A" w14:textId="77777777" w:rsidR="008F735B" w:rsidRPr="00463667" w:rsidRDefault="008F735B" w:rsidP="00F578E0">
            <w:pPr>
              <w:pStyle w:val="Dash"/>
            </w:pPr>
            <w:r w:rsidRPr="00463667">
              <w:t>Notation of “breastfeeding” is acceptable for the “evaluation of breasts” component.</w:t>
            </w:r>
          </w:p>
          <w:p w14:paraId="275606B6" w14:textId="77777777" w:rsidR="008F735B" w:rsidRPr="00463667" w:rsidRDefault="008F735B" w:rsidP="00F578E0">
            <w:pPr>
              <w:pStyle w:val="Bullet"/>
            </w:pPr>
            <w:r w:rsidRPr="00463667">
              <w:t>Notation of postpartum care, including, but not limited to:</w:t>
            </w:r>
          </w:p>
          <w:p w14:paraId="2A4C4BC9" w14:textId="77777777" w:rsidR="008F735B" w:rsidRPr="00463667" w:rsidRDefault="008F735B" w:rsidP="00F578E0">
            <w:pPr>
              <w:pStyle w:val="Dash"/>
            </w:pPr>
            <w:r w:rsidRPr="00463667">
              <w:t>Notation of “postpartum care,” “PP care,” “PP check,” “6-week check.”</w:t>
            </w:r>
          </w:p>
          <w:p w14:paraId="4C04256D" w14:textId="77777777" w:rsidR="008F735B" w:rsidRPr="00463667" w:rsidRDefault="008F735B" w:rsidP="00F578E0">
            <w:pPr>
              <w:pStyle w:val="Dash"/>
            </w:pPr>
            <w:r w:rsidRPr="00463667">
              <w:t>A preprinted “Postpartum Care” form in which information was documented during the visit.</w:t>
            </w:r>
          </w:p>
        </w:tc>
      </w:tr>
    </w:tbl>
    <w:p w14:paraId="23DC1382" w14:textId="77777777" w:rsidR="008F735B" w:rsidRPr="00463667" w:rsidRDefault="008F735B" w:rsidP="00081D64">
      <w:pPr>
        <w:pStyle w:val="SubHead20"/>
        <w:rPr>
          <w:i/>
        </w:rPr>
      </w:pPr>
      <w:r w:rsidRPr="00463667">
        <w:rPr>
          <w:i/>
        </w:rPr>
        <w:t>Note</w:t>
      </w:r>
    </w:p>
    <w:p w14:paraId="4CE52104" w14:textId="77777777" w:rsidR="008F735B" w:rsidRPr="00463667" w:rsidRDefault="008F735B" w:rsidP="008F735B">
      <w:pPr>
        <w:pStyle w:val="ProcessBullet"/>
        <w:spacing w:before="100"/>
        <w:rPr>
          <w:i/>
          <w:iCs/>
        </w:rPr>
      </w:pPr>
      <w:r w:rsidRPr="00463667">
        <w:rPr>
          <w:i/>
        </w:rPr>
        <w:t>For women continuously enrolled during the first trimester (176–280 days before delivery with no gaps), the organization has sufficient opportunity to provide prenatal care in the first trimester. Any enrollment gaps in the second and third trimesters are incidental</w:t>
      </w:r>
      <w:r w:rsidRPr="00463667">
        <w:t xml:space="preserve">. </w:t>
      </w:r>
    </w:p>
    <w:p w14:paraId="0D30788A" w14:textId="77777777" w:rsidR="008F735B" w:rsidRPr="00463667" w:rsidRDefault="008F735B" w:rsidP="008F735B">
      <w:pPr>
        <w:pStyle w:val="ProcessBullet"/>
        <w:rPr>
          <w:i/>
        </w:rPr>
      </w:pPr>
      <w:r w:rsidRPr="00463667">
        <w:rPr>
          <w:i/>
        </w:rPr>
        <w:t xml:space="preserve">Criteria for identifying prenatal care for women who were not continuously enrolled during the first trimester allow more flexibility than criteria for women who were continuously enrolled. </w:t>
      </w:r>
    </w:p>
    <w:p w14:paraId="178CF0B2" w14:textId="77777777" w:rsidR="008F735B" w:rsidRPr="00463667" w:rsidRDefault="008F735B" w:rsidP="008F735B">
      <w:pPr>
        <w:pStyle w:val="ProcessDash"/>
        <w:rPr>
          <w:i/>
        </w:rPr>
      </w:pPr>
      <w:r w:rsidRPr="00463667">
        <w:rPr>
          <w:i/>
        </w:rPr>
        <w:t>For women whose last enrollment segment started on or between 219 and 279 days before delivery, the organization has sufficient opportunity to provide prenatal care by the end of the first trimester.</w:t>
      </w:r>
    </w:p>
    <w:p w14:paraId="14FA96BD" w14:textId="77777777" w:rsidR="008F735B" w:rsidRPr="00463667" w:rsidRDefault="008F735B" w:rsidP="008F735B">
      <w:pPr>
        <w:pStyle w:val="ProcessDash"/>
        <w:rPr>
          <w:i/>
        </w:rPr>
      </w:pPr>
      <w:r w:rsidRPr="00463667">
        <w:rPr>
          <w:i/>
        </w:rPr>
        <w:t>For women whose last enrollment segment started less than 219 days before delivery, the organization has sufficient opportunity to provide prenatal care within 42 days after enrollment.</w:t>
      </w:r>
    </w:p>
    <w:p w14:paraId="6C757B5E" w14:textId="77777777" w:rsidR="008F735B" w:rsidRPr="00C2000A" w:rsidRDefault="008F735B" w:rsidP="008F735B">
      <w:pPr>
        <w:pStyle w:val="ProcessBullet"/>
        <w:spacing w:before="100"/>
        <w:rPr>
          <w:i/>
          <w:iCs/>
        </w:rPr>
      </w:pPr>
      <w:r w:rsidRPr="00463667">
        <w:rPr>
          <w:i/>
          <w:iCs/>
        </w:rPr>
        <w:t xml:space="preserve">Services that occur over multiple visits count toward this measure if all services are within the time frame established in the measure. </w:t>
      </w:r>
      <w:r w:rsidRPr="00C2000A">
        <w:rPr>
          <w:i/>
          <w:iCs/>
        </w:rPr>
        <w:t>Ultrasound and lab results alone are not considered a visit; they must be linked to an office visit with an appropriate practitioner in order to count for this measure.</w:t>
      </w:r>
    </w:p>
    <w:p w14:paraId="720AB384" w14:textId="77777777" w:rsidR="008F735B" w:rsidRPr="00C2000A" w:rsidRDefault="008F735B" w:rsidP="008F735B">
      <w:pPr>
        <w:pStyle w:val="ProcessBullet"/>
        <w:spacing w:before="100"/>
        <w:rPr>
          <w:i/>
          <w:iCs/>
        </w:rPr>
      </w:pPr>
      <w:r w:rsidRPr="00C2000A">
        <w:rPr>
          <w:i/>
          <w:iCs/>
        </w:rPr>
        <w:t xml:space="preserve">The organization must use one date (date of delivery or EDD) to define the start and end of the first trimester. If multiple EDDs are documented, the organization must define a method to determine which EDD to use, and use that date consistently. </w:t>
      </w:r>
      <w:r w:rsidRPr="00C2000A">
        <w:rPr>
          <w:i/>
          <w:szCs w:val="20"/>
        </w:rPr>
        <w:t>The LMP may not be used to determine the first trimester.</w:t>
      </w:r>
    </w:p>
    <w:p w14:paraId="1F95BE39" w14:textId="77777777" w:rsidR="008F735B" w:rsidRPr="00463667" w:rsidRDefault="008F735B" w:rsidP="008F735B">
      <w:pPr>
        <w:pStyle w:val="ProcessBullet"/>
        <w:spacing w:before="100"/>
        <w:rPr>
          <w:i/>
          <w:iCs/>
        </w:rPr>
      </w:pPr>
      <w:r w:rsidRPr="00463667">
        <w:rPr>
          <w:i/>
          <w:iCs/>
        </w:rPr>
        <w:t>A Pap test alone does not count as a prenatal care visit for the administrative and hybrid specification of the Timeliness of Prenatal Care rate, but is acceptable for the Postpartum Care rate. A colposcopy alone is not numerator compliant for either rate.</w:t>
      </w:r>
    </w:p>
    <w:p w14:paraId="39161FDD" w14:textId="77777777" w:rsidR="008F735B" w:rsidRPr="00463667" w:rsidRDefault="008F735B" w:rsidP="008F735B">
      <w:pPr>
        <w:pStyle w:val="ProcessBullet"/>
        <w:spacing w:before="100"/>
        <w:rPr>
          <w:i/>
          <w:iCs/>
        </w:rPr>
      </w:pPr>
      <w:r w:rsidRPr="00463667">
        <w:rPr>
          <w:i/>
        </w:rPr>
        <w:t>The intent is that a visit is with a PCP or OB/GYN. Ancillary services (lab, ultrasound) may be delivered by an ancillary provider.</w:t>
      </w:r>
    </w:p>
    <w:p w14:paraId="20D12373" w14:textId="77777777" w:rsidR="008F735B" w:rsidRPr="00463667" w:rsidRDefault="008F735B" w:rsidP="008F735B">
      <w:pPr>
        <w:pStyle w:val="ProcessBullet"/>
        <w:spacing w:before="100"/>
        <w:rPr>
          <w:i/>
          <w:iCs/>
        </w:rPr>
      </w:pPr>
      <w:r w:rsidRPr="00463667">
        <w:rPr>
          <w:i/>
          <w:iCs/>
        </w:rPr>
        <w:t>The intent is to assess whether prenatal and preventive care was rendered on a routine, outpatient basis rather than assessing treatment for emergent events.</w:t>
      </w:r>
    </w:p>
    <w:p w14:paraId="73E4FE4B" w14:textId="77777777" w:rsidR="009E2937" w:rsidRPr="00463667" w:rsidRDefault="009E2937" w:rsidP="009E2937">
      <w:pPr>
        <w:pStyle w:val="ProcessBullet"/>
        <w:spacing w:before="100"/>
        <w:rPr>
          <w:i/>
          <w:iCs/>
        </w:rPr>
      </w:pPr>
      <w:r w:rsidRPr="00463667">
        <w:rPr>
          <w:i/>
          <w:iCs/>
        </w:rPr>
        <w:t xml:space="preserve">Refer to Appendix 3 for the definition of </w:t>
      </w:r>
      <w:r w:rsidRPr="00463667">
        <w:rPr>
          <w:iCs/>
        </w:rPr>
        <w:t>PCP</w:t>
      </w:r>
      <w:r w:rsidRPr="00463667">
        <w:rPr>
          <w:i/>
          <w:iCs/>
        </w:rPr>
        <w:t xml:space="preserve"> and </w:t>
      </w:r>
      <w:r w:rsidRPr="00463667">
        <w:rPr>
          <w:iCs/>
        </w:rPr>
        <w:t>OB/GYN and other prenatal practitioners</w:t>
      </w:r>
      <w:r w:rsidRPr="00463667">
        <w:rPr>
          <w:i/>
          <w:iCs/>
        </w:rPr>
        <w:t>.</w:t>
      </w:r>
    </w:p>
    <w:p w14:paraId="1249B52B" w14:textId="77777777" w:rsidR="008F735B" w:rsidRPr="00463667" w:rsidRDefault="008F735B" w:rsidP="008F735B">
      <w:pPr>
        <w:pStyle w:val="ProcessBullet"/>
        <w:numPr>
          <w:ilvl w:val="0"/>
          <w:numId w:val="0"/>
        </w:numPr>
        <w:spacing w:before="100"/>
        <w:ind w:left="216" w:hanging="216"/>
        <w:rPr>
          <w:i/>
          <w:iCs/>
        </w:rPr>
      </w:pPr>
    </w:p>
    <w:p w14:paraId="30B7E38D" w14:textId="77777777" w:rsidR="008F735B" w:rsidRPr="00463667" w:rsidRDefault="008F735B" w:rsidP="008F735B">
      <w:pPr>
        <w:pStyle w:val="ProcessBullet"/>
        <w:numPr>
          <w:ilvl w:val="0"/>
          <w:numId w:val="0"/>
        </w:numPr>
        <w:spacing w:before="100"/>
        <w:ind w:left="216" w:hanging="216"/>
        <w:rPr>
          <w:i/>
          <w:iCs/>
        </w:rPr>
        <w:sectPr w:rsidR="008F735B" w:rsidRPr="00463667" w:rsidSect="00F578E0">
          <w:pgSz w:w="12240" w:h="15840" w:code="1"/>
          <w:pgMar w:top="1080" w:right="1080" w:bottom="1080" w:left="1440" w:header="720" w:footer="720" w:gutter="0"/>
          <w:cols w:space="720"/>
        </w:sectPr>
      </w:pPr>
    </w:p>
    <w:p w14:paraId="19A16327" w14:textId="77777777" w:rsidR="008F735B" w:rsidRPr="00463667" w:rsidRDefault="008F735B" w:rsidP="00081D64">
      <w:pPr>
        <w:pStyle w:val="ReverseHead"/>
        <w:spacing w:before="0"/>
      </w:pPr>
      <w:r w:rsidRPr="00463667">
        <w:lastRenderedPageBreak/>
        <w:t xml:space="preserve">Data Elements for Reporting </w:t>
      </w:r>
    </w:p>
    <w:p w14:paraId="5F659B38" w14:textId="77777777" w:rsidR="008F735B" w:rsidRPr="00463667" w:rsidRDefault="008F735B" w:rsidP="008F735B">
      <w:pPr>
        <w:pStyle w:val="Body"/>
      </w:pPr>
      <w:r w:rsidRPr="00463667">
        <w:t>Organizations that submit HEDIS data to NCQA must provide the following data elements.</w:t>
      </w:r>
    </w:p>
    <w:p w14:paraId="58009B31" w14:textId="77777777" w:rsidR="008F735B" w:rsidRPr="00463667" w:rsidRDefault="008F735B" w:rsidP="00081D64">
      <w:pPr>
        <w:pStyle w:val="TableHeadNotCondensed"/>
      </w:pPr>
      <w:r w:rsidRPr="00463667">
        <w:t>Table PPC-1/2: Data Elements for Prenatal and Postpartum Care</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58"/>
        <w:gridCol w:w="1935"/>
        <w:gridCol w:w="1935"/>
      </w:tblGrid>
      <w:tr w:rsidR="008F735B" w:rsidRPr="00463667" w14:paraId="2E72CD13" w14:textId="77777777" w:rsidTr="0056631A">
        <w:tc>
          <w:tcPr>
            <w:tcW w:w="5858" w:type="dxa"/>
            <w:tcBorders>
              <w:bottom w:val="single" w:sz="6" w:space="0" w:color="auto"/>
              <w:right w:val="single" w:sz="6" w:space="0" w:color="FFFFFF"/>
            </w:tcBorders>
            <w:shd w:val="clear" w:color="auto" w:fill="000000"/>
          </w:tcPr>
          <w:p w14:paraId="2A4E9D90" w14:textId="77777777" w:rsidR="008F735B" w:rsidRPr="00463667" w:rsidRDefault="008F735B" w:rsidP="00F578E0">
            <w:pPr>
              <w:pStyle w:val="TableText"/>
              <w:rPr>
                <w:b/>
                <w:bCs/>
                <w:highlight w:val="black"/>
              </w:rPr>
            </w:pPr>
          </w:p>
        </w:tc>
        <w:tc>
          <w:tcPr>
            <w:tcW w:w="1935" w:type="dxa"/>
            <w:tcBorders>
              <w:left w:val="single" w:sz="6" w:space="0" w:color="FFFFFF"/>
              <w:bottom w:val="single" w:sz="6" w:space="0" w:color="auto"/>
              <w:right w:val="single" w:sz="4" w:space="0" w:color="FFFFFF"/>
            </w:tcBorders>
            <w:shd w:val="clear" w:color="auto" w:fill="000000"/>
          </w:tcPr>
          <w:p w14:paraId="24FF7355" w14:textId="77777777" w:rsidR="008F735B" w:rsidRPr="00463667" w:rsidRDefault="008F735B" w:rsidP="00F578E0">
            <w:pPr>
              <w:pStyle w:val="TableText"/>
              <w:jc w:val="center"/>
              <w:rPr>
                <w:b/>
                <w:bCs/>
                <w:highlight w:val="black"/>
              </w:rPr>
            </w:pPr>
            <w:r w:rsidRPr="00463667">
              <w:rPr>
                <w:b/>
                <w:bCs/>
                <w:highlight w:val="black"/>
              </w:rPr>
              <w:t>Administrative</w:t>
            </w:r>
          </w:p>
        </w:tc>
        <w:tc>
          <w:tcPr>
            <w:tcW w:w="1935" w:type="dxa"/>
            <w:tcBorders>
              <w:left w:val="single" w:sz="4" w:space="0" w:color="FFFFFF"/>
              <w:bottom w:val="single" w:sz="6" w:space="0" w:color="auto"/>
            </w:tcBorders>
            <w:shd w:val="clear" w:color="auto" w:fill="000000"/>
          </w:tcPr>
          <w:p w14:paraId="76F84B6F" w14:textId="77777777" w:rsidR="008F735B" w:rsidRPr="00463667" w:rsidRDefault="008F735B" w:rsidP="00F578E0">
            <w:pPr>
              <w:pStyle w:val="TableText"/>
              <w:jc w:val="center"/>
              <w:rPr>
                <w:b/>
                <w:bCs/>
                <w:highlight w:val="black"/>
              </w:rPr>
            </w:pPr>
            <w:r w:rsidRPr="00463667">
              <w:rPr>
                <w:b/>
                <w:bCs/>
                <w:highlight w:val="black"/>
              </w:rPr>
              <w:t>Hybrid</w:t>
            </w:r>
          </w:p>
        </w:tc>
      </w:tr>
      <w:tr w:rsidR="008F735B" w:rsidRPr="00463667" w14:paraId="564EB3A8" w14:textId="77777777" w:rsidTr="0056631A">
        <w:tc>
          <w:tcPr>
            <w:tcW w:w="5858" w:type="dxa"/>
            <w:tcBorders>
              <w:bottom w:val="single" w:sz="6" w:space="0" w:color="auto"/>
            </w:tcBorders>
          </w:tcPr>
          <w:p w14:paraId="05320D2D" w14:textId="77777777" w:rsidR="008F735B" w:rsidRPr="00463667" w:rsidRDefault="008F735B" w:rsidP="00F578E0">
            <w:pPr>
              <w:pStyle w:val="TableText"/>
            </w:pPr>
            <w:r w:rsidRPr="00463667">
              <w:t>Measurement year</w:t>
            </w:r>
          </w:p>
        </w:tc>
        <w:tc>
          <w:tcPr>
            <w:tcW w:w="1935" w:type="dxa"/>
            <w:tcBorders>
              <w:bottom w:val="single" w:sz="6" w:space="0" w:color="auto"/>
            </w:tcBorders>
            <w:vAlign w:val="center"/>
          </w:tcPr>
          <w:p w14:paraId="6C301E75"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c>
          <w:tcPr>
            <w:tcW w:w="1935" w:type="dxa"/>
            <w:tcBorders>
              <w:bottom w:val="single" w:sz="6" w:space="0" w:color="auto"/>
            </w:tcBorders>
            <w:vAlign w:val="center"/>
          </w:tcPr>
          <w:p w14:paraId="0D0D67AB"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532A4BB" w14:textId="77777777" w:rsidTr="0056631A">
        <w:tc>
          <w:tcPr>
            <w:tcW w:w="5858" w:type="dxa"/>
            <w:shd w:val="clear" w:color="auto" w:fill="D9D9D9"/>
          </w:tcPr>
          <w:p w14:paraId="244F1823" w14:textId="77777777" w:rsidR="008F735B" w:rsidRPr="00463667" w:rsidRDefault="008F735B" w:rsidP="00F578E0">
            <w:pPr>
              <w:pStyle w:val="TableText"/>
            </w:pPr>
            <w:r w:rsidRPr="00463667">
              <w:t>Data collection methodology (Administrative or Hybrid)</w:t>
            </w:r>
          </w:p>
        </w:tc>
        <w:tc>
          <w:tcPr>
            <w:tcW w:w="1935" w:type="dxa"/>
            <w:shd w:val="clear" w:color="auto" w:fill="D9D9D9"/>
            <w:vAlign w:val="center"/>
          </w:tcPr>
          <w:p w14:paraId="095DC3F8"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c>
          <w:tcPr>
            <w:tcW w:w="1935" w:type="dxa"/>
            <w:shd w:val="clear" w:color="auto" w:fill="D9D9D9"/>
            <w:vAlign w:val="center"/>
          </w:tcPr>
          <w:p w14:paraId="6D33BEFB"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D2A6641" w14:textId="77777777" w:rsidTr="0056631A">
        <w:tc>
          <w:tcPr>
            <w:tcW w:w="5858" w:type="dxa"/>
          </w:tcPr>
          <w:p w14:paraId="32E69C63" w14:textId="77777777" w:rsidR="008F735B" w:rsidRPr="00463667" w:rsidRDefault="008F735B" w:rsidP="00F578E0">
            <w:pPr>
              <w:pStyle w:val="TableText"/>
            </w:pPr>
            <w:r w:rsidRPr="00463667">
              <w:t xml:space="preserve">Eligible population </w:t>
            </w:r>
          </w:p>
        </w:tc>
        <w:tc>
          <w:tcPr>
            <w:tcW w:w="1935" w:type="dxa"/>
            <w:vAlign w:val="center"/>
          </w:tcPr>
          <w:p w14:paraId="540A3E95" w14:textId="77777777" w:rsidR="008F735B" w:rsidRPr="00463667" w:rsidRDefault="008F735B" w:rsidP="00F578E0">
            <w:pPr>
              <w:pStyle w:val="TableText"/>
              <w:jc w:val="center"/>
              <w:rPr>
                <w:sz w:val="24"/>
                <w:szCs w:val="24"/>
              </w:rPr>
            </w:pPr>
            <w:r w:rsidRPr="00463667">
              <w:rPr>
                <w:rFonts w:cs="Arial"/>
                <w:i/>
                <w:iCs/>
              </w:rPr>
              <w:t>For each of the 2 rates</w:t>
            </w:r>
          </w:p>
        </w:tc>
        <w:tc>
          <w:tcPr>
            <w:tcW w:w="1935" w:type="dxa"/>
            <w:vAlign w:val="center"/>
          </w:tcPr>
          <w:p w14:paraId="280FB1F2"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0063770F" w14:textId="77777777" w:rsidTr="0056631A">
        <w:tc>
          <w:tcPr>
            <w:tcW w:w="5858" w:type="dxa"/>
            <w:tcBorders>
              <w:bottom w:val="single" w:sz="6" w:space="0" w:color="auto"/>
            </w:tcBorders>
            <w:shd w:val="clear" w:color="auto" w:fill="D9D9D9"/>
          </w:tcPr>
          <w:p w14:paraId="5EA1C78B" w14:textId="77777777" w:rsidR="008F735B" w:rsidRPr="00463667" w:rsidRDefault="008F735B" w:rsidP="00F578E0">
            <w:pPr>
              <w:pStyle w:val="TableText"/>
            </w:pPr>
            <w:r w:rsidRPr="00463667">
              <w:t>Number of numerator events by administrative data in eligible population (before exclusions)</w:t>
            </w:r>
          </w:p>
        </w:tc>
        <w:tc>
          <w:tcPr>
            <w:tcW w:w="1935" w:type="dxa"/>
            <w:tcBorders>
              <w:bottom w:val="single" w:sz="6" w:space="0" w:color="auto"/>
            </w:tcBorders>
            <w:shd w:val="clear" w:color="auto" w:fill="D9D9D9"/>
            <w:vAlign w:val="center"/>
          </w:tcPr>
          <w:p w14:paraId="7F710A1E" w14:textId="77777777" w:rsidR="008F735B" w:rsidRPr="00463667" w:rsidRDefault="008F735B" w:rsidP="00F578E0">
            <w:pPr>
              <w:pStyle w:val="TableText"/>
              <w:jc w:val="center"/>
            </w:pPr>
          </w:p>
        </w:tc>
        <w:tc>
          <w:tcPr>
            <w:tcW w:w="1935" w:type="dxa"/>
            <w:tcBorders>
              <w:bottom w:val="single" w:sz="6" w:space="0" w:color="auto"/>
            </w:tcBorders>
            <w:shd w:val="clear" w:color="auto" w:fill="D9D9D9"/>
          </w:tcPr>
          <w:p w14:paraId="2E9E0CF2" w14:textId="77777777" w:rsidR="008F735B" w:rsidRPr="00463667" w:rsidRDefault="008F735B" w:rsidP="00F578E0">
            <w:pPr>
              <w:spacing w:before="40" w:after="40" w:line="200" w:lineRule="exact"/>
              <w:jc w:val="center"/>
              <w:rPr>
                <w:rFonts w:ascii="Arial Narrow" w:hAnsi="Arial Narrow"/>
                <w:sz w:val="19"/>
                <w:szCs w:val="19"/>
              </w:rPr>
            </w:pPr>
            <w:r w:rsidRPr="00463667">
              <w:rPr>
                <w:rFonts w:ascii="Arial Narrow" w:hAnsi="Arial Narrow"/>
                <w:i/>
                <w:iCs/>
                <w:sz w:val="19"/>
                <w:szCs w:val="19"/>
              </w:rPr>
              <w:t>For each of the 2 rates</w:t>
            </w:r>
          </w:p>
        </w:tc>
      </w:tr>
      <w:tr w:rsidR="008F735B" w:rsidRPr="00463667" w14:paraId="3BB0872C" w14:textId="77777777" w:rsidTr="0056631A">
        <w:tc>
          <w:tcPr>
            <w:tcW w:w="5858" w:type="dxa"/>
          </w:tcPr>
          <w:p w14:paraId="02DB3772" w14:textId="77777777" w:rsidR="008F735B" w:rsidRPr="00463667" w:rsidRDefault="008F735B" w:rsidP="00F578E0">
            <w:pPr>
              <w:pStyle w:val="TableText"/>
            </w:pPr>
            <w:r w:rsidRPr="00463667">
              <w:t>Current year’s administrative rate (before exclusions)</w:t>
            </w:r>
          </w:p>
        </w:tc>
        <w:tc>
          <w:tcPr>
            <w:tcW w:w="1935" w:type="dxa"/>
            <w:vAlign w:val="center"/>
          </w:tcPr>
          <w:p w14:paraId="2EEABE59" w14:textId="77777777" w:rsidR="008F735B" w:rsidRPr="00463667" w:rsidRDefault="008F735B" w:rsidP="00F578E0">
            <w:pPr>
              <w:pStyle w:val="TableText"/>
              <w:jc w:val="center"/>
            </w:pPr>
          </w:p>
        </w:tc>
        <w:tc>
          <w:tcPr>
            <w:tcW w:w="1935" w:type="dxa"/>
            <w:vAlign w:val="center"/>
          </w:tcPr>
          <w:p w14:paraId="7E952B71"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37ED5071" w14:textId="77777777" w:rsidTr="0056631A">
        <w:tc>
          <w:tcPr>
            <w:tcW w:w="5858" w:type="dxa"/>
            <w:tcBorders>
              <w:bottom w:val="single" w:sz="6" w:space="0" w:color="auto"/>
            </w:tcBorders>
            <w:shd w:val="clear" w:color="auto" w:fill="D9D9D9"/>
          </w:tcPr>
          <w:p w14:paraId="7E3E819E" w14:textId="77777777" w:rsidR="008F735B" w:rsidRPr="00463667" w:rsidRDefault="008F735B" w:rsidP="00F578E0">
            <w:pPr>
              <w:pStyle w:val="TableText"/>
            </w:pPr>
            <w:r w:rsidRPr="00463667">
              <w:t xml:space="preserve">Minimum required sample size (MRSS) or other sample size </w:t>
            </w:r>
          </w:p>
        </w:tc>
        <w:tc>
          <w:tcPr>
            <w:tcW w:w="1935" w:type="dxa"/>
            <w:tcBorders>
              <w:bottom w:val="single" w:sz="6" w:space="0" w:color="auto"/>
            </w:tcBorders>
            <w:shd w:val="clear" w:color="auto" w:fill="D9D9D9"/>
            <w:vAlign w:val="center"/>
          </w:tcPr>
          <w:p w14:paraId="3EFF740C" w14:textId="77777777" w:rsidR="008F735B" w:rsidRPr="00463667" w:rsidRDefault="008F735B" w:rsidP="00F578E0">
            <w:pPr>
              <w:pStyle w:val="TableText"/>
              <w:jc w:val="center"/>
            </w:pPr>
          </w:p>
        </w:tc>
        <w:tc>
          <w:tcPr>
            <w:tcW w:w="1935" w:type="dxa"/>
            <w:tcBorders>
              <w:bottom w:val="single" w:sz="6" w:space="0" w:color="auto"/>
            </w:tcBorders>
            <w:shd w:val="clear" w:color="auto" w:fill="D9D9D9"/>
            <w:vAlign w:val="center"/>
          </w:tcPr>
          <w:p w14:paraId="6913CEB1"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06CD489C" w14:textId="77777777" w:rsidTr="0056631A">
        <w:tc>
          <w:tcPr>
            <w:tcW w:w="5858" w:type="dxa"/>
          </w:tcPr>
          <w:p w14:paraId="2633C75C" w14:textId="77777777" w:rsidR="008F735B" w:rsidRPr="00463667" w:rsidRDefault="008F735B" w:rsidP="00F578E0">
            <w:pPr>
              <w:pStyle w:val="TableText"/>
            </w:pPr>
            <w:r w:rsidRPr="00463667">
              <w:t>Oversampling rate</w:t>
            </w:r>
          </w:p>
        </w:tc>
        <w:tc>
          <w:tcPr>
            <w:tcW w:w="1935" w:type="dxa"/>
            <w:vAlign w:val="center"/>
          </w:tcPr>
          <w:p w14:paraId="2B73D2C4" w14:textId="77777777" w:rsidR="008F735B" w:rsidRPr="00463667" w:rsidRDefault="008F735B" w:rsidP="00F578E0">
            <w:pPr>
              <w:pStyle w:val="TableText"/>
              <w:jc w:val="center"/>
            </w:pPr>
          </w:p>
        </w:tc>
        <w:tc>
          <w:tcPr>
            <w:tcW w:w="1935" w:type="dxa"/>
            <w:vAlign w:val="center"/>
          </w:tcPr>
          <w:p w14:paraId="1569617A"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55CB442D" w14:textId="77777777" w:rsidTr="0056631A">
        <w:tc>
          <w:tcPr>
            <w:tcW w:w="5858" w:type="dxa"/>
            <w:tcBorders>
              <w:bottom w:val="single" w:sz="6" w:space="0" w:color="auto"/>
            </w:tcBorders>
            <w:shd w:val="clear" w:color="auto" w:fill="D9D9D9"/>
          </w:tcPr>
          <w:p w14:paraId="0C67407F" w14:textId="77777777" w:rsidR="008F735B" w:rsidRPr="00463667" w:rsidRDefault="008F735B" w:rsidP="00F578E0">
            <w:pPr>
              <w:pStyle w:val="TableText"/>
            </w:pPr>
            <w:r w:rsidRPr="00463667">
              <w:t xml:space="preserve">Final sample size (FSS) </w:t>
            </w:r>
          </w:p>
        </w:tc>
        <w:tc>
          <w:tcPr>
            <w:tcW w:w="1935" w:type="dxa"/>
            <w:tcBorders>
              <w:bottom w:val="single" w:sz="6" w:space="0" w:color="auto"/>
            </w:tcBorders>
            <w:shd w:val="clear" w:color="auto" w:fill="D9D9D9"/>
            <w:vAlign w:val="center"/>
          </w:tcPr>
          <w:p w14:paraId="702207F9" w14:textId="77777777" w:rsidR="008F735B" w:rsidRPr="00463667" w:rsidRDefault="008F735B" w:rsidP="00F578E0">
            <w:pPr>
              <w:pStyle w:val="TableText"/>
              <w:jc w:val="center"/>
            </w:pPr>
          </w:p>
        </w:tc>
        <w:tc>
          <w:tcPr>
            <w:tcW w:w="1935" w:type="dxa"/>
            <w:tcBorders>
              <w:bottom w:val="single" w:sz="6" w:space="0" w:color="auto"/>
            </w:tcBorders>
            <w:shd w:val="clear" w:color="auto" w:fill="D9D9D9"/>
            <w:vAlign w:val="center"/>
          </w:tcPr>
          <w:p w14:paraId="6498D25E"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6B28BB4D" w14:textId="77777777" w:rsidTr="0056631A">
        <w:tc>
          <w:tcPr>
            <w:tcW w:w="5858" w:type="dxa"/>
          </w:tcPr>
          <w:p w14:paraId="72035EFE" w14:textId="77777777" w:rsidR="008F735B" w:rsidRPr="00463667" w:rsidRDefault="008F735B" w:rsidP="00F578E0">
            <w:pPr>
              <w:pStyle w:val="TableText"/>
            </w:pPr>
            <w:r w:rsidRPr="00463667">
              <w:t xml:space="preserve">Number of numerator events by administrative data in FSS </w:t>
            </w:r>
          </w:p>
        </w:tc>
        <w:tc>
          <w:tcPr>
            <w:tcW w:w="1935" w:type="dxa"/>
            <w:vAlign w:val="center"/>
          </w:tcPr>
          <w:p w14:paraId="06601EA7" w14:textId="77777777" w:rsidR="008F735B" w:rsidRPr="00463667" w:rsidRDefault="008F735B" w:rsidP="00F578E0">
            <w:pPr>
              <w:pStyle w:val="TableText"/>
              <w:jc w:val="center"/>
            </w:pPr>
          </w:p>
        </w:tc>
        <w:tc>
          <w:tcPr>
            <w:tcW w:w="1935" w:type="dxa"/>
            <w:vAlign w:val="center"/>
          </w:tcPr>
          <w:p w14:paraId="3084A132"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4FC375D7" w14:textId="77777777" w:rsidTr="0056631A">
        <w:trPr>
          <w:trHeight w:val="273"/>
        </w:trPr>
        <w:tc>
          <w:tcPr>
            <w:tcW w:w="5858" w:type="dxa"/>
            <w:tcBorders>
              <w:bottom w:val="single" w:sz="6" w:space="0" w:color="auto"/>
            </w:tcBorders>
            <w:shd w:val="clear" w:color="auto" w:fill="D9D9D9"/>
          </w:tcPr>
          <w:p w14:paraId="14A66566" w14:textId="77777777" w:rsidR="008F735B" w:rsidRPr="00463667" w:rsidRDefault="008F735B" w:rsidP="00F578E0">
            <w:pPr>
              <w:pStyle w:val="TableText"/>
            </w:pPr>
            <w:r w:rsidRPr="00463667">
              <w:t>Administrative rate on FSS</w:t>
            </w:r>
          </w:p>
        </w:tc>
        <w:tc>
          <w:tcPr>
            <w:tcW w:w="1935" w:type="dxa"/>
            <w:tcBorders>
              <w:bottom w:val="single" w:sz="6" w:space="0" w:color="auto"/>
            </w:tcBorders>
            <w:shd w:val="clear" w:color="auto" w:fill="D9D9D9"/>
            <w:vAlign w:val="center"/>
          </w:tcPr>
          <w:p w14:paraId="4E8CA73C" w14:textId="77777777" w:rsidR="008F735B" w:rsidRPr="00463667" w:rsidRDefault="008F735B" w:rsidP="00F578E0">
            <w:pPr>
              <w:pStyle w:val="TableText"/>
              <w:jc w:val="center"/>
            </w:pPr>
          </w:p>
        </w:tc>
        <w:tc>
          <w:tcPr>
            <w:tcW w:w="1935" w:type="dxa"/>
            <w:tcBorders>
              <w:bottom w:val="single" w:sz="6" w:space="0" w:color="auto"/>
            </w:tcBorders>
            <w:shd w:val="clear" w:color="auto" w:fill="D9D9D9"/>
            <w:vAlign w:val="center"/>
          </w:tcPr>
          <w:p w14:paraId="04F896F2"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49676D8D" w14:textId="77777777" w:rsidTr="0056631A">
        <w:tc>
          <w:tcPr>
            <w:tcW w:w="5858" w:type="dxa"/>
          </w:tcPr>
          <w:p w14:paraId="188C8E3A" w14:textId="77777777" w:rsidR="008F735B" w:rsidRPr="00463667" w:rsidRDefault="008F735B" w:rsidP="00F578E0">
            <w:pPr>
              <w:pStyle w:val="TableText"/>
            </w:pPr>
            <w:r w:rsidRPr="00463667">
              <w:t xml:space="preserve">Number of original sample records excluded because of valid data errors </w:t>
            </w:r>
          </w:p>
        </w:tc>
        <w:tc>
          <w:tcPr>
            <w:tcW w:w="1935" w:type="dxa"/>
            <w:vAlign w:val="center"/>
          </w:tcPr>
          <w:p w14:paraId="633907BB" w14:textId="77777777" w:rsidR="008F735B" w:rsidRPr="00463667" w:rsidRDefault="008F735B" w:rsidP="00F578E0">
            <w:pPr>
              <w:pStyle w:val="TableText"/>
              <w:jc w:val="center"/>
            </w:pPr>
          </w:p>
        </w:tc>
        <w:tc>
          <w:tcPr>
            <w:tcW w:w="1935" w:type="dxa"/>
            <w:vAlign w:val="center"/>
          </w:tcPr>
          <w:p w14:paraId="1DEA87C6"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00F55B1B" w14:textId="77777777" w:rsidTr="0056631A">
        <w:tc>
          <w:tcPr>
            <w:tcW w:w="5858" w:type="dxa"/>
            <w:tcBorders>
              <w:bottom w:val="single" w:sz="6" w:space="0" w:color="auto"/>
            </w:tcBorders>
            <w:shd w:val="clear" w:color="auto" w:fill="D9D9D9"/>
          </w:tcPr>
          <w:p w14:paraId="1FE2A406" w14:textId="77777777" w:rsidR="008F735B" w:rsidRPr="00463667" w:rsidRDefault="008F735B" w:rsidP="00F578E0">
            <w:pPr>
              <w:pStyle w:val="TableText"/>
            </w:pPr>
            <w:r w:rsidRPr="00463667">
              <w:t xml:space="preserve">Number of employee/dependent medical records excluded </w:t>
            </w:r>
          </w:p>
        </w:tc>
        <w:tc>
          <w:tcPr>
            <w:tcW w:w="1935" w:type="dxa"/>
            <w:tcBorders>
              <w:bottom w:val="single" w:sz="6" w:space="0" w:color="auto"/>
            </w:tcBorders>
            <w:shd w:val="clear" w:color="auto" w:fill="D9D9D9"/>
            <w:vAlign w:val="center"/>
          </w:tcPr>
          <w:p w14:paraId="54BB3FF0" w14:textId="77777777" w:rsidR="008F735B" w:rsidRPr="00463667" w:rsidRDefault="008F735B" w:rsidP="00F578E0">
            <w:pPr>
              <w:pStyle w:val="TableText"/>
              <w:jc w:val="center"/>
            </w:pPr>
          </w:p>
        </w:tc>
        <w:tc>
          <w:tcPr>
            <w:tcW w:w="1935" w:type="dxa"/>
            <w:tcBorders>
              <w:bottom w:val="single" w:sz="6" w:space="0" w:color="auto"/>
            </w:tcBorders>
            <w:shd w:val="clear" w:color="auto" w:fill="D9D9D9"/>
            <w:vAlign w:val="center"/>
          </w:tcPr>
          <w:p w14:paraId="2E90B826"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0F9EF8D" w14:textId="77777777" w:rsidTr="0056631A">
        <w:tc>
          <w:tcPr>
            <w:tcW w:w="5858" w:type="dxa"/>
          </w:tcPr>
          <w:p w14:paraId="5FB4D15B" w14:textId="77777777" w:rsidR="008F735B" w:rsidRPr="00463667" w:rsidRDefault="008F735B" w:rsidP="00F578E0">
            <w:pPr>
              <w:pStyle w:val="TableText"/>
            </w:pPr>
            <w:r w:rsidRPr="00463667">
              <w:t xml:space="preserve">Records added from the oversample list </w:t>
            </w:r>
          </w:p>
        </w:tc>
        <w:tc>
          <w:tcPr>
            <w:tcW w:w="1935" w:type="dxa"/>
            <w:vAlign w:val="center"/>
          </w:tcPr>
          <w:p w14:paraId="36D072E4" w14:textId="77777777" w:rsidR="008F735B" w:rsidRPr="00463667" w:rsidRDefault="008F735B" w:rsidP="00F578E0">
            <w:pPr>
              <w:pStyle w:val="TableText"/>
              <w:jc w:val="center"/>
            </w:pPr>
          </w:p>
        </w:tc>
        <w:tc>
          <w:tcPr>
            <w:tcW w:w="1935" w:type="dxa"/>
            <w:vAlign w:val="center"/>
          </w:tcPr>
          <w:p w14:paraId="75D46A2B"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146D593A" w14:textId="77777777" w:rsidTr="0056631A">
        <w:tc>
          <w:tcPr>
            <w:tcW w:w="5858" w:type="dxa"/>
            <w:tcBorders>
              <w:bottom w:val="single" w:sz="6" w:space="0" w:color="auto"/>
            </w:tcBorders>
            <w:shd w:val="clear" w:color="auto" w:fill="D9D9D9"/>
          </w:tcPr>
          <w:p w14:paraId="3F67DED9" w14:textId="77777777" w:rsidR="008F735B" w:rsidRPr="00463667" w:rsidRDefault="008F735B" w:rsidP="00F578E0">
            <w:pPr>
              <w:pStyle w:val="TableText"/>
            </w:pPr>
            <w:r w:rsidRPr="00463667">
              <w:t>Denominator</w:t>
            </w:r>
          </w:p>
        </w:tc>
        <w:tc>
          <w:tcPr>
            <w:tcW w:w="1935" w:type="dxa"/>
            <w:tcBorders>
              <w:bottom w:val="single" w:sz="6" w:space="0" w:color="auto"/>
            </w:tcBorders>
            <w:shd w:val="clear" w:color="auto" w:fill="D9D9D9"/>
            <w:vAlign w:val="center"/>
          </w:tcPr>
          <w:p w14:paraId="0EDCF098" w14:textId="77777777" w:rsidR="008F735B" w:rsidRPr="00463667" w:rsidRDefault="008F735B" w:rsidP="00F578E0">
            <w:pPr>
              <w:pStyle w:val="TableText"/>
              <w:jc w:val="center"/>
            </w:pPr>
          </w:p>
        </w:tc>
        <w:tc>
          <w:tcPr>
            <w:tcW w:w="1935" w:type="dxa"/>
            <w:tcBorders>
              <w:bottom w:val="single" w:sz="6" w:space="0" w:color="auto"/>
            </w:tcBorders>
            <w:shd w:val="clear" w:color="auto" w:fill="D9D9D9"/>
            <w:vAlign w:val="center"/>
          </w:tcPr>
          <w:p w14:paraId="4D06AED1"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56D713A6" w14:textId="77777777" w:rsidTr="0056631A">
        <w:tc>
          <w:tcPr>
            <w:tcW w:w="5858" w:type="dxa"/>
          </w:tcPr>
          <w:p w14:paraId="4204BC9E" w14:textId="77777777" w:rsidR="008F735B" w:rsidRPr="00463667" w:rsidRDefault="008F735B" w:rsidP="00F578E0">
            <w:pPr>
              <w:pStyle w:val="TableText"/>
            </w:pPr>
            <w:r w:rsidRPr="00463667">
              <w:t>Numerator events by administrative data</w:t>
            </w:r>
          </w:p>
        </w:tc>
        <w:tc>
          <w:tcPr>
            <w:tcW w:w="1935" w:type="dxa"/>
            <w:vAlign w:val="center"/>
          </w:tcPr>
          <w:p w14:paraId="4AC4DC3B" w14:textId="77777777" w:rsidR="008F735B" w:rsidRPr="00463667" w:rsidRDefault="008F735B" w:rsidP="00F578E0">
            <w:pPr>
              <w:pStyle w:val="TableText"/>
              <w:jc w:val="center"/>
              <w:rPr>
                <w:sz w:val="24"/>
                <w:szCs w:val="24"/>
              </w:rPr>
            </w:pPr>
            <w:r w:rsidRPr="00463667">
              <w:rPr>
                <w:rFonts w:cs="Arial"/>
                <w:i/>
                <w:iCs/>
              </w:rPr>
              <w:t>For each of the 2 rates</w:t>
            </w:r>
          </w:p>
        </w:tc>
        <w:tc>
          <w:tcPr>
            <w:tcW w:w="1935" w:type="dxa"/>
            <w:vAlign w:val="center"/>
          </w:tcPr>
          <w:p w14:paraId="7D418D4F"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4649BF0" w14:textId="77777777" w:rsidTr="0056631A">
        <w:tc>
          <w:tcPr>
            <w:tcW w:w="5858" w:type="dxa"/>
            <w:tcBorders>
              <w:bottom w:val="single" w:sz="6" w:space="0" w:color="auto"/>
            </w:tcBorders>
            <w:shd w:val="clear" w:color="auto" w:fill="D9D9D9"/>
          </w:tcPr>
          <w:p w14:paraId="14199C34" w14:textId="77777777" w:rsidR="008F735B" w:rsidRPr="00463667" w:rsidRDefault="008F735B" w:rsidP="00F578E0">
            <w:pPr>
              <w:pStyle w:val="TableText"/>
            </w:pPr>
            <w:r w:rsidRPr="00463667">
              <w:t>Numerator events by medical records</w:t>
            </w:r>
          </w:p>
        </w:tc>
        <w:tc>
          <w:tcPr>
            <w:tcW w:w="1935" w:type="dxa"/>
            <w:tcBorders>
              <w:bottom w:val="single" w:sz="6" w:space="0" w:color="auto"/>
            </w:tcBorders>
            <w:shd w:val="clear" w:color="auto" w:fill="D9D9D9"/>
            <w:vAlign w:val="center"/>
          </w:tcPr>
          <w:p w14:paraId="358A22A6" w14:textId="77777777" w:rsidR="008F735B" w:rsidRPr="00463667" w:rsidRDefault="008F735B" w:rsidP="00F578E0">
            <w:pPr>
              <w:pStyle w:val="TableText2"/>
              <w:jc w:val="center"/>
              <w:rPr>
                <w:sz w:val="24"/>
              </w:rPr>
            </w:pPr>
          </w:p>
        </w:tc>
        <w:tc>
          <w:tcPr>
            <w:tcW w:w="1935" w:type="dxa"/>
            <w:tcBorders>
              <w:bottom w:val="single" w:sz="6" w:space="0" w:color="auto"/>
            </w:tcBorders>
            <w:shd w:val="clear" w:color="auto" w:fill="D9D9D9"/>
            <w:vAlign w:val="center"/>
          </w:tcPr>
          <w:p w14:paraId="0F601725"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C80A567" w14:textId="77777777" w:rsidTr="0056631A">
        <w:tc>
          <w:tcPr>
            <w:tcW w:w="5858" w:type="dxa"/>
          </w:tcPr>
          <w:p w14:paraId="52BF3A8D" w14:textId="77777777" w:rsidR="008F735B" w:rsidRPr="00463667" w:rsidRDefault="008F735B" w:rsidP="00F578E0">
            <w:pPr>
              <w:pStyle w:val="TableText"/>
            </w:pPr>
            <w:r w:rsidRPr="00463667">
              <w:t>Reported rate</w:t>
            </w:r>
          </w:p>
        </w:tc>
        <w:tc>
          <w:tcPr>
            <w:tcW w:w="1935" w:type="dxa"/>
            <w:vAlign w:val="center"/>
          </w:tcPr>
          <w:p w14:paraId="0D361083" w14:textId="77777777" w:rsidR="008F735B" w:rsidRPr="00463667" w:rsidRDefault="008F735B" w:rsidP="00F578E0">
            <w:pPr>
              <w:pStyle w:val="TableText"/>
              <w:jc w:val="center"/>
              <w:rPr>
                <w:sz w:val="24"/>
                <w:szCs w:val="24"/>
              </w:rPr>
            </w:pPr>
            <w:r w:rsidRPr="00463667">
              <w:rPr>
                <w:rFonts w:cs="Arial"/>
                <w:i/>
                <w:iCs/>
              </w:rPr>
              <w:t>For each of the 2 rates</w:t>
            </w:r>
          </w:p>
        </w:tc>
        <w:tc>
          <w:tcPr>
            <w:tcW w:w="1935" w:type="dxa"/>
            <w:vAlign w:val="center"/>
          </w:tcPr>
          <w:p w14:paraId="6E242A88"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79576FE0" w14:textId="77777777" w:rsidTr="0056631A">
        <w:tc>
          <w:tcPr>
            <w:tcW w:w="5858" w:type="dxa"/>
            <w:tcBorders>
              <w:bottom w:val="single" w:sz="6" w:space="0" w:color="auto"/>
            </w:tcBorders>
            <w:shd w:val="clear" w:color="auto" w:fill="D9D9D9"/>
          </w:tcPr>
          <w:p w14:paraId="6E566650" w14:textId="77777777" w:rsidR="008F735B" w:rsidRPr="00463667" w:rsidRDefault="008F735B" w:rsidP="00F578E0">
            <w:pPr>
              <w:pStyle w:val="TableText"/>
            </w:pPr>
            <w:r w:rsidRPr="00463667">
              <w:t>Lower 95% confidence interval</w:t>
            </w:r>
          </w:p>
        </w:tc>
        <w:tc>
          <w:tcPr>
            <w:tcW w:w="1935" w:type="dxa"/>
            <w:tcBorders>
              <w:bottom w:val="single" w:sz="6" w:space="0" w:color="auto"/>
            </w:tcBorders>
            <w:shd w:val="clear" w:color="auto" w:fill="D9D9D9"/>
            <w:vAlign w:val="center"/>
          </w:tcPr>
          <w:p w14:paraId="039FFBAF"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c>
          <w:tcPr>
            <w:tcW w:w="1935" w:type="dxa"/>
            <w:tcBorders>
              <w:bottom w:val="single" w:sz="6" w:space="0" w:color="auto"/>
            </w:tcBorders>
            <w:shd w:val="clear" w:color="auto" w:fill="D9D9D9"/>
            <w:vAlign w:val="center"/>
          </w:tcPr>
          <w:p w14:paraId="2B871C5A"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r w:rsidR="008F735B" w:rsidRPr="00463667" w14:paraId="4FBFEE8E" w14:textId="77777777" w:rsidTr="0056631A">
        <w:tc>
          <w:tcPr>
            <w:tcW w:w="5858" w:type="dxa"/>
            <w:tcBorders>
              <w:bottom w:val="single" w:sz="6" w:space="0" w:color="auto"/>
            </w:tcBorders>
          </w:tcPr>
          <w:p w14:paraId="2A6BD3A5" w14:textId="77777777" w:rsidR="008F735B" w:rsidRPr="00463667" w:rsidRDefault="008F735B" w:rsidP="00F578E0">
            <w:pPr>
              <w:pStyle w:val="TableText"/>
            </w:pPr>
            <w:r w:rsidRPr="00463667">
              <w:t>Upper 95% confidence interval</w:t>
            </w:r>
          </w:p>
        </w:tc>
        <w:tc>
          <w:tcPr>
            <w:tcW w:w="1935" w:type="dxa"/>
            <w:tcBorders>
              <w:bottom w:val="single" w:sz="6" w:space="0" w:color="auto"/>
            </w:tcBorders>
            <w:vAlign w:val="center"/>
          </w:tcPr>
          <w:p w14:paraId="05A330BE"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c>
          <w:tcPr>
            <w:tcW w:w="1935" w:type="dxa"/>
            <w:tcBorders>
              <w:bottom w:val="single" w:sz="6" w:space="0" w:color="auto"/>
            </w:tcBorders>
            <w:vAlign w:val="center"/>
          </w:tcPr>
          <w:p w14:paraId="6091ADA8" w14:textId="77777777" w:rsidR="008F735B" w:rsidRPr="00463667" w:rsidRDefault="008F735B" w:rsidP="00F578E0">
            <w:pPr>
              <w:spacing w:before="40" w:after="40" w:line="200" w:lineRule="exact"/>
              <w:jc w:val="center"/>
              <w:rPr>
                <w:rFonts w:ascii="Arial Narrow" w:hAnsi="Arial Narrow"/>
              </w:rPr>
            </w:pPr>
            <w:r w:rsidRPr="00463667">
              <w:rPr>
                <w:rFonts w:ascii="Arial Narrow" w:hAnsi="Arial Narrow"/>
                <w:i/>
                <w:iCs/>
                <w:sz w:val="19"/>
                <w:szCs w:val="19"/>
              </w:rPr>
              <w:t>For each of the 2 rates</w:t>
            </w:r>
          </w:p>
        </w:tc>
      </w:tr>
    </w:tbl>
    <w:p w14:paraId="112FA657" w14:textId="77777777" w:rsidR="008F735B" w:rsidRPr="00463667" w:rsidRDefault="008F735B" w:rsidP="008F735B">
      <w:pPr>
        <w:sectPr w:rsidR="008F735B" w:rsidRPr="00463667" w:rsidSect="00F578E0">
          <w:pgSz w:w="12240" w:h="15840" w:code="1"/>
          <w:pgMar w:top="1080" w:right="1080" w:bottom="1080" w:left="1440" w:header="720" w:footer="720" w:gutter="0"/>
          <w:cols w:space="720"/>
        </w:sectPr>
      </w:pPr>
    </w:p>
    <w:p w14:paraId="6C0D0888" w14:textId="25C5F763" w:rsidR="008F735B" w:rsidRPr="00463667" w:rsidRDefault="008F735B" w:rsidP="008F735B">
      <w:pPr>
        <w:pStyle w:val="Heading2"/>
      </w:pPr>
      <w:bookmarkStart w:id="8" w:name="_Toc400546166"/>
      <w:r w:rsidRPr="00092178">
        <w:lastRenderedPageBreak/>
        <w:t>Call Answer Timeliness (CAT)</w:t>
      </w:r>
      <w:bookmarkEnd w:id="8"/>
    </w:p>
    <w:p w14:paraId="4B0D3AB3" w14:textId="52125D2B" w:rsidR="008F735B" w:rsidRPr="00463667" w:rsidRDefault="008F735B" w:rsidP="00081D64">
      <w:pPr>
        <w:pStyle w:val="SOC"/>
        <w:rPr>
          <w:i/>
        </w:rPr>
      </w:pPr>
      <w:r w:rsidRPr="00463667">
        <w:t xml:space="preserve">Summary of Changes to HEDIS </w:t>
      </w:r>
      <w:r w:rsidR="00A47F13">
        <w:t>2016</w:t>
      </w:r>
    </w:p>
    <w:p w14:paraId="5591B114" w14:textId="77777777" w:rsidR="008F735B" w:rsidRPr="00463667" w:rsidRDefault="008F735B" w:rsidP="008F735B">
      <w:pPr>
        <w:pStyle w:val="ProcessBullet"/>
      </w:pPr>
      <w:r w:rsidRPr="00463667">
        <w:t>No changes to this measure.</w:t>
      </w:r>
    </w:p>
    <w:p w14:paraId="5143341E" w14:textId="77777777" w:rsidR="008F735B" w:rsidRPr="00463667" w:rsidRDefault="008F735B" w:rsidP="00081D64">
      <w:pPr>
        <w:pStyle w:val="ReverseHead"/>
      </w:pPr>
      <w:r w:rsidRPr="00463667">
        <w:t>Description</w:t>
      </w:r>
    </w:p>
    <w:p w14:paraId="1A33334D" w14:textId="77777777" w:rsidR="008F735B" w:rsidRPr="00463667" w:rsidRDefault="008F735B" w:rsidP="008F735B">
      <w:pPr>
        <w:pStyle w:val="Body"/>
      </w:pPr>
      <w:r w:rsidRPr="00463667">
        <w:t>The percentage of calls received by the organization’s Member Services call centers (during operating hours) during the measurement year that were answered by a live voice within 30 seconds.</w:t>
      </w:r>
    </w:p>
    <w:p w14:paraId="3943C0A1" w14:textId="77777777" w:rsidR="008F735B" w:rsidRPr="00463667" w:rsidRDefault="008F735B" w:rsidP="00081D64">
      <w:pPr>
        <w:pStyle w:val="ReverseHead"/>
      </w:pPr>
      <w:r w:rsidRPr="00463667">
        <w:t>Definitions</w:t>
      </w:r>
    </w:p>
    <w:tbl>
      <w:tblPr>
        <w:tblW w:w="9900" w:type="dxa"/>
        <w:tblInd w:w="-72" w:type="dxa"/>
        <w:tblLayout w:type="fixed"/>
        <w:tblLook w:val="0000" w:firstRow="0" w:lastRow="0" w:firstColumn="0" w:lastColumn="0" w:noHBand="0" w:noVBand="0"/>
      </w:tblPr>
      <w:tblGrid>
        <w:gridCol w:w="2250"/>
        <w:gridCol w:w="7650"/>
      </w:tblGrid>
      <w:tr w:rsidR="008F735B" w:rsidRPr="00463667" w14:paraId="0C8EEFA9" w14:textId="77777777" w:rsidTr="00F578E0">
        <w:tc>
          <w:tcPr>
            <w:tcW w:w="2250" w:type="dxa"/>
          </w:tcPr>
          <w:p w14:paraId="7741A80B" w14:textId="77777777" w:rsidR="008F735B" w:rsidRPr="00463667" w:rsidRDefault="008F735B" w:rsidP="00F578E0">
            <w:pPr>
              <w:pStyle w:val="MarginSubhead"/>
              <w:rPr>
                <w:i/>
              </w:rPr>
            </w:pPr>
            <w:r w:rsidRPr="00463667">
              <w:t>Call</w:t>
            </w:r>
          </w:p>
        </w:tc>
        <w:tc>
          <w:tcPr>
            <w:tcW w:w="7650" w:type="dxa"/>
          </w:tcPr>
          <w:p w14:paraId="2CD899BF" w14:textId="77777777" w:rsidR="008F735B" w:rsidRPr="00463667" w:rsidRDefault="008F735B" w:rsidP="00F578E0">
            <w:pPr>
              <w:pStyle w:val="Body"/>
            </w:pPr>
            <w:r w:rsidRPr="00463667">
              <w:t>Telephone contact initiated by an external caller connects with the organization’s Member Services call center. For calls transferred from other parts of the organization’s telephone system, measure time from after the call is transferred into the Member Services call center, the member chooses the option to speak to a Member Services representative and is placed in the call queue.</w:t>
            </w:r>
          </w:p>
        </w:tc>
      </w:tr>
      <w:tr w:rsidR="008F735B" w:rsidRPr="00463667" w14:paraId="08440002" w14:textId="77777777" w:rsidTr="00F578E0">
        <w:tc>
          <w:tcPr>
            <w:tcW w:w="2250" w:type="dxa"/>
          </w:tcPr>
          <w:p w14:paraId="628CCD81" w14:textId="77777777" w:rsidR="008F735B" w:rsidRPr="00463667" w:rsidRDefault="008F735B" w:rsidP="00F578E0">
            <w:pPr>
              <w:pStyle w:val="MarginSubhead"/>
            </w:pPr>
            <w:r w:rsidRPr="00463667">
              <w:t>Member Services operating hours</w:t>
            </w:r>
          </w:p>
        </w:tc>
        <w:tc>
          <w:tcPr>
            <w:tcW w:w="7650" w:type="dxa"/>
          </w:tcPr>
          <w:p w14:paraId="4EB4C706" w14:textId="77777777" w:rsidR="008F735B" w:rsidRPr="00463667" w:rsidRDefault="008F735B" w:rsidP="00F578E0">
            <w:pPr>
              <w:pStyle w:val="Body"/>
            </w:pPr>
            <w:r w:rsidRPr="00463667">
              <w:t>Hours of live call-center operation indicated by membership materials (e.g., ID card, summary organization descriptions, enrollment materials).</w:t>
            </w:r>
          </w:p>
        </w:tc>
      </w:tr>
      <w:tr w:rsidR="008F735B" w:rsidRPr="00463667" w14:paraId="146A4CE5" w14:textId="77777777" w:rsidTr="00F578E0">
        <w:tc>
          <w:tcPr>
            <w:tcW w:w="2250" w:type="dxa"/>
          </w:tcPr>
          <w:p w14:paraId="33C10380" w14:textId="77777777" w:rsidR="008F735B" w:rsidRPr="00463667" w:rsidRDefault="008F735B" w:rsidP="00F578E0">
            <w:pPr>
              <w:pStyle w:val="MarginSubhead"/>
            </w:pPr>
            <w:r w:rsidRPr="00463667">
              <w:t>Member Services representative</w:t>
            </w:r>
          </w:p>
        </w:tc>
        <w:tc>
          <w:tcPr>
            <w:tcW w:w="7650" w:type="dxa"/>
          </w:tcPr>
          <w:p w14:paraId="0EB016E0" w14:textId="77777777" w:rsidR="008F735B" w:rsidRPr="00463667" w:rsidRDefault="008F735B" w:rsidP="00F578E0">
            <w:pPr>
              <w:pStyle w:val="Body"/>
            </w:pPr>
            <w:r w:rsidRPr="00463667">
              <w:t>An employee at the organization’s Member Services call center responsible for answering calls regarding enrollment, benefits and claims processing.</w:t>
            </w:r>
          </w:p>
        </w:tc>
      </w:tr>
      <w:tr w:rsidR="008F735B" w:rsidRPr="00463667" w14:paraId="4C1AD507" w14:textId="77777777" w:rsidTr="00F578E0">
        <w:tc>
          <w:tcPr>
            <w:tcW w:w="2250" w:type="dxa"/>
          </w:tcPr>
          <w:p w14:paraId="4D14A589" w14:textId="77777777" w:rsidR="008F735B" w:rsidRPr="00463667" w:rsidRDefault="008F735B" w:rsidP="00F578E0">
            <w:pPr>
              <w:pStyle w:val="MarginSubhead"/>
            </w:pPr>
            <w:r w:rsidRPr="00463667">
              <w:t>Member Services call center</w:t>
            </w:r>
          </w:p>
        </w:tc>
        <w:tc>
          <w:tcPr>
            <w:tcW w:w="7650" w:type="dxa"/>
          </w:tcPr>
          <w:p w14:paraId="2C1F6963" w14:textId="77777777" w:rsidR="008F735B" w:rsidRPr="00463667" w:rsidRDefault="008F735B" w:rsidP="00F578E0">
            <w:pPr>
              <w:pStyle w:val="Body"/>
            </w:pPr>
            <w:r w:rsidRPr="00463667">
              <w:t>An entity within the organization or under contract with the organization that is responsible for handling the organization’s network Member Services inquiries regarding enrollment, benefits and claims processing.</w:t>
            </w:r>
          </w:p>
        </w:tc>
      </w:tr>
      <w:tr w:rsidR="008F735B" w:rsidRPr="00463667" w14:paraId="60A3443B" w14:textId="77777777" w:rsidTr="00F578E0">
        <w:tc>
          <w:tcPr>
            <w:tcW w:w="2250" w:type="dxa"/>
          </w:tcPr>
          <w:p w14:paraId="3C6B541F" w14:textId="77777777" w:rsidR="008F735B" w:rsidRPr="00463667" w:rsidRDefault="008F735B" w:rsidP="00F578E0">
            <w:pPr>
              <w:pStyle w:val="MarginSubhead"/>
            </w:pPr>
            <w:r w:rsidRPr="00463667">
              <w:t>Queue</w:t>
            </w:r>
          </w:p>
        </w:tc>
        <w:tc>
          <w:tcPr>
            <w:tcW w:w="7650" w:type="dxa"/>
          </w:tcPr>
          <w:p w14:paraId="7C86F649" w14:textId="77777777" w:rsidR="008F735B" w:rsidRPr="00463667" w:rsidRDefault="008F735B" w:rsidP="00F578E0">
            <w:pPr>
              <w:pStyle w:val="Body"/>
            </w:pPr>
            <w:r w:rsidRPr="00463667">
              <w:t>A sequence of calls waiting to be handled by the Member Services representative. The wait time on a queued call is calculated by Automatic Call Distribution (ACD), which tracks incoming calls.</w:t>
            </w:r>
          </w:p>
        </w:tc>
      </w:tr>
    </w:tbl>
    <w:p w14:paraId="727D730F" w14:textId="77777777" w:rsidR="008F735B" w:rsidRPr="00463667" w:rsidRDefault="008F735B" w:rsidP="00081D64">
      <w:pPr>
        <w:pStyle w:val="ReverseHead"/>
      </w:pPr>
      <w:r w:rsidRPr="00463667">
        <w:t>Calculation</w:t>
      </w:r>
    </w:p>
    <w:tbl>
      <w:tblPr>
        <w:tblW w:w="0" w:type="auto"/>
        <w:tblInd w:w="-72" w:type="dxa"/>
        <w:tblLayout w:type="fixed"/>
        <w:tblLook w:val="0000" w:firstRow="0" w:lastRow="0" w:firstColumn="0" w:lastColumn="0" w:noHBand="0" w:noVBand="0"/>
      </w:tblPr>
      <w:tblGrid>
        <w:gridCol w:w="2250"/>
        <w:gridCol w:w="7650"/>
      </w:tblGrid>
      <w:tr w:rsidR="008F735B" w:rsidRPr="00463667" w14:paraId="085AC6AD" w14:textId="77777777" w:rsidTr="00F578E0">
        <w:tc>
          <w:tcPr>
            <w:tcW w:w="2250" w:type="dxa"/>
          </w:tcPr>
          <w:p w14:paraId="51B3E84E" w14:textId="77777777" w:rsidR="008F735B" w:rsidRPr="00463667" w:rsidRDefault="008F735B" w:rsidP="00F578E0">
            <w:pPr>
              <w:pStyle w:val="MarginSubhead"/>
            </w:pPr>
            <w:r w:rsidRPr="00463667">
              <w:t>Product lines</w:t>
            </w:r>
          </w:p>
        </w:tc>
        <w:tc>
          <w:tcPr>
            <w:tcW w:w="7650" w:type="dxa"/>
          </w:tcPr>
          <w:p w14:paraId="7DE3DADD" w14:textId="77777777" w:rsidR="008F735B" w:rsidRPr="00463667" w:rsidRDefault="008F735B" w:rsidP="00F578E0">
            <w:pPr>
              <w:pStyle w:val="Body"/>
            </w:pPr>
            <w:r w:rsidRPr="00463667">
              <w:t xml:space="preserve">Commercial, Medicaid, Medicare (report each product line separately). </w:t>
            </w:r>
          </w:p>
          <w:p w14:paraId="29504B05" w14:textId="77777777" w:rsidR="008F735B" w:rsidRPr="00463667" w:rsidRDefault="008F735B" w:rsidP="00F578E0">
            <w:pPr>
              <w:pStyle w:val="Note"/>
            </w:pPr>
            <w:r w:rsidRPr="00463667">
              <w:rPr>
                <w:b/>
              </w:rPr>
              <w:t>Note:</w:t>
            </w:r>
            <w:r w:rsidRPr="00463667">
              <w:t xml:space="preserve"> Organizations that use the same systems, policies and procedures and staff to answer calls for all product lines may report the same rate for all product lines if they cannot report data by individual product line.</w:t>
            </w:r>
          </w:p>
        </w:tc>
      </w:tr>
      <w:tr w:rsidR="008F735B" w:rsidRPr="00463667" w14:paraId="54238637" w14:textId="77777777" w:rsidTr="00F578E0">
        <w:tc>
          <w:tcPr>
            <w:tcW w:w="2250" w:type="dxa"/>
          </w:tcPr>
          <w:p w14:paraId="1D8495BE" w14:textId="77777777" w:rsidR="008F735B" w:rsidRPr="00463667" w:rsidRDefault="008F735B" w:rsidP="00F578E0">
            <w:pPr>
              <w:pStyle w:val="MarginSubhead"/>
            </w:pPr>
            <w:r w:rsidRPr="00463667">
              <w:t>Denominator</w:t>
            </w:r>
          </w:p>
        </w:tc>
        <w:tc>
          <w:tcPr>
            <w:tcW w:w="7650" w:type="dxa"/>
          </w:tcPr>
          <w:p w14:paraId="02716B06" w14:textId="77777777" w:rsidR="008F735B" w:rsidRPr="00463667" w:rsidRDefault="008F735B" w:rsidP="00F578E0">
            <w:pPr>
              <w:pStyle w:val="Body"/>
            </w:pPr>
            <w:r w:rsidRPr="00463667">
              <w:t>The number of calls received by the Member Services call centers (during hours of operation) during the measurement year, where the member called directly into Member Services or selected a Member Services option and was put in the call queue. Exclude calls to a benefits contractor (e.g., mental health, dental, vision, pharmacy) that uses its own call center.</w:t>
            </w:r>
          </w:p>
        </w:tc>
      </w:tr>
      <w:tr w:rsidR="008F735B" w:rsidRPr="00463667" w14:paraId="0C15EEBF" w14:textId="77777777" w:rsidTr="00F578E0">
        <w:tc>
          <w:tcPr>
            <w:tcW w:w="2250" w:type="dxa"/>
            <w:tcBorders>
              <w:bottom w:val="nil"/>
            </w:tcBorders>
          </w:tcPr>
          <w:p w14:paraId="71E0DF4B" w14:textId="77777777" w:rsidR="008F735B" w:rsidRPr="00463667" w:rsidRDefault="008F735B" w:rsidP="00F578E0">
            <w:pPr>
              <w:pStyle w:val="MarginSubhead"/>
            </w:pPr>
            <w:r w:rsidRPr="00463667">
              <w:t>Numerator</w:t>
            </w:r>
          </w:p>
        </w:tc>
        <w:tc>
          <w:tcPr>
            <w:tcW w:w="7650" w:type="dxa"/>
            <w:tcBorders>
              <w:bottom w:val="nil"/>
            </w:tcBorders>
          </w:tcPr>
          <w:p w14:paraId="5AE345FE" w14:textId="77777777" w:rsidR="008F735B" w:rsidRPr="00463667" w:rsidRDefault="008F735B" w:rsidP="00F578E0">
            <w:pPr>
              <w:pStyle w:val="Body"/>
              <w:jc w:val="both"/>
            </w:pPr>
            <w:r w:rsidRPr="00463667">
              <w:t>The number of calls answered by a live voice within 30 seconds.</w:t>
            </w:r>
          </w:p>
          <w:p w14:paraId="5C0103F4" w14:textId="77777777" w:rsidR="008F735B" w:rsidRPr="00463667" w:rsidRDefault="008F735B" w:rsidP="00F578E0">
            <w:pPr>
              <w:pStyle w:val="Note"/>
              <w:rPr>
                <w:i w:val="0"/>
              </w:rPr>
            </w:pPr>
            <w:r w:rsidRPr="00463667">
              <w:rPr>
                <w:i w:val="0"/>
              </w:rPr>
              <w:t>Time measured begins when the member is placed in the call queue to wait to speak with a Member Services representative.</w:t>
            </w:r>
          </w:p>
          <w:p w14:paraId="2E0189F3" w14:textId="77777777" w:rsidR="008F735B" w:rsidRPr="00463667" w:rsidRDefault="008F735B" w:rsidP="00F578E0">
            <w:pPr>
              <w:pStyle w:val="Note"/>
            </w:pPr>
            <w:r w:rsidRPr="00463667">
              <w:rPr>
                <w:b/>
              </w:rPr>
              <w:t xml:space="preserve">Note: </w:t>
            </w:r>
            <w:r w:rsidRPr="00463667">
              <w:t xml:space="preserve">Calls abandoned within 30 seconds and calls sent directly to voicemail remain in the measure and are noncompliant for the numerator. </w:t>
            </w:r>
          </w:p>
        </w:tc>
      </w:tr>
    </w:tbl>
    <w:p w14:paraId="4074C318" w14:textId="77777777" w:rsidR="008F735B" w:rsidRPr="00463667" w:rsidRDefault="008F735B" w:rsidP="008F735B">
      <w:pPr>
        <w:sectPr w:rsidR="008F735B" w:rsidRPr="00463667" w:rsidSect="00F578E0">
          <w:headerReference w:type="even" r:id="rId47"/>
          <w:headerReference w:type="default" r:id="rId48"/>
          <w:headerReference w:type="first" r:id="rId49"/>
          <w:pgSz w:w="12240" w:h="15840" w:code="1"/>
          <w:pgMar w:top="1080" w:right="1080" w:bottom="1080" w:left="1440" w:header="720" w:footer="720" w:gutter="0"/>
          <w:cols w:space="720"/>
        </w:sectPr>
      </w:pPr>
    </w:p>
    <w:tbl>
      <w:tblPr>
        <w:tblW w:w="9828" w:type="dxa"/>
        <w:tblLayout w:type="fixed"/>
        <w:tblLook w:val="0000" w:firstRow="0" w:lastRow="0" w:firstColumn="0" w:lastColumn="0" w:noHBand="0" w:noVBand="0"/>
      </w:tblPr>
      <w:tblGrid>
        <w:gridCol w:w="1908"/>
        <w:gridCol w:w="7920"/>
      </w:tblGrid>
      <w:tr w:rsidR="008F735B" w:rsidRPr="00463667" w14:paraId="297015CF" w14:textId="77777777" w:rsidTr="00F578E0">
        <w:tc>
          <w:tcPr>
            <w:tcW w:w="1908" w:type="dxa"/>
          </w:tcPr>
          <w:p w14:paraId="5A6D41EA" w14:textId="77777777" w:rsidR="008F735B" w:rsidRPr="00463667" w:rsidRDefault="008F735B" w:rsidP="00F578E0">
            <w:pPr>
              <w:pStyle w:val="MarginSubhead"/>
              <w:spacing w:before="0"/>
            </w:pPr>
            <w:r w:rsidRPr="00463667">
              <w:lastRenderedPageBreak/>
              <w:t>Formulas</w:t>
            </w:r>
          </w:p>
        </w:tc>
        <w:tc>
          <w:tcPr>
            <w:tcW w:w="7920" w:type="dxa"/>
          </w:tcPr>
          <w:p w14:paraId="2C8691D0" w14:textId="77777777" w:rsidR="008F735B" w:rsidRPr="00463667" w:rsidRDefault="008F735B" w:rsidP="00F578E0">
            <w:pPr>
              <w:pStyle w:val="Body"/>
              <w:spacing w:before="0"/>
            </w:pPr>
            <w:r w:rsidRPr="00463667">
              <w:rPr>
                <w:i/>
              </w:rPr>
              <w:t>For an organization with one call center that answers all the organization’s calls and has the organization as its only client,</w:t>
            </w:r>
            <w:r w:rsidRPr="00463667">
              <w:t xml:space="preserve"> report the measure as specified.</w:t>
            </w:r>
          </w:p>
          <w:p w14:paraId="4194B04E" w14:textId="77777777" w:rsidR="008F735B" w:rsidRPr="00463667" w:rsidRDefault="008F735B" w:rsidP="009E2937">
            <w:pPr>
              <w:pStyle w:val="Body"/>
              <w:spacing w:before="120"/>
            </w:pPr>
            <w:r w:rsidRPr="00463667">
              <w:rPr>
                <w:i/>
              </w:rPr>
              <w:t>For an organization with one call center that answers all the</w:t>
            </w:r>
            <w:r w:rsidRPr="00463667">
              <w:t xml:space="preserve"> </w:t>
            </w:r>
            <w:r w:rsidRPr="00463667">
              <w:rPr>
                <w:i/>
              </w:rPr>
              <w:t xml:space="preserve">organization’s calls and has multiple clients, </w:t>
            </w:r>
            <w:r w:rsidRPr="00463667">
              <w:t>if the call center is unable to report timeliness data for the specific organization, report timeliness for the entire volume of calls the center handles.</w:t>
            </w:r>
          </w:p>
          <w:p w14:paraId="003C6EB7" w14:textId="77777777" w:rsidR="008F735B" w:rsidRPr="00463667" w:rsidRDefault="008F735B" w:rsidP="009E2937">
            <w:pPr>
              <w:pStyle w:val="Body"/>
              <w:spacing w:before="120"/>
            </w:pPr>
            <w:r w:rsidRPr="00463667">
              <w:rPr>
                <w:i/>
              </w:rPr>
              <w:t xml:space="preserve">For an organization with multiple call centers, each of which answers a portion of the total calls for the organization and has the organization as its only client, </w:t>
            </w:r>
            <w:r w:rsidRPr="00463667">
              <w:t>report the measure as a weighted average (see the formula below).</w:t>
            </w:r>
          </w:p>
        </w:tc>
      </w:tr>
      <w:tr w:rsidR="008F735B" w:rsidRPr="00463667" w14:paraId="4CEA177E" w14:textId="77777777" w:rsidTr="00F578E0">
        <w:trPr>
          <w:cantSplit/>
        </w:trPr>
        <w:tc>
          <w:tcPr>
            <w:tcW w:w="1908" w:type="dxa"/>
          </w:tcPr>
          <w:p w14:paraId="4C0169EF" w14:textId="77777777" w:rsidR="008F735B" w:rsidRPr="00463667" w:rsidRDefault="008F735B" w:rsidP="00F578E0">
            <w:pPr>
              <w:pStyle w:val="Bullet"/>
              <w:numPr>
                <w:ilvl w:val="0"/>
                <w:numId w:val="0"/>
              </w:numPr>
              <w:spacing w:before="180"/>
              <w:jc w:val="right"/>
              <w:rPr>
                <w:b/>
                <w:bCs/>
                <w:i/>
                <w:iCs/>
              </w:rPr>
            </w:pPr>
            <w:r w:rsidRPr="00463667">
              <w:rPr>
                <w:b/>
                <w:bCs/>
                <w:i/>
                <w:iCs/>
              </w:rPr>
              <w:t>Definitions</w:t>
            </w:r>
          </w:p>
        </w:tc>
        <w:tc>
          <w:tcPr>
            <w:tcW w:w="7920" w:type="dxa"/>
          </w:tcPr>
          <w:p w14:paraId="6D49E5D7" w14:textId="77777777" w:rsidR="008F735B" w:rsidRPr="00463667" w:rsidRDefault="008F735B" w:rsidP="00F578E0">
            <w:pPr>
              <w:pStyle w:val="Bullet"/>
              <w:numPr>
                <w:ilvl w:val="0"/>
                <w:numId w:val="0"/>
              </w:numPr>
              <w:tabs>
                <w:tab w:val="left" w:pos="882"/>
              </w:tabs>
              <w:spacing w:before="180"/>
              <w:ind w:left="1066" w:hanging="1066"/>
            </w:pPr>
            <w:r w:rsidRPr="00463667">
              <w:t>Let N</w:t>
            </w:r>
            <w:r w:rsidRPr="00463667">
              <w:rPr>
                <w:vertAlign w:val="subscript"/>
              </w:rPr>
              <w:t>1</w:t>
            </w:r>
            <w:r w:rsidRPr="00463667">
              <w:rPr>
                <w:vertAlign w:val="subscript"/>
              </w:rPr>
              <w:tab/>
            </w:r>
            <w:r w:rsidRPr="00463667">
              <w:t>= The total number of Member Services calls received by call center 1.</w:t>
            </w:r>
          </w:p>
          <w:p w14:paraId="47035826" w14:textId="77777777" w:rsidR="008F735B" w:rsidRPr="00463667" w:rsidRDefault="008F735B" w:rsidP="00F578E0">
            <w:pPr>
              <w:pStyle w:val="Bullet"/>
              <w:numPr>
                <w:ilvl w:val="0"/>
                <w:numId w:val="0"/>
              </w:numPr>
              <w:tabs>
                <w:tab w:val="left" w:pos="882"/>
              </w:tabs>
              <w:ind w:left="1062" w:hanging="1062"/>
            </w:pPr>
            <w:r w:rsidRPr="00463667">
              <w:t>Let N</w:t>
            </w:r>
            <w:r w:rsidRPr="00463667">
              <w:rPr>
                <w:vertAlign w:val="subscript"/>
              </w:rPr>
              <w:t>2</w:t>
            </w:r>
            <w:r w:rsidRPr="00463667">
              <w:rPr>
                <w:vertAlign w:val="subscript"/>
              </w:rPr>
              <w:tab/>
            </w:r>
            <w:r w:rsidRPr="00463667">
              <w:t>= The total number of Member Services calls received by call center 2.</w:t>
            </w:r>
          </w:p>
          <w:p w14:paraId="66598B22" w14:textId="77777777" w:rsidR="008F735B" w:rsidRPr="00463667" w:rsidRDefault="008F735B" w:rsidP="00F578E0">
            <w:pPr>
              <w:pStyle w:val="Bullet"/>
              <w:numPr>
                <w:ilvl w:val="0"/>
                <w:numId w:val="0"/>
              </w:numPr>
              <w:tabs>
                <w:tab w:val="left" w:pos="882"/>
              </w:tabs>
              <w:ind w:left="1062" w:hanging="1062"/>
            </w:pPr>
            <w:r w:rsidRPr="00463667">
              <w:t>Let P</w:t>
            </w:r>
            <w:r w:rsidRPr="00463667">
              <w:rPr>
                <w:vertAlign w:val="subscript"/>
              </w:rPr>
              <w:t>CAT1</w:t>
            </w:r>
            <w:r w:rsidRPr="00463667">
              <w:rPr>
                <w:vertAlign w:val="subscript"/>
              </w:rPr>
              <w:tab/>
            </w:r>
            <w:r w:rsidRPr="00463667">
              <w:t xml:space="preserve">= The rate for the </w:t>
            </w:r>
            <w:r w:rsidRPr="00463667">
              <w:rPr>
                <w:i/>
              </w:rPr>
              <w:t>Call Answer Timeliness</w:t>
            </w:r>
            <w:r w:rsidRPr="00463667">
              <w:t xml:space="preserve"> HEDIS measure for call center 1.</w:t>
            </w:r>
          </w:p>
          <w:p w14:paraId="143B95AF" w14:textId="77777777" w:rsidR="008F735B" w:rsidRPr="00463667" w:rsidRDefault="008F735B" w:rsidP="00F578E0">
            <w:pPr>
              <w:pStyle w:val="Bullet"/>
              <w:numPr>
                <w:ilvl w:val="0"/>
                <w:numId w:val="0"/>
              </w:numPr>
              <w:tabs>
                <w:tab w:val="left" w:pos="882"/>
              </w:tabs>
              <w:ind w:left="1062" w:hanging="1062"/>
              <w:rPr>
                <w:b/>
              </w:rPr>
            </w:pPr>
            <w:r w:rsidRPr="00463667">
              <w:t>Let P</w:t>
            </w:r>
            <w:r w:rsidRPr="00463667">
              <w:rPr>
                <w:vertAlign w:val="subscript"/>
              </w:rPr>
              <w:t>CAT2</w:t>
            </w:r>
            <w:r w:rsidRPr="00463667">
              <w:rPr>
                <w:vertAlign w:val="subscript"/>
              </w:rPr>
              <w:tab/>
            </w:r>
            <w:r w:rsidRPr="00463667">
              <w:t xml:space="preserve">= The rate for the </w:t>
            </w:r>
            <w:r w:rsidRPr="00463667">
              <w:rPr>
                <w:i/>
              </w:rPr>
              <w:t>Call Answer Timeliness</w:t>
            </w:r>
            <w:r w:rsidRPr="00463667">
              <w:t xml:space="preserve"> HEDIS measure for call center 2.</w:t>
            </w:r>
          </w:p>
        </w:tc>
      </w:tr>
      <w:tr w:rsidR="008F735B" w:rsidRPr="00463667" w14:paraId="5A5B02CE" w14:textId="77777777" w:rsidTr="00F578E0">
        <w:trPr>
          <w:cantSplit/>
        </w:trPr>
        <w:tc>
          <w:tcPr>
            <w:tcW w:w="1908" w:type="dxa"/>
          </w:tcPr>
          <w:p w14:paraId="4B940A19" w14:textId="77777777" w:rsidR="008F735B" w:rsidRPr="00463667" w:rsidRDefault="008F735B" w:rsidP="00F578E0">
            <w:pPr>
              <w:pStyle w:val="Bullet"/>
              <w:numPr>
                <w:ilvl w:val="0"/>
                <w:numId w:val="0"/>
              </w:numPr>
              <w:spacing w:before="180"/>
              <w:jc w:val="right"/>
              <w:rPr>
                <w:b/>
                <w:bCs/>
                <w:i/>
                <w:iCs/>
              </w:rPr>
            </w:pPr>
            <w:r w:rsidRPr="00463667">
              <w:rPr>
                <w:b/>
                <w:bCs/>
                <w:i/>
                <w:iCs/>
              </w:rPr>
              <w:t>Set-up calculations</w:t>
            </w:r>
          </w:p>
        </w:tc>
        <w:tc>
          <w:tcPr>
            <w:tcW w:w="7920" w:type="dxa"/>
          </w:tcPr>
          <w:p w14:paraId="09544C4F" w14:textId="77777777" w:rsidR="008F735B" w:rsidRPr="00463667" w:rsidRDefault="008F735B" w:rsidP="00F578E0">
            <w:pPr>
              <w:pStyle w:val="Bullet"/>
              <w:numPr>
                <w:ilvl w:val="0"/>
                <w:numId w:val="0"/>
              </w:numPr>
              <w:tabs>
                <w:tab w:val="left" w:pos="882"/>
              </w:tabs>
              <w:spacing w:before="180"/>
              <w:ind w:left="1062" w:hanging="1062"/>
            </w:pPr>
            <w:r w:rsidRPr="00463667">
              <w:t>Let W</w:t>
            </w:r>
            <w:r w:rsidRPr="00463667">
              <w:rPr>
                <w:vertAlign w:val="subscript"/>
              </w:rPr>
              <w:t>1</w:t>
            </w:r>
            <w:r w:rsidRPr="00463667">
              <w:rPr>
                <w:vertAlign w:val="subscript"/>
              </w:rPr>
              <w:tab/>
            </w:r>
            <w:r w:rsidRPr="00463667">
              <w:t>= The weight assigned to call center 1. This result is calculated by the formula W</w:t>
            </w:r>
            <w:r w:rsidRPr="00463667">
              <w:rPr>
                <w:vertAlign w:val="subscript"/>
              </w:rPr>
              <w:t xml:space="preserve">1 </w:t>
            </w:r>
            <w:r w:rsidRPr="00463667">
              <w:t>= N</w:t>
            </w:r>
            <w:r w:rsidRPr="00463667">
              <w:rPr>
                <w:vertAlign w:val="subscript"/>
              </w:rPr>
              <w:t>1</w:t>
            </w:r>
            <w:r w:rsidRPr="00463667">
              <w:t>/(N</w:t>
            </w:r>
            <w:r w:rsidRPr="00463667">
              <w:rPr>
                <w:vertAlign w:val="subscript"/>
              </w:rPr>
              <w:t>1</w:t>
            </w:r>
            <w:r w:rsidRPr="00463667">
              <w:t>+N</w:t>
            </w:r>
            <w:r w:rsidRPr="00463667">
              <w:rPr>
                <w:vertAlign w:val="subscript"/>
              </w:rPr>
              <w:t>2</w:t>
            </w:r>
            <w:r w:rsidRPr="00463667">
              <w:t>).</w:t>
            </w:r>
          </w:p>
          <w:p w14:paraId="02002368" w14:textId="77777777" w:rsidR="008F735B" w:rsidRPr="00463667" w:rsidRDefault="008F735B" w:rsidP="00F578E0">
            <w:pPr>
              <w:pStyle w:val="Bullet"/>
              <w:numPr>
                <w:ilvl w:val="0"/>
                <w:numId w:val="0"/>
              </w:numPr>
              <w:tabs>
                <w:tab w:val="left" w:pos="882"/>
              </w:tabs>
              <w:ind w:left="1062" w:hanging="1062"/>
              <w:rPr>
                <w:b/>
                <w:i/>
              </w:rPr>
            </w:pPr>
            <w:r w:rsidRPr="00463667">
              <w:t>Let W</w:t>
            </w:r>
            <w:r w:rsidRPr="00463667">
              <w:rPr>
                <w:vertAlign w:val="subscript"/>
              </w:rPr>
              <w:t>2</w:t>
            </w:r>
            <w:r w:rsidRPr="00463667">
              <w:rPr>
                <w:vertAlign w:val="subscript"/>
              </w:rPr>
              <w:tab/>
            </w:r>
            <w:r w:rsidRPr="00463667">
              <w:t>= The weight assigned to call center 2. This result is calculated by the formula W</w:t>
            </w:r>
            <w:r w:rsidRPr="00463667">
              <w:rPr>
                <w:vertAlign w:val="subscript"/>
              </w:rPr>
              <w:t xml:space="preserve">2 </w:t>
            </w:r>
            <w:r w:rsidRPr="00463667">
              <w:t>= N</w:t>
            </w:r>
            <w:r w:rsidRPr="00463667">
              <w:rPr>
                <w:vertAlign w:val="subscript"/>
              </w:rPr>
              <w:t>2</w:t>
            </w:r>
            <w:r w:rsidRPr="00463667">
              <w:t>/(N</w:t>
            </w:r>
            <w:r w:rsidRPr="00463667">
              <w:rPr>
                <w:vertAlign w:val="subscript"/>
              </w:rPr>
              <w:t>1</w:t>
            </w:r>
            <w:r w:rsidRPr="00463667">
              <w:t>+N</w:t>
            </w:r>
            <w:r w:rsidRPr="00463667">
              <w:rPr>
                <w:vertAlign w:val="subscript"/>
              </w:rPr>
              <w:t>2</w:t>
            </w:r>
            <w:r w:rsidRPr="00463667">
              <w:t>).</w:t>
            </w:r>
          </w:p>
        </w:tc>
      </w:tr>
      <w:tr w:rsidR="008F735B" w:rsidRPr="00463667" w14:paraId="7ACD694C" w14:textId="77777777" w:rsidTr="00F578E0">
        <w:trPr>
          <w:cantSplit/>
        </w:trPr>
        <w:tc>
          <w:tcPr>
            <w:tcW w:w="1908" w:type="dxa"/>
          </w:tcPr>
          <w:p w14:paraId="70877140" w14:textId="77777777" w:rsidR="008F735B" w:rsidRPr="00463667" w:rsidRDefault="008F735B" w:rsidP="00F578E0">
            <w:pPr>
              <w:pStyle w:val="Bullet"/>
              <w:numPr>
                <w:ilvl w:val="0"/>
                <w:numId w:val="0"/>
              </w:numPr>
              <w:spacing w:before="180"/>
              <w:jc w:val="right"/>
              <w:rPr>
                <w:b/>
                <w:bCs/>
                <w:i/>
                <w:iCs/>
              </w:rPr>
            </w:pPr>
            <w:r w:rsidRPr="00463667">
              <w:rPr>
                <w:b/>
                <w:bCs/>
                <w:i/>
                <w:iCs/>
              </w:rPr>
              <w:t>Pooled analysis</w:t>
            </w:r>
          </w:p>
        </w:tc>
        <w:tc>
          <w:tcPr>
            <w:tcW w:w="7920" w:type="dxa"/>
          </w:tcPr>
          <w:p w14:paraId="1710A1FC" w14:textId="77777777" w:rsidR="008F735B" w:rsidRPr="00463667" w:rsidRDefault="008F735B" w:rsidP="00F578E0">
            <w:pPr>
              <w:pStyle w:val="Body"/>
            </w:pPr>
            <w:r w:rsidRPr="00463667">
              <w:t>The pooled result from the two rates is calculated as:</w:t>
            </w:r>
          </w:p>
          <w:p w14:paraId="7422EC3A" w14:textId="77777777" w:rsidR="008F735B" w:rsidRPr="00463667" w:rsidRDefault="008F735B" w:rsidP="00F578E0">
            <w:pPr>
              <w:pStyle w:val="Bullet"/>
              <w:numPr>
                <w:ilvl w:val="0"/>
                <w:numId w:val="0"/>
              </w:numPr>
              <w:tabs>
                <w:tab w:val="left" w:pos="882"/>
              </w:tabs>
              <w:spacing w:before="60"/>
              <w:jc w:val="center"/>
              <w:rPr>
                <w:i/>
                <w:sz w:val="24"/>
              </w:rPr>
            </w:pPr>
            <w:r w:rsidRPr="00463667">
              <w:t>P</w:t>
            </w:r>
            <w:r w:rsidRPr="00463667">
              <w:rPr>
                <w:vertAlign w:val="subscript"/>
              </w:rPr>
              <w:t>CAT pooled</w:t>
            </w:r>
            <w:r w:rsidRPr="00463667">
              <w:rPr>
                <w:vertAlign w:val="subscript"/>
              </w:rPr>
              <w:tab/>
            </w:r>
            <w:r w:rsidRPr="00463667">
              <w:t>= W</w:t>
            </w:r>
            <w:r w:rsidRPr="00463667">
              <w:rPr>
                <w:vertAlign w:val="subscript"/>
              </w:rPr>
              <w:t>1</w:t>
            </w:r>
            <w:r w:rsidRPr="00463667">
              <w:t>*P</w:t>
            </w:r>
            <w:r w:rsidRPr="00463667">
              <w:rPr>
                <w:vertAlign w:val="subscript"/>
              </w:rPr>
              <w:t>CAT1</w:t>
            </w:r>
            <w:r w:rsidRPr="00463667">
              <w:t>+ W</w:t>
            </w:r>
            <w:r w:rsidRPr="00463667">
              <w:rPr>
                <w:vertAlign w:val="subscript"/>
              </w:rPr>
              <w:t>2</w:t>
            </w:r>
            <w:r w:rsidRPr="00463667">
              <w:t>*P</w:t>
            </w:r>
            <w:r w:rsidRPr="00463667">
              <w:rPr>
                <w:vertAlign w:val="subscript"/>
              </w:rPr>
              <w:t>CAT2</w:t>
            </w:r>
          </w:p>
        </w:tc>
      </w:tr>
    </w:tbl>
    <w:p w14:paraId="354D8F1B" w14:textId="77777777" w:rsidR="008F735B" w:rsidRPr="00463667" w:rsidRDefault="008F735B" w:rsidP="00081D64">
      <w:pPr>
        <w:pStyle w:val="SubHead20"/>
        <w:rPr>
          <w:i/>
        </w:rPr>
      </w:pPr>
      <w:r w:rsidRPr="00463667">
        <w:rPr>
          <w:i/>
        </w:rPr>
        <w:t>Note</w:t>
      </w:r>
    </w:p>
    <w:p w14:paraId="7B77DA71" w14:textId="77777777" w:rsidR="008F735B" w:rsidRPr="00463667" w:rsidRDefault="008F735B" w:rsidP="008F735B">
      <w:pPr>
        <w:pStyle w:val="ProcessBullet"/>
        <w:rPr>
          <w:i/>
          <w:iCs/>
        </w:rPr>
      </w:pPr>
      <w:r w:rsidRPr="00463667">
        <w:rPr>
          <w:i/>
          <w:iCs/>
        </w:rPr>
        <w:t xml:space="preserve">If an organization blocks calls during peak call periods (or regular business hours) by immediately giving members a busy signal and keeping the calls from reaching the call queue, the auditor assesses the percentage of blocked calls and its impact on the measure. </w:t>
      </w:r>
    </w:p>
    <w:p w14:paraId="400426DF" w14:textId="77777777" w:rsidR="008F735B" w:rsidRPr="00463667" w:rsidRDefault="008F735B" w:rsidP="008F735B">
      <w:pPr>
        <w:pStyle w:val="ProcessBullet"/>
        <w:rPr>
          <w:i/>
        </w:rPr>
      </w:pPr>
      <w:r w:rsidRPr="00463667">
        <w:rPr>
          <w:i/>
          <w:szCs w:val="20"/>
        </w:rPr>
        <w:t>If an organization’s phone system tracks members’ wait time and can call members back when it is their turn in the queue, include the call in the denominator; however, it will probably be noncompliant for the numerator because it is unlikely that the start of the call-back process would occur in the 30-second time frame.</w:t>
      </w:r>
    </w:p>
    <w:p w14:paraId="7A5422BB" w14:textId="77777777" w:rsidR="008F735B" w:rsidRPr="00463667" w:rsidRDefault="008F735B" w:rsidP="00081D64">
      <w:pPr>
        <w:pStyle w:val="ReverseHead"/>
      </w:pPr>
      <w:r w:rsidRPr="00463667">
        <w:t xml:space="preserve">Data Elements for Reporting </w:t>
      </w:r>
    </w:p>
    <w:p w14:paraId="08C56B74" w14:textId="77777777" w:rsidR="008F735B" w:rsidRPr="00463667" w:rsidRDefault="008F735B" w:rsidP="008F735B">
      <w:pPr>
        <w:pStyle w:val="Body"/>
      </w:pPr>
      <w:r w:rsidRPr="00463667">
        <w:t>Organizations that submit HEDIS data to NCQA must provide the following data elements.</w:t>
      </w:r>
    </w:p>
    <w:p w14:paraId="18B7FD03" w14:textId="77777777" w:rsidR="008F735B" w:rsidRPr="00463667" w:rsidRDefault="008F735B" w:rsidP="00081D64">
      <w:pPr>
        <w:pStyle w:val="TableHeadNotCondensed"/>
      </w:pPr>
      <w:r w:rsidRPr="00463667">
        <w:t>Table CAT-1/2/3: Data Elements for Call Answer Timeliness</w:t>
      </w:r>
    </w:p>
    <w:tbl>
      <w:tblPr>
        <w:tblW w:w="576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8"/>
        <w:gridCol w:w="1800"/>
      </w:tblGrid>
      <w:tr w:rsidR="008F735B" w:rsidRPr="00463667" w14:paraId="007D8966" w14:textId="77777777" w:rsidTr="0056631A">
        <w:tc>
          <w:tcPr>
            <w:tcW w:w="3968" w:type="dxa"/>
            <w:tcBorders>
              <w:bottom w:val="single" w:sz="6" w:space="0" w:color="auto"/>
              <w:right w:val="nil"/>
            </w:tcBorders>
            <w:shd w:val="clear" w:color="auto" w:fill="000000"/>
          </w:tcPr>
          <w:p w14:paraId="65721495" w14:textId="77777777" w:rsidR="008F735B" w:rsidRPr="00463667" w:rsidRDefault="008F735B" w:rsidP="00F578E0">
            <w:pPr>
              <w:pStyle w:val="TableHead"/>
              <w:rPr>
                <w:color w:val="auto"/>
              </w:rPr>
            </w:pPr>
          </w:p>
        </w:tc>
        <w:tc>
          <w:tcPr>
            <w:tcW w:w="1800" w:type="dxa"/>
            <w:tcBorders>
              <w:left w:val="single" w:sz="6" w:space="0" w:color="FFFFFF"/>
              <w:bottom w:val="single" w:sz="6" w:space="0" w:color="auto"/>
              <w:right w:val="single" w:sz="4" w:space="0" w:color="auto"/>
            </w:tcBorders>
            <w:shd w:val="clear" w:color="auto" w:fill="000000"/>
          </w:tcPr>
          <w:p w14:paraId="648C96AE" w14:textId="77777777" w:rsidR="008F735B" w:rsidRPr="00463667" w:rsidRDefault="008F735B" w:rsidP="00F578E0">
            <w:pPr>
              <w:pStyle w:val="TableHead"/>
              <w:rPr>
                <w:color w:val="auto"/>
              </w:rPr>
            </w:pPr>
            <w:r w:rsidRPr="00463667">
              <w:rPr>
                <w:color w:val="auto"/>
              </w:rPr>
              <w:t>Administrative</w:t>
            </w:r>
          </w:p>
        </w:tc>
      </w:tr>
      <w:tr w:rsidR="008F735B" w:rsidRPr="00463667" w14:paraId="63B46883" w14:textId="77777777" w:rsidTr="0056631A">
        <w:tc>
          <w:tcPr>
            <w:tcW w:w="3968" w:type="dxa"/>
            <w:tcBorders>
              <w:bottom w:val="single" w:sz="6" w:space="0" w:color="auto"/>
            </w:tcBorders>
            <w:vAlign w:val="center"/>
          </w:tcPr>
          <w:p w14:paraId="6B0CCF04" w14:textId="77777777" w:rsidR="008F735B" w:rsidRPr="00463667" w:rsidRDefault="008F735B" w:rsidP="00F578E0">
            <w:pPr>
              <w:pStyle w:val="TableText"/>
            </w:pPr>
            <w:r w:rsidRPr="00463667">
              <w:t>Measurement year</w:t>
            </w:r>
          </w:p>
        </w:tc>
        <w:tc>
          <w:tcPr>
            <w:tcW w:w="1800" w:type="dxa"/>
            <w:tcBorders>
              <w:bottom w:val="single" w:sz="6" w:space="0" w:color="auto"/>
            </w:tcBorders>
            <w:vAlign w:val="center"/>
          </w:tcPr>
          <w:p w14:paraId="656EB8CC"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4C8A4A4C" w14:textId="77777777" w:rsidTr="0056631A">
        <w:tc>
          <w:tcPr>
            <w:tcW w:w="3968" w:type="dxa"/>
            <w:shd w:val="clear" w:color="auto" w:fill="D9D9D9"/>
            <w:vAlign w:val="center"/>
          </w:tcPr>
          <w:p w14:paraId="1B1A53D7" w14:textId="77777777" w:rsidR="008F735B" w:rsidRPr="00463667" w:rsidRDefault="008F735B" w:rsidP="00F578E0">
            <w:pPr>
              <w:pStyle w:val="TableText"/>
            </w:pPr>
            <w:r w:rsidRPr="00463667">
              <w:t>Data collection methodology (Administrative)</w:t>
            </w:r>
          </w:p>
        </w:tc>
        <w:tc>
          <w:tcPr>
            <w:tcW w:w="1800" w:type="dxa"/>
            <w:shd w:val="clear" w:color="auto" w:fill="D9D9D9"/>
            <w:vAlign w:val="center"/>
          </w:tcPr>
          <w:p w14:paraId="5C0F284F"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70706680" w14:textId="77777777" w:rsidTr="0056631A">
        <w:tc>
          <w:tcPr>
            <w:tcW w:w="3968" w:type="dxa"/>
            <w:vAlign w:val="center"/>
          </w:tcPr>
          <w:p w14:paraId="70511927" w14:textId="77777777" w:rsidR="008F735B" w:rsidRPr="00463667" w:rsidRDefault="008F735B" w:rsidP="00F578E0">
            <w:pPr>
              <w:pStyle w:val="TableText"/>
            </w:pPr>
            <w:r w:rsidRPr="00463667">
              <w:t>Eligible population</w:t>
            </w:r>
          </w:p>
        </w:tc>
        <w:tc>
          <w:tcPr>
            <w:tcW w:w="1800" w:type="dxa"/>
            <w:vAlign w:val="center"/>
          </w:tcPr>
          <w:p w14:paraId="723EDB4F"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320C7C7F" w14:textId="77777777" w:rsidTr="0056631A">
        <w:tc>
          <w:tcPr>
            <w:tcW w:w="3968" w:type="dxa"/>
            <w:shd w:val="clear" w:color="auto" w:fill="D9D9D9"/>
            <w:vAlign w:val="center"/>
          </w:tcPr>
          <w:p w14:paraId="23191FA2" w14:textId="77777777" w:rsidR="008F735B" w:rsidRPr="00463667" w:rsidRDefault="008F735B" w:rsidP="00F578E0">
            <w:pPr>
              <w:pStyle w:val="TableText"/>
            </w:pPr>
            <w:r w:rsidRPr="00463667">
              <w:t>Numerator events by administrative data</w:t>
            </w:r>
          </w:p>
        </w:tc>
        <w:tc>
          <w:tcPr>
            <w:tcW w:w="1800" w:type="dxa"/>
            <w:shd w:val="clear" w:color="auto" w:fill="D9D9D9"/>
            <w:vAlign w:val="center"/>
          </w:tcPr>
          <w:p w14:paraId="15DF4952"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2648C751" w14:textId="77777777" w:rsidTr="0056631A">
        <w:tc>
          <w:tcPr>
            <w:tcW w:w="3968" w:type="dxa"/>
            <w:vAlign w:val="center"/>
          </w:tcPr>
          <w:p w14:paraId="2410E656" w14:textId="77777777" w:rsidR="008F735B" w:rsidRPr="00463667" w:rsidRDefault="008F735B" w:rsidP="00F578E0">
            <w:pPr>
              <w:pStyle w:val="TableText"/>
            </w:pPr>
            <w:r w:rsidRPr="00463667">
              <w:t>Reported rate</w:t>
            </w:r>
          </w:p>
        </w:tc>
        <w:tc>
          <w:tcPr>
            <w:tcW w:w="1800" w:type="dxa"/>
            <w:vAlign w:val="center"/>
          </w:tcPr>
          <w:p w14:paraId="37612EAF"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10F934FF" w14:textId="77777777" w:rsidTr="0056631A">
        <w:tc>
          <w:tcPr>
            <w:tcW w:w="3968" w:type="dxa"/>
            <w:tcBorders>
              <w:bottom w:val="single" w:sz="6" w:space="0" w:color="auto"/>
            </w:tcBorders>
            <w:shd w:val="clear" w:color="auto" w:fill="D9D9D9"/>
            <w:vAlign w:val="center"/>
          </w:tcPr>
          <w:p w14:paraId="51133CCD" w14:textId="77777777" w:rsidR="008F735B" w:rsidRPr="00463667" w:rsidRDefault="008F735B" w:rsidP="00F578E0">
            <w:pPr>
              <w:pStyle w:val="TableText"/>
            </w:pPr>
            <w:r w:rsidRPr="00463667">
              <w:t>Lower 95% confidence interval</w:t>
            </w:r>
          </w:p>
        </w:tc>
        <w:tc>
          <w:tcPr>
            <w:tcW w:w="1800" w:type="dxa"/>
            <w:tcBorders>
              <w:bottom w:val="single" w:sz="6" w:space="0" w:color="auto"/>
            </w:tcBorders>
            <w:shd w:val="clear" w:color="auto" w:fill="D9D9D9"/>
            <w:vAlign w:val="center"/>
          </w:tcPr>
          <w:p w14:paraId="6A105E29" w14:textId="77777777" w:rsidR="008F735B" w:rsidRPr="00463667" w:rsidRDefault="008F735B" w:rsidP="00F578E0">
            <w:pPr>
              <w:pStyle w:val="TableText"/>
              <w:jc w:val="center"/>
              <w:rPr>
                <w:sz w:val="24"/>
              </w:rPr>
            </w:pPr>
            <w:r w:rsidRPr="00463667">
              <w:rPr>
                <w:sz w:val="24"/>
              </w:rPr>
              <w:sym w:font="Wingdings" w:char="F0FC"/>
            </w:r>
          </w:p>
        </w:tc>
      </w:tr>
      <w:tr w:rsidR="008F735B" w:rsidRPr="00463667" w14:paraId="3261CF46" w14:textId="77777777" w:rsidTr="0056631A">
        <w:tc>
          <w:tcPr>
            <w:tcW w:w="3968" w:type="dxa"/>
            <w:tcBorders>
              <w:bottom w:val="single" w:sz="6" w:space="0" w:color="auto"/>
            </w:tcBorders>
            <w:vAlign w:val="center"/>
          </w:tcPr>
          <w:p w14:paraId="4372D5E8" w14:textId="77777777" w:rsidR="008F735B" w:rsidRPr="00463667" w:rsidRDefault="008F735B" w:rsidP="00F578E0">
            <w:pPr>
              <w:pStyle w:val="TableText"/>
            </w:pPr>
            <w:r w:rsidRPr="00463667">
              <w:t>Upper 95% confidence interval</w:t>
            </w:r>
          </w:p>
        </w:tc>
        <w:tc>
          <w:tcPr>
            <w:tcW w:w="1800" w:type="dxa"/>
            <w:tcBorders>
              <w:bottom w:val="single" w:sz="6" w:space="0" w:color="auto"/>
            </w:tcBorders>
            <w:vAlign w:val="center"/>
          </w:tcPr>
          <w:p w14:paraId="2784F2C2" w14:textId="77777777" w:rsidR="008F735B" w:rsidRPr="00463667" w:rsidRDefault="008F735B" w:rsidP="00F578E0">
            <w:pPr>
              <w:pStyle w:val="TableText"/>
              <w:jc w:val="center"/>
              <w:rPr>
                <w:sz w:val="24"/>
              </w:rPr>
            </w:pPr>
            <w:r w:rsidRPr="00463667">
              <w:rPr>
                <w:sz w:val="24"/>
              </w:rPr>
              <w:sym w:font="Wingdings" w:char="F0FC"/>
            </w:r>
          </w:p>
        </w:tc>
      </w:tr>
      <w:bookmarkEnd w:id="5"/>
    </w:tbl>
    <w:p w14:paraId="6D597F40" w14:textId="77777777" w:rsidR="008F735B" w:rsidRPr="00463667" w:rsidRDefault="008F735B" w:rsidP="008F735B">
      <w:pPr>
        <w:sectPr w:rsidR="008F735B" w:rsidRPr="00463667" w:rsidSect="00F578E0">
          <w:headerReference w:type="even" r:id="rId50"/>
          <w:pgSz w:w="12240" w:h="15840" w:code="1"/>
          <w:pgMar w:top="1080" w:right="1080" w:bottom="1080" w:left="1440" w:header="720" w:footer="720" w:gutter="0"/>
          <w:cols w:space="720"/>
          <w:docGrid w:linePitch="360"/>
        </w:sectPr>
      </w:pPr>
    </w:p>
    <w:p w14:paraId="1D73BDC0" w14:textId="73FDF356" w:rsidR="008F735B" w:rsidRPr="00463667" w:rsidRDefault="008F735B" w:rsidP="008F735B">
      <w:pPr>
        <w:pStyle w:val="Heading2"/>
      </w:pPr>
      <w:bookmarkStart w:id="9" w:name="_Toc400546167"/>
      <w:r w:rsidRPr="00092178">
        <w:lastRenderedPageBreak/>
        <w:t xml:space="preserve">Use of First-Line Psychosocial Care for Children and Adolescents </w:t>
      </w:r>
      <w:r w:rsidRPr="00092178">
        <w:br/>
        <w:t>on Antipsychotics (APP)</w:t>
      </w:r>
      <w:bookmarkEnd w:id="9"/>
    </w:p>
    <w:p w14:paraId="7C434032" w14:textId="666F144C" w:rsidR="008F735B" w:rsidRPr="00463667" w:rsidRDefault="008F735B" w:rsidP="00081D64">
      <w:pPr>
        <w:pStyle w:val="SOC"/>
        <w:rPr>
          <w:i/>
        </w:rPr>
      </w:pPr>
      <w:r w:rsidRPr="00463667">
        <w:t xml:space="preserve">Summary of Changes to HEDIS </w:t>
      </w:r>
      <w:r w:rsidR="00A47F13">
        <w:t>2016</w:t>
      </w:r>
    </w:p>
    <w:p w14:paraId="3B02A903" w14:textId="5C007426" w:rsidR="008F735B" w:rsidRPr="00463667" w:rsidRDefault="005D59EF" w:rsidP="008F735B">
      <w:pPr>
        <w:pStyle w:val="ProcessBullet"/>
      </w:pPr>
      <w:r>
        <w:t>No changes to this measure.</w:t>
      </w:r>
    </w:p>
    <w:p w14:paraId="701AB2D3" w14:textId="77777777" w:rsidR="008F735B" w:rsidRPr="00463667" w:rsidRDefault="008F735B" w:rsidP="00081D64">
      <w:pPr>
        <w:pStyle w:val="ReverseHead"/>
      </w:pPr>
      <w:r w:rsidRPr="00463667">
        <w:t>Description</w:t>
      </w:r>
    </w:p>
    <w:p w14:paraId="4B4B4795" w14:textId="77777777" w:rsidR="008F735B" w:rsidRPr="00463667" w:rsidRDefault="008F735B" w:rsidP="008F735B">
      <w:pPr>
        <w:pStyle w:val="Body"/>
      </w:pPr>
      <w:r w:rsidRPr="00463667">
        <w:t>The percentage of children and adolescents 1–17 years of age who had a new prescription for an antipsychotic medication and had documentation of psychosocial care as first-line treatment.</w:t>
      </w:r>
    </w:p>
    <w:p w14:paraId="2205ED95" w14:textId="77777777" w:rsidR="008F735B" w:rsidRPr="00463667" w:rsidRDefault="008F735B" w:rsidP="00081D64">
      <w:pPr>
        <w:pStyle w:val="ReverseHead"/>
      </w:pPr>
      <w:r w:rsidRPr="00463667">
        <w:t>Definitions</w:t>
      </w:r>
    </w:p>
    <w:tbl>
      <w:tblPr>
        <w:tblW w:w="9918" w:type="dxa"/>
        <w:tblInd w:w="-90" w:type="dxa"/>
        <w:tblLook w:val="0000" w:firstRow="0" w:lastRow="0" w:firstColumn="0" w:lastColumn="0" w:noHBand="0" w:noVBand="0"/>
      </w:tblPr>
      <w:tblGrid>
        <w:gridCol w:w="1890"/>
        <w:gridCol w:w="8028"/>
      </w:tblGrid>
      <w:tr w:rsidR="008F735B" w:rsidRPr="00463667" w14:paraId="09E539A1" w14:textId="77777777" w:rsidTr="00F578E0">
        <w:tc>
          <w:tcPr>
            <w:tcW w:w="1890" w:type="dxa"/>
          </w:tcPr>
          <w:p w14:paraId="5878276C" w14:textId="77777777" w:rsidR="008F735B" w:rsidRPr="00463667" w:rsidRDefault="008F735B" w:rsidP="00F578E0">
            <w:pPr>
              <w:pStyle w:val="MarginSubhead"/>
              <w:spacing w:before="120"/>
            </w:pPr>
            <w:r w:rsidRPr="00463667">
              <w:t>Intake Period</w:t>
            </w:r>
          </w:p>
        </w:tc>
        <w:tc>
          <w:tcPr>
            <w:tcW w:w="8028" w:type="dxa"/>
          </w:tcPr>
          <w:p w14:paraId="148D4037" w14:textId="77777777" w:rsidR="008F735B" w:rsidRPr="00463667" w:rsidRDefault="008F735B" w:rsidP="00F578E0">
            <w:pPr>
              <w:pStyle w:val="Body"/>
            </w:pPr>
            <w:r w:rsidRPr="00463667">
              <w:t>January 1 through December 1 of the measurement year.</w:t>
            </w:r>
          </w:p>
        </w:tc>
      </w:tr>
      <w:tr w:rsidR="008F735B" w:rsidRPr="00463667" w14:paraId="3D37C0FD" w14:textId="77777777" w:rsidTr="00F578E0">
        <w:tc>
          <w:tcPr>
            <w:tcW w:w="1890" w:type="dxa"/>
          </w:tcPr>
          <w:p w14:paraId="39E07914" w14:textId="77777777" w:rsidR="008F735B" w:rsidRPr="00463667" w:rsidRDefault="008F735B" w:rsidP="00F578E0">
            <w:pPr>
              <w:pStyle w:val="MarginSubhead"/>
              <w:spacing w:before="120"/>
            </w:pPr>
            <w:r w:rsidRPr="00463667">
              <w:t>IPSD</w:t>
            </w:r>
          </w:p>
        </w:tc>
        <w:tc>
          <w:tcPr>
            <w:tcW w:w="8028" w:type="dxa"/>
          </w:tcPr>
          <w:p w14:paraId="7391D8D1" w14:textId="77777777" w:rsidR="008F735B" w:rsidRPr="00463667" w:rsidRDefault="008F735B" w:rsidP="00F578E0">
            <w:pPr>
              <w:pStyle w:val="Body"/>
            </w:pPr>
            <w:r w:rsidRPr="00463667">
              <w:t>Index Prescription Start Date. The earliest prescription dispensing date for an antipsychotic medication where the date is in the Intake Period and there is a Negative Medication History.</w:t>
            </w:r>
          </w:p>
        </w:tc>
      </w:tr>
      <w:tr w:rsidR="008F735B" w:rsidRPr="00463667" w14:paraId="1F492766" w14:textId="77777777" w:rsidTr="00F578E0">
        <w:tc>
          <w:tcPr>
            <w:tcW w:w="1890" w:type="dxa"/>
          </w:tcPr>
          <w:p w14:paraId="1EF37584" w14:textId="77777777" w:rsidR="008F735B" w:rsidRPr="00463667" w:rsidRDefault="008F735B" w:rsidP="00F578E0">
            <w:pPr>
              <w:pStyle w:val="MarginSubhead"/>
              <w:spacing w:before="120"/>
            </w:pPr>
            <w:r w:rsidRPr="00463667">
              <w:t xml:space="preserve">Negative Medication History </w:t>
            </w:r>
          </w:p>
        </w:tc>
        <w:tc>
          <w:tcPr>
            <w:tcW w:w="8028" w:type="dxa"/>
          </w:tcPr>
          <w:p w14:paraId="7CF006FE" w14:textId="77777777" w:rsidR="008F735B" w:rsidRPr="00463667" w:rsidRDefault="008F735B" w:rsidP="00F578E0">
            <w:pPr>
              <w:pStyle w:val="Body"/>
            </w:pPr>
            <w:r w:rsidRPr="00463667">
              <w:t>A period of 120 days (4 months) prior to the IPSD when the member had no antipsychotic medications dispensed for either new or refill prescriptions.</w:t>
            </w:r>
          </w:p>
        </w:tc>
      </w:tr>
    </w:tbl>
    <w:p w14:paraId="547947E6" w14:textId="77777777" w:rsidR="008F735B" w:rsidRPr="00463667" w:rsidRDefault="008F735B" w:rsidP="00081D64">
      <w:pPr>
        <w:pStyle w:val="ReverseHead"/>
      </w:pPr>
      <w:r w:rsidRPr="00463667">
        <w:t xml:space="preserve">Eligible Population </w:t>
      </w:r>
    </w:p>
    <w:tbl>
      <w:tblPr>
        <w:tblW w:w="9918" w:type="dxa"/>
        <w:tblInd w:w="-90" w:type="dxa"/>
        <w:tblLayout w:type="fixed"/>
        <w:tblLook w:val="0000" w:firstRow="0" w:lastRow="0" w:firstColumn="0" w:lastColumn="0" w:noHBand="0" w:noVBand="0"/>
      </w:tblPr>
      <w:tblGrid>
        <w:gridCol w:w="1890"/>
        <w:gridCol w:w="2430"/>
        <w:gridCol w:w="5598"/>
      </w:tblGrid>
      <w:tr w:rsidR="008F735B" w:rsidRPr="00463667" w14:paraId="294C98DA" w14:textId="77777777" w:rsidTr="00F578E0">
        <w:trPr>
          <w:trHeight w:val="333"/>
        </w:trPr>
        <w:tc>
          <w:tcPr>
            <w:tcW w:w="1890" w:type="dxa"/>
          </w:tcPr>
          <w:p w14:paraId="4BC82635" w14:textId="77777777" w:rsidR="008F735B" w:rsidRPr="00463667" w:rsidRDefault="008F735B" w:rsidP="00F578E0">
            <w:pPr>
              <w:pStyle w:val="MarginSubhead"/>
            </w:pPr>
            <w:r w:rsidRPr="00463667">
              <w:t>Product lines</w:t>
            </w:r>
          </w:p>
        </w:tc>
        <w:tc>
          <w:tcPr>
            <w:tcW w:w="8028" w:type="dxa"/>
            <w:gridSpan w:val="2"/>
          </w:tcPr>
          <w:p w14:paraId="586EAF6C" w14:textId="77777777" w:rsidR="008F735B" w:rsidRPr="00463667" w:rsidRDefault="008F735B" w:rsidP="00F578E0">
            <w:pPr>
              <w:pStyle w:val="Body"/>
              <w:rPr>
                <w:i/>
              </w:rPr>
            </w:pPr>
            <w:r w:rsidRPr="00463667">
              <w:t>Commercial, Medicaid (report each product line separately).</w:t>
            </w:r>
          </w:p>
        </w:tc>
      </w:tr>
      <w:tr w:rsidR="008F735B" w:rsidRPr="00463667" w14:paraId="7872A766" w14:textId="77777777" w:rsidTr="00F578E0">
        <w:trPr>
          <w:trHeight w:val="558"/>
        </w:trPr>
        <w:tc>
          <w:tcPr>
            <w:tcW w:w="1890" w:type="dxa"/>
            <w:vMerge w:val="restart"/>
          </w:tcPr>
          <w:p w14:paraId="7A90BC22" w14:textId="77777777" w:rsidR="008F735B" w:rsidRPr="00463667" w:rsidRDefault="008F735B" w:rsidP="00F578E0">
            <w:pPr>
              <w:pStyle w:val="MarginSubhead"/>
            </w:pPr>
            <w:r w:rsidRPr="00463667">
              <w:t>Ages</w:t>
            </w:r>
          </w:p>
        </w:tc>
        <w:tc>
          <w:tcPr>
            <w:tcW w:w="8028" w:type="dxa"/>
            <w:gridSpan w:val="2"/>
          </w:tcPr>
          <w:p w14:paraId="1D8E557F" w14:textId="77777777" w:rsidR="008F735B" w:rsidRPr="00463667" w:rsidRDefault="008F735B" w:rsidP="00F578E0">
            <w:pPr>
              <w:pStyle w:val="Body"/>
            </w:pPr>
            <w:r w:rsidRPr="00463667">
              <w:t>1–17 years as of December 31 of the measurement year. Report three age stratifications and a total rate:</w:t>
            </w:r>
          </w:p>
        </w:tc>
      </w:tr>
      <w:tr w:rsidR="008F735B" w:rsidRPr="00463667" w14:paraId="2D4F7C57" w14:textId="77777777" w:rsidTr="00F578E0">
        <w:trPr>
          <w:trHeight w:val="558"/>
        </w:trPr>
        <w:tc>
          <w:tcPr>
            <w:tcW w:w="1890" w:type="dxa"/>
            <w:vMerge/>
          </w:tcPr>
          <w:p w14:paraId="618CF215" w14:textId="77777777" w:rsidR="008F735B" w:rsidRPr="00463667" w:rsidRDefault="008F735B" w:rsidP="00F578E0">
            <w:pPr>
              <w:pStyle w:val="MarginSubhead"/>
            </w:pPr>
          </w:p>
        </w:tc>
        <w:tc>
          <w:tcPr>
            <w:tcW w:w="2430" w:type="dxa"/>
          </w:tcPr>
          <w:p w14:paraId="772FFD8C" w14:textId="77777777" w:rsidR="008F735B" w:rsidRPr="00463667" w:rsidRDefault="008F735B" w:rsidP="009E2937">
            <w:pPr>
              <w:pStyle w:val="Bullet"/>
              <w:spacing w:before="60"/>
            </w:pPr>
            <w:r w:rsidRPr="00463667">
              <w:t>1–5 years.</w:t>
            </w:r>
          </w:p>
          <w:p w14:paraId="071ECF9C" w14:textId="77777777" w:rsidR="008F735B" w:rsidRPr="00463667" w:rsidRDefault="008F735B" w:rsidP="009E2937">
            <w:pPr>
              <w:pStyle w:val="Bullet"/>
              <w:spacing w:before="60"/>
            </w:pPr>
            <w:r w:rsidRPr="00463667">
              <w:t>6–11 years.</w:t>
            </w:r>
          </w:p>
        </w:tc>
        <w:tc>
          <w:tcPr>
            <w:tcW w:w="5598" w:type="dxa"/>
          </w:tcPr>
          <w:p w14:paraId="440F4EF1" w14:textId="77777777" w:rsidR="008F735B" w:rsidRPr="00463667" w:rsidRDefault="008F735B" w:rsidP="009E2937">
            <w:pPr>
              <w:pStyle w:val="ProcessBullet"/>
              <w:spacing w:before="60"/>
            </w:pPr>
            <w:r w:rsidRPr="00463667">
              <w:t>12–17 years.</w:t>
            </w:r>
          </w:p>
          <w:p w14:paraId="1A544107" w14:textId="77777777" w:rsidR="008F735B" w:rsidRPr="00463667" w:rsidRDefault="008F735B" w:rsidP="009E2937">
            <w:pPr>
              <w:pStyle w:val="ProcessBullet"/>
              <w:spacing w:before="60"/>
            </w:pPr>
            <w:r w:rsidRPr="00463667">
              <w:t>Total.</w:t>
            </w:r>
          </w:p>
        </w:tc>
      </w:tr>
      <w:tr w:rsidR="008F735B" w:rsidRPr="00463667" w14:paraId="031FE975" w14:textId="77777777" w:rsidTr="00F578E0">
        <w:tc>
          <w:tcPr>
            <w:tcW w:w="1890" w:type="dxa"/>
            <w:vMerge/>
          </w:tcPr>
          <w:p w14:paraId="5D61E46E" w14:textId="77777777" w:rsidR="008F735B" w:rsidRPr="00463667" w:rsidRDefault="008F735B" w:rsidP="00F578E0">
            <w:pPr>
              <w:pStyle w:val="MarginSubhead"/>
            </w:pPr>
          </w:p>
        </w:tc>
        <w:tc>
          <w:tcPr>
            <w:tcW w:w="8028" w:type="dxa"/>
            <w:gridSpan w:val="2"/>
          </w:tcPr>
          <w:p w14:paraId="0F852D1A" w14:textId="77777777" w:rsidR="008F735B" w:rsidRPr="00463667" w:rsidRDefault="008F735B" w:rsidP="00F578E0">
            <w:pPr>
              <w:pStyle w:val="Body"/>
            </w:pPr>
            <w:r w:rsidRPr="00463667">
              <w:t>The total is the sum of the age stratifications.</w:t>
            </w:r>
          </w:p>
        </w:tc>
      </w:tr>
      <w:tr w:rsidR="008F735B" w:rsidRPr="00463667" w14:paraId="5BA20560" w14:textId="77777777" w:rsidTr="00F578E0">
        <w:tc>
          <w:tcPr>
            <w:tcW w:w="1890" w:type="dxa"/>
          </w:tcPr>
          <w:p w14:paraId="7A4BEB04" w14:textId="77777777" w:rsidR="008F735B" w:rsidRPr="00463667" w:rsidRDefault="008F735B" w:rsidP="00F578E0">
            <w:pPr>
              <w:pStyle w:val="MarginSubhead"/>
            </w:pPr>
            <w:r w:rsidRPr="00463667">
              <w:t>Continuous enrollment</w:t>
            </w:r>
          </w:p>
        </w:tc>
        <w:tc>
          <w:tcPr>
            <w:tcW w:w="8028" w:type="dxa"/>
            <w:gridSpan w:val="2"/>
          </w:tcPr>
          <w:p w14:paraId="4D83FD87" w14:textId="77777777" w:rsidR="008F735B" w:rsidRPr="00463667" w:rsidRDefault="008F735B" w:rsidP="00F578E0">
            <w:pPr>
              <w:pStyle w:val="Body"/>
            </w:pPr>
            <w:r w:rsidRPr="00463667">
              <w:t xml:space="preserve">120 days (4 months) prior to the IPSD through 30 days after the IPSD. </w:t>
            </w:r>
          </w:p>
        </w:tc>
      </w:tr>
      <w:tr w:rsidR="008F735B" w:rsidRPr="00463667" w14:paraId="51C5155D" w14:textId="77777777" w:rsidTr="00F578E0">
        <w:tc>
          <w:tcPr>
            <w:tcW w:w="1890" w:type="dxa"/>
          </w:tcPr>
          <w:p w14:paraId="71B50BD7" w14:textId="77777777" w:rsidR="008F735B" w:rsidRPr="00463667" w:rsidRDefault="008F735B" w:rsidP="00F578E0">
            <w:pPr>
              <w:pStyle w:val="MarginSubhead"/>
            </w:pPr>
            <w:r w:rsidRPr="00463667">
              <w:t>Allowable gap</w:t>
            </w:r>
          </w:p>
        </w:tc>
        <w:tc>
          <w:tcPr>
            <w:tcW w:w="8028" w:type="dxa"/>
            <w:gridSpan w:val="2"/>
          </w:tcPr>
          <w:p w14:paraId="49941A63" w14:textId="77777777" w:rsidR="008F735B" w:rsidRPr="00463667" w:rsidRDefault="008F735B" w:rsidP="00F578E0">
            <w:pPr>
              <w:pStyle w:val="Body"/>
            </w:pPr>
            <w:r w:rsidRPr="00463667">
              <w:t>None.</w:t>
            </w:r>
          </w:p>
        </w:tc>
      </w:tr>
      <w:tr w:rsidR="008F735B" w:rsidRPr="00463667" w14:paraId="52BDD2F7" w14:textId="77777777" w:rsidTr="00F578E0">
        <w:tc>
          <w:tcPr>
            <w:tcW w:w="1890" w:type="dxa"/>
          </w:tcPr>
          <w:p w14:paraId="10D182FB" w14:textId="77777777" w:rsidR="008F735B" w:rsidRPr="00463667" w:rsidRDefault="008F735B" w:rsidP="00F578E0">
            <w:pPr>
              <w:pStyle w:val="MarginSubhead"/>
            </w:pPr>
            <w:r w:rsidRPr="00463667">
              <w:t>Anchor date</w:t>
            </w:r>
          </w:p>
        </w:tc>
        <w:tc>
          <w:tcPr>
            <w:tcW w:w="8028" w:type="dxa"/>
            <w:gridSpan w:val="2"/>
          </w:tcPr>
          <w:p w14:paraId="509A83C4" w14:textId="77777777" w:rsidR="008F735B" w:rsidRPr="00463667" w:rsidRDefault="008F735B" w:rsidP="00F578E0">
            <w:pPr>
              <w:pStyle w:val="Body"/>
            </w:pPr>
            <w:r w:rsidRPr="00463667">
              <w:t xml:space="preserve">IPSD. </w:t>
            </w:r>
          </w:p>
        </w:tc>
      </w:tr>
      <w:tr w:rsidR="008F735B" w:rsidRPr="00463667" w14:paraId="3C1C1BB9" w14:textId="77777777" w:rsidTr="00F578E0">
        <w:tc>
          <w:tcPr>
            <w:tcW w:w="1890" w:type="dxa"/>
          </w:tcPr>
          <w:p w14:paraId="575322A0" w14:textId="77777777" w:rsidR="008F735B" w:rsidRPr="00463667" w:rsidRDefault="008F735B" w:rsidP="00F578E0">
            <w:pPr>
              <w:pStyle w:val="MarginSubhead"/>
            </w:pPr>
            <w:r w:rsidRPr="00463667">
              <w:t>Benefit</w:t>
            </w:r>
          </w:p>
        </w:tc>
        <w:tc>
          <w:tcPr>
            <w:tcW w:w="8028" w:type="dxa"/>
            <w:gridSpan w:val="2"/>
          </w:tcPr>
          <w:p w14:paraId="2B64263F" w14:textId="77777777" w:rsidR="008F735B" w:rsidRPr="00463667" w:rsidRDefault="008F735B" w:rsidP="00F578E0">
            <w:pPr>
              <w:pStyle w:val="Body"/>
            </w:pPr>
            <w:r w:rsidRPr="00463667">
              <w:t>Medical, mental health, pharmacy.</w:t>
            </w:r>
          </w:p>
        </w:tc>
      </w:tr>
      <w:tr w:rsidR="008F735B" w:rsidRPr="00463667" w14:paraId="13458F59" w14:textId="77777777" w:rsidTr="00F578E0">
        <w:tc>
          <w:tcPr>
            <w:tcW w:w="1890" w:type="dxa"/>
          </w:tcPr>
          <w:p w14:paraId="1D606412" w14:textId="77777777" w:rsidR="008F735B" w:rsidRPr="00463667" w:rsidRDefault="008F735B" w:rsidP="00F578E0">
            <w:pPr>
              <w:pStyle w:val="MarginSubhead"/>
            </w:pPr>
            <w:r w:rsidRPr="00463667">
              <w:t>Event</w:t>
            </w:r>
          </w:p>
        </w:tc>
        <w:tc>
          <w:tcPr>
            <w:tcW w:w="8028" w:type="dxa"/>
            <w:gridSpan w:val="2"/>
          </w:tcPr>
          <w:p w14:paraId="15EBD48B" w14:textId="77777777" w:rsidR="008F735B" w:rsidRPr="00463667" w:rsidRDefault="008F735B" w:rsidP="00F578E0">
            <w:pPr>
              <w:pStyle w:val="Body"/>
            </w:pPr>
            <w:r w:rsidRPr="00463667">
              <w:t xml:space="preserve">Follow the steps below to identify the eligible population. </w:t>
            </w:r>
          </w:p>
        </w:tc>
      </w:tr>
      <w:tr w:rsidR="008F735B" w:rsidRPr="00463667" w14:paraId="2A8898BD" w14:textId="77777777" w:rsidTr="00F578E0">
        <w:tc>
          <w:tcPr>
            <w:tcW w:w="1890" w:type="dxa"/>
          </w:tcPr>
          <w:p w14:paraId="6E98FB4F" w14:textId="77777777" w:rsidR="008F735B" w:rsidRPr="00463667" w:rsidRDefault="008F735B" w:rsidP="00F578E0">
            <w:pPr>
              <w:pStyle w:val="MarginSubhead"/>
              <w:spacing w:before="120"/>
              <w:jc w:val="right"/>
              <w:rPr>
                <w:i/>
              </w:rPr>
            </w:pPr>
            <w:r w:rsidRPr="00463667">
              <w:rPr>
                <w:i/>
              </w:rPr>
              <w:t>Step 1</w:t>
            </w:r>
          </w:p>
        </w:tc>
        <w:tc>
          <w:tcPr>
            <w:tcW w:w="8028" w:type="dxa"/>
            <w:gridSpan w:val="2"/>
          </w:tcPr>
          <w:p w14:paraId="7DEDE574" w14:textId="77777777" w:rsidR="008F735B" w:rsidRPr="00463667" w:rsidRDefault="008F735B" w:rsidP="00F578E0">
            <w:pPr>
              <w:pStyle w:val="Body"/>
              <w:spacing w:before="120"/>
            </w:pPr>
            <w:r w:rsidRPr="00463667">
              <w:t>Identify all members in the specified age range who were dispensed an antipsychotic medication (Table APP–A) during the Intake Period.</w:t>
            </w:r>
          </w:p>
        </w:tc>
      </w:tr>
      <w:tr w:rsidR="008F735B" w:rsidRPr="00463667" w14:paraId="4B39D4CF" w14:textId="77777777" w:rsidTr="00F578E0">
        <w:tc>
          <w:tcPr>
            <w:tcW w:w="1890" w:type="dxa"/>
          </w:tcPr>
          <w:p w14:paraId="55585F67" w14:textId="77777777" w:rsidR="008F735B" w:rsidRPr="00463667" w:rsidRDefault="008F735B" w:rsidP="00F578E0">
            <w:pPr>
              <w:pStyle w:val="MarginSubhead"/>
              <w:jc w:val="right"/>
              <w:rPr>
                <w:i/>
              </w:rPr>
            </w:pPr>
            <w:r w:rsidRPr="00463667">
              <w:rPr>
                <w:i/>
              </w:rPr>
              <w:t>Step 2</w:t>
            </w:r>
          </w:p>
        </w:tc>
        <w:tc>
          <w:tcPr>
            <w:tcW w:w="8028" w:type="dxa"/>
            <w:gridSpan w:val="2"/>
          </w:tcPr>
          <w:p w14:paraId="3A50DCF7" w14:textId="77777777" w:rsidR="008F735B" w:rsidRPr="00463667" w:rsidRDefault="008F735B" w:rsidP="00F578E0">
            <w:pPr>
              <w:pStyle w:val="Body"/>
            </w:pPr>
            <w:r w:rsidRPr="00463667">
              <w:t>Test for Negative Medication History. For each member identified in step 1, test each antipsychotic prescription for a Negative Medication History. The IPSD is the dispensing date of the earliest antipsychotic prescription in the Intake Period with a Negative Medication History.</w:t>
            </w:r>
          </w:p>
        </w:tc>
      </w:tr>
    </w:tbl>
    <w:p w14:paraId="04A5E451" w14:textId="77777777" w:rsidR="008F735B" w:rsidRPr="00463667" w:rsidRDefault="008F735B" w:rsidP="008F735B">
      <w:pPr>
        <w:sectPr w:rsidR="008F735B" w:rsidRPr="00463667" w:rsidSect="00F578E0">
          <w:headerReference w:type="even" r:id="rId51"/>
          <w:headerReference w:type="default" r:id="rId52"/>
          <w:pgSz w:w="12240" w:h="15840"/>
          <w:pgMar w:top="1080" w:right="1080" w:bottom="1080" w:left="1440" w:header="720" w:footer="720" w:gutter="0"/>
          <w:cols w:space="720"/>
          <w:docGrid w:linePitch="360"/>
        </w:sectPr>
      </w:pPr>
    </w:p>
    <w:tbl>
      <w:tblPr>
        <w:tblW w:w="9918" w:type="dxa"/>
        <w:tblInd w:w="-90" w:type="dxa"/>
        <w:tblLayout w:type="fixed"/>
        <w:tblLook w:val="0000" w:firstRow="0" w:lastRow="0" w:firstColumn="0" w:lastColumn="0" w:noHBand="0" w:noVBand="0"/>
      </w:tblPr>
      <w:tblGrid>
        <w:gridCol w:w="1890"/>
        <w:gridCol w:w="8028"/>
      </w:tblGrid>
      <w:tr w:rsidR="008F735B" w:rsidRPr="00463667" w14:paraId="5819CE64" w14:textId="77777777" w:rsidTr="00F578E0">
        <w:tc>
          <w:tcPr>
            <w:tcW w:w="1890" w:type="dxa"/>
          </w:tcPr>
          <w:p w14:paraId="6B34A61B" w14:textId="77777777" w:rsidR="008F735B" w:rsidRPr="00463667" w:rsidRDefault="008F735B" w:rsidP="00F578E0">
            <w:pPr>
              <w:pStyle w:val="MarginSubhead"/>
              <w:spacing w:before="0"/>
              <w:jc w:val="right"/>
              <w:rPr>
                <w:i/>
              </w:rPr>
            </w:pPr>
            <w:r w:rsidRPr="00463667">
              <w:rPr>
                <w:i/>
              </w:rPr>
              <w:lastRenderedPageBreak/>
              <w:t>Step 3</w:t>
            </w:r>
          </w:p>
        </w:tc>
        <w:tc>
          <w:tcPr>
            <w:tcW w:w="8028" w:type="dxa"/>
          </w:tcPr>
          <w:p w14:paraId="5DD539DD" w14:textId="77777777" w:rsidR="008F735B" w:rsidRPr="00463667" w:rsidRDefault="008F735B" w:rsidP="00F578E0">
            <w:pPr>
              <w:pStyle w:val="Body"/>
              <w:spacing w:before="0"/>
            </w:pPr>
            <w:r w:rsidRPr="00463667">
              <w:t>Calculate continuous enrollment. Members must be continuously enrolled for 120 days (4 months) prior to the IPSD through 30 days after the IPSD.</w:t>
            </w:r>
          </w:p>
        </w:tc>
      </w:tr>
      <w:tr w:rsidR="008F735B" w:rsidRPr="00463667" w14:paraId="4D9EF298" w14:textId="77777777" w:rsidTr="00F578E0">
        <w:tc>
          <w:tcPr>
            <w:tcW w:w="1890" w:type="dxa"/>
          </w:tcPr>
          <w:p w14:paraId="710FBCE0" w14:textId="77777777" w:rsidR="008F735B" w:rsidRPr="00463667" w:rsidRDefault="008F735B" w:rsidP="00F578E0">
            <w:pPr>
              <w:pStyle w:val="MarginSubhead"/>
              <w:jc w:val="right"/>
              <w:rPr>
                <w:i/>
              </w:rPr>
            </w:pPr>
            <w:r w:rsidRPr="00463667">
              <w:rPr>
                <w:i/>
              </w:rPr>
              <w:t>Step 4:</w:t>
            </w:r>
            <w:r w:rsidRPr="00463667">
              <w:rPr>
                <w:i/>
              </w:rPr>
              <w:br/>
              <w:t>Required exclusions</w:t>
            </w:r>
          </w:p>
        </w:tc>
        <w:tc>
          <w:tcPr>
            <w:tcW w:w="8028" w:type="dxa"/>
          </w:tcPr>
          <w:p w14:paraId="03CDC275" w14:textId="77777777" w:rsidR="008F735B" w:rsidRPr="00463667" w:rsidRDefault="008F735B" w:rsidP="00F578E0">
            <w:pPr>
              <w:pStyle w:val="Body"/>
            </w:pPr>
            <w:r w:rsidRPr="00463667">
              <w:t>Exclude members for whom first-line antipsychotic medications may be clinically appropriate. Any of the following during the measurement year meet criteria:</w:t>
            </w:r>
          </w:p>
          <w:p w14:paraId="07A9B755" w14:textId="77777777" w:rsidR="008F735B" w:rsidRPr="00463667" w:rsidRDefault="008F735B" w:rsidP="00F578E0">
            <w:pPr>
              <w:pStyle w:val="Bullet"/>
            </w:pPr>
            <w:r w:rsidRPr="00463667">
              <w:t>At least one acute inpatient encounter with a diagnosis of schizophrenia, bipolar disorder or other psychotic disorder during the measurement year. Any of the following code combinations meet criteria:</w:t>
            </w:r>
          </w:p>
          <w:p w14:paraId="14EAED88" w14:textId="77777777" w:rsidR="008F735B" w:rsidRPr="00463667" w:rsidRDefault="008F735B" w:rsidP="00F578E0">
            <w:pPr>
              <w:pStyle w:val="Dash"/>
              <w:spacing w:before="40"/>
            </w:pPr>
            <w:r w:rsidRPr="00463667">
              <w:rPr>
                <w:u w:val="single"/>
              </w:rPr>
              <w:t>BH Stand Alone Acute Inpatient Value Set</w:t>
            </w:r>
            <w:r w:rsidRPr="00463667">
              <w:rPr>
                <w:b/>
                <w:i/>
              </w:rPr>
              <w:t xml:space="preserve"> with</w:t>
            </w:r>
            <w:r w:rsidRPr="00463667">
              <w:t xml:space="preserve"> </w:t>
            </w:r>
            <w:r w:rsidRPr="00463667">
              <w:rPr>
                <w:u w:val="single"/>
              </w:rPr>
              <w:t>Schizophrenia Value Set</w:t>
            </w:r>
            <w:r w:rsidRPr="00463667">
              <w:t>.</w:t>
            </w:r>
          </w:p>
          <w:p w14:paraId="13A72FFC" w14:textId="77777777" w:rsidR="008F735B" w:rsidRPr="00463667" w:rsidRDefault="008F735B" w:rsidP="00F578E0">
            <w:pPr>
              <w:pStyle w:val="Dash"/>
              <w:spacing w:before="40"/>
            </w:pPr>
            <w:r w:rsidRPr="00463667">
              <w:rPr>
                <w:u w:val="single"/>
              </w:rPr>
              <w:t>BH Stand Alone Acute Inpatient Value Set</w:t>
            </w:r>
            <w:r w:rsidRPr="00463667">
              <w:rPr>
                <w:b/>
                <w:i/>
              </w:rPr>
              <w:t xml:space="preserve"> with</w:t>
            </w:r>
            <w:r w:rsidRPr="00463667">
              <w:t xml:space="preserve"> </w:t>
            </w:r>
            <w:r w:rsidRPr="00463667">
              <w:rPr>
                <w:u w:val="single"/>
              </w:rPr>
              <w:t>Bipolar Disorder Value Set</w:t>
            </w:r>
            <w:r w:rsidRPr="00463667">
              <w:t>.</w:t>
            </w:r>
          </w:p>
          <w:p w14:paraId="0FE88528" w14:textId="77777777" w:rsidR="008F735B" w:rsidRPr="00463667" w:rsidRDefault="008F735B" w:rsidP="00F578E0">
            <w:pPr>
              <w:pStyle w:val="Dash"/>
              <w:spacing w:before="40"/>
            </w:pPr>
            <w:r w:rsidRPr="00463667">
              <w:rPr>
                <w:u w:val="single"/>
              </w:rPr>
              <w:t>BH Stand Alone Acute Inpatient Value Set</w:t>
            </w:r>
            <w:r w:rsidRPr="00463667">
              <w:rPr>
                <w:b/>
                <w:i/>
              </w:rPr>
              <w:t xml:space="preserve"> with</w:t>
            </w:r>
            <w:r w:rsidRPr="00463667">
              <w:t xml:space="preserve"> </w:t>
            </w:r>
            <w:r w:rsidRPr="00463667">
              <w:rPr>
                <w:u w:val="single"/>
              </w:rPr>
              <w:t>Other Psychotic Disorders Value Set</w:t>
            </w:r>
            <w:r w:rsidRPr="00463667">
              <w:t>.</w:t>
            </w:r>
          </w:p>
          <w:p w14:paraId="66490241" w14:textId="77777777" w:rsidR="008F735B" w:rsidRPr="00463667" w:rsidRDefault="008F735B" w:rsidP="00F578E0">
            <w:pPr>
              <w:pStyle w:val="Dash"/>
              <w:spacing w:before="40"/>
            </w:pPr>
            <w:r w:rsidRPr="00463667">
              <w:rPr>
                <w:u w:val="single"/>
              </w:rPr>
              <w:t>BH Acute Inpatient Value Set</w:t>
            </w:r>
            <w:r w:rsidRPr="00463667">
              <w:rPr>
                <w:b/>
                <w:i/>
              </w:rPr>
              <w:t xml:space="preserve"> with</w:t>
            </w:r>
            <w:r w:rsidRPr="00463667">
              <w:t xml:space="preserve"> </w:t>
            </w:r>
            <w:r w:rsidRPr="00463667">
              <w:rPr>
                <w:u w:val="single"/>
              </w:rPr>
              <w:t>BH Acute Inpatient POS Value Set</w:t>
            </w:r>
            <w:r w:rsidRPr="00463667">
              <w:rPr>
                <w:b/>
                <w:i/>
              </w:rPr>
              <w:t xml:space="preserve"> and</w:t>
            </w:r>
            <w:r w:rsidRPr="00463667">
              <w:t xml:space="preserve"> </w:t>
            </w:r>
            <w:r w:rsidRPr="00463667">
              <w:rPr>
                <w:u w:val="single"/>
              </w:rPr>
              <w:t>Schizophrenia Value Set</w:t>
            </w:r>
            <w:r w:rsidRPr="00463667">
              <w:t>.</w:t>
            </w:r>
          </w:p>
          <w:p w14:paraId="19E876B2" w14:textId="77777777" w:rsidR="008F735B" w:rsidRPr="00463667" w:rsidRDefault="008F735B" w:rsidP="00F578E0">
            <w:pPr>
              <w:pStyle w:val="Dash"/>
              <w:spacing w:before="40"/>
            </w:pPr>
            <w:r w:rsidRPr="00463667">
              <w:rPr>
                <w:u w:val="single"/>
              </w:rPr>
              <w:t>BH Acute Inpatient Value Set</w:t>
            </w:r>
            <w:r w:rsidRPr="00463667">
              <w:rPr>
                <w:b/>
                <w:i/>
              </w:rPr>
              <w:t xml:space="preserve"> with</w:t>
            </w:r>
            <w:r w:rsidRPr="00463667">
              <w:t xml:space="preserve"> </w:t>
            </w:r>
            <w:r w:rsidRPr="00463667">
              <w:rPr>
                <w:u w:val="single"/>
              </w:rPr>
              <w:t>BH Acute Inpatient POS Value Set</w:t>
            </w:r>
            <w:r w:rsidRPr="00463667">
              <w:rPr>
                <w:b/>
                <w:i/>
              </w:rPr>
              <w:t xml:space="preserve"> and</w:t>
            </w:r>
            <w:r w:rsidRPr="00463667">
              <w:t xml:space="preserve"> </w:t>
            </w:r>
            <w:r w:rsidRPr="00463667">
              <w:rPr>
                <w:u w:val="single"/>
              </w:rPr>
              <w:t>Bipolar Disorder Value Set</w:t>
            </w:r>
            <w:r w:rsidRPr="00463667">
              <w:t>.</w:t>
            </w:r>
          </w:p>
          <w:p w14:paraId="061E408B" w14:textId="77777777" w:rsidR="008F735B" w:rsidRPr="00463667" w:rsidRDefault="008F735B" w:rsidP="00F578E0">
            <w:pPr>
              <w:pStyle w:val="Dash"/>
              <w:spacing w:before="40"/>
            </w:pPr>
            <w:r w:rsidRPr="00463667">
              <w:rPr>
                <w:u w:val="single"/>
              </w:rPr>
              <w:t>BH Acute Inpatient Value Set</w:t>
            </w:r>
            <w:r w:rsidRPr="00463667">
              <w:rPr>
                <w:b/>
                <w:i/>
              </w:rPr>
              <w:t xml:space="preserve"> with</w:t>
            </w:r>
            <w:r w:rsidRPr="00463667">
              <w:t xml:space="preserve"> BH </w:t>
            </w:r>
            <w:r w:rsidRPr="00463667">
              <w:rPr>
                <w:u w:val="single"/>
              </w:rPr>
              <w:t>Acute Inpatient POS Value Set</w:t>
            </w:r>
            <w:r w:rsidRPr="00463667">
              <w:rPr>
                <w:b/>
                <w:i/>
              </w:rPr>
              <w:t xml:space="preserve"> and</w:t>
            </w:r>
            <w:r w:rsidRPr="00463667">
              <w:t xml:space="preserve"> </w:t>
            </w:r>
            <w:r w:rsidRPr="00463667">
              <w:rPr>
                <w:u w:val="single"/>
              </w:rPr>
              <w:t>Other Psychotic Disorders Value Set</w:t>
            </w:r>
            <w:r w:rsidRPr="00463667">
              <w:t>.</w:t>
            </w:r>
          </w:p>
          <w:p w14:paraId="519EB89C" w14:textId="77777777" w:rsidR="008F735B" w:rsidRPr="00463667" w:rsidRDefault="008F735B" w:rsidP="00F578E0">
            <w:pPr>
              <w:pStyle w:val="Bullet"/>
            </w:pPr>
            <w:r w:rsidRPr="00463667">
              <w:t>At least two visits in an outpatient, intensive outpatient or partial hospitalization setting, on different dates of service, with a diagnosis of schizophrenia, bipolar disorder or other psychotic disorder during the measurement year. Any of the following code combinations meet criteria:</w:t>
            </w:r>
          </w:p>
          <w:p w14:paraId="511D27A4" w14:textId="77777777" w:rsidR="008F735B" w:rsidRPr="00463667" w:rsidRDefault="008F735B" w:rsidP="00F578E0">
            <w:pPr>
              <w:pStyle w:val="Dash"/>
              <w:spacing w:before="40"/>
            </w:pPr>
            <w:r w:rsidRPr="00463667">
              <w:rPr>
                <w:u w:val="single"/>
              </w:rPr>
              <w:t>BH Stand Alone Outpatient/PH/IOP Value Set</w:t>
            </w:r>
            <w:r w:rsidRPr="00463667">
              <w:t xml:space="preserve"> </w:t>
            </w:r>
            <w:r w:rsidRPr="00463667">
              <w:rPr>
                <w:b/>
                <w:i/>
              </w:rPr>
              <w:t>with</w:t>
            </w:r>
            <w:r w:rsidRPr="00463667">
              <w:t xml:space="preserve"> </w:t>
            </w:r>
            <w:r w:rsidRPr="00793010">
              <w:rPr>
                <w:u w:val="single"/>
              </w:rPr>
              <w:t>Schizophrenia Value Set</w:t>
            </w:r>
            <w:r w:rsidRPr="00463667">
              <w:t>.</w:t>
            </w:r>
          </w:p>
          <w:p w14:paraId="668698CA" w14:textId="77777777" w:rsidR="008F735B" w:rsidRPr="00463667" w:rsidRDefault="008F735B" w:rsidP="00F578E0">
            <w:pPr>
              <w:pStyle w:val="Dash"/>
              <w:spacing w:before="40"/>
            </w:pPr>
            <w:r w:rsidRPr="00463667">
              <w:rPr>
                <w:u w:val="single"/>
              </w:rPr>
              <w:t xml:space="preserve">BH Outpatient/PH/IOP Value Set </w:t>
            </w:r>
            <w:r w:rsidRPr="00463667">
              <w:rPr>
                <w:b/>
                <w:i/>
              </w:rPr>
              <w:t>with</w:t>
            </w:r>
            <w:r w:rsidRPr="00463667">
              <w:rPr>
                <w:u w:val="single"/>
              </w:rPr>
              <w:t xml:space="preserve"> BH Outpatient/PH/IOP POS Value Set</w:t>
            </w:r>
            <w:r w:rsidRPr="00463667">
              <w:t xml:space="preserve"> </w:t>
            </w:r>
            <w:r w:rsidRPr="00463667">
              <w:rPr>
                <w:b/>
                <w:i/>
              </w:rPr>
              <w:t xml:space="preserve">and </w:t>
            </w:r>
            <w:r w:rsidRPr="00463667">
              <w:rPr>
                <w:u w:val="single"/>
              </w:rPr>
              <w:t>Schizophrenia Value Set</w:t>
            </w:r>
            <w:r w:rsidRPr="00463667">
              <w:t>.</w:t>
            </w:r>
          </w:p>
          <w:p w14:paraId="54A071E5" w14:textId="77777777" w:rsidR="008F735B" w:rsidRPr="00463667" w:rsidRDefault="008F735B" w:rsidP="00F578E0">
            <w:pPr>
              <w:pStyle w:val="Dash"/>
              <w:spacing w:before="40"/>
            </w:pPr>
            <w:r w:rsidRPr="00463667">
              <w:rPr>
                <w:u w:val="single"/>
              </w:rPr>
              <w:t>BH Stand Alone Outpatient/PH/IOP Value Set</w:t>
            </w:r>
            <w:r w:rsidRPr="00463667">
              <w:t xml:space="preserve"> </w:t>
            </w:r>
            <w:r w:rsidRPr="00463667">
              <w:rPr>
                <w:b/>
                <w:i/>
              </w:rPr>
              <w:t xml:space="preserve">with </w:t>
            </w:r>
            <w:r w:rsidRPr="00463667">
              <w:rPr>
                <w:u w:val="single"/>
              </w:rPr>
              <w:t>Bipolar Disorder Value Set</w:t>
            </w:r>
            <w:r w:rsidRPr="00463667">
              <w:t>.</w:t>
            </w:r>
          </w:p>
          <w:p w14:paraId="2A3E4957" w14:textId="77777777" w:rsidR="008F735B" w:rsidRPr="00463667" w:rsidRDefault="008F735B" w:rsidP="00F578E0">
            <w:pPr>
              <w:pStyle w:val="Dash"/>
              <w:spacing w:before="40"/>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 xml:space="preserve">and </w:t>
            </w:r>
            <w:r w:rsidRPr="00463667">
              <w:rPr>
                <w:u w:val="single"/>
              </w:rPr>
              <w:t>Bipolar Disorder Value Set</w:t>
            </w:r>
            <w:r w:rsidRPr="00463667">
              <w:t>.</w:t>
            </w:r>
          </w:p>
          <w:p w14:paraId="32905EB4" w14:textId="77777777" w:rsidR="008F735B" w:rsidRPr="00463667" w:rsidRDefault="008F735B" w:rsidP="00F578E0">
            <w:pPr>
              <w:pStyle w:val="Dash"/>
              <w:spacing w:before="40"/>
            </w:pPr>
            <w:r w:rsidRPr="00463667">
              <w:rPr>
                <w:u w:val="single"/>
              </w:rPr>
              <w:t>BH Stand Alone Outpatient/PH/IOP Value Set</w:t>
            </w:r>
            <w:r w:rsidRPr="00463667">
              <w:t xml:space="preserve"> </w:t>
            </w:r>
            <w:r w:rsidRPr="00463667">
              <w:rPr>
                <w:b/>
                <w:i/>
              </w:rPr>
              <w:t>with</w:t>
            </w:r>
            <w:r w:rsidRPr="00463667">
              <w:t xml:space="preserve"> </w:t>
            </w:r>
            <w:r w:rsidRPr="00463667">
              <w:rPr>
                <w:u w:val="single"/>
              </w:rPr>
              <w:t>Other Psychotic Disorders Value Set</w:t>
            </w:r>
            <w:r w:rsidRPr="00463667">
              <w:t>.</w:t>
            </w:r>
          </w:p>
          <w:p w14:paraId="678DFFE5" w14:textId="77777777" w:rsidR="008F735B" w:rsidRPr="00463667" w:rsidRDefault="008F735B" w:rsidP="00F578E0">
            <w:pPr>
              <w:pStyle w:val="Dash"/>
              <w:spacing w:before="40"/>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 xml:space="preserve">and </w:t>
            </w:r>
            <w:r w:rsidRPr="00A61BE9">
              <w:rPr>
                <w:u w:val="single"/>
              </w:rPr>
              <w:t>Other Psychotic Disorders Value Set</w:t>
            </w:r>
            <w:r w:rsidRPr="00463667">
              <w:t>.</w:t>
            </w:r>
          </w:p>
        </w:tc>
      </w:tr>
    </w:tbl>
    <w:p w14:paraId="65CD9B77" w14:textId="77777777" w:rsidR="008F735B" w:rsidRPr="00463667" w:rsidRDefault="008F735B" w:rsidP="00081D64">
      <w:pPr>
        <w:pStyle w:val="TableHeadNotCondensed"/>
      </w:pPr>
      <w:r w:rsidRPr="00463667">
        <w:t>Table APP-A. Antipsychotic Medications</w:t>
      </w:r>
    </w:p>
    <w:tbl>
      <w:tblPr>
        <w:tblW w:w="9728" w:type="dxa"/>
        <w:tblInd w:w="-8" w:type="dxa"/>
        <w:tblLayout w:type="fixed"/>
        <w:tblCellMar>
          <w:left w:w="54" w:type="dxa"/>
          <w:right w:w="54" w:type="dxa"/>
        </w:tblCellMar>
        <w:tblLook w:val="0000" w:firstRow="0" w:lastRow="0" w:firstColumn="0" w:lastColumn="0" w:noHBand="0" w:noVBand="0"/>
      </w:tblPr>
      <w:tblGrid>
        <w:gridCol w:w="1718"/>
        <w:gridCol w:w="2754"/>
        <w:gridCol w:w="2638"/>
        <w:gridCol w:w="2618"/>
      </w:tblGrid>
      <w:tr w:rsidR="008F735B" w:rsidRPr="00463667" w14:paraId="0B7A474D" w14:textId="77777777" w:rsidTr="0056631A">
        <w:tc>
          <w:tcPr>
            <w:tcW w:w="1718" w:type="dxa"/>
            <w:tcBorders>
              <w:top w:val="single" w:sz="6" w:space="0" w:color="auto"/>
              <w:left w:val="single" w:sz="6" w:space="0" w:color="auto"/>
              <w:bottom w:val="single" w:sz="6" w:space="0" w:color="auto"/>
              <w:right w:val="single" w:sz="6" w:space="0" w:color="FFFFFF"/>
            </w:tcBorders>
            <w:shd w:val="clear" w:color="auto" w:fill="000000"/>
          </w:tcPr>
          <w:p w14:paraId="1BD213CD" w14:textId="77777777" w:rsidR="008F735B" w:rsidRPr="00463667" w:rsidRDefault="008F735B" w:rsidP="00F578E0">
            <w:pPr>
              <w:pStyle w:val="TableHead"/>
            </w:pPr>
            <w:r w:rsidRPr="00463667">
              <w:t>Description</w:t>
            </w:r>
          </w:p>
        </w:tc>
        <w:tc>
          <w:tcPr>
            <w:tcW w:w="8010" w:type="dxa"/>
            <w:gridSpan w:val="3"/>
            <w:tcBorders>
              <w:top w:val="single" w:sz="6" w:space="0" w:color="auto"/>
              <w:left w:val="single" w:sz="6" w:space="0" w:color="FFFFFF"/>
              <w:bottom w:val="single" w:sz="6" w:space="0" w:color="auto"/>
              <w:right w:val="single" w:sz="6" w:space="0" w:color="auto"/>
            </w:tcBorders>
            <w:shd w:val="clear" w:color="auto" w:fill="000000"/>
          </w:tcPr>
          <w:p w14:paraId="654E64B4" w14:textId="77777777" w:rsidR="008F735B" w:rsidRPr="00463667" w:rsidRDefault="008F735B" w:rsidP="00F578E0">
            <w:pPr>
              <w:pStyle w:val="TableHead"/>
            </w:pPr>
            <w:r w:rsidRPr="00463667">
              <w:t>Prescription</w:t>
            </w:r>
          </w:p>
        </w:tc>
      </w:tr>
      <w:tr w:rsidR="008F735B" w:rsidRPr="00463667" w14:paraId="7ECE2260" w14:textId="77777777" w:rsidTr="0056631A">
        <w:tc>
          <w:tcPr>
            <w:tcW w:w="1718" w:type="dxa"/>
            <w:tcBorders>
              <w:top w:val="single" w:sz="6" w:space="0" w:color="auto"/>
              <w:left w:val="single" w:sz="6" w:space="0" w:color="auto"/>
              <w:bottom w:val="single" w:sz="6" w:space="0" w:color="auto"/>
              <w:right w:val="single" w:sz="6" w:space="0" w:color="auto"/>
            </w:tcBorders>
            <w:tcMar>
              <w:left w:w="115" w:type="dxa"/>
              <w:right w:w="115" w:type="dxa"/>
            </w:tcMar>
          </w:tcPr>
          <w:p w14:paraId="6D0E1CC0" w14:textId="77777777" w:rsidR="008F735B" w:rsidRPr="00463667" w:rsidRDefault="008F735B" w:rsidP="00F578E0">
            <w:pPr>
              <w:pStyle w:val="TableText"/>
            </w:pPr>
            <w:r w:rsidRPr="00463667">
              <w:t>First-generation antipsychotic medications</w:t>
            </w:r>
          </w:p>
        </w:tc>
        <w:tc>
          <w:tcPr>
            <w:tcW w:w="2754" w:type="dxa"/>
            <w:tcBorders>
              <w:top w:val="single" w:sz="6" w:space="0" w:color="auto"/>
              <w:left w:val="single" w:sz="6" w:space="0" w:color="auto"/>
              <w:bottom w:val="single" w:sz="6" w:space="0" w:color="auto"/>
            </w:tcBorders>
            <w:tcMar>
              <w:left w:w="115" w:type="dxa"/>
              <w:right w:w="115" w:type="dxa"/>
            </w:tcMar>
          </w:tcPr>
          <w:p w14:paraId="5171F267" w14:textId="77777777" w:rsidR="008F735B" w:rsidRPr="00463667" w:rsidRDefault="008F735B" w:rsidP="008F735B">
            <w:pPr>
              <w:pStyle w:val="TableBullet"/>
            </w:pPr>
            <w:r w:rsidRPr="00463667">
              <w:t>Chlorpromazine HCL</w:t>
            </w:r>
          </w:p>
          <w:p w14:paraId="1B6D2E9D" w14:textId="77777777" w:rsidR="008F735B" w:rsidRPr="00463667" w:rsidRDefault="008F735B" w:rsidP="008F735B">
            <w:pPr>
              <w:pStyle w:val="TableBullet"/>
            </w:pPr>
            <w:r w:rsidRPr="00463667">
              <w:t>Fluphenazine HCL</w:t>
            </w:r>
          </w:p>
          <w:p w14:paraId="46A204AB" w14:textId="77777777" w:rsidR="008F735B" w:rsidRPr="00463667" w:rsidRDefault="008F735B" w:rsidP="008F735B">
            <w:pPr>
              <w:pStyle w:val="TableBullet"/>
            </w:pPr>
            <w:r w:rsidRPr="00463667">
              <w:t xml:space="preserve">Fluphenazine decanoate </w:t>
            </w:r>
          </w:p>
          <w:p w14:paraId="3A455F51" w14:textId="77777777" w:rsidR="008F735B" w:rsidRPr="00463667" w:rsidRDefault="008F735B" w:rsidP="008F735B">
            <w:pPr>
              <w:pStyle w:val="TableBullet"/>
            </w:pPr>
            <w:r w:rsidRPr="00463667">
              <w:t xml:space="preserve">Haloperidol </w:t>
            </w:r>
          </w:p>
          <w:p w14:paraId="1A4D98D8" w14:textId="77777777" w:rsidR="008F735B" w:rsidRDefault="008F735B" w:rsidP="008F735B">
            <w:pPr>
              <w:pStyle w:val="TableBullet"/>
            </w:pPr>
            <w:r w:rsidRPr="00463667">
              <w:t xml:space="preserve">Haloperidol decanoate </w:t>
            </w:r>
          </w:p>
          <w:p w14:paraId="12668CB5" w14:textId="48C296AC" w:rsidR="00C2000A" w:rsidRPr="00463667" w:rsidRDefault="00C2000A" w:rsidP="00C2000A">
            <w:pPr>
              <w:pStyle w:val="TableBullet"/>
            </w:pPr>
            <w:r>
              <w:t>Molindone HCL</w:t>
            </w:r>
          </w:p>
        </w:tc>
        <w:tc>
          <w:tcPr>
            <w:tcW w:w="2638" w:type="dxa"/>
            <w:tcBorders>
              <w:top w:val="single" w:sz="6" w:space="0" w:color="auto"/>
              <w:bottom w:val="single" w:sz="6" w:space="0" w:color="auto"/>
            </w:tcBorders>
          </w:tcPr>
          <w:p w14:paraId="7D66201C" w14:textId="77777777" w:rsidR="008F735B" w:rsidRPr="00463667" w:rsidRDefault="008F735B" w:rsidP="008F735B">
            <w:pPr>
              <w:pStyle w:val="TableBullet"/>
            </w:pPr>
            <w:r w:rsidRPr="00463667">
              <w:t xml:space="preserve">Perphenazine </w:t>
            </w:r>
          </w:p>
          <w:p w14:paraId="51EADE97" w14:textId="77777777" w:rsidR="008F735B" w:rsidRPr="00463667" w:rsidRDefault="008F735B" w:rsidP="008F735B">
            <w:pPr>
              <w:pStyle w:val="TableBullet"/>
            </w:pPr>
            <w:r w:rsidRPr="00463667">
              <w:t xml:space="preserve">Pimozide </w:t>
            </w:r>
          </w:p>
          <w:p w14:paraId="3A6A208C" w14:textId="77777777" w:rsidR="008F735B" w:rsidRPr="00463667" w:rsidRDefault="008F735B" w:rsidP="008F735B">
            <w:pPr>
              <w:pStyle w:val="TableBullet"/>
            </w:pPr>
            <w:r w:rsidRPr="00463667">
              <w:t>Haloperidol lactate</w:t>
            </w:r>
          </w:p>
          <w:p w14:paraId="146F5E99" w14:textId="77777777" w:rsidR="008F735B" w:rsidRPr="00463667" w:rsidRDefault="008F735B" w:rsidP="008F735B">
            <w:pPr>
              <w:pStyle w:val="TableBullet"/>
            </w:pPr>
            <w:r w:rsidRPr="00463667">
              <w:t>Loxapine HCL</w:t>
            </w:r>
          </w:p>
          <w:p w14:paraId="0F8CCEDB" w14:textId="77777777" w:rsidR="008F735B" w:rsidRPr="00463667" w:rsidRDefault="008F735B" w:rsidP="008F735B">
            <w:pPr>
              <w:pStyle w:val="TableBullet"/>
            </w:pPr>
            <w:r w:rsidRPr="00463667">
              <w:t>Loxapine succinate</w:t>
            </w:r>
          </w:p>
        </w:tc>
        <w:tc>
          <w:tcPr>
            <w:tcW w:w="2618" w:type="dxa"/>
            <w:tcBorders>
              <w:top w:val="single" w:sz="6" w:space="0" w:color="auto"/>
              <w:bottom w:val="single" w:sz="6" w:space="0" w:color="auto"/>
              <w:right w:val="single" w:sz="6" w:space="0" w:color="auto"/>
            </w:tcBorders>
          </w:tcPr>
          <w:p w14:paraId="161EEF48" w14:textId="77777777" w:rsidR="008F735B" w:rsidRPr="00463667" w:rsidRDefault="008F735B" w:rsidP="008F735B">
            <w:pPr>
              <w:pStyle w:val="TableBullet"/>
            </w:pPr>
            <w:r w:rsidRPr="00463667">
              <w:t>Thioridazine HCL</w:t>
            </w:r>
          </w:p>
          <w:p w14:paraId="3BCE6BFB" w14:textId="77777777" w:rsidR="008F735B" w:rsidRPr="00463667" w:rsidRDefault="008F735B" w:rsidP="008F735B">
            <w:pPr>
              <w:pStyle w:val="TableBullet"/>
            </w:pPr>
            <w:r w:rsidRPr="00463667">
              <w:t xml:space="preserve">Thiothixene </w:t>
            </w:r>
          </w:p>
          <w:p w14:paraId="299C702A" w14:textId="77777777" w:rsidR="008F735B" w:rsidRPr="00463667" w:rsidRDefault="008F735B" w:rsidP="008F735B">
            <w:pPr>
              <w:pStyle w:val="TableBullet"/>
            </w:pPr>
            <w:r w:rsidRPr="00463667">
              <w:t>Trifluoperazine HCL</w:t>
            </w:r>
          </w:p>
          <w:p w14:paraId="7187B8EC" w14:textId="2C9650E3" w:rsidR="008F735B" w:rsidRPr="00C702B2" w:rsidRDefault="008F735B" w:rsidP="005A7514">
            <w:pPr>
              <w:pStyle w:val="TableText"/>
            </w:pPr>
          </w:p>
        </w:tc>
      </w:tr>
      <w:tr w:rsidR="008F735B" w:rsidRPr="00463667" w14:paraId="492141AA" w14:textId="77777777" w:rsidTr="0056631A">
        <w:tc>
          <w:tcPr>
            <w:tcW w:w="171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15" w:type="dxa"/>
              <w:right w:w="115" w:type="dxa"/>
            </w:tcMar>
          </w:tcPr>
          <w:p w14:paraId="4509CBC3" w14:textId="77777777" w:rsidR="008F735B" w:rsidRPr="00463667" w:rsidRDefault="008F735B" w:rsidP="00F578E0">
            <w:pPr>
              <w:pStyle w:val="TableText"/>
            </w:pPr>
            <w:r w:rsidRPr="00463667">
              <w:t>Second-generation antipsychotic medications</w:t>
            </w:r>
          </w:p>
        </w:tc>
        <w:tc>
          <w:tcPr>
            <w:tcW w:w="2754" w:type="dxa"/>
            <w:tcBorders>
              <w:top w:val="single" w:sz="6" w:space="0" w:color="auto"/>
              <w:left w:val="single" w:sz="6" w:space="0" w:color="auto"/>
              <w:bottom w:val="single" w:sz="6" w:space="0" w:color="auto"/>
            </w:tcBorders>
            <w:shd w:val="clear" w:color="auto" w:fill="D9D9D9" w:themeFill="background1" w:themeFillShade="D9"/>
            <w:tcMar>
              <w:left w:w="115" w:type="dxa"/>
              <w:right w:w="115" w:type="dxa"/>
            </w:tcMar>
          </w:tcPr>
          <w:p w14:paraId="23DAE0AB" w14:textId="77777777" w:rsidR="008F735B" w:rsidRPr="00463667" w:rsidRDefault="008F735B" w:rsidP="008F735B">
            <w:pPr>
              <w:pStyle w:val="TableBullet"/>
            </w:pPr>
            <w:r w:rsidRPr="00463667">
              <w:t>Aripiprazole</w:t>
            </w:r>
          </w:p>
          <w:p w14:paraId="1EE9B805" w14:textId="77777777" w:rsidR="008F735B" w:rsidRPr="00C2000A" w:rsidRDefault="008F735B" w:rsidP="008F735B">
            <w:pPr>
              <w:pStyle w:val="TableBullet"/>
            </w:pPr>
            <w:r w:rsidRPr="00C2000A">
              <w:t xml:space="preserve">Clozapine </w:t>
            </w:r>
          </w:p>
          <w:p w14:paraId="0A2BEADC" w14:textId="77777777" w:rsidR="00C702B2" w:rsidRPr="00C2000A" w:rsidRDefault="008F735B" w:rsidP="008F735B">
            <w:pPr>
              <w:pStyle w:val="TableBullet"/>
            </w:pPr>
            <w:r w:rsidRPr="00C2000A">
              <w:t>Iloperidone</w:t>
            </w:r>
          </w:p>
          <w:p w14:paraId="0CC0EFAE" w14:textId="77777777" w:rsidR="008F735B" w:rsidRPr="00C2000A" w:rsidRDefault="00C702B2" w:rsidP="00C702B2">
            <w:pPr>
              <w:pStyle w:val="TableBullet"/>
            </w:pPr>
            <w:r w:rsidRPr="00C2000A">
              <w:t>Lurasidone</w:t>
            </w:r>
            <w:r w:rsidR="008F735B" w:rsidRPr="00C2000A">
              <w:t xml:space="preserve"> </w:t>
            </w:r>
          </w:p>
          <w:p w14:paraId="0B4BEC8E" w14:textId="36741E6D" w:rsidR="0056631A" w:rsidRPr="00C702B2" w:rsidRDefault="0056631A" w:rsidP="00C702B2">
            <w:pPr>
              <w:pStyle w:val="TableBullet"/>
              <w:rPr>
                <w:u w:val="single"/>
              </w:rPr>
            </w:pPr>
            <w:r w:rsidRPr="00C2000A">
              <w:t>Olanzapine</w:t>
            </w:r>
          </w:p>
        </w:tc>
        <w:tc>
          <w:tcPr>
            <w:tcW w:w="2638" w:type="dxa"/>
            <w:tcBorders>
              <w:top w:val="single" w:sz="6" w:space="0" w:color="auto"/>
              <w:bottom w:val="single" w:sz="6" w:space="0" w:color="auto"/>
            </w:tcBorders>
            <w:shd w:val="clear" w:color="auto" w:fill="D9D9D9" w:themeFill="background1" w:themeFillShade="D9"/>
            <w:tcMar>
              <w:left w:w="115" w:type="dxa"/>
              <w:right w:w="115" w:type="dxa"/>
            </w:tcMar>
          </w:tcPr>
          <w:p w14:paraId="7ABEC18C" w14:textId="55FC67B7" w:rsidR="008F735B" w:rsidRPr="00463667" w:rsidRDefault="008F735B" w:rsidP="008F735B">
            <w:pPr>
              <w:pStyle w:val="TableBullet"/>
            </w:pPr>
            <w:r w:rsidRPr="00463667">
              <w:t>Olanzapine pamoate</w:t>
            </w:r>
          </w:p>
          <w:p w14:paraId="03142062" w14:textId="77777777" w:rsidR="008F735B" w:rsidRPr="00463667" w:rsidRDefault="008F735B" w:rsidP="008F735B">
            <w:pPr>
              <w:pStyle w:val="TableBullet"/>
            </w:pPr>
            <w:r w:rsidRPr="00463667">
              <w:t xml:space="preserve">Paliperidone </w:t>
            </w:r>
          </w:p>
          <w:p w14:paraId="362B0148" w14:textId="77777777" w:rsidR="008F735B" w:rsidRPr="00463667" w:rsidRDefault="008F735B" w:rsidP="008F735B">
            <w:pPr>
              <w:pStyle w:val="TableBullet"/>
            </w:pPr>
            <w:r w:rsidRPr="00463667">
              <w:t>Paliperidone palmitate</w:t>
            </w:r>
          </w:p>
          <w:p w14:paraId="1FC001BC" w14:textId="77777777" w:rsidR="008F735B" w:rsidRDefault="008F735B" w:rsidP="008F735B">
            <w:pPr>
              <w:pStyle w:val="TableBullet"/>
            </w:pPr>
            <w:r w:rsidRPr="00463667">
              <w:t>Quetiapine fumarate</w:t>
            </w:r>
          </w:p>
          <w:p w14:paraId="2ADCEB0C" w14:textId="0C41B838" w:rsidR="0056631A" w:rsidRPr="00463667" w:rsidRDefault="0056631A" w:rsidP="008F735B">
            <w:pPr>
              <w:pStyle w:val="TableBullet"/>
            </w:pPr>
            <w:r w:rsidRPr="00463667">
              <w:t>Risperidone</w:t>
            </w:r>
          </w:p>
        </w:tc>
        <w:tc>
          <w:tcPr>
            <w:tcW w:w="2618" w:type="dxa"/>
            <w:tcBorders>
              <w:top w:val="single" w:sz="6" w:space="0" w:color="auto"/>
              <w:bottom w:val="single" w:sz="6" w:space="0" w:color="auto"/>
              <w:right w:val="single" w:sz="6" w:space="0" w:color="auto"/>
            </w:tcBorders>
            <w:shd w:val="clear" w:color="auto" w:fill="D9D9D9" w:themeFill="background1" w:themeFillShade="D9"/>
          </w:tcPr>
          <w:p w14:paraId="2D32DE6C" w14:textId="240F3D60" w:rsidR="008F735B" w:rsidRPr="00463667" w:rsidRDefault="008F735B" w:rsidP="008F735B">
            <w:pPr>
              <w:pStyle w:val="TableBullet"/>
            </w:pPr>
            <w:r w:rsidRPr="00463667">
              <w:t xml:space="preserve">Risperidone microspheres </w:t>
            </w:r>
          </w:p>
          <w:p w14:paraId="138BA9AE" w14:textId="77777777" w:rsidR="008F735B" w:rsidRPr="00463667" w:rsidRDefault="008F735B" w:rsidP="008F735B">
            <w:pPr>
              <w:pStyle w:val="TableBullet"/>
            </w:pPr>
            <w:r w:rsidRPr="00463667">
              <w:t>Ziprasidone HCL</w:t>
            </w:r>
          </w:p>
          <w:p w14:paraId="6FF946E2" w14:textId="77777777" w:rsidR="008F735B" w:rsidRPr="00463667" w:rsidRDefault="008F735B" w:rsidP="008F735B">
            <w:pPr>
              <w:pStyle w:val="TableBullet"/>
            </w:pPr>
            <w:r w:rsidRPr="00463667">
              <w:t>Ziprasidone mesylate</w:t>
            </w:r>
          </w:p>
        </w:tc>
      </w:tr>
      <w:tr w:rsidR="008F735B" w:rsidRPr="00463667" w14:paraId="110BD630" w14:textId="77777777" w:rsidTr="0056631A">
        <w:tc>
          <w:tcPr>
            <w:tcW w:w="1718" w:type="dxa"/>
            <w:tcBorders>
              <w:top w:val="single" w:sz="6" w:space="0" w:color="auto"/>
              <w:left w:val="single" w:sz="6" w:space="0" w:color="auto"/>
              <w:bottom w:val="single" w:sz="6" w:space="0" w:color="auto"/>
              <w:right w:val="single" w:sz="6" w:space="0" w:color="auto"/>
            </w:tcBorders>
            <w:shd w:val="clear" w:color="auto" w:fill="FFFFFF" w:themeFill="background1"/>
            <w:tcMar>
              <w:left w:w="115" w:type="dxa"/>
              <w:right w:w="115" w:type="dxa"/>
            </w:tcMar>
          </w:tcPr>
          <w:p w14:paraId="1BE0F073" w14:textId="77777777" w:rsidR="008F735B" w:rsidRPr="00463667" w:rsidRDefault="008F735B" w:rsidP="00F578E0">
            <w:pPr>
              <w:pStyle w:val="TableText"/>
            </w:pPr>
            <w:r w:rsidRPr="00463667">
              <w:t>Combinations</w:t>
            </w:r>
          </w:p>
        </w:tc>
        <w:tc>
          <w:tcPr>
            <w:tcW w:w="2754" w:type="dxa"/>
            <w:tcBorders>
              <w:top w:val="single" w:sz="6" w:space="0" w:color="auto"/>
              <w:left w:val="single" w:sz="6" w:space="0" w:color="auto"/>
              <w:bottom w:val="single" w:sz="6" w:space="0" w:color="auto"/>
            </w:tcBorders>
            <w:shd w:val="clear" w:color="auto" w:fill="FFFFFF" w:themeFill="background1"/>
            <w:tcMar>
              <w:left w:w="115" w:type="dxa"/>
              <w:right w:w="115" w:type="dxa"/>
            </w:tcMar>
          </w:tcPr>
          <w:p w14:paraId="1F752F84" w14:textId="77777777" w:rsidR="008F735B" w:rsidRPr="00463667" w:rsidRDefault="008F735B" w:rsidP="008F735B">
            <w:pPr>
              <w:pStyle w:val="TableBullet"/>
            </w:pPr>
            <w:r w:rsidRPr="00463667">
              <w:t>Olanzapine-fluoxetine HCL (Symbyax)</w:t>
            </w:r>
          </w:p>
        </w:tc>
        <w:tc>
          <w:tcPr>
            <w:tcW w:w="5256" w:type="dxa"/>
            <w:gridSpan w:val="2"/>
            <w:tcBorders>
              <w:top w:val="single" w:sz="6" w:space="0" w:color="auto"/>
              <w:bottom w:val="single" w:sz="6" w:space="0" w:color="auto"/>
              <w:right w:val="single" w:sz="6" w:space="0" w:color="auto"/>
            </w:tcBorders>
            <w:shd w:val="clear" w:color="auto" w:fill="FFFFFF" w:themeFill="background1"/>
            <w:tcMar>
              <w:left w:w="115" w:type="dxa"/>
              <w:right w:w="115" w:type="dxa"/>
            </w:tcMar>
          </w:tcPr>
          <w:p w14:paraId="6DAC9638" w14:textId="77777777" w:rsidR="008F735B" w:rsidRPr="00463667" w:rsidRDefault="008F735B" w:rsidP="008F735B">
            <w:pPr>
              <w:pStyle w:val="TableBullet"/>
            </w:pPr>
            <w:r w:rsidRPr="00463667">
              <w:t>Perphenazine-amitriptyline HCL (Etrafon, Triavil [various])</w:t>
            </w:r>
          </w:p>
        </w:tc>
      </w:tr>
    </w:tbl>
    <w:p w14:paraId="0E249C06" w14:textId="14706471" w:rsidR="008F735B" w:rsidRPr="00463667" w:rsidRDefault="008F735B" w:rsidP="008F735B">
      <w:pPr>
        <w:pStyle w:val="Note"/>
        <w:spacing w:before="60"/>
        <w:sectPr w:rsidR="008F735B" w:rsidRPr="00463667" w:rsidSect="00F578E0">
          <w:headerReference w:type="default" r:id="rId53"/>
          <w:footerReference w:type="default" r:id="rId54"/>
          <w:pgSz w:w="12240" w:h="15840" w:code="1"/>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t>
      </w:r>
      <w:r w:rsidRPr="00463667">
        <w:rPr>
          <w:rFonts w:eastAsiaTheme="majorEastAsia"/>
        </w:rPr>
        <w:t>www.ncqa.org</w:t>
      </w:r>
      <w:r w:rsidRPr="00463667">
        <w:t xml:space="preserve"> by November </w:t>
      </w:r>
      <w:r w:rsidR="00A47F13">
        <w:t>2</w:t>
      </w:r>
      <w:r w:rsidRPr="00463667">
        <w:t xml:space="preserve">, </w:t>
      </w:r>
      <w:r w:rsidR="00A47F13">
        <w:t>2015</w:t>
      </w:r>
      <w:r w:rsidRPr="00463667">
        <w:t xml:space="preserve">. </w:t>
      </w:r>
    </w:p>
    <w:p w14:paraId="2D824894" w14:textId="77777777" w:rsidR="008F735B" w:rsidRPr="00463667" w:rsidRDefault="008F735B" w:rsidP="00081D64">
      <w:pPr>
        <w:pStyle w:val="ReverseHead"/>
        <w:spacing w:before="0"/>
      </w:pPr>
      <w:r w:rsidRPr="00463667">
        <w:lastRenderedPageBreak/>
        <w:t>Administrative Specification</w:t>
      </w:r>
    </w:p>
    <w:tbl>
      <w:tblPr>
        <w:tblW w:w="9918" w:type="dxa"/>
        <w:tblInd w:w="-90" w:type="dxa"/>
        <w:tblLayout w:type="fixed"/>
        <w:tblLook w:val="0000" w:firstRow="0" w:lastRow="0" w:firstColumn="0" w:lastColumn="0" w:noHBand="0" w:noVBand="0"/>
      </w:tblPr>
      <w:tblGrid>
        <w:gridCol w:w="1890"/>
        <w:gridCol w:w="8028"/>
      </w:tblGrid>
      <w:tr w:rsidR="008F735B" w:rsidRPr="00463667" w14:paraId="4A3C0FCA" w14:textId="77777777" w:rsidTr="00F578E0">
        <w:tc>
          <w:tcPr>
            <w:tcW w:w="1890" w:type="dxa"/>
          </w:tcPr>
          <w:p w14:paraId="7A272AA8" w14:textId="77777777" w:rsidR="008F735B" w:rsidRPr="00463667" w:rsidRDefault="008F735B" w:rsidP="00F578E0">
            <w:pPr>
              <w:pStyle w:val="MarginSubhead"/>
            </w:pPr>
            <w:r w:rsidRPr="00463667">
              <w:t>Denominator</w:t>
            </w:r>
          </w:p>
        </w:tc>
        <w:tc>
          <w:tcPr>
            <w:tcW w:w="8028" w:type="dxa"/>
          </w:tcPr>
          <w:p w14:paraId="4B9C6784" w14:textId="77777777" w:rsidR="008F735B" w:rsidRPr="00463667" w:rsidRDefault="008F735B" w:rsidP="00F578E0">
            <w:pPr>
              <w:pStyle w:val="Body"/>
            </w:pPr>
            <w:r w:rsidRPr="00463667">
              <w:t>The eligible population.</w:t>
            </w:r>
          </w:p>
        </w:tc>
      </w:tr>
      <w:tr w:rsidR="008F735B" w:rsidRPr="00463667" w14:paraId="46959BC0" w14:textId="77777777" w:rsidTr="00F578E0">
        <w:tc>
          <w:tcPr>
            <w:tcW w:w="1890" w:type="dxa"/>
          </w:tcPr>
          <w:p w14:paraId="7D36943E" w14:textId="77777777" w:rsidR="008F735B" w:rsidRPr="00463667" w:rsidRDefault="008F735B" w:rsidP="00F578E0">
            <w:pPr>
              <w:pStyle w:val="MarginSubhead"/>
            </w:pPr>
            <w:r w:rsidRPr="00463667">
              <w:t>Numerator</w:t>
            </w:r>
          </w:p>
        </w:tc>
        <w:tc>
          <w:tcPr>
            <w:tcW w:w="8028" w:type="dxa"/>
          </w:tcPr>
          <w:p w14:paraId="31E202E3" w14:textId="77777777" w:rsidR="008F735B" w:rsidRPr="00463667" w:rsidRDefault="008F735B" w:rsidP="00F578E0">
            <w:pPr>
              <w:pStyle w:val="Body"/>
            </w:pPr>
            <w:r w:rsidRPr="00463667">
              <w:t>Documentation of psychosocial care (</w:t>
            </w:r>
            <w:r w:rsidRPr="00463667">
              <w:rPr>
                <w:u w:val="single"/>
              </w:rPr>
              <w:t>Psychosocial Care Value Set</w:t>
            </w:r>
            <w:r w:rsidRPr="00463667">
              <w:t>) in the 121-day period from 90 days prior to the IPSD through 30 days after the IPSD.</w:t>
            </w:r>
          </w:p>
        </w:tc>
      </w:tr>
    </w:tbl>
    <w:p w14:paraId="7484F40E" w14:textId="77777777" w:rsidR="008F735B" w:rsidRPr="00463667" w:rsidRDefault="008F735B" w:rsidP="00081D64">
      <w:pPr>
        <w:pStyle w:val="ReverseHead"/>
      </w:pPr>
      <w:r w:rsidRPr="00463667">
        <w:t xml:space="preserve">Data Elements for Reporting </w:t>
      </w:r>
    </w:p>
    <w:p w14:paraId="2B93BF17" w14:textId="77777777" w:rsidR="008F735B" w:rsidRPr="00463667" w:rsidRDefault="008F735B" w:rsidP="008F735B">
      <w:pPr>
        <w:pStyle w:val="Body"/>
      </w:pPr>
      <w:r w:rsidRPr="00463667">
        <w:t>Organizations that submit HEDIS data to NCQA must provide the following data elements.</w:t>
      </w:r>
    </w:p>
    <w:p w14:paraId="5E168E86" w14:textId="77777777" w:rsidR="008F735B" w:rsidRPr="00463667" w:rsidRDefault="008F735B" w:rsidP="00081D64">
      <w:pPr>
        <w:pStyle w:val="TableHeadNotCondensed"/>
        <w:ind w:left="1620" w:hanging="1620"/>
      </w:pPr>
      <w:r w:rsidRPr="00463667">
        <w:t>Table APP-1/2:</w:t>
      </w:r>
      <w:r w:rsidRPr="00463667">
        <w:tab/>
        <w:t xml:space="preserve">Data Elements Access to Psychosocial Care for Children and </w:t>
      </w:r>
      <w:r w:rsidRPr="00463667">
        <w:br/>
        <w:t>Adolescents on Antipsychotics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10"/>
        <w:gridCol w:w="3690"/>
      </w:tblGrid>
      <w:tr w:rsidR="008F735B" w:rsidRPr="00463667" w14:paraId="05BB1F2D" w14:textId="77777777" w:rsidTr="0056631A">
        <w:tc>
          <w:tcPr>
            <w:tcW w:w="4410" w:type="dxa"/>
            <w:tcBorders>
              <w:bottom w:val="single" w:sz="6" w:space="0" w:color="auto"/>
              <w:right w:val="single" w:sz="6" w:space="0" w:color="FFFFFF"/>
            </w:tcBorders>
            <w:shd w:val="clear" w:color="auto" w:fill="000000"/>
          </w:tcPr>
          <w:p w14:paraId="22669B39" w14:textId="77777777" w:rsidR="008F735B" w:rsidRPr="00463667" w:rsidRDefault="008F735B" w:rsidP="00F578E0">
            <w:pPr>
              <w:pStyle w:val="TableHead"/>
              <w:spacing w:before="0" w:after="0"/>
              <w:rPr>
                <w:color w:val="auto"/>
                <w:highlight w:val="black"/>
              </w:rPr>
            </w:pPr>
          </w:p>
        </w:tc>
        <w:tc>
          <w:tcPr>
            <w:tcW w:w="3690" w:type="dxa"/>
            <w:tcBorders>
              <w:left w:val="single" w:sz="6" w:space="0" w:color="FFFFFF"/>
              <w:bottom w:val="single" w:sz="6" w:space="0" w:color="auto"/>
              <w:right w:val="single" w:sz="4" w:space="0" w:color="auto"/>
            </w:tcBorders>
            <w:shd w:val="clear" w:color="auto" w:fill="000000"/>
          </w:tcPr>
          <w:p w14:paraId="555DACCD" w14:textId="77777777" w:rsidR="008F735B" w:rsidRPr="00463667" w:rsidRDefault="008F735B" w:rsidP="00F578E0">
            <w:pPr>
              <w:pStyle w:val="TableHead"/>
              <w:rPr>
                <w:highlight w:val="black"/>
              </w:rPr>
            </w:pPr>
            <w:r w:rsidRPr="00463667">
              <w:rPr>
                <w:highlight w:val="black"/>
              </w:rPr>
              <w:t>Administrative</w:t>
            </w:r>
          </w:p>
        </w:tc>
      </w:tr>
      <w:tr w:rsidR="008F735B" w:rsidRPr="00463667" w14:paraId="080580F0" w14:textId="77777777" w:rsidTr="0056631A">
        <w:tc>
          <w:tcPr>
            <w:tcW w:w="4410" w:type="dxa"/>
            <w:tcBorders>
              <w:bottom w:val="single" w:sz="6" w:space="0" w:color="auto"/>
            </w:tcBorders>
            <w:vAlign w:val="center"/>
          </w:tcPr>
          <w:p w14:paraId="76A7A7A2" w14:textId="77777777" w:rsidR="008F735B" w:rsidRPr="00463667" w:rsidRDefault="008F735B" w:rsidP="00F578E0">
            <w:pPr>
              <w:pStyle w:val="TableText"/>
            </w:pPr>
            <w:r w:rsidRPr="00463667">
              <w:t>Measurement year</w:t>
            </w:r>
          </w:p>
        </w:tc>
        <w:tc>
          <w:tcPr>
            <w:tcW w:w="3690" w:type="dxa"/>
            <w:tcBorders>
              <w:bottom w:val="single" w:sz="6" w:space="0" w:color="auto"/>
            </w:tcBorders>
            <w:vAlign w:val="center"/>
          </w:tcPr>
          <w:p w14:paraId="18D6EB17" w14:textId="77777777" w:rsidR="008F735B" w:rsidRPr="00463667" w:rsidRDefault="008F735B" w:rsidP="00F578E0">
            <w:pPr>
              <w:pStyle w:val="TableText"/>
              <w:spacing w:before="0" w:after="0"/>
              <w:jc w:val="center"/>
              <w:rPr>
                <w:sz w:val="24"/>
                <w:szCs w:val="24"/>
              </w:rPr>
            </w:pPr>
            <w:r w:rsidRPr="00463667">
              <w:rPr>
                <w:sz w:val="24"/>
                <w:szCs w:val="24"/>
              </w:rPr>
              <w:sym w:font="Wingdings" w:char="F0FC"/>
            </w:r>
          </w:p>
        </w:tc>
      </w:tr>
      <w:tr w:rsidR="008F735B" w:rsidRPr="00463667" w14:paraId="1A1DF138" w14:textId="77777777" w:rsidTr="0056631A">
        <w:tc>
          <w:tcPr>
            <w:tcW w:w="4410" w:type="dxa"/>
            <w:shd w:val="clear" w:color="auto" w:fill="D9D9D9" w:themeFill="background1" w:themeFillShade="D9"/>
            <w:vAlign w:val="center"/>
          </w:tcPr>
          <w:p w14:paraId="563037C6" w14:textId="77777777" w:rsidR="008F735B" w:rsidRPr="00463667" w:rsidRDefault="008F735B" w:rsidP="00F578E0">
            <w:pPr>
              <w:pStyle w:val="TableText"/>
            </w:pPr>
            <w:r w:rsidRPr="00463667">
              <w:t>Data collection methodology (Administrative)</w:t>
            </w:r>
          </w:p>
        </w:tc>
        <w:tc>
          <w:tcPr>
            <w:tcW w:w="3690" w:type="dxa"/>
            <w:shd w:val="clear" w:color="auto" w:fill="D9D9D9" w:themeFill="background1" w:themeFillShade="D9"/>
            <w:vAlign w:val="center"/>
          </w:tcPr>
          <w:p w14:paraId="12D896CD" w14:textId="77777777" w:rsidR="008F735B" w:rsidRPr="00463667" w:rsidRDefault="008F735B" w:rsidP="00F578E0">
            <w:pPr>
              <w:pStyle w:val="TableText"/>
              <w:spacing w:before="0" w:after="0"/>
              <w:jc w:val="center"/>
              <w:rPr>
                <w:sz w:val="24"/>
                <w:szCs w:val="24"/>
              </w:rPr>
            </w:pPr>
            <w:r w:rsidRPr="00463667">
              <w:rPr>
                <w:sz w:val="24"/>
                <w:szCs w:val="24"/>
              </w:rPr>
              <w:sym w:font="Wingdings" w:char="F0FC"/>
            </w:r>
          </w:p>
        </w:tc>
      </w:tr>
      <w:tr w:rsidR="008F735B" w:rsidRPr="00463667" w14:paraId="2EBC0904" w14:textId="77777777" w:rsidTr="0056631A">
        <w:tc>
          <w:tcPr>
            <w:tcW w:w="4410" w:type="dxa"/>
            <w:shd w:val="clear" w:color="auto" w:fill="auto"/>
            <w:vAlign w:val="center"/>
          </w:tcPr>
          <w:p w14:paraId="09BBB469" w14:textId="2334DB9F" w:rsidR="0056631A" w:rsidRPr="00463667" w:rsidRDefault="008F735B" w:rsidP="0056631A">
            <w:pPr>
              <w:pStyle w:val="TableText"/>
            </w:pPr>
            <w:r w:rsidRPr="00463667">
              <w:t xml:space="preserve">Eligible population </w:t>
            </w:r>
          </w:p>
        </w:tc>
        <w:tc>
          <w:tcPr>
            <w:tcW w:w="3690" w:type="dxa"/>
            <w:shd w:val="clear" w:color="auto" w:fill="auto"/>
            <w:vAlign w:val="center"/>
          </w:tcPr>
          <w:p w14:paraId="0104C311" w14:textId="77777777" w:rsidR="008F735B" w:rsidRPr="00463667" w:rsidRDefault="008F735B" w:rsidP="0056631A">
            <w:pPr>
              <w:pStyle w:val="TableText"/>
              <w:jc w:val="center"/>
              <w:rPr>
                <w:sz w:val="24"/>
                <w:szCs w:val="24"/>
              </w:rPr>
            </w:pPr>
            <w:r w:rsidRPr="00463667">
              <w:rPr>
                <w:szCs w:val="20"/>
              </w:rPr>
              <w:t>For each age stratification and total</w:t>
            </w:r>
          </w:p>
        </w:tc>
      </w:tr>
      <w:tr w:rsidR="008F735B" w:rsidRPr="00463667" w14:paraId="5AA95C38" w14:textId="77777777" w:rsidTr="0056631A">
        <w:tc>
          <w:tcPr>
            <w:tcW w:w="4410" w:type="dxa"/>
            <w:tcBorders>
              <w:bottom w:val="single" w:sz="6" w:space="0" w:color="auto"/>
            </w:tcBorders>
            <w:shd w:val="clear" w:color="auto" w:fill="D9D9D9" w:themeFill="background1" w:themeFillShade="D9"/>
            <w:vAlign w:val="center"/>
          </w:tcPr>
          <w:p w14:paraId="7EB2ADE0" w14:textId="77777777" w:rsidR="008F735B" w:rsidRPr="00463667" w:rsidRDefault="008F735B" w:rsidP="0056631A">
            <w:pPr>
              <w:pStyle w:val="TableText"/>
            </w:pPr>
            <w:r w:rsidRPr="00463667">
              <w:t>Number of required exclusions</w:t>
            </w:r>
          </w:p>
        </w:tc>
        <w:tc>
          <w:tcPr>
            <w:tcW w:w="3690" w:type="dxa"/>
            <w:tcBorders>
              <w:bottom w:val="single" w:sz="6" w:space="0" w:color="auto"/>
            </w:tcBorders>
            <w:shd w:val="clear" w:color="auto" w:fill="D9D9D9" w:themeFill="background1" w:themeFillShade="D9"/>
          </w:tcPr>
          <w:p w14:paraId="27C56466" w14:textId="77777777" w:rsidR="008F735B" w:rsidRPr="00463667" w:rsidRDefault="008F735B" w:rsidP="0056631A">
            <w:pPr>
              <w:pStyle w:val="TableText"/>
              <w:jc w:val="center"/>
              <w:rPr>
                <w:szCs w:val="20"/>
              </w:rPr>
            </w:pPr>
            <w:r w:rsidRPr="00463667">
              <w:rPr>
                <w:szCs w:val="20"/>
              </w:rPr>
              <w:t>For each age stratification and total</w:t>
            </w:r>
          </w:p>
        </w:tc>
      </w:tr>
      <w:tr w:rsidR="008F735B" w:rsidRPr="00463667" w14:paraId="24FEEDE4" w14:textId="77777777" w:rsidTr="0056631A">
        <w:tc>
          <w:tcPr>
            <w:tcW w:w="4410" w:type="dxa"/>
            <w:tcBorders>
              <w:bottom w:val="single" w:sz="6" w:space="0" w:color="auto"/>
            </w:tcBorders>
            <w:shd w:val="clear" w:color="auto" w:fill="auto"/>
            <w:vAlign w:val="center"/>
          </w:tcPr>
          <w:p w14:paraId="2E43AEE8" w14:textId="77777777" w:rsidR="008F735B" w:rsidRPr="00463667" w:rsidRDefault="008F735B" w:rsidP="0056631A">
            <w:pPr>
              <w:pStyle w:val="TableText"/>
            </w:pPr>
            <w:r w:rsidRPr="00463667">
              <w:t>Numerator events by administrative data</w:t>
            </w:r>
          </w:p>
        </w:tc>
        <w:tc>
          <w:tcPr>
            <w:tcW w:w="3690" w:type="dxa"/>
            <w:tcBorders>
              <w:bottom w:val="single" w:sz="6" w:space="0" w:color="auto"/>
            </w:tcBorders>
            <w:shd w:val="clear" w:color="auto" w:fill="auto"/>
          </w:tcPr>
          <w:p w14:paraId="7599B698" w14:textId="77777777" w:rsidR="008F735B" w:rsidRPr="00463667" w:rsidRDefault="008F735B" w:rsidP="0056631A">
            <w:pPr>
              <w:pStyle w:val="TableText"/>
              <w:jc w:val="center"/>
              <w:rPr>
                <w:sz w:val="24"/>
                <w:szCs w:val="24"/>
              </w:rPr>
            </w:pPr>
            <w:r w:rsidRPr="00463667">
              <w:rPr>
                <w:szCs w:val="20"/>
              </w:rPr>
              <w:t>For each age stratification and total</w:t>
            </w:r>
          </w:p>
        </w:tc>
      </w:tr>
      <w:tr w:rsidR="008F735B" w:rsidRPr="00463667" w14:paraId="4F177D9F" w14:textId="77777777" w:rsidTr="0056631A">
        <w:tc>
          <w:tcPr>
            <w:tcW w:w="4410" w:type="dxa"/>
            <w:shd w:val="clear" w:color="auto" w:fill="D9D9D9" w:themeFill="background1" w:themeFillShade="D9"/>
            <w:vAlign w:val="center"/>
          </w:tcPr>
          <w:p w14:paraId="62F9034A" w14:textId="77777777" w:rsidR="008F735B" w:rsidRPr="00463667" w:rsidRDefault="008F735B" w:rsidP="0056631A">
            <w:pPr>
              <w:pStyle w:val="TableText"/>
            </w:pPr>
            <w:r w:rsidRPr="00463667">
              <w:t>Reported Rate</w:t>
            </w:r>
          </w:p>
        </w:tc>
        <w:tc>
          <w:tcPr>
            <w:tcW w:w="3690" w:type="dxa"/>
            <w:shd w:val="clear" w:color="auto" w:fill="D9D9D9" w:themeFill="background1" w:themeFillShade="D9"/>
          </w:tcPr>
          <w:p w14:paraId="06002852" w14:textId="77777777" w:rsidR="008F735B" w:rsidRPr="00463667" w:rsidRDefault="008F735B" w:rsidP="0056631A">
            <w:pPr>
              <w:pStyle w:val="TableText"/>
              <w:jc w:val="center"/>
              <w:rPr>
                <w:sz w:val="24"/>
                <w:szCs w:val="24"/>
              </w:rPr>
            </w:pPr>
            <w:r w:rsidRPr="00463667">
              <w:rPr>
                <w:szCs w:val="20"/>
              </w:rPr>
              <w:t>For each age stratification and total</w:t>
            </w:r>
          </w:p>
        </w:tc>
      </w:tr>
      <w:tr w:rsidR="008F735B" w:rsidRPr="00463667" w14:paraId="7864013E" w14:textId="77777777" w:rsidTr="0056631A">
        <w:tc>
          <w:tcPr>
            <w:tcW w:w="4410" w:type="dxa"/>
            <w:tcBorders>
              <w:bottom w:val="single" w:sz="6" w:space="0" w:color="auto"/>
            </w:tcBorders>
            <w:shd w:val="clear" w:color="auto" w:fill="auto"/>
            <w:vAlign w:val="center"/>
          </w:tcPr>
          <w:p w14:paraId="533B2091" w14:textId="77777777" w:rsidR="008F735B" w:rsidRPr="00463667" w:rsidRDefault="008F735B" w:rsidP="0056631A">
            <w:pPr>
              <w:pStyle w:val="TableText"/>
            </w:pPr>
            <w:r w:rsidRPr="00463667">
              <w:t>Lower 95% confidence interval</w:t>
            </w:r>
          </w:p>
        </w:tc>
        <w:tc>
          <w:tcPr>
            <w:tcW w:w="3690" w:type="dxa"/>
            <w:tcBorders>
              <w:bottom w:val="single" w:sz="6" w:space="0" w:color="auto"/>
            </w:tcBorders>
            <w:shd w:val="clear" w:color="auto" w:fill="auto"/>
          </w:tcPr>
          <w:p w14:paraId="1E5D326B" w14:textId="77777777" w:rsidR="008F735B" w:rsidRPr="00463667" w:rsidRDefault="008F735B" w:rsidP="0056631A">
            <w:pPr>
              <w:pStyle w:val="TableText"/>
              <w:jc w:val="center"/>
              <w:rPr>
                <w:sz w:val="24"/>
                <w:szCs w:val="24"/>
              </w:rPr>
            </w:pPr>
            <w:r w:rsidRPr="00463667">
              <w:rPr>
                <w:szCs w:val="20"/>
              </w:rPr>
              <w:t>For each age stratification and total</w:t>
            </w:r>
          </w:p>
        </w:tc>
      </w:tr>
      <w:tr w:rsidR="008F735B" w:rsidRPr="00463667" w14:paraId="63789C00" w14:textId="77777777" w:rsidTr="0056631A">
        <w:tc>
          <w:tcPr>
            <w:tcW w:w="4410" w:type="dxa"/>
            <w:tcBorders>
              <w:bottom w:val="single" w:sz="4" w:space="0" w:color="auto"/>
            </w:tcBorders>
            <w:shd w:val="clear" w:color="auto" w:fill="D9D9D9" w:themeFill="background1" w:themeFillShade="D9"/>
            <w:vAlign w:val="center"/>
          </w:tcPr>
          <w:p w14:paraId="2F90A794" w14:textId="77777777" w:rsidR="008F735B" w:rsidRPr="00463667" w:rsidRDefault="008F735B" w:rsidP="0056631A">
            <w:pPr>
              <w:pStyle w:val="TableText"/>
            </w:pPr>
            <w:r w:rsidRPr="00463667">
              <w:t>Upper 95% confidence interval</w:t>
            </w:r>
          </w:p>
        </w:tc>
        <w:tc>
          <w:tcPr>
            <w:tcW w:w="3690" w:type="dxa"/>
            <w:tcBorders>
              <w:bottom w:val="single" w:sz="4" w:space="0" w:color="auto"/>
            </w:tcBorders>
            <w:shd w:val="clear" w:color="auto" w:fill="D9D9D9" w:themeFill="background1" w:themeFillShade="D9"/>
          </w:tcPr>
          <w:p w14:paraId="5B799C93" w14:textId="77777777" w:rsidR="008F735B" w:rsidRPr="00463667" w:rsidRDefault="008F735B" w:rsidP="0056631A">
            <w:pPr>
              <w:pStyle w:val="TableText"/>
              <w:jc w:val="center"/>
              <w:rPr>
                <w:sz w:val="24"/>
                <w:szCs w:val="24"/>
              </w:rPr>
            </w:pPr>
            <w:r w:rsidRPr="00463667">
              <w:rPr>
                <w:szCs w:val="20"/>
              </w:rPr>
              <w:t>For each age stratification and total</w:t>
            </w:r>
          </w:p>
        </w:tc>
      </w:tr>
    </w:tbl>
    <w:p w14:paraId="25059BB8" w14:textId="77777777" w:rsidR="008F735B" w:rsidRPr="00463667" w:rsidRDefault="008F735B" w:rsidP="008F735B">
      <w:pPr>
        <w:pStyle w:val="Body"/>
        <w:sectPr w:rsidR="008F735B" w:rsidRPr="00463667" w:rsidSect="00F578E0">
          <w:pgSz w:w="12240" w:h="15840" w:code="1"/>
          <w:pgMar w:top="1080" w:right="1080" w:bottom="1080" w:left="1440" w:header="720" w:footer="720" w:gutter="0"/>
          <w:cols w:space="720"/>
          <w:docGrid w:linePitch="360"/>
        </w:sectPr>
      </w:pPr>
    </w:p>
    <w:p w14:paraId="6333B503" w14:textId="77777777" w:rsidR="008F735B" w:rsidRPr="00463667" w:rsidRDefault="008F735B" w:rsidP="008F735B">
      <w:pPr>
        <w:pStyle w:val="Body"/>
      </w:pPr>
    </w:p>
    <w:p w14:paraId="51B425C1" w14:textId="77777777" w:rsidR="008F735B" w:rsidRPr="00463667" w:rsidRDefault="008F735B" w:rsidP="008F735B">
      <w:pPr>
        <w:sectPr w:rsidR="008F735B" w:rsidRPr="00463667" w:rsidSect="00F578E0">
          <w:headerReference w:type="even" r:id="rId55"/>
          <w:pgSz w:w="12240" w:h="15840" w:code="1"/>
          <w:pgMar w:top="1080" w:right="1080" w:bottom="1080" w:left="1440" w:header="720" w:footer="720" w:gutter="0"/>
          <w:cols w:space="720"/>
          <w:docGrid w:linePitch="360"/>
        </w:sectPr>
      </w:pPr>
    </w:p>
    <w:p w14:paraId="07194C03" w14:textId="77777777" w:rsidR="008F735B" w:rsidRPr="00463667" w:rsidRDefault="008F735B" w:rsidP="008F735B">
      <w:pPr>
        <w:jc w:val="right"/>
        <w:rPr>
          <w:rFonts w:eastAsia="Calibri"/>
          <w:b/>
          <w:sz w:val="48"/>
        </w:rPr>
      </w:pPr>
    </w:p>
    <w:p w14:paraId="7085BBF8" w14:textId="77777777" w:rsidR="008F735B" w:rsidRPr="00463667" w:rsidRDefault="008F735B" w:rsidP="008F735B">
      <w:pPr>
        <w:jc w:val="right"/>
        <w:rPr>
          <w:rFonts w:eastAsia="Calibri"/>
          <w:b/>
          <w:sz w:val="48"/>
        </w:rPr>
      </w:pPr>
    </w:p>
    <w:p w14:paraId="558911BA" w14:textId="77777777" w:rsidR="008F735B" w:rsidRPr="00463667" w:rsidRDefault="008F735B" w:rsidP="008F735B">
      <w:pPr>
        <w:jc w:val="right"/>
        <w:rPr>
          <w:rFonts w:eastAsia="Calibri"/>
          <w:b/>
          <w:sz w:val="48"/>
        </w:rPr>
      </w:pPr>
    </w:p>
    <w:p w14:paraId="0679F77F" w14:textId="77777777" w:rsidR="008F735B" w:rsidRPr="00463667" w:rsidRDefault="008F735B" w:rsidP="008F735B">
      <w:pPr>
        <w:jc w:val="right"/>
        <w:rPr>
          <w:rFonts w:eastAsia="Calibri"/>
          <w:b/>
          <w:sz w:val="48"/>
        </w:rPr>
      </w:pPr>
    </w:p>
    <w:p w14:paraId="10187E55" w14:textId="77777777" w:rsidR="008F735B" w:rsidRPr="00463667" w:rsidRDefault="008F735B" w:rsidP="008F735B">
      <w:pPr>
        <w:jc w:val="right"/>
        <w:rPr>
          <w:rFonts w:eastAsia="Calibri"/>
          <w:b/>
          <w:sz w:val="48"/>
        </w:rPr>
      </w:pPr>
    </w:p>
    <w:p w14:paraId="16B34964" w14:textId="77777777" w:rsidR="008F735B" w:rsidRPr="00463667" w:rsidRDefault="008F735B" w:rsidP="008F735B">
      <w:pPr>
        <w:jc w:val="right"/>
        <w:rPr>
          <w:rFonts w:eastAsia="Calibri"/>
          <w:b/>
          <w:sz w:val="48"/>
        </w:rPr>
      </w:pPr>
      <w:r w:rsidRPr="00463667">
        <w:rPr>
          <w:rFonts w:eastAsia="Calibri"/>
          <w:b/>
          <w:sz w:val="48"/>
        </w:rPr>
        <w:t>Experience of Care</w:t>
      </w:r>
    </w:p>
    <w:p w14:paraId="771331E1" w14:textId="77777777" w:rsidR="008F735B" w:rsidRPr="00463667" w:rsidRDefault="008F735B" w:rsidP="008F735B">
      <w:pPr>
        <w:jc w:val="right"/>
        <w:rPr>
          <w:rFonts w:eastAsia="Calibri"/>
          <w:b/>
          <w:sz w:val="48"/>
        </w:rPr>
      </w:pPr>
    </w:p>
    <w:p w14:paraId="366D798D" w14:textId="77777777" w:rsidR="008F735B" w:rsidRPr="00463667" w:rsidRDefault="008F735B" w:rsidP="008F735B">
      <w:pPr>
        <w:jc w:val="right"/>
        <w:rPr>
          <w:rFonts w:eastAsia="Calibri"/>
          <w:b/>
          <w:sz w:val="48"/>
        </w:rPr>
      </w:pPr>
    </w:p>
    <w:p w14:paraId="20DCF6F5" w14:textId="77777777" w:rsidR="008F735B" w:rsidRPr="00463667" w:rsidRDefault="008F735B" w:rsidP="008F735B">
      <w:pPr>
        <w:jc w:val="right"/>
        <w:rPr>
          <w:rFonts w:eastAsia="Calibri"/>
          <w:b/>
          <w:sz w:val="48"/>
        </w:rPr>
        <w:sectPr w:rsidR="008F735B" w:rsidRPr="00463667" w:rsidSect="00F578E0">
          <w:headerReference w:type="default" r:id="rId56"/>
          <w:footerReference w:type="even" r:id="rId57"/>
          <w:footerReference w:type="default" r:id="rId58"/>
          <w:headerReference w:type="first" r:id="rId59"/>
          <w:footerReference w:type="first" r:id="rId60"/>
          <w:pgSz w:w="12240" w:h="15840" w:code="1"/>
          <w:pgMar w:top="1080" w:right="1080" w:bottom="1080" w:left="1440" w:header="720" w:footer="720" w:gutter="0"/>
          <w:cols w:space="720"/>
        </w:sectPr>
      </w:pPr>
    </w:p>
    <w:p w14:paraId="27500AAD" w14:textId="1E9D0008" w:rsidR="00081D64" w:rsidRPr="00463667" w:rsidRDefault="00081D64" w:rsidP="009E2937">
      <w:pPr>
        <w:pStyle w:val="SectionHead"/>
        <w:spacing w:after="120"/>
        <w:rPr>
          <w:rFonts w:eastAsia="Calibri"/>
        </w:rPr>
      </w:pPr>
      <w:bookmarkStart w:id="10" w:name="_Toc400546168"/>
      <w:r w:rsidRPr="00092178">
        <w:rPr>
          <w:rFonts w:eastAsia="Calibri"/>
        </w:rPr>
        <w:lastRenderedPageBreak/>
        <w:t>Experience of Care</w:t>
      </w:r>
      <w:bookmarkEnd w:id="10"/>
    </w:p>
    <w:p w14:paraId="57FADB96" w14:textId="0C2263C9" w:rsidR="008F735B" w:rsidRPr="00463667" w:rsidRDefault="008F735B" w:rsidP="008F735B">
      <w:pPr>
        <w:pStyle w:val="Heading2"/>
        <w:rPr>
          <w:rFonts w:eastAsia="Calibri"/>
        </w:rPr>
      </w:pPr>
      <w:bookmarkStart w:id="11" w:name="_Toc400546169"/>
      <w:r w:rsidRPr="00092178">
        <w:rPr>
          <w:rFonts w:eastAsia="Calibri"/>
        </w:rPr>
        <w:t>CAHPS Health Plan Survey 5.0H, Adult Version (CPA)</w:t>
      </w:r>
      <w:bookmarkEnd w:id="11"/>
    </w:p>
    <w:p w14:paraId="4DC6E760" w14:textId="36C9F148" w:rsidR="008F735B" w:rsidRPr="00463667" w:rsidRDefault="008F735B" w:rsidP="00081D64">
      <w:pPr>
        <w:pStyle w:val="SOC"/>
        <w:rPr>
          <w:i/>
        </w:rPr>
      </w:pPr>
      <w:r w:rsidRPr="00463667">
        <w:t xml:space="preserve">Summary of Changes to HEDIS </w:t>
      </w:r>
      <w:r w:rsidR="00A47F13">
        <w:t>2016</w:t>
      </w:r>
    </w:p>
    <w:p w14:paraId="62A73E91" w14:textId="0E6C9E3C" w:rsidR="008F735B" w:rsidRPr="00463667" w:rsidRDefault="008F735B" w:rsidP="008F735B">
      <w:pPr>
        <w:pStyle w:val="ProcessBullet"/>
      </w:pPr>
      <w:r w:rsidRPr="00463667">
        <w:t xml:space="preserve">This measure is collected using survey methodology. Detailed specifications and summary of changes are contained in </w:t>
      </w:r>
      <w:r w:rsidRPr="00463667">
        <w:rPr>
          <w:i/>
        </w:rPr>
        <w:t xml:space="preserve">HEDIS </w:t>
      </w:r>
      <w:r w:rsidR="00A47F13">
        <w:rPr>
          <w:i/>
        </w:rPr>
        <w:t>2016</w:t>
      </w:r>
      <w:r w:rsidRPr="00463667">
        <w:rPr>
          <w:i/>
        </w:rPr>
        <w:t>, Volume 3: Specifications for Survey Measures</w:t>
      </w:r>
      <w:r w:rsidRPr="00463667">
        <w:t>.</w:t>
      </w:r>
    </w:p>
    <w:p w14:paraId="451821B5" w14:textId="77777777" w:rsidR="008F735B" w:rsidRPr="00463667" w:rsidRDefault="008F735B" w:rsidP="00081D64">
      <w:pPr>
        <w:pStyle w:val="ReverseHead"/>
      </w:pPr>
      <w:r w:rsidRPr="00463667">
        <w:t>Description</w:t>
      </w:r>
    </w:p>
    <w:p w14:paraId="49D1FF36" w14:textId="77777777" w:rsidR="008F735B" w:rsidRPr="00463667" w:rsidRDefault="008F735B" w:rsidP="008F735B">
      <w:pPr>
        <w:pStyle w:val="Body"/>
      </w:pPr>
      <w:r w:rsidRPr="00463667">
        <w:t>This measure provides information on the experiences of commercial and Medicaid members with the organization and gives a general indication of how well the organization meets members’ expectations. Results summarize member experiences through ratings, composites and question summary rates.</w:t>
      </w:r>
    </w:p>
    <w:p w14:paraId="18388805" w14:textId="77777777" w:rsidR="008F735B" w:rsidRPr="00463667" w:rsidRDefault="008F735B" w:rsidP="008F735B">
      <w:pPr>
        <w:pStyle w:val="Body"/>
      </w:pPr>
      <w:r w:rsidRPr="00463667">
        <w:t>Four global rating questions reflect overall satisfaction:</w:t>
      </w:r>
    </w:p>
    <w:p w14:paraId="4BC6F3A5" w14:textId="77777777" w:rsidR="008F735B" w:rsidRPr="00463667" w:rsidRDefault="008F735B" w:rsidP="008F735B">
      <w:pPr>
        <w:pStyle w:val="Body"/>
        <w:numPr>
          <w:ilvl w:val="0"/>
          <w:numId w:val="24"/>
        </w:numPr>
        <w:spacing w:before="120"/>
        <w:ind w:left="648" w:hanging="288"/>
      </w:pPr>
      <w:r w:rsidRPr="00463667">
        <w:t>Rating of All Health Care.</w:t>
      </w:r>
    </w:p>
    <w:p w14:paraId="2A7DD3E3" w14:textId="77777777" w:rsidR="008F735B" w:rsidRPr="00463667" w:rsidRDefault="008F735B" w:rsidP="008F735B">
      <w:pPr>
        <w:pStyle w:val="Body"/>
        <w:numPr>
          <w:ilvl w:val="0"/>
          <w:numId w:val="24"/>
        </w:numPr>
        <w:spacing w:before="120"/>
        <w:ind w:left="648" w:hanging="288"/>
      </w:pPr>
      <w:r w:rsidRPr="00463667">
        <w:t>Rating of Health Plan.</w:t>
      </w:r>
    </w:p>
    <w:p w14:paraId="3836883A" w14:textId="77777777" w:rsidR="008F735B" w:rsidRPr="00463667" w:rsidRDefault="008F735B" w:rsidP="008F735B">
      <w:pPr>
        <w:pStyle w:val="Body"/>
        <w:numPr>
          <w:ilvl w:val="0"/>
          <w:numId w:val="24"/>
        </w:numPr>
        <w:spacing w:before="120"/>
        <w:ind w:left="648" w:hanging="288"/>
      </w:pPr>
      <w:r w:rsidRPr="00463667">
        <w:t>Rating of Personal Doctor.</w:t>
      </w:r>
    </w:p>
    <w:p w14:paraId="1F14EDF7" w14:textId="77777777" w:rsidR="008F735B" w:rsidRPr="00463667" w:rsidRDefault="008F735B" w:rsidP="008F735B">
      <w:pPr>
        <w:pStyle w:val="Body"/>
        <w:numPr>
          <w:ilvl w:val="0"/>
          <w:numId w:val="24"/>
        </w:numPr>
        <w:spacing w:before="120"/>
        <w:ind w:left="648" w:hanging="288"/>
      </w:pPr>
      <w:r w:rsidRPr="00463667">
        <w:t>Rating of Specialist Seen Most Often.</w:t>
      </w:r>
    </w:p>
    <w:p w14:paraId="00F9EEDB" w14:textId="77777777" w:rsidR="008F735B" w:rsidRPr="00463667" w:rsidRDefault="008F735B" w:rsidP="008F735B">
      <w:pPr>
        <w:pStyle w:val="Body"/>
      </w:pPr>
      <w:r w:rsidRPr="00463667">
        <w:t>Seven composite scores summarize responses in key areas:</w:t>
      </w:r>
    </w:p>
    <w:p w14:paraId="0F4CFE09" w14:textId="77777777" w:rsidR="008F735B" w:rsidRPr="00463667" w:rsidRDefault="008F735B" w:rsidP="008F735B">
      <w:pPr>
        <w:pStyle w:val="Body"/>
        <w:numPr>
          <w:ilvl w:val="0"/>
          <w:numId w:val="25"/>
        </w:numPr>
        <w:spacing w:before="120"/>
        <w:ind w:left="648" w:hanging="288"/>
      </w:pPr>
      <w:r w:rsidRPr="00463667">
        <w:t>Claims Processing (commercial only).</w:t>
      </w:r>
    </w:p>
    <w:p w14:paraId="17BA54C6" w14:textId="77777777" w:rsidR="008F735B" w:rsidRPr="00463667" w:rsidRDefault="008F735B" w:rsidP="008F735B">
      <w:pPr>
        <w:pStyle w:val="Body"/>
        <w:numPr>
          <w:ilvl w:val="0"/>
          <w:numId w:val="25"/>
        </w:numPr>
        <w:spacing w:before="120"/>
        <w:ind w:left="648" w:hanging="288"/>
      </w:pPr>
      <w:r w:rsidRPr="00463667">
        <w:t>Customer Service.</w:t>
      </w:r>
    </w:p>
    <w:p w14:paraId="6252E311" w14:textId="77777777" w:rsidR="008F735B" w:rsidRPr="00463667" w:rsidRDefault="008F735B" w:rsidP="008F735B">
      <w:pPr>
        <w:pStyle w:val="Body"/>
        <w:numPr>
          <w:ilvl w:val="0"/>
          <w:numId w:val="25"/>
        </w:numPr>
        <w:spacing w:before="120"/>
        <w:ind w:left="648" w:hanging="288"/>
      </w:pPr>
      <w:r w:rsidRPr="00463667">
        <w:t>Getting Care Quickly.</w:t>
      </w:r>
    </w:p>
    <w:p w14:paraId="20DDEF0A" w14:textId="77777777" w:rsidR="008F735B" w:rsidRPr="00463667" w:rsidRDefault="008F735B" w:rsidP="008F735B">
      <w:pPr>
        <w:pStyle w:val="Body"/>
        <w:numPr>
          <w:ilvl w:val="0"/>
          <w:numId w:val="25"/>
        </w:numPr>
        <w:spacing w:before="120"/>
        <w:ind w:left="648" w:hanging="288"/>
      </w:pPr>
      <w:r w:rsidRPr="00463667">
        <w:t>Getting Needed Care.</w:t>
      </w:r>
    </w:p>
    <w:p w14:paraId="7D2804FB" w14:textId="77777777" w:rsidR="008F735B" w:rsidRPr="00463667" w:rsidRDefault="008F735B" w:rsidP="008F735B">
      <w:pPr>
        <w:pStyle w:val="Body"/>
        <w:numPr>
          <w:ilvl w:val="0"/>
          <w:numId w:val="25"/>
        </w:numPr>
        <w:spacing w:before="120"/>
        <w:ind w:left="648" w:hanging="288"/>
      </w:pPr>
      <w:r w:rsidRPr="00463667">
        <w:t>How Well Doctors Communicate.</w:t>
      </w:r>
    </w:p>
    <w:p w14:paraId="035413CA" w14:textId="77777777" w:rsidR="008F735B" w:rsidRPr="00463667" w:rsidRDefault="008F735B" w:rsidP="008F735B">
      <w:pPr>
        <w:pStyle w:val="Body"/>
        <w:numPr>
          <w:ilvl w:val="0"/>
          <w:numId w:val="25"/>
        </w:numPr>
        <w:spacing w:before="120"/>
        <w:ind w:left="648" w:hanging="288"/>
      </w:pPr>
      <w:r w:rsidRPr="00463667">
        <w:t>Shared Decision Making.</w:t>
      </w:r>
    </w:p>
    <w:p w14:paraId="4B87D093" w14:textId="77777777" w:rsidR="008F735B" w:rsidRPr="00463667" w:rsidRDefault="008F735B" w:rsidP="008F735B">
      <w:pPr>
        <w:pStyle w:val="Body"/>
        <w:numPr>
          <w:ilvl w:val="0"/>
          <w:numId w:val="25"/>
        </w:numPr>
        <w:spacing w:before="120"/>
        <w:ind w:left="648" w:hanging="288"/>
      </w:pPr>
      <w:r w:rsidRPr="00463667">
        <w:t>Plan Information on Costs (commercial only).</w:t>
      </w:r>
    </w:p>
    <w:p w14:paraId="345966FB" w14:textId="77777777" w:rsidR="008F735B" w:rsidRPr="00463667" w:rsidRDefault="008F735B" w:rsidP="008F735B">
      <w:pPr>
        <w:pStyle w:val="Body"/>
      </w:pPr>
      <w:r w:rsidRPr="00463667">
        <w:t>Item-specific question summary rates are reported for the rating questions and each composite question. Question Summary Rates are also reported individually for two items summarizing the following concepts:</w:t>
      </w:r>
    </w:p>
    <w:p w14:paraId="64D071EA" w14:textId="77777777" w:rsidR="008F735B" w:rsidRPr="00463667" w:rsidRDefault="008F735B" w:rsidP="008F735B">
      <w:pPr>
        <w:pStyle w:val="Body"/>
        <w:numPr>
          <w:ilvl w:val="0"/>
          <w:numId w:val="26"/>
        </w:numPr>
        <w:spacing w:before="120"/>
        <w:ind w:left="648" w:hanging="288"/>
      </w:pPr>
      <w:r w:rsidRPr="00463667">
        <w:t>Health Promotion and Education.</w:t>
      </w:r>
    </w:p>
    <w:p w14:paraId="2BAF09D5" w14:textId="77777777" w:rsidR="008F735B" w:rsidRPr="00463667" w:rsidRDefault="008F735B" w:rsidP="008F735B">
      <w:pPr>
        <w:pStyle w:val="Body"/>
        <w:numPr>
          <w:ilvl w:val="0"/>
          <w:numId w:val="26"/>
        </w:numPr>
        <w:spacing w:before="120"/>
        <w:ind w:left="648" w:hanging="288"/>
      </w:pPr>
      <w:r w:rsidRPr="00463667">
        <w:t>Coordination of Care.</w:t>
      </w:r>
    </w:p>
    <w:p w14:paraId="7518F276" w14:textId="77777777" w:rsidR="008F735B" w:rsidRPr="00463667" w:rsidRDefault="008F735B" w:rsidP="008F735B">
      <w:pPr>
        <w:pStyle w:val="Note"/>
      </w:pPr>
      <w:r w:rsidRPr="00463667">
        <w:rPr>
          <w:b/>
        </w:rPr>
        <w:t xml:space="preserve">Note: </w:t>
      </w:r>
      <w:r w:rsidRPr="00463667">
        <w:t xml:space="preserve">Medicare member experience with the organization is assessed through the Medicare CAHPS survey. This measure is administered by the Centers for Medicare &amp; Medicaid Services (CMS) on behalf of Medicare Advantage (MA) plans. </w:t>
      </w:r>
    </w:p>
    <w:p w14:paraId="591AA103" w14:textId="77777777" w:rsidR="008F735B" w:rsidRPr="00463667" w:rsidRDefault="008F735B" w:rsidP="008F735B">
      <w:pPr>
        <w:spacing w:before="180"/>
      </w:pPr>
    </w:p>
    <w:p w14:paraId="6D9FCB93" w14:textId="77777777" w:rsidR="008F735B" w:rsidRPr="00463667" w:rsidRDefault="008F735B" w:rsidP="008F735B">
      <w:pPr>
        <w:spacing w:before="180"/>
      </w:pPr>
    </w:p>
    <w:p w14:paraId="2651BE4A" w14:textId="77777777" w:rsidR="008F735B" w:rsidRPr="00463667" w:rsidRDefault="008F735B" w:rsidP="008F735B">
      <w:pPr>
        <w:spacing w:before="180"/>
        <w:sectPr w:rsidR="008F735B" w:rsidRPr="00463667" w:rsidSect="00F578E0">
          <w:headerReference w:type="even" r:id="rId61"/>
          <w:headerReference w:type="default" r:id="rId62"/>
          <w:footerReference w:type="default" r:id="rId63"/>
          <w:headerReference w:type="first" r:id="rId64"/>
          <w:footerReference w:type="first" r:id="rId65"/>
          <w:pgSz w:w="12240" w:h="15840" w:code="1"/>
          <w:pgMar w:top="1080" w:right="1080" w:bottom="1080" w:left="1440" w:header="720" w:footer="720" w:gutter="0"/>
          <w:cols w:space="720"/>
        </w:sectPr>
      </w:pPr>
    </w:p>
    <w:p w14:paraId="28FDE856" w14:textId="094C9E2C" w:rsidR="008F735B" w:rsidRPr="00463667" w:rsidRDefault="008F735B" w:rsidP="008F735B">
      <w:pPr>
        <w:pStyle w:val="Heading2"/>
        <w:rPr>
          <w:rFonts w:eastAsia="Calibri"/>
        </w:rPr>
      </w:pPr>
      <w:bookmarkStart w:id="12" w:name="_Toc400546170"/>
      <w:r w:rsidRPr="00092178">
        <w:rPr>
          <w:rFonts w:eastAsia="Calibri"/>
        </w:rPr>
        <w:lastRenderedPageBreak/>
        <w:t>CAHPS Health Plan Survey 5.0H, Child Version (CPC)</w:t>
      </w:r>
      <w:bookmarkEnd w:id="12"/>
    </w:p>
    <w:p w14:paraId="2FC701B6" w14:textId="2FD3607B" w:rsidR="008F735B" w:rsidRPr="00463667" w:rsidRDefault="008F735B" w:rsidP="00081D64">
      <w:pPr>
        <w:pStyle w:val="SOC"/>
        <w:rPr>
          <w:i/>
        </w:rPr>
      </w:pPr>
      <w:r w:rsidRPr="00463667">
        <w:t xml:space="preserve">Summary of Changes to HEDIS </w:t>
      </w:r>
      <w:r w:rsidR="00A47F13">
        <w:t>2016</w:t>
      </w:r>
    </w:p>
    <w:p w14:paraId="00996E20" w14:textId="54779D7C" w:rsidR="008F735B" w:rsidRPr="00463667" w:rsidRDefault="008F735B" w:rsidP="008F735B">
      <w:pPr>
        <w:pStyle w:val="ProcessBullet"/>
        <w:rPr>
          <w:i/>
        </w:rPr>
      </w:pPr>
      <w:r w:rsidRPr="00463667">
        <w:t xml:space="preserve">This measure is collected using survey methodology. Detailed specifications and summary of changes are contained in </w:t>
      </w:r>
      <w:r w:rsidRPr="00463667">
        <w:rPr>
          <w:i/>
        </w:rPr>
        <w:t xml:space="preserve">HEDIS </w:t>
      </w:r>
      <w:r w:rsidR="00A47F13">
        <w:rPr>
          <w:i/>
        </w:rPr>
        <w:t>2016</w:t>
      </w:r>
      <w:r w:rsidRPr="00463667">
        <w:rPr>
          <w:i/>
        </w:rPr>
        <w:t>, Volume 3: Specifications for Survey Measures.</w:t>
      </w:r>
    </w:p>
    <w:p w14:paraId="19226E49" w14:textId="77777777" w:rsidR="008F735B" w:rsidRPr="00463667" w:rsidRDefault="008F735B" w:rsidP="00081D64">
      <w:pPr>
        <w:pStyle w:val="ReverseHead"/>
      </w:pPr>
      <w:r w:rsidRPr="00463667">
        <w:t>Description</w:t>
      </w:r>
    </w:p>
    <w:p w14:paraId="58EDA3E3" w14:textId="77777777" w:rsidR="008F735B" w:rsidRPr="00463667" w:rsidRDefault="008F735B" w:rsidP="008F735B">
      <w:pPr>
        <w:pStyle w:val="Body"/>
      </w:pPr>
      <w:r w:rsidRPr="00463667">
        <w:t>This measure provides information on parents’ experience with their child’s commercial or Medicaid organization. Results summarize member experiences through ratings, composites and individual question summary rates.</w:t>
      </w:r>
    </w:p>
    <w:p w14:paraId="2FB517BE" w14:textId="77777777" w:rsidR="008F735B" w:rsidRPr="00463667" w:rsidRDefault="008F735B" w:rsidP="008F735B">
      <w:pPr>
        <w:pStyle w:val="Body"/>
      </w:pPr>
      <w:r w:rsidRPr="00463667">
        <w:t>Four global rating questions reflect overall satisfaction:</w:t>
      </w:r>
    </w:p>
    <w:p w14:paraId="515C8EC4" w14:textId="77777777" w:rsidR="008F735B" w:rsidRPr="00463667" w:rsidRDefault="008F735B" w:rsidP="008F735B">
      <w:pPr>
        <w:pStyle w:val="Body"/>
        <w:numPr>
          <w:ilvl w:val="0"/>
          <w:numId w:val="27"/>
        </w:numPr>
        <w:spacing w:before="120"/>
        <w:ind w:left="648" w:hanging="288"/>
      </w:pPr>
      <w:r w:rsidRPr="00463667">
        <w:t>Rating of All Health Care.</w:t>
      </w:r>
    </w:p>
    <w:p w14:paraId="66DDDEA0" w14:textId="77777777" w:rsidR="008F735B" w:rsidRPr="00463667" w:rsidRDefault="008F735B" w:rsidP="008F735B">
      <w:pPr>
        <w:pStyle w:val="Body"/>
        <w:numPr>
          <w:ilvl w:val="0"/>
          <w:numId w:val="27"/>
        </w:numPr>
        <w:spacing w:before="120"/>
        <w:ind w:left="648" w:hanging="288"/>
      </w:pPr>
      <w:r w:rsidRPr="00463667">
        <w:t>Rating of Health Plan.</w:t>
      </w:r>
    </w:p>
    <w:p w14:paraId="68B28FC4" w14:textId="77777777" w:rsidR="008F735B" w:rsidRPr="00463667" w:rsidRDefault="008F735B" w:rsidP="008F735B">
      <w:pPr>
        <w:pStyle w:val="Body"/>
        <w:numPr>
          <w:ilvl w:val="0"/>
          <w:numId w:val="27"/>
        </w:numPr>
        <w:spacing w:before="120"/>
        <w:ind w:left="648" w:hanging="288"/>
      </w:pPr>
      <w:r w:rsidRPr="00463667">
        <w:t>Rating of Personal Doctor.</w:t>
      </w:r>
    </w:p>
    <w:p w14:paraId="254244C5" w14:textId="77777777" w:rsidR="008F735B" w:rsidRPr="00463667" w:rsidRDefault="008F735B" w:rsidP="008F735B">
      <w:pPr>
        <w:pStyle w:val="Body"/>
        <w:numPr>
          <w:ilvl w:val="0"/>
          <w:numId w:val="27"/>
        </w:numPr>
        <w:spacing w:before="120"/>
        <w:ind w:left="648" w:hanging="288"/>
      </w:pPr>
      <w:r w:rsidRPr="00463667">
        <w:t>Rating of Specialist Seen Most Often.</w:t>
      </w:r>
    </w:p>
    <w:p w14:paraId="7A5508FD" w14:textId="77777777" w:rsidR="008F735B" w:rsidRPr="00463667" w:rsidRDefault="008F735B" w:rsidP="008F735B">
      <w:pPr>
        <w:pStyle w:val="Body"/>
      </w:pPr>
      <w:r w:rsidRPr="00463667">
        <w:t>Five composite scores summarize responses in key areas:</w:t>
      </w:r>
    </w:p>
    <w:p w14:paraId="2B46C06E" w14:textId="77777777" w:rsidR="008F735B" w:rsidRPr="00463667" w:rsidRDefault="008F735B" w:rsidP="008F735B">
      <w:pPr>
        <w:pStyle w:val="Body"/>
        <w:numPr>
          <w:ilvl w:val="0"/>
          <w:numId w:val="28"/>
        </w:numPr>
        <w:spacing w:before="120"/>
        <w:ind w:left="648" w:hanging="288"/>
      </w:pPr>
      <w:r w:rsidRPr="00463667">
        <w:t>Customer Service.</w:t>
      </w:r>
    </w:p>
    <w:p w14:paraId="545112CD" w14:textId="77777777" w:rsidR="008F735B" w:rsidRPr="00463667" w:rsidRDefault="008F735B" w:rsidP="008F735B">
      <w:pPr>
        <w:pStyle w:val="Body"/>
        <w:numPr>
          <w:ilvl w:val="0"/>
          <w:numId w:val="28"/>
        </w:numPr>
        <w:spacing w:before="120"/>
        <w:ind w:left="648" w:hanging="288"/>
      </w:pPr>
      <w:r w:rsidRPr="00463667">
        <w:t>Getting Care Quickly.</w:t>
      </w:r>
    </w:p>
    <w:p w14:paraId="454B3051" w14:textId="77777777" w:rsidR="008F735B" w:rsidRPr="00463667" w:rsidRDefault="008F735B" w:rsidP="008F735B">
      <w:pPr>
        <w:pStyle w:val="Body"/>
        <w:numPr>
          <w:ilvl w:val="0"/>
          <w:numId w:val="28"/>
        </w:numPr>
        <w:spacing w:before="120"/>
        <w:ind w:left="648" w:hanging="288"/>
      </w:pPr>
      <w:r w:rsidRPr="00463667">
        <w:t>Getting Needed Care.</w:t>
      </w:r>
    </w:p>
    <w:p w14:paraId="70897834" w14:textId="77777777" w:rsidR="008F735B" w:rsidRPr="00463667" w:rsidRDefault="008F735B" w:rsidP="008F735B">
      <w:pPr>
        <w:pStyle w:val="Body"/>
        <w:numPr>
          <w:ilvl w:val="0"/>
          <w:numId w:val="28"/>
        </w:numPr>
        <w:spacing w:before="120"/>
        <w:ind w:left="648" w:hanging="288"/>
      </w:pPr>
      <w:r w:rsidRPr="00463667">
        <w:t>How Well Doctors Communicate.</w:t>
      </w:r>
    </w:p>
    <w:p w14:paraId="64D5487E" w14:textId="77777777" w:rsidR="008F735B" w:rsidRPr="00463667" w:rsidRDefault="008F735B" w:rsidP="008F735B">
      <w:pPr>
        <w:pStyle w:val="Body"/>
        <w:numPr>
          <w:ilvl w:val="0"/>
          <w:numId w:val="28"/>
        </w:numPr>
        <w:spacing w:before="120"/>
        <w:ind w:left="648" w:hanging="288"/>
      </w:pPr>
      <w:r w:rsidRPr="00463667">
        <w:t>Shared Decision Making.</w:t>
      </w:r>
    </w:p>
    <w:p w14:paraId="654AEF4D" w14:textId="77777777" w:rsidR="008F735B" w:rsidRPr="00463667" w:rsidRDefault="008F735B" w:rsidP="008F735B">
      <w:pPr>
        <w:pStyle w:val="Body"/>
      </w:pPr>
      <w:r w:rsidRPr="00463667">
        <w:t>Item-specific question summary rates are reported for the rating questions and each composite question. Question Summary Rates are also reported individually for two items summarizing the following concepts:</w:t>
      </w:r>
    </w:p>
    <w:p w14:paraId="06CB3B89" w14:textId="77777777" w:rsidR="008F735B" w:rsidRPr="00463667" w:rsidRDefault="008F735B" w:rsidP="008F735B">
      <w:pPr>
        <w:pStyle w:val="Body"/>
        <w:numPr>
          <w:ilvl w:val="0"/>
          <w:numId w:val="29"/>
        </w:numPr>
        <w:spacing w:before="120"/>
        <w:ind w:left="648" w:hanging="288"/>
      </w:pPr>
      <w:r w:rsidRPr="00463667">
        <w:t>Health Promotion and Education.</w:t>
      </w:r>
    </w:p>
    <w:p w14:paraId="3DB7B316" w14:textId="77777777" w:rsidR="008F735B" w:rsidRPr="00463667" w:rsidRDefault="008F735B" w:rsidP="008F735B">
      <w:pPr>
        <w:pStyle w:val="Body"/>
        <w:numPr>
          <w:ilvl w:val="0"/>
          <w:numId w:val="29"/>
        </w:numPr>
        <w:spacing w:before="120"/>
        <w:ind w:left="648" w:hanging="288"/>
      </w:pPr>
      <w:r w:rsidRPr="00463667">
        <w:t>Coordination of Care.</w:t>
      </w:r>
    </w:p>
    <w:p w14:paraId="4B5E354C" w14:textId="77777777" w:rsidR="008F735B" w:rsidRPr="00463667" w:rsidRDefault="008F735B" w:rsidP="008F735B">
      <w:pPr>
        <w:spacing w:before="180"/>
        <w:rPr>
          <w:rFonts w:eastAsia="Calibri" w:cs="Arial"/>
          <w:i/>
          <w:szCs w:val="20"/>
        </w:rPr>
      </w:pPr>
    </w:p>
    <w:p w14:paraId="782F8A6F" w14:textId="77777777" w:rsidR="008F735B" w:rsidRPr="00463667" w:rsidRDefault="008F735B" w:rsidP="008F735B">
      <w:pPr>
        <w:spacing w:before="180"/>
        <w:rPr>
          <w:rFonts w:eastAsia="Calibri" w:cs="Arial"/>
          <w:szCs w:val="20"/>
        </w:rPr>
      </w:pPr>
    </w:p>
    <w:p w14:paraId="52DEBEC2" w14:textId="77777777" w:rsidR="008F735B" w:rsidRPr="00463667" w:rsidRDefault="008F735B" w:rsidP="008F735B">
      <w:pPr>
        <w:spacing w:before="180"/>
        <w:rPr>
          <w:rFonts w:eastAsia="Calibri" w:cs="Arial"/>
          <w:szCs w:val="20"/>
        </w:rPr>
        <w:sectPr w:rsidR="008F735B" w:rsidRPr="00463667" w:rsidSect="00F578E0">
          <w:headerReference w:type="even" r:id="rId66"/>
          <w:headerReference w:type="default" r:id="rId67"/>
          <w:headerReference w:type="first" r:id="rId68"/>
          <w:footerReference w:type="first" r:id="rId69"/>
          <w:pgSz w:w="12240" w:h="15840" w:code="1"/>
          <w:pgMar w:top="1080" w:right="1080" w:bottom="1080" w:left="1440" w:header="720" w:footer="720" w:gutter="0"/>
          <w:cols w:space="720"/>
        </w:sectPr>
      </w:pPr>
    </w:p>
    <w:p w14:paraId="4648EAD3" w14:textId="42EBD0AC" w:rsidR="008F735B" w:rsidRPr="00463667" w:rsidRDefault="008F735B" w:rsidP="008F735B">
      <w:pPr>
        <w:pStyle w:val="Heading2"/>
        <w:rPr>
          <w:rFonts w:eastAsia="Calibri"/>
        </w:rPr>
      </w:pPr>
      <w:bookmarkStart w:id="13" w:name="_Toc400546171"/>
      <w:r w:rsidRPr="00092178">
        <w:rPr>
          <w:rFonts w:eastAsia="Calibri"/>
        </w:rPr>
        <w:lastRenderedPageBreak/>
        <w:t>Children With Chronic Conditions (CCC)</w:t>
      </w:r>
      <w:bookmarkEnd w:id="13"/>
    </w:p>
    <w:p w14:paraId="76656C07" w14:textId="3DE1CD3B" w:rsidR="008F735B" w:rsidRPr="00463667" w:rsidRDefault="008F735B" w:rsidP="00081D64">
      <w:pPr>
        <w:pStyle w:val="SOC"/>
        <w:rPr>
          <w:i/>
        </w:rPr>
      </w:pPr>
      <w:r w:rsidRPr="00463667">
        <w:t xml:space="preserve">Summary of Changes to HEDIS </w:t>
      </w:r>
      <w:r w:rsidR="00A47F13">
        <w:t>2016</w:t>
      </w:r>
    </w:p>
    <w:p w14:paraId="2BEE3E68" w14:textId="060461A5" w:rsidR="008F735B" w:rsidRPr="00463667" w:rsidRDefault="008F735B" w:rsidP="008F735B">
      <w:pPr>
        <w:pStyle w:val="ProcessBullet"/>
        <w:rPr>
          <w:i/>
        </w:rPr>
      </w:pPr>
      <w:r w:rsidRPr="00463667">
        <w:t xml:space="preserve">This measure is collected using survey methodology. Detailed specifications and summary of changes for the measure are contained in </w:t>
      </w:r>
      <w:r w:rsidRPr="00463667">
        <w:rPr>
          <w:i/>
        </w:rPr>
        <w:t xml:space="preserve">HEDIS </w:t>
      </w:r>
      <w:r w:rsidR="00A47F13">
        <w:rPr>
          <w:i/>
        </w:rPr>
        <w:t>2016</w:t>
      </w:r>
      <w:r w:rsidRPr="00463667">
        <w:rPr>
          <w:i/>
        </w:rPr>
        <w:t>, Volume 3: Specifications for Survey Measures.</w:t>
      </w:r>
    </w:p>
    <w:p w14:paraId="6DDCEAFA" w14:textId="77777777" w:rsidR="008F735B" w:rsidRPr="00463667" w:rsidRDefault="008F735B" w:rsidP="00081D64">
      <w:pPr>
        <w:pStyle w:val="ReverseHead"/>
      </w:pPr>
      <w:r w:rsidRPr="00463667">
        <w:t>Description</w:t>
      </w:r>
    </w:p>
    <w:p w14:paraId="4F2F78CC" w14:textId="77777777" w:rsidR="008F735B" w:rsidRPr="00463667" w:rsidRDefault="008F735B" w:rsidP="008F735B">
      <w:pPr>
        <w:pStyle w:val="Body"/>
      </w:pPr>
      <w:r w:rsidRPr="00463667">
        <w:t>This measure provides information on parents’ experience with their child’s commercial or Medicaid organization for the population of children with chronic conditions. Three composites summarize satisfaction with basic components of care essential for successful treatment, management and support of children with chronic conditions:</w:t>
      </w:r>
    </w:p>
    <w:p w14:paraId="6B3A0D3D" w14:textId="77777777" w:rsidR="008F735B" w:rsidRPr="00463667" w:rsidRDefault="008F735B" w:rsidP="008F735B">
      <w:pPr>
        <w:pStyle w:val="Body"/>
        <w:numPr>
          <w:ilvl w:val="0"/>
          <w:numId w:val="30"/>
        </w:numPr>
        <w:spacing w:before="120"/>
        <w:ind w:left="648" w:hanging="288"/>
      </w:pPr>
      <w:r w:rsidRPr="00463667">
        <w:t>Access to Specialized Services.</w:t>
      </w:r>
    </w:p>
    <w:p w14:paraId="2D1AC2EA" w14:textId="77777777" w:rsidR="008F735B" w:rsidRPr="00463667" w:rsidRDefault="008F735B" w:rsidP="008F735B">
      <w:pPr>
        <w:pStyle w:val="Body"/>
        <w:numPr>
          <w:ilvl w:val="0"/>
          <w:numId w:val="30"/>
        </w:numPr>
        <w:spacing w:before="120"/>
        <w:ind w:left="648" w:hanging="288"/>
      </w:pPr>
      <w:r w:rsidRPr="00463667">
        <w:t>Family Centered Care: Personal Doctor Who Knows Child.</w:t>
      </w:r>
    </w:p>
    <w:p w14:paraId="76B45842" w14:textId="77777777" w:rsidR="008F735B" w:rsidRPr="00463667" w:rsidRDefault="008F735B" w:rsidP="008F735B">
      <w:pPr>
        <w:pStyle w:val="Body"/>
        <w:numPr>
          <w:ilvl w:val="0"/>
          <w:numId w:val="30"/>
        </w:numPr>
        <w:spacing w:before="120"/>
        <w:ind w:left="648" w:hanging="288"/>
      </w:pPr>
      <w:r w:rsidRPr="00463667">
        <w:t>Coordination of Care for Children With Chronic Conditions.</w:t>
      </w:r>
    </w:p>
    <w:p w14:paraId="7FAAC03A" w14:textId="77777777" w:rsidR="008F735B" w:rsidRPr="00463667" w:rsidRDefault="008F735B" w:rsidP="008F735B">
      <w:pPr>
        <w:pStyle w:val="Body"/>
      </w:pPr>
      <w:r w:rsidRPr="00463667">
        <w:t>Item-specific question summary rates are reported for each composite question. Question summary rates are also reported individually for two items summarizing the following concepts:</w:t>
      </w:r>
    </w:p>
    <w:p w14:paraId="549D72C5" w14:textId="77777777" w:rsidR="008F735B" w:rsidRPr="00463667" w:rsidRDefault="008F735B" w:rsidP="008F735B">
      <w:pPr>
        <w:pStyle w:val="Body"/>
        <w:numPr>
          <w:ilvl w:val="0"/>
          <w:numId w:val="31"/>
        </w:numPr>
        <w:spacing w:before="120"/>
        <w:ind w:left="648" w:hanging="288"/>
      </w:pPr>
      <w:r w:rsidRPr="00463667">
        <w:t>Access to Prescription Medicines.</w:t>
      </w:r>
    </w:p>
    <w:p w14:paraId="3748D997" w14:textId="77777777" w:rsidR="008F735B" w:rsidRPr="00463667" w:rsidRDefault="008F735B" w:rsidP="008F735B">
      <w:pPr>
        <w:pStyle w:val="Body"/>
        <w:numPr>
          <w:ilvl w:val="0"/>
          <w:numId w:val="31"/>
        </w:numPr>
        <w:spacing w:before="120"/>
        <w:ind w:left="648" w:hanging="288"/>
      </w:pPr>
      <w:r w:rsidRPr="00463667">
        <w:t>Family Centered Care: Getting Needed Information.</w:t>
      </w:r>
    </w:p>
    <w:p w14:paraId="23190939" w14:textId="77777777" w:rsidR="00F578E0" w:rsidRDefault="00F578E0" w:rsidP="00F14559">
      <w:pPr>
        <w:pStyle w:val="Body"/>
        <w:widowControl w:val="0"/>
        <w:spacing w:before="0"/>
        <w:ind w:left="360" w:hanging="360"/>
        <w:rPr>
          <w:sz w:val="18"/>
          <w:szCs w:val="18"/>
        </w:rPr>
      </w:pPr>
    </w:p>
    <w:p w14:paraId="36B4582D" w14:textId="77777777" w:rsidR="00E93C4A" w:rsidRDefault="00E93C4A" w:rsidP="00F14559">
      <w:pPr>
        <w:pStyle w:val="Body"/>
        <w:widowControl w:val="0"/>
        <w:spacing w:before="0"/>
        <w:ind w:left="360" w:hanging="360"/>
        <w:rPr>
          <w:sz w:val="18"/>
          <w:szCs w:val="18"/>
        </w:rPr>
      </w:pPr>
    </w:p>
    <w:p w14:paraId="3FA7944F" w14:textId="77777777" w:rsidR="00E93C4A" w:rsidRDefault="00E93C4A" w:rsidP="00F14559">
      <w:pPr>
        <w:pStyle w:val="Body"/>
        <w:widowControl w:val="0"/>
        <w:spacing w:before="0"/>
        <w:ind w:left="360" w:hanging="360"/>
        <w:rPr>
          <w:sz w:val="18"/>
          <w:szCs w:val="18"/>
        </w:rPr>
      </w:pPr>
    </w:p>
    <w:p w14:paraId="777ED660" w14:textId="76642E71" w:rsidR="00DE38AC" w:rsidRPr="00463667" w:rsidRDefault="00DE38AC" w:rsidP="00E93C4A">
      <w:pPr>
        <w:pStyle w:val="Breakpage"/>
        <w:rPr>
          <w:sz w:val="18"/>
          <w:szCs w:val="18"/>
        </w:rPr>
      </w:pPr>
    </w:p>
    <w:sectPr w:rsidR="00DE38AC" w:rsidRPr="00463667" w:rsidSect="00E93C4A">
      <w:headerReference w:type="even" r:id="rId70"/>
      <w:type w:val="evenPage"/>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540EEE" w:rsidRDefault="00540EEE">
      <w:r>
        <w:separator/>
      </w:r>
    </w:p>
  </w:endnote>
  <w:endnote w:type="continuationSeparator" w:id="0">
    <w:p w14:paraId="478DEA20" w14:textId="77777777" w:rsidR="00540EEE" w:rsidRDefault="00540EEE">
      <w:r>
        <w:continuationSeparator/>
      </w:r>
    </w:p>
  </w:endnote>
  <w:endnote w:type="continuationNotice" w:id="1">
    <w:p w14:paraId="1762A6DB" w14:textId="77777777" w:rsidR="00540EEE" w:rsidRDefault="00540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70A4A" w14:textId="5FB5C96F" w:rsidR="00540EEE" w:rsidRDefault="00540EEE">
    <w:pPr>
      <w:pStyle w:val="Footer"/>
    </w:pPr>
    <w:r>
      <w:t xml:space="preserve">HEDIS </w:t>
    </w:r>
    <w:r>
      <w:rPr>
        <w:iCs/>
        <w:smallCaps/>
      </w:rPr>
      <w:t>2016</w:t>
    </w:r>
    <w:r>
      <w:t>, Volume 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33204" w14:textId="77777777" w:rsidR="00540EEE" w:rsidRDefault="00540EEE">
    <w:pPr>
      <w:pStyle w:val="Footer"/>
      <w:pBdr>
        <w:top w:val="none" w:sz="0" w:space="0" w:color="auto"/>
      </w:pBd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69C83" w14:textId="1C4304D7" w:rsidR="00540EEE" w:rsidRDefault="00540EEE">
    <w:pPr>
      <w:pStyle w:val="Footer"/>
      <w:jc w:val="right"/>
    </w:pPr>
    <w:r>
      <w:t xml:space="preserve">HEDIS </w:t>
    </w:r>
    <w:r>
      <w:rPr>
        <w:iCs/>
      </w:rPr>
      <w:t>2016</w:t>
    </w:r>
    <w:r>
      <w:t>, Volume 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89AE4" w14:textId="77777777" w:rsidR="00540EEE" w:rsidRDefault="00540EEE">
    <w:pPr>
      <w:pStyle w:val="Footer"/>
      <w:jc w:val="right"/>
    </w:pPr>
    <w:r>
      <w:t>HEDIS 2005, Volume 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0102" w14:textId="77777777" w:rsidR="00540EEE" w:rsidRDefault="00540EEE">
    <w:pPr>
      <w:pStyle w:val="Footer"/>
      <w:jc w:val="right"/>
    </w:pPr>
    <w:r>
      <w:t>HEDIS 2005,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5A15B" w14:textId="77777777" w:rsidR="00540EEE" w:rsidRDefault="00540EEE">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E5A6" w14:textId="77777777" w:rsidR="00540EEE" w:rsidRDefault="00540EEE">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9E9A5" w14:textId="46F28B78" w:rsidR="00540EEE" w:rsidRDefault="00540EEE">
    <w:pPr>
      <w:pStyle w:val="Footer"/>
    </w:pPr>
    <w:r>
      <w:t xml:space="preserve">HEDIS </w:t>
    </w:r>
    <w:r>
      <w:rPr>
        <w:iCs/>
        <w:smallCap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EA67" w14:textId="61DD64B1" w:rsidR="00540EEE" w:rsidRDefault="00540EEE">
    <w:pPr>
      <w:pStyle w:val="Footer"/>
      <w:jc w:val="right"/>
    </w:pPr>
    <w:r>
      <w:t xml:space="preserve">HEDIS </w:t>
    </w:r>
    <w:r>
      <w:rPr>
        <w:iCs/>
        <w:smallCaps/>
      </w:rPr>
      <w:t>2016</w:t>
    </w:r>
    <w:r>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ABFDB" w14:textId="093DF80C" w:rsidR="00540EEE" w:rsidRDefault="00540EEE">
    <w:pPr>
      <w:pStyle w:val="Footer"/>
      <w:jc w:val="right"/>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A495D" w14:textId="1300D3AD" w:rsidR="00540EEE" w:rsidRDefault="00540EEE" w:rsidP="00F578E0">
    <w:pPr>
      <w:pStyle w:val="Footer"/>
      <w:jc w:val="right"/>
    </w:pPr>
    <w:r>
      <w:t>HEDIS 2016,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264D7" w14:textId="32FC833A" w:rsidR="00540EEE" w:rsidRDefault="00540EEE">
    <w:pPr>
      <w:pStyle w:val="Footer"/>
    </w:pPr>
    <w:r>
      <w:t>HEDIS 2016,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20A8" w14:textId="77777777" w:rsidR="00540EEE" w:rsidRPr="00C64D1D" w:rsidRDefault="00540EEE" w:rsidP="00F578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540EEE" w:rsidRDefault="00540EEE">
      <w:pPr>
        <w:pStyle w:val="AnswerText"/>
        <w:ind w:left="0"/>
        <w:rPr>
          <w:rFonts w:ascii="Times New Roman" w:hAnsi="Times New Roman"/>
        </w:rPr>
      </w:pPr>
      <w:r>
        <w:separator/>
      </w:r>
    </w:p>
  </w:footnote>
  <w:footnote w:type="continuationSeparator" w:id="0">
    <w:p w14:paraId="12A45878" w14:textId="77777777" w:rsidR="00540EEE" w:rsidRDefault="00540EEE">
      <w:r>
        <w:continuationSeparator/>
      </w:r>
    </w:p>
  </w:footnote>
  <w:footnote w:type="continuationNotice" w:id="1">
    <w:p w14:paraId="22A3558D" w14:textId="77777777" w:rsidR="00540EEE" w:rsidRDefault="00540E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05086" w14:textId="77777777" w:rsidR="00540EEE" w:rsidRDefault="00540EEE">
    <w:pPr>
      <w:pStyle w:val="Header"/>
      <w:jc w:val="right"/>
    </w:pPr>
    <w:r>
      <w:t xml:space="preserve">Specific Guidelines for Access/Availability of Care Measures |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2D77B" w14:textId="77777777" w:rsidR="00540EEE" w:rsidRDefault="00540EEE">
    <w:pPr>
      <w:pStyle w:val="Header"/>
      <w:tabs>
        <w:tab w:val="left" w:pos="720"/>
      </w:tabs>
    </w:pPr>
    <w:r>
      <w:fldChar w:fldCharType="begin"/>
    </w:r>
    <w:r>
      <w:instrText xml:space="preserve"> PAGE </w:instrText>
    </w:r>
    <w:r>
      <w:fldChar w:fldCharType="separate"/>
    </w:r>
    <w:r w:rsidR="002064A9">
      <w:rPr>
        <w:noProof/>
      </w:rPr>
      <w:t>244</w:t>
    </w:r>
    <w:r>
      <w:rPr>
        <w:noProof/>
      </w:rPr>
      <w:fldChar w:fldCharType="end"/>
    </w:r>
    <w:r>
      <w:tab/>
      <w:t>Children and Adolescents’ Access to Primary Care Practitioners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7F20B" w14:textId="77777777" w:rsidR="00540EEE" w:rsidRDefault="00540EEE">
    <w:pPr>
      <w:pStyle w:val="Header"/>
    </w:pPr>
    <w:r>
      <w:tab/>
      <w:t xml:space="preserve"> Children and Adolescents’ Access to Primary Care Practitioners</w:t>
    </w:r>
    <w:r>
      <w:tab/>
      <w:t xml:space="preserve"> </w:t>
    </w:r>
    <w:r>
      <w:fldChar w:fldCharType="begin"/>
    </w:r>
    <w:r>
      <w:instrText xml:space="preserve"> PAGE </w:instrText>
    </w:r>
    <w:r>
      <w:fldChar w:fldCharType="separate"/>
    </w:r>
    <w:r w:rsidR="002064A9">
      <w:rPr>
        <w:noProof/>
      </w:rPr>
      <w:t>243</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4BCD9" w14:textId="77777777" w:rsidR="00540EEE" w:rsidRDefault="00540EEE">
    <w:pPr>
      <w:pStyle w:val="Header"/>
      <w:tabs>
        <w:tab w:val="left" w:pos="6210"/>
      </w:tabs>
    </w:pPr>
    <w:r>
      <w:tab/>
      <w:t>Prenatal and Postpartum Care</w:t>
    </w:r>
    <w:r>
      <w:tab/>
    </w:r>
    <w:r>
      <w:fldChar w:fldCharType="begin"/>
    </w:r>
    <w:r>
      <w:instrText xml:space="preserve"> PAGE </w:instrText>
    </w:r>
    <w:r>
      <w:fldChar w:fldCharType="separate"/>
    </w:r>
    <w:r>
      <w:rPr>
        <w:noProof/>
      </w:rPr>
      <w:t>159</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A7133" w14:textId="77777777" w:rsidR="00540EEE" w:rsidRDefault="00540EEE">
    <w:pPr>
      <w:pStyle w:val="Header"/>
      <w:tabs>
        <w:tab w:val="left" w:pos="720"/>
      </w:tabs>
    </w:pPr>
    <w:r>
      <w:fldChar w:fldCharType="begin"/>
    </w:r>
    <w:r>
      <w:instrText xml:space="preserve"> PAGE </w:instrText>
    </w:r>
    <w:r>
      <w:fldChar w:fldCharType="separate"/>
    </w:r>
    <w:r w:rsidR="002064A9">
      <w:rPr>
        <w:noProof/>
      </w:rPr>
      <w:t>246</w:t>
    </w:r>
    <w:r>
      <w:rPr>
        <w:noProof/>
      </w:rPr>
      <w:fldChar w:fldCharType="end"/>
    </w:r>
    <w:r>
      <w:tab/>
      <w:t>Annual Dental Visit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6DAC2" w14:textId="77777777" w:rsidR="00540EEE" w:rsidRDefault="00540EEE">
    <w:pPr>
      <w:pStyle w:val="Header"/>
    </w:pPr>
    <w:r>
      <w:tab/>
      <w:t>Annual Dental Visit</w:t>
    </w:r>
    <w:r>
      <w:tab/>
      <w:t xml:space="preserve"> </w:t>
    </w:r>
    <w:r>
      <w:fldChar w:fldCharType="begin"/>
    </w:r>
    <w:r>
      <w:instrText xml:space="preserve"> PAGE </w:instrText>
    </w:r>
    <w:r>
      <w:fldChar w:fldCharType="separate"/>
    </w:r>
    <w:r w:rsidR="002064A9">
      <w:rPr>
        <w:noProof/>
      </w:rPr>
      <w:t>245</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D10D8" w14:textId="77777777" w:rsidR="00540EEE" w:rsidRDefault="00540EEE">
    <w:pPr>
      <w:pStyle w:val="Header"/>
      <w:tabs>
        <w:tab w:val="left" w:pos="720"/>
      </w:tabs>
    </w:pPr>
    <w:r>
      <w:fldChar w:fldCharType="begin"/>
    </w:r>
    <w:r>
      <w:instrText xml:space="preserve"> PAGE </w:instrText>
    </w:r>
    <w:r>
      <w:fldChar w:fldCharType="separate"/>
    </w:r>
    <w:r>
      <w:rPr>
        <w:noProof/>
      </w:rPr>
      <w:t>242</w:t>
    </w:r>
    <w:r>
      <w:rPr>
        <w:noProof/>
      </w:rPr>
      <w:fldChar w:fldCharType="end"/>
    </w:r>
    <w:r>
      <w:tab/>
      <w:t>Initiation and Engagement of Alcohol and Other Drug Dependence Treatment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E449F" w14:textId="77777777" w:rsidR="00540EEE" w:rsidRDefault="00540EEE">
    <w:pPr>
      <w:pStyle w:val="Header"/>
    </w:pPr>
    <w:r>
      <w:tab/>
      <w:t xml:space="preserve"> Initiation and Engagement of Alcohol and Other Drug Dependence Treatment</w:t>
    </w:r>
    <w:r>
      <w:tab/>
    </w:r>
    <w:r>
      <w:fldChar w:fldCharType="begin"/>
    </w:r>
    <w:r>
      <w:instrText xml:space="preserve"> PAGE </w:instrText>
    </w:r>
    <w:r>
      <w:fldChar w:fldCharType="separate"/>
    </w:r>
    <w:r w:rsidR="002064A9">
      <w:rPr>
        <w:noProof/>
      </w:rPr>
      <w:t>247</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58B3A" w14:textId="77777777" w:rsidR="00540EEE" w:rsidRDefault="00540EEE">
    <w:pPr>
      <w:pStyle w:val="Header"/>
      <w:tabs>
        <w:tab w:val="left" w:pos="630"/>
      </w:tabs>
    </w:pPr>
    <w:r>
      <w:fldChar w:fldCharType="begin"/>
    </w:r>
    <w:r>
      <w:instrText xml:space="preserve"> PAGE </w:instrText>
    </w:r>
    <w:r>
      <w:fldChar w:fldCharType="separate"/>
    </w:r>
    <w:r>
      <w:rPr>
        <w:noProof/>
      </w:rPr>
      <w:t>175</w:t>
    </w:r>
    <w:r>
      <w:rPr>
        <w:noProof/>
      </w:rPr>
      <w:fldChar w:fldCharType="end"/>
    </w:r>
    <w:r>
      <w:tab/>
      <w:t>Call Answer Timeliness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A13F0" w14:textId="77777777" w:rsidR="00540EEE" w:rsidRDefault="00540EEE">
    <w:pPr>
      <w:pStyle w:val="Header"/>
      <w:tabs>
        <w:tab w:val="left" w:pos="720"/>
      </w:tabs>
    </w:pPr>
    <w:r>
      <w:fldChar w:fldCharType="begin"/>
    </w:r>
    <w:r>
      <w:instrText xml:space="preserve"> PAGE </w:instrText>
    </w:r>
    <w:r>
      <w:fldChar w:fldCharType="separate"/>
    </w:r>
    <w:r w:rsidR="002064A9">
      <w:rPr>
        <w:noProof/>
      </w:rPr>
      <w:t>250</w:t>
    </w:r>
    <w:r>
      <w:rPr>
        <w:noProof/>
      </w:rPr>
      <w:fldChar w:fldCharType="end"/>
    </w:r>
    <w:r>
      <w:tab/>
      <w:t>Initiation and Engagement of Alcohol and Other Drug Dependence Treatment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57F3" w14:textId="77777777" w:rsidR="00540EEE" w:rsidRDefault="00540EEE">
    <w:pPr>
      <w:pStyle w:val="Header"/>
    </w:pPr>
    <w:r>
      <w:tab/>
      <w:t xml:space="preserve"> Initiation and Engagement of Alcohol and Other Drug Dependence Treatment</w:t>
    </w:r>
    <w:r>
      <w:tab/>
    </w:r>
    <w:r>
      <w:fldChar w:fldCharType="begin"/>
    </w:r>
    <w:r>
      <w:instrText xml:space="preserve"> PAGE </w:instrText>
    </w:r>
    <w:r>
      <w:fldChar w:fldCharType="separate"/>
    </w:r>
    <w:r w:rsidR="002064A9">
      <w:rPr>
        <w:noProof/>
      </w:rPr>
      <w:t>249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E166D" w14:textId="77777777" w:rsidR="00540EEE" w:rsidRDefault="00540EEE">
    <w:pPr>
      <w:pStyle w:val="Header"/>
      <w:pBdr>
        <w:bottom w:val="none" w:sz="0" w:space="0" w:color="auto"/>
      </w:pBdr>
      <w:jc w:val="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39B42" w14:textId="77777777" w:rsidR="00540EEE" w:rsidRDefault="00540EEE">
    <w:pPr>
      <w:pStyle w:val="Header"/>
      <w:tabs>
        <w:tab w:val="left" w:pos="630"/>
      </w:tabs>
    </w:pPr>
    <w:r>
      <w:fldChar w:fldCharType="begin"/>
    </w:r>
    <w:r>
      <w:instrText xml:space="preserve"> PAGE </w:instrText>
    </w:r>
    <w:r>
      <w:fldChar w:fldCharType="separate"/>
    </w:r>
    <w:r>
      <w:rPr>
        <w:noProof/>
      </w:rPr>
      <w:t>175</w:t>
    </w:r>
    <w:r>
      <w:rPr>
        <w:noProof/>
      </w:rPr>
      <w:fldChar w:fldCharType="end"/>
    </w:r>
    <w:r>
      <w:tab/>
      <w:t>Call Answer Timeliness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FF7E" w14:textId="77777777" w:rsidR="00540EEE" w:rsidRDefault="00540EEE">
    <w:pPr>
      <w:pStyle w:val="Header"/>
      <w:tabs>
        <w:tab w:val="left" w:pos="720"/>
      </w:tabs>
    </w:pPr>
    <w:r>
      <w:fldChar w:fldCharType="begin"/>
    </w:r>
    <w:r>
      <w:instrText xml:space="preserve"> PAGE </w:instrText>
    </w:r>
    <w:r>
      <w:fldChar w:fldCharType="separate"/>
    </w:r>
    <w:r w:rsidR="002064A9">
      <w:rPr>
        <w:noProof/>
      </w:rPr>
      <w:t>252</w:t>
    </w:r>
    <w:r>
      <w:rPr>
        <w:noProof/>
      </w:rPr>
      <w:fldChar w:fldCharType="end"/>
    </w:r>
    <w:r>
      <w:tab/>
      <w:t>Prenatal and Postpartum Care</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63B68" w14:textId="77777777" w:rsidR="00540EEE" w:rsidRDefault="00540EEE">
    <w:pPr>
      <w:pStyle w:val="Header"/>
    </w:pPr>
    <w:r>
      <w:tab/>
      <w:t>Prenatal and Postpartum Care</w:t>
    </w:r>
    <w:r>
      <w:tab/>
    </w:r>
    <w:r>
      <w:fldChar w:fldCharType="begin"/>
    </w:r>
    <w:r>
      <w:instrText xml:space="preserve"> PAGE </w:instrText>
    </w:r>
    <w:r>
      <w:fldChar w:fldCharType="separate"/>
    </w:r>
    <w:r w:rsidR="002064A9">
      <w:rPr>
        <w:noProof/>
      </w:rPr>
      <w:t>251</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54405" w14:textId="77777777" w:rsidR="00540EEE" w:rsidRDefault="00540EEE">
    <w:pPr>
      <w:pStyle w:val="Header"/>
      <w:tabs>
        <w:tab w:val="left" w:pos="720"/>
      </w:tabs>
    </w:pPr>
    <w:r>
      <w:fldChar w:fldCharType="begin"/>
    </w:r>
    <w:r>
      <w:instrText xml:space="preserve"> PAGE </w:instrText>
    </w:r>
    <w:r>
      <w:fldChar w:fldCharType="separate"/>
    </w:r>
    <w:r w:rsidR="002064A9">
      <w:rPr>
        <w:noProof/>
      </w:rPr>
      <w:t>254</w:t>
    </w:r>
    <w:r>
      <w:rPr>
        <w:noProof/>
      </w:rPr>
      <w:fldChar w:fldCharType="end"/>
    </w:r>
    <w:r>
      <w:tab/>
      <w:t>Prenatal and Postpartum Care</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D31CF" w14:textId="77777777" w:rsidR="00540EEE" w:rsidRDefault="00540EEE">
    <w:pPr>
      <w:pStyle w:val="Header"/>
    </w:pPr>
    <w:r>
      <w:tab/>
      <w:t>Prenatal and Postpartum Care</w:t>
    </w:r>
    <w:r>
      <w:tab/>
    </w:r>
    <w:r>
      <w:fldChar w:fldCharType="begin"/>
    </w:r>
    <w:r>
      <w:instrText xml:space="preserve"> PAGE </w:instrText>
    </w:r>
    <w:r>
      <w:fldChar w:fldCharType="separate"/>
    </w:r>
    <w:r w:rsidR="002064A9">
      <w:rPr>
        <w:noProof/>
      </w:rPr>
      <w:t>257</w:t>
    </w:r>
    <w:r>
      <w:rPr>
        <w:noProof/>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4CB71" w14:textId="77777777" w:rsidR="00540EEE" w:rsidRDefault="00540EEE">
    <w:pPr>
      <w:pStyle w:val="Header"/>
      <w:tabs>
        <w:tab w:val="left" w:pos="720"/>
      </w:tabs>
    </w:pPr>
    <w:r>
      <w:fldChar w:fldCharType="begin"/>
    </w:r>
    <w:r>
      <w:instrText xml:space="preserve"> PAGE </w:instrText>
    </w:r>
    <w:r>
      <w:fldChar w:fldCharType="separate"/>
    </w:r>
    <w:r w:rsidR="002064A9">
      <w:rPr>
        <w:noProof/>
      </w:rPr>
      <w:t>258</w:t>
    </w:r>
    <w:r>
      <w:rPr>
        <w:noProof/>
      </w:rPr>
      <w:fldChar w:fldCharType="end"/>
    </w:r>
    <w:r>
      <w:tab/>
      <w:t>Prenatal and Postpartum Care</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5A0E7" w14:textId="77777777" w:rsidR="00540EEE" w:rsidRDefault="00540EEE">
    <w:pPr>
      <w:pStyle w:val="Header"/>
    </w:pPr>
    <w:r>
      <w:t>Prenatal and Postpartum Care</w:t>
    </w:r>
    <w:r>
      <w:tab/>
    </w:r>
    <w:r>
      <w:fldChar w:fldCharType="begin"/>
    </w:r>
    <w:r>
      <w:instrText xml:space="preserve"> PAGE </w:instrText>
    </w:r>
    <w:r>
      <w:fldChar w:fldCharType="separate"/>
    </w:r>
    <w:r>
      <w:rPr>
        <w:noProof/>
      </w:rPr>
      <w:t>140</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AFD65" w14:textId="77777777" w:rsidR="00540EEE" w:rsidRDefault="00540EEE">
    <w:pPr>
      <w:pStyle w:val="Header"/>
      <w:tabs>
        <w:tab w:val="left" w:pos="720"/>
      </w:tabs>
    </w:pPr>
    <w:r>
      <w:fldChar w:fldCharType="begin"/>
    </w:r>
    <w:r>
      <w:instrText xml:space="preserve"> PAGE </w:instrText>
    </w:r>
    <w:r>
      <w:fldChar w:fldCharType="separate"/>
    </w:r>
    <w:r w:rsidR="005A7514">
      <w:rPr>
        <w:noProof/>
      </w:rPr>
      <w:t>258</w:t>
    </w:r>
    <w:r>
      <w:rPr>
        <w:noProof/>
      </w:rPr>
      <w:fldChar w:fldCharType="end"/>
    </w:r>
    <w:r>
      <w:tab/>
      <w:t>Call Answer Timeliness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874F" w14:textId="77777777" w:rsidR="00540EEE" w:rsidRDefault="00540EEE">
    <w:pPr>
      <w:pStyle w:val="Header"/>
    </w:pPr>
    <w:r>
      <w:tab/>
      <w:t>Call Answer Timeliness</w:t>
    </w:r>
    <w:r>
      <w:tab/>
    </w:r>
    <w:r>
      <w:fldChar w:fldCharType="begin"/>
    </w:r>
    <w:r>
      <w:instrText xml:space="preserve"> PAGE </w:instrText>
    </w:r>
    <w:r>
      <w:fldChar w:fldCharType="separate"/>
    </w:r>
    <w:r w:rsidR="002064A9">
      <w:rPr>
        <w:noProof/>
      </w:rPr>
      <w:t>259</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B2230" w14:textId="77777777" w:rsidR="00540EEE" w:rsidRDefault="00540EEE">
    <w:pPr>
      <w:pStyle w:val="Header"/>
      <w:tabs>
        <w:tab w:val="left" w:pos="630"/>
      </w:tabs>
    </w:pPr>
    <w:r>
      <w:fldChar w:fldCharType="begin"/>
    </w:r>
    <w:r>
      <w:instrText xml:space="preserve"> PAGE </w:instrText>
    </w:r>
    <w:r>
      <w:fldChar w:fldCharType="separate"/>
    </w:r>
    <w:r>
      <w:rPr>
        <w:noProof/>
      </w:rPr>
      <w:t>175</w:t>
    </w:r>
    <w:r>
      <w:rPr>
        <w:noProof/>
      </w:rPr>
      <w:fldChar w:fldCharType="end"/>
    </w:r>
    <w:r>
      <w:tab/>
      <w:t>Call Answer Timeliness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CFB4" w14:textId="77777777" w:rsidR="00540EEE" w:rsidRDefault="00540EEE">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CB40" w14:textId="77777777" w:rsidR="00540EEE" w:rsidRDefault="00540EEE">
    <w:pPr>
      <w:pStyle w:val="Header"/>
      <w:tabs>
        <w:tab w:val="left" w:pos="720"/>
      </w:tabs>
    </w:pPr>
    <w:r>
      <w:fldChar w:fldCharType="begin"/>
    </w:r>
    <w:r>
      <w:instrText xml:space="preserve"> PAGE </w:instrText>
    </w:r>
    <w:r>
      <w:fldChar w:fldCharType="separate"/>
    </w:r>
    <w:r w:rsidR="002064A9">
      <w:rPr>
        <w:noProof/>
      </w:rPr>
      <w:t>260</w:t>
    </w:r>
    <w:r>
      <w:rPr>
        <w:noProof/>
      </w:rPr>
      <w:fldChar w:fldCharType="end"/>
    </w:r>
    <w:r>
      <w:tab/>
      <w:t>Call Answer Timeliness</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3167B" w14:textId="77777777" w:rsidR="00540EEE" w:rsidRDefault="00540EEE">
    <w:pPr>
      <w:pStyle w:val="Header"/>
      <w:tabs>
        <w:tab w:val="left" w:pos="720"/>
      </w:tabs>
    </w:pPr>
    <w:r>
      <w:fldChar w:fldCharType="begin"/>
    </w:r>
    <w:r>
      <w:instrText xml:space="preserve"> PAGE </w:instrText>
    </w:r>
    <w:r>
      <w:fldChar w:fldCharType="separate"/>
    </w:r>
    <w:r w:rsidR="002064A9">
      <w:rPr>
        <w:noProof/>
      </w:rPr>
      <w:t>262</w:t>
    </w:r>
    <w:r>
      <w:rPr>
        <w:noProof/>
      </w:rPr>
      <w:fldChar w:fldCharType="end"/>
    </w:r>
    <w:r>
      <w:tab/>
    </w:r>
    <w:r w:rsidRPr="00F843AE">
      <w:t>Use of First-Line Psychosocial Care for Children and Adolescents on Antipsychotics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244822"/>
      <w:docPartObj>
        <w:docPartGallery w:val="Page Numbers (Top of Page)"/>
        <w:docPartUnique/>
      </w:docPartObj>
    </w:sdtPr>
    <w:sdtEndPr>
      <w:rPr>
        <w:noProof/>
      </w:rPr>
    </w:sdtEndPr>
    <w:sdtContent>
      <w:p w14:paraId="1AA33059" w14:textId="77777777" w:rsidR="00540EEE" w:rsidRDefault="00540EEE" w:rsidP="00F578E0">
        <w:pPr>
          <w:pStyle w:val="Header"/>
          <w:jc w:val="right"/>
        </w:pPr>
        <w:r>
          <w:tab/>
        </w:r>
        <w:r w:rsidRPr="00F843AE">
          <w:t>Use of First-Line Psychosocial Care for Children and Adolescents on Antipsychotics</w:t>
        </w:r>
        <w:r>
          <w:t xml:space="preserve"> </w:t>
        </w:r>
        <w:r>
          <w:tab/>
        </w:r>
        <w:r>
          <w:fldChar w:fldCharType="begin"/>
        </w:r>
        <w:r>
          <w:instrText xml:space="preserve"> PAGE   \* MERGEFORMAT </w:instrText>
        </w:r>
        <w:r>
          <w:fldChar w:fldCharType="separate"/>
        </w:r>
        <w:r w:rsidR="002064A9">
          <w:rPr>
            <w:noProof/>
          </w:rPr>
          <w:t>261</w:t>
        </w:r>
        <w:r>
          <w:rPr>
            <w:noProof/>
          </w:rPr>
          <w:fldChar w:fldCharType="end"/>
        </w:r>
      </w:p>
    </w:sdtContent>
  </w:sdt>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560262"/>
      <w:docPartObj>
        <w:docPartGallery w:val="Page Numbers (Top of Page)"/>
        <w:docPartUnique/>
      </w:docPartObj>
    </w:sdtPr>
    <w:sdtEndPr>
      <w:rPr>
        <w:noProof/>
      </w:rPr>
    </w:sdtEndPr>
    <w:sdtContent>
      <w:p w14:paraId="487B1CFE" w14:textId="77777777" w:rsidR="00540EEE" w:rsidRDefault="00540EEE" w:rsidP="00F578E0">
        <w:pPr>
          <w:pStyle w:val="Header"/>
          <w:jc w:val="right"/>
        </w:pPr>
        <w:r>
          <w:tab/>
        </w:r>
        <w:r w:rsidRPr="00794CDE">
          <w:t xml:space="preserve">Use of First-Line Psychosocial Care for Children and Adolescents on Antipsychotics </w:t>
        </w:r>
        <w:r>
          <w:tab/>
        </w:r>
        <w:r>
          <w:fldChar w:fldCharType="begin"/>
        </w:r>
        <w:r>
          <w:instrText xml:space="preserve"> PAGE   \* MERGEFORMAT </w:instrText>
        </w:r>
        <w:r>
          <w:fldChar w:fldCharType="separate"/>
        </w:r>
        <w:r w:rsidR="002064A9">
          <w:rPr>
            <w:noProof/>
          </w:rPr>
          <w:t>263</w:t>
        </w:r>
        <w:r>
          <w:rPr>
            <w:noProof/>
          </w:rPr>
          <w:fldChar w:fldCharType="end"/>
        </w:r>
      </w:p>
    </w:sdtContent>
  </w:sdt>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DFC70" w14:textId="77777777" w:rsidR="00540EEE" w:rsidRDefault="00540EEE">
    <w:pPr>
      <w:pStyle w:val="Header"/>
      <w:tabs>
        <w:tab w:val="left" w:pos="720"/>
      </w:tabs>
    </w:pPr>
    <w:r>
      <w:fldChar w:fldCharType="begin"/>
    </w:r>
    <w:r>
      <w:instrText xml:space="preserve"> PAGE </w:instrText>
    </w:r>
    <w:r>
      <w:fldChar w:fldCharType="separate"/>
    </w:r>
    <w:r w:rsidR="002064A9">
      <w:rPr>
        <w:noProof/>
      </w:rPr>
      <w:t>264</w:t>
    </w:r>
    <w:r>
      <w:rPr>
        <w:noProof/>
      </w:rPr>
      <w:fldChar w:fldCharType="end"/>
    </w:r>
    <w: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51F5" w14:textId="77777777" w:rsidR="00540EEE" w:rsidRPr="00DE2067" w:rsidRDefault="00540EEE" w:rsidP="00F578E0"/>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2BA9B" w14:textId="77777777" w:rsidR="00540EEE" w:rsidRDefault="00540EEE">
    <w:pPr>
      <w:pStyle w:val="Header"/>
      <w:pBdr>
        <w:bottom w:val="none" w:sz="0" w:space="0" w:color="auto"/>
      </w:pBd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6BA94" w14:textId="77777777" w:rsidR="00540EEE" w:rsidRDefault="00540EEE" w:rsidP="00F578E0">
    <w:pPr>
      <w:pStyle w:val="Header"/>
      <w:ind w:left="720" w:hanging="720"/>
    </w:pPr>
    <w:r>
      <w:fldChar w:fldCharType="begin"/>
    </w:r>
    <w:r>
      <w:instrText xml:space="preserve"> PAGE </w:instrText>
    </w:r>
    <w:r>
      <w:fldChar w:fldCharType="separate"/>
    </w:r>
    <w:r w:rsidR="002064A9">
      <w:rPr>
        <w:noProof/>
      </w:rPr>
      <w:t>266</w:t>
    </w:r>
    <w:r>
      <w:rPr>
        <w:noProof/>
      </w:rPr>
      <w:fldChar w:fldCharType="end"/>
    </w:r>
    <w:r>
      <w:tab/>
      <w:t>CAHPS Health Plan Survey 5.0H, Adult Version</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9EFB9" w14:textId="77777777" w:rsidR="00540EEE" w:rsidRDefault="00540EEE">
    <w:pPr>
      <w:pStyle w:val="Header"/>
    </w:pPr>
    <w:r>
      <w:t xml:space="preserve"> </w:t>
    </w:r>
    <w:r>
      <w:tab/>
      <w:t xml:space="preserve"> CAHPS Health Plan Survey 5.0H, Adult Version</w:t>
    </w:r>
    <w:r>
      <w:tab/>
    </w:r>
    <w:r>
      <w:fldChar w:fldCharType="begin"/>
    </w:r>
    <w:r>
      <w:instrText xml:space="preserve"> PAGE </w:instrText>
    </w:r>
    <w:r>
      <w:fldChar w:fldCharType="separate"/>
    </w:r>
    <w:r w:rsidR="005A7514">
      <w:rPr>
        <w:noProof/>
      </w:rPr>
      <w:t>265</w:t>
    </w:r>
    <w:r>
      <w:rPr>
        <w:noProof/>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8322B" w14:textId="77777777" w:rsidR="00540EEE" w:rsidRDefault="00540EEE">
    <w:pPr>
      <w:pStyle w:val="Header"/>
    </w:pPr>
    <w:r>
      <w:tab/>
      <w:t>CAHPS</w:t>
    </w:r>
    <w:r>
      <w:rPr>
        <w:vertAlign w:val="superscript"/>
      </w:rPr>
      <w:t xml:space="preserve"> </w:t>
    </w:r>
    <w:r>
      <w:t>3.0H Adult Survey</w:t>
    </w:r>
    <w:r>
      <w:tab/>
    </w:r>
    <w:r>
      <w:fldChar w:fldCharType="begin"/>
    </w:r>
    <w:r>
      <w:instrText xml:space="preserve"> PAGE </w:instrText>
    </w:r>
    <w:r>
      <w:fldChar w:fldCharType="separate"/>
    </w:r>
    <w:r>
      <w:rPr>
        <w:noProof/>
      </w:rPr>
      <w:t>191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752446"/>
      <w:docPartObj>
        <w:docPartGallery w:val="Page Numbers (Top of Page)"/>
        <w:docPartUnique/>
      </w:docPartObj>
    </w:sdtPr>
    <w:sdtEndPr>
      <w:rPr>
        <w:noProof/>
      </w:rPr>
    </w:sdtEndPr>
    <w:sdtContent>
      <w:p w14:paraId="7C06BE1F" w14:textId="77777777" w:rsidR="00540EEE" w:rsidRDefault="00540EEE" w:rsidP="00F578E0">
        <w:pPr>
          <w:pStyle w:val="Header"/>
          <w:tabs>
            <w:tab w:val="left" w:pos="720"/>
          </w:tabs>
        </w:pPr>
        <w:r>
          <w:fldChar w:fldCharType="begin"/>
        </w:r>
        <w:r>
          <w:instrText xml:space="preserve"> PAGE   \* MERGEFORMAT </w:instrText>
        </w:r>
        <w:r>
          <w:fldChar w:fldCharType="separate"/>
        </w:r>
        <w:r w:rsidR="002064A9">
          <w:rPr>
            <w:noProof/>
          </w:rPr>
          <w:t>240</w:t>
        </w:r>
        <w:r>
          <w:rPr>
            <w:noProof/>
          </w:rPr>
          <w:fldChar w:fldCharType="end"/>
        </w:r>
        <w:r>
          <w:rPr>
            <w:noProof/>
          </w:rPr>
          <w:tab/>
          <w:t>Guidelines for Access/Availability of Care Measures</w:t>
        </w:r>
      </w:p>
    </w:sdtContent>
  </w:sdt>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54F2B" w14:textId="77777777" w:rsidR="00540EEE" w:rsidRDefault="00540EEE">
    <w:pPr>
      <w:pStyle w:val="Header"/>
      <w:tabs>
        <w:tab w:val="left" w:pos="720"/>
      </w:tabs>
    </w:pPr>
    <w:r>
      <w:fldChar w:fldCharType="begin"/>
    </w:r>
    <w:r>
      <w:instrText xml:space="preserve"> PAGE </w:instrText>
    </w:r>
    <w:r>
      <w:fldChar w:fldCharType="separate"/>
    </w:r>
    <w:r w:rsidR="005A7514">
      <w:rPr>
        <w:noProof/>
      </w:rPr>
      <w:t>266</w:t>
    </w:r>
    <w:r>
      <w:rPr>
        <w:noProof/>
      </w:rPr>
      <w:fldChar w:fldCharType="end"/>
    </w:r>
    <w:r>
      <w:tab/>
      <w:t>CAHPS Health Plan Survey 5.0H, Child Version</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92196" w14:textId="77777777" w:rsidR="00540EEE" w:rsidRDefault="00540EEE">
    <w:pPr>
      <w:pStyle w:val="Header"/>
    </w:pPr>
    <w:r>
      <w:t xml:space="preserve"> </w:t>
    </w:r>
    <w:r>
      <w:tab/>
      <w:t xml:space="preserve"> CAHPS Health Plan Survey 5.0H, Child Version</w:t>
    </w:r>
    <w:r>
      <w:tab/>
    </w:r>
    <w:r>
      <w:fldChar w:fldCharType="begin"/>
    </w:r>
    <w:r>
      <w:instrText xml:space="preserve"> PAGE </w:instrText>
    </w:r>
    <w:r>
      <w:fldChar w:fldCharType="separate"/>
    </w:r>
    <w:r w:rsidR="002064A9">
      <w:rPr>
        <w:noProof/>
      </w:rPr>
      <w:t>267</w:t>
    </w:r>
    <w:r>
      <w:rPr>
        <w:noProof/>
      </w:rPr>
      <w:fldChar w:fldCharType="end"/>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DA15F" w14:textId="77777777" w:rsidR="00540EEE" w:rsidRDefault="00540EEE">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192</w:t>
    </w:r>
    <w:r>
      <w:rPr>
        <w:rStyle w:val="PageNumber"/>
      </w:rPr>
      <w:fldChar w:fldCharType="end"/>
    </w:r>
    <w:r>
      <w:tab/>
      <w:t>CAHPS</w:t>
    </w:r>
    <w:r>
      <w:rPr>
        <w:vertAlign w:val="superscript"/>
      </w:rPr>
      <w:t xml:space="preserve"> </w:t>
    </w:r>
    <w:r>
      <w:t>3.0H Child Survey</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8245E" w14:textId="0236C96F" w:rsidR="00540EEE" w:rsidRDefault="00540EEE">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064A9">
      <w:rPr>
        <w:rStyle w:val="PageNumber"/>
        <w:noProof/>
      </w:rPr>
      <w:t>268</w:t>
    </w:r>
    <w:r>
      <w:rPr>
        <w:rStyle w:val="PageNumber"/>
      </w:rPr>
      <w:fldChar w:fldCharType="end"/>
    </w:r>
    <w:r>
      <w:t xml:space="preserve"> </w:t>
    </w:r>
    <w:r>
      <w:tab/>
      <w:t>Children With Chronic Conditions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85626" w14:textId="77777777" w:rsidR="00540EEE" w:rsidRDefault="00540EEE" w:rsidP="00F578E0">
    <w:pPr>
      <w:pStyle w:val="Header"/>
    </w:pPr>
    <w:r>
      <w:tab/>
      <w:t>Guidelines for Access/Availability of Care Measures</w:t>
    </w:r>
    <w:r>
      <w:tab/>
      <w:t xml:space="preserve"> </w:t>
    </w:r>
    <w:r>
      <w:fldChar w:fldCharType="begin"/>
    </w:r>
    <w:r>
      <w:instrText xml:space="preserve"> PAGE </w:instrText>
    </w:r>
    <w:r>
      <w:fldChar w:fldCharType="separate"/>
    </w:r>
    <w:r>
      <w:rPr>
        <w:noProof/>
      </w:rPr>
      <w:t>233</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18D05" w14:textId="77777777" w:rsidR="00540EEE" w:rsidRDefault="00540EEE">
    <w:pPr>
      <w:pStyle w:val="Header"/>
      <w:tabs>
        <w:tab w:val="left" w:pos="3330"/>
      </w:tabs>
      <w:jc w:val="right"/>
    </w:pPr>
    <w:r>
      <w:tab/>
      <w:t>Specific Guidelines for Access/Availability of Care Measures</w:t>
    </w:r>
    <w:r>
      <w:tab/>
    </w:r>
    <w:r>
      <w:fldChar w:fldCharType="begin"/>
    </w:r>
    <w:r>
      <w:instrText xml:space="preserve"> PAGE </w:instrText>
    </w:r>
    <w:r>
      <w:fldChar w:fldCharType="separate"/>
    </w:r>
    <w:r>
      <w:rPr>
        <w:noProof/>
      </w:rPr>
      <w:t>147</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78496" w14:textId="77777777" w:rsidR="00540EEE" w:rsidRPr="00FB5D86" w:rsidRDefault="00540EEE" w:rsidP="00F578E0">
    <w:pPr>
      <w:pStyle w:val="Header"/>
      <w:tabs>
        <w:tab w:val="left" w:pos="720"/>
      </w:tabs>
    </w:pPr>
    <w:r>
      <w:fldChar w:fldCharType="begin"/>
    </w:r>
    <w:r>
      <w:instrText xml:space="preserve"> PAGE </w:instrText>
    </w:r>
    <w:r>
      <w:fldChar w:fldCharType="separate"/>
    </w:r>
    <w:r w:rsidR="002064A9">
      <w:rPr>
        <w:noProof/>
      </w:rPr>
      <w:t>242</w:t>
    </w:r>
    <w:r>
      <w:rPr>
        <w:noProof/>
      </w:rPr>
      <w:fldChar w:fldCharType="end"/>
    </w:r>
    <w:r w:rsidRPr="00FB5D86">
      <w:t xml:space="preserve"> </w:t>
    </w:r>
    <w:r>
      <w:tab/>
    </w:r>
    <w:r w:rsidRPr="00FB5D86">
      <w:t xml:space="preserve">Adults’ Access to Preventive/Ambulatory Health Services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9248" w14:textId="77777777" w:rsidR="00540EEE" w:rsidRPr="00A4118F" w:rsidRDefault="00540EEE" w:rsidP="00F578E0">
    <w:pPr>
      <w:pStyle w:val="Header"/>
    </w:pPr>
    <w:r w:rsidRPr="00A4118F">
      <w:tab/>
      <w:t xml:space="preserve"> Adults’ Access to Preventive/Ambulatory Health Services</w:t>
    </w:r>
    <w:r w:rsidRPr="00A4118F">
      <w:tab/>
      <w:t xml:space="preserve"> </w:t>
    </w:r>
    <w:r>
      <w:fldChar w:fldCharType="begin"/>
    </w:r>
    <w:r>
      <w:instrText xml:space="preserve"> PAGE </w:instrText>
    </w:r>
    <w:r>
      <w:fldChar w:fldCharType="separate"/>
    </w:r>
    <w:r w:rsidR="002064A9">
      <w:rPr>
        <w:noProof/>
      </w:rPr>
      <w:t>241</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463F5" w14:textId="77777777" w:rsidR="00540EEE" w:rsidRPr="00A4118F" w:rsidRDefault="00540EEE" w:rsidP="00F578E0">
    <w:pPr>
      <w:pStyle w:val="Header"/>
    </w:pPr>
    <w:r w:rsidRPr="00A4118F">
      <w:tab/>
      <w:t xml:space="preserve"> Adults’ Access to Preventive/Ambulatory Health Services</w:t>
    </w:r>
    <w:r w:rsidRPr="00A4118F">
      <w:tab/>
      <w:t xml:space="preserve"> </w:t>
    </w:r>
    <w:r>
      <w:fldChar w:fldCharType="begin"/>
    </w:r>
    <w:r>
      <w:instrText xml:space="preserve"> PAGE </w:instrText>
    </w:r>
    <w:r>
      <w:fldChar w:fldCharType="separate"/>
    </w:r>
    <w:r>
      <w:rPr>
        <w:noProof/>
      </w:rPr>
      <w:t>235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D0217"/>
    <w:multiLevelType w:val="hybridMultilevel"/>
    <w:tmpl w:val="9C2248B6"/>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C692A"/>
    <w:multiLevelType w:val="hybridMultilevel"/>
    <w:tmpl w:val="90522B40"/>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0D46"/>
    <w:multiLevelType w:val="hybridMultilevel"/>
    <w:tmpl w:val="D83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20" w15:restartNumberingAfterBreak="0">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2"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0B0A90"/>
    <w:multiLevelType w:val="hybridMultilevel"/>
    <w:tmpl w:val="C598DF8C"/>
    <w:lvl w:ilvl="0" w:tplc="0409000F">
      <w:start w:val="1"/>
      <w:numFmt w:val="decimal"/>
      <w:lvlText w:val="%1."/>
      <w:lvlJc w:val="left"/>
      <w:pPr>
        <w:tabs>
          <w:tab w:val="num" w:pos="1368"/>
        </w:tabs>
        <w:ind w:left="1368" w:hanging="216"/>
      </w:pPr>
      <w:rPr>
        <w:rFonts w:hint="default"/>
        <w:sz w:val="20"/>
        <w:szCs w:val="20"/>
      </w:rPr>
    </w:lvl>
    <w:lvl w:ilvl="1" w:tplc="04090001">
      <w:start w:val="1"/>
      <w:numFmt w:val="bullet"/>
      <w:lvlText w:val=""/>
      <w:lvlJc w:val="left"/>
      <w:pPr>
        <w:tabs>
          <w:tab w:val="num" w:pos="2016"/>
        </w:tabs>
        <w:ind w:left="2016" w:hanging="360"/>
      </w:pPr>
      <w:rPr>
        <w:rFonts w:ascii="Symbol" w:hAnsi="Symbol" w:hint="default"/>
        <w:sz w:val="20"/>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32050A"/>
    <w:multiLevelType w:val="hybridMultilevel"/>
    <w:tmpl w:val="9C3ADBD6"/>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8" w15:restartNumberingAfterBreak="0">
    <w:nsid w:val="73E734D8"/>
    <w:multiLevelType w:val="hybridMultilevel"/>
    <w:tmpl w:val="E93A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31"/>
  </w:num>
  <w:num w:numId="2">
    <w:abstractNumId w:val="5"/>
  </w:num>
  <w:num w:numId="3">
    <w:abstractNumId w:val="19"/>
  </w:num>
  <w:num w:numId="4">
    <w:abstractNumId w:val="4"/>
  </w:num>
  <w:num w:numId="5">
    <w:abstractNumId w:val="22"/>
  </w:num>
  <w:num w:numId="6">
    <w:abstractNumId w:val="7"/>
  </w:num>
  <w:num w:numId="7">
    <w:abstractNumId w:val="21"/>
  </w:num>
  <w:num w:numId="8">
    <w:abstractNumId w:val="34"/>
  </w:num>
  <w:num w:numId="9">
    <w:abstractNumId w:val="33"/>
  </w:num>
  <w:num w:numId="10">
    <w:abstractNumId w:val="14"/>
  </w:num>
  <w:num w:numId="11">
    <w:abstractNumId w:val="41"/>
  </w:num>
  <w:num w:numId="12">
    <w:abstractNumId w:val="24"/>
  </w:num>
  <w:num w:numId="13">
    <w:abstractNumId w:val="40"/>
  </w:num>
  <w:num w:numId="14">
    <w:abstractNumId w:val="12"/>
  </w:num>
  <w:num w:numId="15">
    <w:abstractNumId w:val="23"/>
  </w:num>
  <w:num w:numId="16">
    <w:abstractNumId w:val="1"/>
  </w:num>
  <w:num w:numId="17">
    <w:abstractNumId w:val="8"/>
  </w:num>
  <w:num w:numId="18">
    <w:abstractNumId w:val="29"/>
  </w:num>
  <w:num w:numId="19">
    <w:abstractNumId w:val="27"/>
  </w:num>
  <w:num w:numId="20">
    <w:abstractNumId w:val="32"/>
  </w:num>
  <w:num w:numId="21">
    <w:abstractNumId w:val="0"/>
  </w:num>
  <w:num w:numId="22">
    <w:abstractNumId w:val="26"/>
  </w:num>
  <w:num w:numId="23">
    <w:abstractNumId w:val="35"/>
  </w:num>
  <w:num w:numId="24">
    <w:abstractNumId w:val="3"/>
  </w:num>
  <w:num w:numId="25">
    <w:abstractNumId w:val="39"/>
  </w:num>
  <w:num w:numId="26">
    <w:abstractNumId w:val="30"/>
  </w:num>
  <w:num w:numId="27">
    <w:abstractNumId w:val="36"/>
  </w:num>
  <w:num w:numId="28">
    <w:abstractNumId w:val="10"/>
  </w:num>
  <w:num w:numId="29">
    <w:abstractNumId w:val="2"/>
  </w:num>
  <w:num w:numId="30">
    <w:abstractNumId w:val="11"/>
  </w:num>
  <w:num w:numId="31">
    <w:abstractNumId w:val="17"/>
  </w:num>
  <w:num w:numId="32">
    <w:abstractNumId w:val="25"/>
  </w:num>
  <w:num w:numId="33">
    <w:abstractNumId w:val="20"/>
  </w:num>
  <w:num w:numId="34">
    <w:abstractNumId w:val="18"/>
  </w:num>
  <w:num w:numId="35">
    <w:abstractNumId w:val="37"/>
  </w:num>
  <w:num w:numId="36">
    <w:abstractNumId w:val="15"/>
  </w:num>
  <w:num w:numId="37">
    <w:abstractNumId w:val="16"/>
  </w:num>
  <w:num w:numId="38">
    <w:abstractNumId w:val="13"/>
  </w:num>
  <w:num w:numId="39">
    <w:abstractNumId w:val="38"/>
  </w:num>
  <w:num w:numId="40">
    <w:abstractNumId w:val="6"/>
  </w:num>
  <w:num w:numId="41">
    <w:abstractNumId w:val="9"/>
  </w:num>
  <w:num w:numId="42">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8929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3401"/>
    <w:rsid w:val="000037D1"/>
    <w:rsid w:val="00006AB3"/>
    <w:rsid w:val="000071C3"/>
    <w:rsid w:val="00007907"/>
    <w:rsid w:val="00010491"/>
    <w:rsid w:val="00010721"/>
    <w:rsid w:val="00010C49"/>
    <w:rsid w:val="000111CA"/>
    <w:rsid w:val="00011985"/>
    <w:rsid w:val="00011D92"/>
    <w:rsid w:val="0001336B"/>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58FE"/>
    <w:rsid w:val="00086601"/>
    <w:rsid w:val="000868CE"/>
    <w:rsid w:val="00090B16"/>
    <w:rsid w:val="00090B92"/>
    <w:rsid w:val="00090CC6"/>
    <w:rsid w:val="00090E95"/>
    <w:rsid w:val="00091579"/>
    <w:rsid w:val="000919DF"/>
    <w:rsid w:val="00091AFE"/>
    <w:rsid w:val="00092178"/>
    <w:rsid w:val="00093CDA"/>
    <w:rsid w:val="0009440F"/>
    <w:rsid w:val="00094997"/>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3D7"/>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8B"/>
    <w:rsid w:val="000E19AC"/>
    <w:rsid w:val="000E2327"/>
    <w:rsid w:val="000E2BB8"/>
    <w:rsid w:val="000E3784"/>
    <w:rsid w:val="000E5E16"/>
    <w:rsid w:val="000E68C6"/>
    <w:rsid w:val="000E7002"/>
    <w:rsid w:val="000E731B"/>
    <w:rsid w:val="000F0547"/>
    <w:rsid w:val="000F1795"/>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873"/>
    <w:rsid w:val="0010699C"/>
    <w:rsid w:val="001069E8"/>
    <w:rsid w:val="00106E9E"/>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70B2"/>
    <w:rsid w:val="0016711E"/>
    <w:rsid w:val="00167548"/>
    <w:rsid w:val="001679D3"/>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4325"/>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6A6B"/>
    <w:rsid w:val="001C6AA8"/>
    <w:rsid w:val="001C7301"/>
    <w:rsid w:val="001C7C90"/>
    <w:rsid w:val="001D0250"/>
    <w:rsid w:val="001D0812"/>
    <w:rsid w:val="001D0B2D"/>
    <w:rsid w:val="001D1117"/>
    <w:rsid w:val="001D1E43"/>
    <w:rsid w:val="001D1F86"/>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AA9"/>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6AE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64A9"/>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47076"/>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1B3E"/>
    <w:rsid w:val="00262082"/>
    <w:rsid w:val="00262535"/>
    <w:rsid w:val="00262584"/>
    <w:rsid w:val="00262BCF"/>
    <w:rsid w:val="00262E85"/>
    <w:rsid w:val="00263513"/>
    <w:rsid w:val="00263C91"/>
    <w:rsid w:val="00263ECD"/>
    <w:rsid w:val="00264472"/>
    <w:rsid w:val="00264D96"/>
    <w:rsid w:val="00265750"/>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E12"/>
    <w:rsid w:val="00291BE3"/>
    <w:rsid w:val="00292452"/>
    <w:rsid w:val="00292666"/>
    <w:rsid w:val="002928C1"/>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017"/>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717"/>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19C"/>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40C"/>
    <w:rsid w:val="003428D6"/>
    <w:rsid w:val="00342932"/>
    <w:rsid w:val="00342E2F"/>
    <w:rsid w:val="00343088"/>
    <w:rsid w:val="00343766"/>
    <w:rsid w:val="003447C6"/>
    <w:rsid w:val="003457E1"/>
    <w:rsid w:val="00345CF2"/>
    <w:rsid w:val="00345DA0"/>
    <w:rsid w:val="003469B8"/>
    <w:rsid w:val="00347472"/>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3F7E73"/>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A32"/>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3B"/>
    <w:rsid w:val="004B1295"/>
    <w:rsid w:val="004B1666"/>
    <w:rsid w:val="004B2C83"/>
    <w:rsid w:val="004B3403"/>
    <w:rsid w:val="004B3515"/>
    <w:rsid w:val="004B40BC"/>
    <w:rsid w:val="004B46DD"/>
    <w:rsid w:val="004B510A"/>
    <w:rsid w:val="004B569C"/>
    <w:rsid w:val="004B5904"/>
    <w:rsid w:val="004B74E4"/>
    <w:rsid w:val="004B7648"/>
    <w:rsid w:val="004B7FF3"/>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0EEE"/>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E8E"/>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4B5"/>
    <w:rsid w:val="005858C6"/>
    <w:rsid w:val="00585AF1"/>
    <w:rsid w:val="005871E7"/>
    <w:rsid w:val="0058778F"/>
    <w:rsid w:val="0058795C"/>
    <w:rsid w:val="00590E4D"/>
    <w:rsid w:val="00591961"/>
    <w:rsid w:val="005919E5"/>
    <w:rsid w:val="00591E63"/>
    <w:rsid w:val="00593441"/>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A7514"/>
    <w:rsid w:val="005B0B60"/>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9EF"/>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4F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010"/>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5C4B"/>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1D6F"/>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6A20"/>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3426"/>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D7576"/>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0E8E"/>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D7F"/>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28C"/>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2937"/>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47F13"/>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1801"/>
    <w:rsid w:val="00A61BE9"/>
    <w:rsid w:val="00A6281E"/>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0FC9"/>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340B"/>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4F88"/>
    <w:rsid w:val="00B5504F"/>
    <w:rsid w:val="00B55AA4"/>
    <w:rsid w:val="00B55BB1"/>
    <w:rsid w:val="00B55EC5"/>
    <w:rsid w:val="00B56A38"/>
    <w:rsid w:val="00B56A6D"/>
    <w:rsid w:val="00B572ED"/>
    <w:rsid w:val="00B57EF8"/>
    <w:rsid w:val="00B615C9"/>
    <w:rsid w:val="00B626C7"/>
    <w:rsid w:val="00B629C9"/>
    <w:rsid w:val="00B638B0"/>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0F71"/>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2935"/>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3D3"/>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71A0"/>
    <w:rsid w:val="00C07A9A"/>
    <w:rsid w:val="00C1001F"/>
    <w:rsid w:val="00C10777"/>
    <w:rsid w:val="00C10797"/>
    <w:rsid w:val="00C107C3"/>
    <w:rsid w:val="00C10C55"/>
    <w:rsid w:val="00C1144E"/>
    <w:rsid w:val="00C1146F"/>
    <w:rsid w:val="00C11AAD"/>
    <w:rsid w:val="00C11E18"/>
    <w:rsid w:val="00C128F1"/>
    <w:rsid w:val="00C13110"/>
    <w:rsid w:val="00C134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39F"/>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45EF"/>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5DC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5945"/>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26DC"/>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147"/>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4F1"/>
    <w:rsid w:val="00D94716"/>
    <w:rsid w:val="00D947FA"/>
    <w:rsid w:val="00D94A96"/>
    <w:rsid w:val="00D9525C"/>
    <w:rsid w:val="00D954C9"/>
    <w:rsid w:val="00DA040D"/>
    <w:rsid w:val="00DA0684"/>
    <w:rsid w:val="00DA0CFF"/>
    <w:rsid w:val="00DA15CD"/>
    <w:rsid w:val="00DA20CD"/>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ED0"/>
    <w:rsid w:val="00DB6F5D"/>
    <w:rsid w:val="00DB6FEB"/>
    <w:rsid w:val="00DB7207"/>
    <w:rsid w:val="00DB77F8"/>
    <w:rsid w:val="00DB7B5F"/>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43C"/>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111"/>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3C4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10A"/>
    <w:rsid w:val="00EC520D"/>
    <w:rsid w:val="00EC5561"/>
    <w:rsid w:val="00EC5694"/>
    <w:rsid w:val="00EC610D"/>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603"/>
    <w:rsid w:val="00EF55F3"/>
    <w:rsid w:val="00EF56DE"/>
    <w:rsid w:val="00EF5C00"/>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0C8E"/>
    <w:rsid w:val="00F111A9"/>
    <w:rsid w:val="00F11916"/>
    <w:rsid w:val="00F119E6"/>
    <w:rsid w:val="00F12083"/>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28AD"/>
    <w:rsid w:val="00F334C3"/>
    <w:rsid w:val="00F33C2D"/>
    <w:rsid w:val="00F34051"/>
    <w:rsid w:val="00F345B0"/>
    <w:rsid w:val="00F34E79"/>
    <w:rsid w:val="00F35250"/>
    <w:rsid w:val="00F35334"/>
    <w:rsid w:val="00F35AE2"/>
    <w:rsid w:val="00F35FB1"/>
    <w:rsid w:val="00F361BF"/>
    <w:rsid w:val="00F3687F"/>
    <w:rsid w:val="00F36C4E"/>
    <w:rsid w:val="00F3779D"/>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7F1"/>
    <w:rsid w:val="00F809A3"/>
    <w:rsid w:val="00F80AD3"/>
    <w:rsid w:val="00F8342D"/>
    <w:rsid w:val="00F8374D"/>
    <w:rsid w:val="00F837B6"/>
    <w:rsid w:val="00F850D1"/>
    <w:rsid w:val="00F859B3"/>
    <w:rsid w:val="00F86C23"/>
    <w:rsid w:val="00F878C8"/>
    <w:rsid w:val="00F90640"/>
    <w:rsid w:val="00F9197D"/>
    <w:rsid w:val="00F91A98"/>
    <w:rsid w:val="00F924D8"/>
    <w:rsid w:val="00F92CD8"/>
    <w:rsid w:val="00F9308C"/>
    <w:rsid w:val="00F931A5"/>
    <w:rsid w:val="00F93760"/>
    <w:rsid w:val="00F93A28"/>
    <w:rsid w:val="00F93C94"/>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E0619"/>
    <w:rsid w:val="00FE09D2"/>
    <w:rsid w:val="00FE11DB"/>
    <w:rsid w:val="00FE22F4"/>
    <w:rsid w:val="00FE32EC"/>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38E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2929"/>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027323203">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header" Target="header23.xml"/><Relationship Id="rId47" Type="http://schemas.openxmlformats.org/officeDocument/2006/relationships/header" Target="header27.xml"/><Relationship Id="rId63" Type="http://schemas.openxmlformats.org/officeDocument/2006/relationships/footer" Target="footer11.xml"/><Relationship Id="rId68" Type="http://schemas.openxmlformats.org/officeDocument/2006/relationships/header" Target="header42.xml"/><Relationship Id="rId7" Type="http://schemas.openxmlformats.org/officeDocument/2006/relationships/customXml" Target="../customXml/item6.xm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0.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5.xml"/><Relationship Id="rId53" Type="http://schemas.openxmlformats.org/officeDocument/2006/relationships/header" Target="header33.xml"/><Relationship Id="rId58" Type="http://schemas.openxmlformats.org/officeDocument/2006/relationships/footer" Target="footer9.xml"/><Relationship Id="rId66" Type="http://schemas.openxmlformats.org/officeDocument/2006/relationships/header" Target="header40.xml"/><Relationship Id="rId5" Type="http://schemas.openxmlformats.org/officeDocument/2006/relationships/customXml" Target="../customXml/item4.xml"/><Relationship Id="rId61" Type="http://schemas.openxmlformats.org/officeDocument/2006/relationships/header" Target="header37.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56" Type="http://schemas.openxmlformats.org/officeDocument/2006/relationships/header" Target="header35.xml"/><Relationship Id="rId64" Type="http://schemas.openxmlformats.org/officeDocument/2006/relationships/header" Target="header39.xml"/><Relationship Id="rId69" Type="http://schemas.openxmlformats.org/officeDocument/2006/relationships/footer" Target="footer13.xml"/><Relationship Id="rId8" Type="http://schemas.openxmlformats.org/officeDocument/2006/relationships/numbering" Target="numbering.xml"/><Relationship Id="rId51" Type="http://schemas.openxmlformats.org/officeDocument/2006/relationships/header" Target="header31.xml"/><Relationship Id="rId72"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6.xml"/><Relationship Id="rId59" Type="http://schemas.openxmlformats.org/officeDocument/2006/relationships/header" Target="header36.xml"/><Relationship Id="rId67" Type="http://schemas.openxmlformats.org/officeDocument/2006/relationships/header" Target="header41.xml"/><Relationship Id="rId20" Type="http://schemas.openxmlformats.org/officeDocument/2006/relationships/header" Target="header4.xml"/><Relationship Id="rId41" Type="http://schemas.openxmlformats.org/officeDocument/2006/relationships/header" Target="header22.xml"/><Relationship Id="rId54" Type="http://schemas.openxmlformats.org/officeDocument/2006/relationships/footer" Target="footer7.xml"/><Relationship Id="rId62" Type="http://schemas.openxmlformats.org/officeDocument/2006/relationships/header" Target="header38.xml"/><Relationship Id="rId70" Type="http://schemas.openxmlformats.org/officeDocument/2006/relationships/header" Target="header43.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57" Type="http://schemas.openxmlformats.org/officeDocument/2006/relationships/footer" Target="footer8.xml"/><Relationship Id="rId10" Type="http://schemas.openxmlformats.org/officeDocument/2006/relationships/settings" Target="settings.xml"/><Relationship Id="rId31" Type="http://schemas.openxmlformats.org/officeDocument/2006/relationships/header" Target="header12.xml"/><Relationship Id="rId44" Type="http://schemas.openxmlformats.org/officeDocument/2006/relationships/image" Target="media/image1.emf"/><Relationship Id="rId52" Type="http://schemas.openxmlformats.org/officeDocument/2006/relationships/header" Target="header32.xml"/><Relationship Id="rId60" Type="http://schemas.openxmlformats.org/officeDocument/2006/relationships/footer" Target="footer10.xml"/><Relationship Id="rId65" Type="http://schemas.openxmlformats.org/officeDocument/2006/relationships/footer" Target="footer12.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9" Type="http://schemas.openxmlformats.org/officeDocument/2006/relationships/header" Target="header20.xml"/><Relationship Id="rId34" Type="http://schemas.openxmlformats.org/officeDocument/2006/relationships/header" Target="header15.xml"/><Relationship Id="rId50" Type="http://schemas.openxmlformats.org/officeDocument/2006/relationships/header" Target="header30.xml"/><Relationship Id="rId55" Type="http://schemas.openxmlformats.org/officeDocument/2006/relationships/header" Target="head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ECD0-AF98-48F0-91A3-B8C7B958EE0F}">
  <ds:schemaRefs>
    <ds:schemaRef ds:uri="http://purl.org/dc/dcmitype/"/>
    <ds:schemaRef ds:uri="http://purl.org/dc/terms/"/>
    <ds:schemaRef ds:uri="http://www.w3.org/XML/1998/namespace"/>
    <ds:schemaRef ds:uri="64615f93-1352-4a7e-b7a8-3b07e39b2009"/>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C28BF13-7AE0-4C20-A7BB-EF047ABCF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4.xml><?xml version="1.0" encoding="utf-8"?>
<ds:datastoreItem xmlns:ds="http://schemas.openxmlformats.org/officeDocument/2006/customXml" ds:itemID="{CE29EC60-DDBD-4F46-9593-FCED518F7A02}">
  <ds:schemaRefs>
    <ds:schemaRef ds:uri="http://schemas.openxmlformats.org/officeDocument/2006/bibliography"/>
  </ds:schemaRefs>
</ds:datastoreItem>
</file>

<file path=customXml/itemProps5.xml><?xml version="1.0" encoding="utf-8"?>
<ds:datastoreItem xmlns:ds="http://schemas.openxmlformats.org/officeDocument/2006/customXml" ds:itemID="{ED9F9263-49B6-43C4-8D6A-2814EF105D65}">
  <ds:schemaRefs>
    <ds:schemaRef ds:uri="http://schemas.openxmlformats.org/officeDocument/2006/bibliography"/>
  </ds:schemaRefs>
</ds:datastoreItem>
</file>

<file path=customXml/itemProps6.xml><?xml version="1.0" encoding="utf-8"?>
<ds:datastoreItem xmlns:ds="http://schemas.openxmlformats.org/officeDocument/2006/customXml" ds:itemID="{AB8D7C28-13BE-4847-B5C2-0F0EF43D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7632</Words>
  <Characters>42215</Characters>
  <Application>Microsoft Office Word</Application>
  <DocSecurity>2</DocSecurity>
  <Lines>351</Lines>
  <Paragraphs>99</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49748</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3</cp:revision>
  <cp:lastPrinted>2015-06-08T14:52:00Z</cp:lastPrinted>
  <dcterms:created xsi:type="dcterms:W3CDTF">2015-06-03T14:56:00Z</dcterms:created>
  <dcterms:modified xsi:type="dcterms:W3CDTF">2015-06-08T14:52:00Z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