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93AE3" w14:textId="77777777" w:rsidR="00BF3DF9" w:rsidRPr="00463667" w:rsidRDefault="00BF3DF9" w:rsidP="00BF3DF9">
      <w:pPr>
        <w:pStyle w:val="Breakpage"/>
      </w:pPr>
    </w:p>
    <w:p w14:paraId="1E350117" w14:textId="77777777" w:rsidR="00BF3DF9" w:rsidRPr="00463667" w:rsidRDefault="00BF3DF9" w:rsidP="00BF3DF9">
      <w:pPr>
        <w:pStyle w:val="Breakpage"/>
      </w:pPr>
    </w:p>
    <w:p w14:paraId="7277951C" w14:textId="77777777" w:rsidR="00BF3DF9" w:rsidRPr="00463667" w:rsidRDefault="00BF3DF9" w:rsidP="00BF3DF9">
      <w:pPr>
        <w:pStyle w:val="Breakpage"/>
      </w:pPr>
    </w:p>
    <w:p w14:paraId="70A0577E" w14:textId="77777777" w:rsidR="00BF3DF9" w:rsidRPr="00463667" w:rsidRDefault="00BF3DF9" w:rsidP="00BF3DF9">
      <w:pPr>
        <w:pStyle w:val="Breakpage"/>
      </w:pPr>
    </w:p>
    <w:p w14:paraId="52497495" w14:textId="77777777" w:rsidR="00BF3DF9" w:rsidRPr="00463667" w:rsidRDefault="00BF3DF9" w:rsidP="00BF3DF9">
      <w:pPr>
        <w:pStyle w:val="Breakpage"/>
        <w:rPr>
          <w:bCs/>
        </w:rPr>
      </w:pPr>
    </w:p>
    <w:p w14:paraId="670A630D" w14:textId="77777777" w:rsidR="00BF3DF9" w:rsidRPr="00463667" w:rsidRDefault="00BF3DF9" w:rsidP="00BF3DF9">
      <w:pPr>
        <w:pStyle w:val="Breakpage"/>
        <w:tabs>
          <w:tab w:val="left" w:pos="8460"/>
        </w:tabs>
      </w:pPr>
      <w:r w:rsidRPr="00463667">
        <w:rPr>
          <w:bCs/>
        </w:rPr>
        <w:t xml:space="preserve">Relative </w:t>
      </w:r>
      <w:r w:rsidRPr="00463667">
        <w:t>Resource</w:t>
      </w:r>
      <w:r w:rsidRPr="00463667">
        <w:rPr>
          <w:bCs/>
        </w:rPr>
        <w:t xml:space="preserve"> Use</w:t>
      </w:r>
    </w:p>
    <w:p w14:paraId="1486CB48" w14:textId="77777777" w:rsidR="00BF3DF9" w:rsidRPr="00463667" w:rsidRDefault="00BF3DF9" w:rsidP="00BF3DF9"/>
    <w:p w14:paraId="12314FAB" w14:textId="77777777" w:rsidR="00BF3DF9" w:rsidRPr="00463667" w:rsidRDefault="00BF3DF9" w:rsidP="00BF3DF9"/>
    <w:p w14:paraId="08CA03AE" w14:textId="77777777" w:rsidR="00BF3DF9" w:rsidRPr="00463667" w:rsidRDefault="00BF3DF9" w:rsidP="00BF3DF9">
      <w:pPr>
        <w:pStyle w:val="Body"/>
        <w:tabs>
          <w:tab w:val="left" w:pos="6938"/>
        </w:tabs>
      </w:pPr>
    </w:p>
    <w:p w14:paraId="48FBD24C" w14:textId="77777777" w:rsidR="00BF3DF9" w:rsidRPr="00463667" w:rsidRDefault="00BF3DF9" w:rsidP="00BF3DF9"/>
    <w:p w14:paraId="7FBF8E43" w14:textId="77777777" w:rsidR="00BF3DF9" w:rsidRPr="00463667" w:rsidRDefault="00BF3DF9" w:rsidP="00BF3DF9">
      <w:pPr>
        <w:sectPr w:rsidR="00BF3DF9" w:rsidRPr="00463667" w:rsidSect="00EC62B2">
          <w:headerReference w:type="even" r:id="rId14"/>
          <w:footerReference w:type="even" r:id="rId15"/>
          <w:headerReference w:type="first" r:id="rId16"/>
          <w:footerReference w:type="first" r:id="rId17"/>
          <w:type w:val="oddPage"/>
          <w:pgSz w:w="12240" w:h="15840" w:code="1"/>
          <w:pgMar w:top="1080" w:right="1080" w:bottom="1080" w:left="1440" w:header="720" w:footer="720" w:gutter="0"/>
          <w:pgNumType w:start="278"/>
          <w:cols w:space="720"/>
        </w:sectPr>
      </w:pPr>
    </w:p>
    <w:bookmarkStart w:id="0" w:name="_Toc400546186"/>
    <w:p w14:paraId="72C1ACAE" w14:textId="0FB99385" w:rsidR="00BF3DF9" w:rsidRPr="00463667" w:rsidRDefault="00EF7C1A" w:rsidP="00BF3DF9">
      <w:pPr>
        <w:pStyle w:val="SectionHead"/>
        <w:spacing w:after="360"/>
      </w:pPr>
      <w:r>
        <w:lastRenderedPageBreak/>
        <w:fldChar w:fldCharType="begin"/>
      </w:r>
      <w:r>
        <w:instrText xml:space="preserve"> HYPERLINK  \l "TOC" </w:instrText>
      </w:r>
      <w:r>
        <w:fldChar w:fldCharType="separate"/>
      </w:r>
      <w:r w:rsidR="00BF3DF9" w:rsidRPr="00EF7C1A">
        <w:t>Gui</w:t>
      </w:r>
      <w:bookmarkStart w:id="1" w:name="_GoBack"/>
      <w:bookmarkEnd w:id="1"/>
      <w:r w:rsidR="00BF3DF9" w:rsidRPr="00EF7C1A">
        <w:t>delines for Relative Resource Use Measures</w:t>
      </w:r>
      <w:bookmarkEnd w:id="0"/>
      <w:r>
        <w:fldChar w:fldCharType="end"/>
      </w:r>
    </w:p>
    <w:p w14:paraId="0B0A714C" w14:textId="694E04D7" w:rsidR="00BF3DF9" w:rsidRPr="00463667" w:rsidRDefault="00BF3DF9" w:rsidP="00BF3DF9">
      <w:pPr>
        <w:pStyle w:val="SOC"/>
      </w:pPr>
      <w:r w:rsidRPr="00463667">
        <w:t xml:space="preserve">Summary of Changes to HEDIS </w:t>
      </w:r>
      <w:r w:rsidR="0083581E">
        <w:t>2016</w:t>
      </w:r>
    </w:p>
    <w:p w14:paraId="093B9994" w14:textId="4E7F86E0" w:rsidR="00B76AEC" w:rsidRDefault="00B76AEC" w:rsidP="00375147">
      <w:pPr>
        <w:pStyle w:val="ProcessBullet"/>
        <w:rPr>
          <w:iCs/>
        </w:rPr>
      </w:pPr>
      <w:r>
        <w:rPr>
          <w:iCs/>
        </w:rPr>
        <w:t xml:space="preserve">Removed ASM as a related quality EOC measure that must be reported with RAS in </w:t>
      </w:r>
      <w:r w:rsidRPr="00B76AEC">
        <w:rPr>
          <w:i/>
          <w:iCs/>
        </w:rPr>
        <w:t>Guideline 1</w:t>
      </w:r>
      <w:r>
        <w:rPr>
          <w:iCs/>
        </w:rPr>
        <w:t xml:space="preserve">. </w:t>
      </w:r>
    </w:p>
    <w:p w14:paraId="4B78C389" w14:textId="77777777" w:rsidR="00375147" w:rsidRPr="0032579B" w:rsidRDefault="00375147" w:rsidP="00966C97">
      <w:pPr>
        <w:pStyle w:val="ProcessBullet"/>
        <w:spacing w:before="60"/>
        <w:rPr>
          <w:iCs/>
        </w:rPr>
      </w:pPr>
      <w:r>
        <w:rPr>
          <w:iCs/>
        </w:rPr>
        <w:t xml:space="preserve">Removed </w:t>
      </w:r>
      <w:r w:rsidRPr="0032579B">
        <w:rPr>
          <w:iCs/>
        </w:rPr>
        <w:t>reference to “regional” in the “</w:t>
      </w:r>
      <w:r>
        <w:rPr>
          <w:iCs/>
        </w:rPr>
        <w:t>e</w:t>
      </w:r>
      <w:r w:rsidRPr="0032579B">
        <w:rPr>
          <w:iCs/>
        </w:rPr>
        <w:t>xpected amount” definition</w:t>
      </w:r>
      <w:r>
        <w:rPr>
          <w:iCs/>
        </w:rPr>
        <w:t xml:space="preserve">; regional peer groups </w:t>
      </w:r>
      <w:r w:rsidRPr="0032579B">
        <w:rPr>
          <w:iCs/>
        </w:rPr>
        <w:t>(regional versions of the O/E)</w:t>
      </w:r>
      <w:r>
        <w:rPr>
          <w:iCs/>
        </w:rPr>
        <w:t xml:space="preserve"> were eliminated</w:t>
      </w:r>
      <w:r w:rsidRPr="0032579B">
        <w:rPr>
          <w:iCs/>
        </w:rPr>
        <w:t xml:space="preserve"> in the RRU calculations. </w:t>
      </w:r>
    </w:p>
    <w:p w14:paraId="42E0F737" w14:textId="040CA945" w:rsidR="00375147" w:rsidRPr="00375147" w:rsidRDefault="00375147" w:rsidP="00375147">
      <w:pPr>
        <w:pStyle w:val="ProcessBullet"/>
        <w:spacing w:before="60"/>
        <w:rPr>
          <w:iCs/>
        </w:rPr>
      </w:pPr>
      <w:r w:rsidRPr="0032579B">
        <w:rPr>
          <w:iCs/>
        </w:rPr>
        <w:t>Removed references to</w:t>
      </w:r>
      <w:r>
        <w:rPr>
          <w:iCs/>
        </w:rPr>
        <w:t xml:space="preserve"> “</w:t>
      </w:r>
      <w:r w:rsidRPr="0032579B">
        <w:rPr>
          <w:iCs/>
        </w:rPr>
        <w:t>index ratio</w:t>
      </w:r>
      <w:r>
        <w:rPr>
          <w:iCs/>
        </w:rPr>
        <w:t>”</w:t>
      </w:r>
      <w:r w:rsidRPr="0032579B">
        <w:rPr>
          <w:iCs/>
        </w:rPr>
        <w:t xml:space="preserve"> and </w:t>
      </w:r>
      <w:r>
        <w:rPr>
          <w:iCs/>
        </w:rPr>
        <w:t>“</w:t>
      </w:r>
      <w:r w:rsidRPr="0032579B">
        <w:rPr>
          <w:iCs/>
        </w:rPr>
        <w:t>index score</w:t>
      </w:r>
      <w:r>
        <w:rPr>
          <w:iCs/>
        </w:rPr>
        <w:t>”</w:t>
      </w:r>
      <w:r w:rsidRPr="0032579B">
        <w:rPr>
          <w:iCs/>
        </w:rPr>
        <w:t xml:space="preserve"> in the </w:t>
      </w:r>
      <w:r w:rsidRPr="00581266">
        <w:rPr>
          <w:i/>
          <w:iCs/>
        </w:rPr>
        <w:t>Relative Resource Use Results</w:t>
      </w:r>
      <w:r w:rsidRPr="0032579B">
        <w:rPr>
          <w:iCs/>
        </w:rPr>
        <w:t xml:space="preserve"> section</w:t>
      </w:r>
      <w:r>
        <w:rPr>
          <w:iCs/>
        </w:rPr>
        <w:t>; indexing of the O/E ratio was eliminated.</w:t>
      </w:r>
      <w:r w:rsidRPr="0032579B" w:rsidDel="00581266">
        <w:rPr>
          <w:iCs/>
        </w:rPr>
        <w:t xml:space="preserve"> </w:t>
      </w:r>
    </w:p>
    <w:bookmarkStart w:id="2" w:name="_Toc400546187"/>
    <w:p w14:paraId="3A3B510D" w14:textId="4F0588D8" w:rsidR="00BF3DF9" w:rsidRPr="00463667" w:rsidRDefault="00EF7C1A" w:rsidP="00581266">
      <w:pPr>
        <w:pStyle w:val="StdHead"/>
      </w:pPr>
      <w:r>
        <w:fldChar w:fldCharType="begin"/>
      </w:r>
      <w:r>
        <w:instrText xml:space="preserve"> HYPERLINK  \l "TOC" </w:instrText>
      </w:r>
      <w:r>
        <w:fldChar w:fldCharType="separate"/>
      </w:r>
      <w:r w:rsidR="00BF3DF9" w:rsidRPr="00EF7C1A">
        <w:t>Description</w:t>
      </w:r>
      <w:bookmarkEnd w:id="2"/>
      <w:r>
        <w:fldChar w:fldCharType="end"/>
      </w:r>
    </w:p>
    <w:tbl>
      <w:tblPr>
        <w:tblW w:w="0" w:type="auto"/>
        <w:tblInd w:w="18" w:type="dxa"/>
        <w:tblLayout w:type="fixed"/>
        <w:tblLook w:val="0000" w:firstRow="0" w:lastRow="0" w:firstColumn="0" w:lastColumn="0" w:noHBand="0" w:noVBand="0"/>
      </w:tblPr>
      <w:tblGrid>
        <w:gridCol w:w="1890"/>
        <w:gridCol w:w="7920"/>
      </w:tblGrid>
      <w:tr w:rsidR="00BF3DF9" w:rsidRPr="00463667" w14:paraId="73B11A1D" w14:textId="77777777" w:rsidTr="00C56CA6">
        <w:tc>
          <w:tcPr>
            <w:tcW w:w="1890" w:type="dxa"/>
          </w:tcPr>
          <w:p w14:paraId="10A1281B" w14:textId="77777777" w:rsidR="00BF3DF9" w:rsidRPr="00463667" w:rsidRDefault="00BF3DF9" w:rsidP="00C56CA6">
            <w:pPr>
              <w:pStyle w:val="MarginSubhead"/>
            </w:pPr>
            <w:r w:rsidRPr="00463667">
              <w:t>Relative Resource Use measures</w:t>
            </w:r>
          </w:p>
        </w:tc>
        <w:tc>
          <w:tcPr>
            <w:tcW w:w="7920" w:type="dxa"/>
          </w:tcPr>
          <w:p w14:paraId="118C591F" w14:textId="77777777" w:rsidR="00BF3DF9" w:rsidRPr="00463667" w:rsidRDefault="00BF3DF9" w:rsidP="00C56CA6">
            <w:pPr>
              <w:pStyle w:val="Body"/>
            </w:pPr>
            <w:r w:rsidRPr="00463667">
              <w:t xml:space="preserve">Relative Resource Use (RRU) measures are a standardized way to measure relative resource use. When evaluated with the corresponding quality of care measures, they provide more information about the </w:t>
            </w:r>
            <w:r w:rsidRPr="00463667">
              <w:rPr>
                <w:iCs/>
              </w:rPr>
              <w:t>efficiency</w:t>
            </w:r>
            <w:r w:rsidRPr="00463667">
              <w:t xml:space="preserve"> or </w:t>
            </w:r>
            <w:r w:rsidRPr="00463667">
              <w:rPr>
                <w:iCs/>
              </w:rPr>
              <w:t>value</w:t>
            </w:r>
            <w:r w:rsidRPr="00463667">
              <w:t xml:space="preserve"> of an organization’s services. </w:t>
            </w:r>
            <w:r w:rsidRPr="00463667">
              <w:rPr>
                <w:iCs/>
              </w:rPr>
              <w:t>R</w:t>
            </w:r>
            <w:r w:rsidRPr="00463667">
              <w:t>RU measures have the following features:</w:t>
            </w:r>
          </w:p>
          <w:p w14:paraId="5043AE69" w14:textId="77777777" w:rsidR="00BF3DF9" w:rsidRPr="00463667" w:rsidRDefault="00BF3DF9" w:rsidP="00C56CA6">
            <w:pPr>
              <w:pStyle w:val="Bullet"/>
            </w:pPr>
            <w:r w:rsidRPr="00463667">
              <w:t>They focus on high-cost conditions that have corresponding HEDIS Effectiveness of Care measures.</w:t>
            </w:r>
          </w:p>
          <w:p w14:paraId="4F86DC2B" w14:textId="77777777" w:rsidR="00BF3DF9" w:rsidRPr="00463667" w:rsidRDefault="00BF3DF9" w:rsidP="00C56CA6">
            <w:pPr>
              <w:pStyle w:val="Bullet"/>
            </w:pPr>
            <w:r w:rsidRPr="00463667">
              <w:t>They differentiate between unit price and utilization variation.</w:t>
            </w:r>
          </w:p>
          <w:p w14:paraId="03B9384A" w14:textId="77777777" w:rsidR="00BF3DF9" w:rsidRPr="00463667" w:rsidRDefault="00BF3DF9" w:rsidP="00C56CA6">
            <w:pPr>
              <w:pStyle w:val="Bullet"/>
              <w:rPr>
                <w:i/>
                <w:iCs/>
              </w:rPr>
            </w:pPr>
            <w:r w:rsidRPr="00463667">
              <w:t>They rely on a transparent risk-adjustment method similar to a proprietary risk-adjustment system.</w:t>
            </w:r>
          </w:p>
        </w:tc>
      </w:tr>
    </w:tbl>
    <w:bookmarkStart w:id="3" w:name="_Toc400546188"/>
    <w:p w14:paraId="6C43C351" w14:textId="5D5B0922" w:rsidR="00BF3DF9" w:rsidRPr="00463667" w:rsidRDefault="00EF7C1A" w:rsidP="00BF3DF9">
      <w:pPr>
        <w:pStyle w:val="StdHead"/>
      </w:pPr>
      <w:r>
        <w:fldChar w:fldCharType="begin"/>
      </w:r>
      <w:r>
        <w:instrText xml:space="preserve"> HYPERLINK  \l "TOC" </w:instrText>
      </w:r>
      <w:r>
        <w:fldChar w:fldCharType="separate"/>
      </w:r>
      <w:r w:rsidR="00BF3DF9" w:rsidRPr="00EF7C1A">
        <w:t>Definitions</w:t>
      </w:r>
      <w:bookmarkEnd w:id="3"/>
      <w:r>
        <w:fldChar w:fldCharType="end"/>
      </w:r>
    </w:p>
    <w:tbl>
      <w:tblPr>
        <w:tblW w:w="9810" w:type="dxa"/>
        <w:tblInd w:w="18" w:type="dxa"/>
        <w:tblLayout w:type="fixed"/>
        <w:tblLook w:val="0000" w:firstRow="0" w:lastRow="0" w:firstColumn="0" w:lastColumn="0" w:noHBand="0" w:noVBand="0"/>
      </w:tblPr>
      <w:tblGrid>
        <w:gridCol w:w="1890"/>
        <w:gridCol w:w="3330"/>
        <w:gridCol w:w="4590"/>
      </w:tblGrid>
      <w:tr w:rsidR="00BF3DF9" w:rsidRPr="00463667" w14:paraId="192AB52A" w14:textId="77777777" w:rsidTr="00C56CA6">
        <w:tc>
          <w:tcPr>
            <w:tcW w:w="1890" w:type="dxa"/>
            <w:vMerge w:val="restart"/>
            <w:vAlign w:val="center"/>
          </w:tcPr>
          <w:p w14:paraId="7EA8F322" w14:textId="77777777" w:rsidR="00BF3DF9" w:rsidRPr="00463667" w:rsidRDefault="00BF3DF9" w:rsidP="00C56CA6">
            <w:pPr>
              <w:pStyle w:val="MarginSubhead"/>
              <w:rPr>
                <w:i/>
              </w:rPr>
            </w:pPr>
            <w:r w:rsidRPr="00463667">
              <w:t>Major clinical conditions</w:t>
            </w:r>
          </w:p>
        </w:tc>
        <w:tc>
          <w:tcPr>
            <w:tcW w:w="7920" w:type="dxa"/>
            <w:gridSpan w:val="2"/>
            <w:vAlign w:val="bottom"/>
          </w:tcPr>
          <w:p w14:paraId="3284512B" w14:textId="3277040D" w:rsidR="00BF3DF9" w:rsidRPr="00463667" w:rsidRDefault="00BF3DF9" w:rsidP="00AF2143">
            <w:pPr>
              <w:pStyle w:val="Body"/>
            </w:pPr>
            <w:r w:rsidRPr="00463667">
              <w:rPr>
                <w:iCs/>
              </w:rPr>
              <w:t>RRU</w:t>
            </w:r>
            <w:r w:rsidRPr="00463667">
              <w:t xml:space="preserve"> measures evaluate five major clinical conditions. Members can have more than one major clinical condition</w:t>
            </w:r>
            <w:r w:rsidR="00AF2143">
              <w:t>.</w:t>
            </w:r>
          </w:p>
        </w:tc>
      </w:tr>
      <w:tr w:rsidR="00BF3DF9" w:rsidRPr="00463667" w14:paraId="53AC008B" w14:textId="77777777" w:rsidTr="00C56CA6">
        <w:tc>
          <w:tcPr>
            <w:tcW w:w="1890" w:type="dxa"/>
            <w:vMerge/>
          </w:tcPr>
          <w:p w14:paraId="1674DE3B" w14:textId="77777777" w:rsidR="00BF3DF9" w:rsidRPr="00463667" w:rsidRDefault="00BF3DF9" w:rsidP="00C56CA6">
            <w:pPr>
              <w:pStyle w:val="MarginSubhead"/>
            </w:pPr>
          </w:p>
        </w:tc>
        <w:tc>
          <w:tcPr>
            <w:tcW w:w="3330" w:type="dxa"/>
          </w:tcPr>
          <w:p w14:paraId="1C7E4C56" w14:textId="77777777" w:rsidR="00BF3DF9" w:rsidRPr="00463667" w:rsidRDefault="00BF3DF9" w:rsidP="00BF3DF9">
            <w:pPr>
              <w:pStyle w:val="Bullet"/>
              <w:numPr>
                <w:ilvl w:val="0"/>
                <w:numId w:val="35"/>
              </w:numPr>
              <w:tabs>
                <w:tab w:val="clear" w:pos="720"/>
              </w:tabs>
              <w:spacing w:before="100"/>
              <w:ind w:left="432" w:hanging="270"/>
            </w:pPr>
            <w:r w:rsidRPr="00463667">
              <w:t>Diabetes.</w:t>
            </w:r>
          </w:p>
          <w:p w14:paraId="34433CFC" w14:textId="77777777" w:rsidR="00BF3DF9" w:rsidRPr="00463667" w:rsidRDefault="00BF3DF9" w:rsidP="00BF3DF9">
            <w:pPr>
              <w:pStyle w:val="Bullet"/>
              <w:numPr>
                <w:ilvl w:val="0"/>
                <w:numId w:val="35"/>
              </w:numPr>
              <w:tabs>
                <w:tab w:val="clear" w:pos="720"/>
              </w:tabs>
              <w:spacing w:before="100"/>
              <w:ind w:left="432" w:hanging="270"/>
            </w:pPr>
            <w:r w:rsidRPr="00463667">
              <w:t>Cardiovascular conditions.</w:t>
            </w:r>
          </w:p>
          <w:p w14:paraId="12875CCD" w14:textId="77777777" w:rsidR="00BF3DF9" w:rsidRPr="00463667" w:rsidRDefault="00BF3DF9" w:rsidP="00BF3DF9">
            <w:pPr>
              <w:pStyle w:val="Bullet"/>
              <w:numPr>
                <w:ilvl w:val="0"/>
                <w:numId w:val="35"/>
              </w:numPr>
              <w:tabs>
                <w:tab w:val="clear" w:pos="720"/>
              </w:tabs>
              <w:spacing w:before="100"/>
              <w:ind w:left="432" w:hanging="270"/>
            </w:pPr>
            <w:r w:rsidRPr="00463667">
              <w:t>Hypertension.</w:t>
            </w:r>
          </w:p>
        </w:tc>
        <w:tc>
          <w:tcPr>
            <w:tcW w:w="4590" w:type="dxa"/>
          </w:tcPr>
          <w:p w14:paraId="6DFFE25C" w14:textId="77777777" w:rsidR="00BF3DF9" w:rsidRPr="00463667" w:rsidRDefault="00BF3DF9" w:rsidP="00BF3DF9">
            <w:pPr>
              <w:pStyle w:val="ProcessBullet"/>
              <w:numPr>
                <w:ilvl w:val="0"/>
                <w:numId w:val="35"/>
              </w:numPr>
              <w:tabs>
                <w:tab w:val="clear" w:pos="720"/>
              </w:tabs>
              <w:spacing w:before="100"/>
              <w:ind w:left="252" w:hanging="252"/>
            </w:pPr>
            <w:r w:rsidRPr="00463667">
              <w:t>COPD.</w:t>
            </w:r>
          </w:p>
          <w:p w14:paraId="0C9BE4FA" w14:textId="77777777" w:rsidR="00BF3DF9" w:rsidRPr="00463667" w:rsidRDefault="00BF3DF9" w:rsidP="00BF3DF9">
            <w:pPr>
              <w:pStyle w:val="ProcessBullet"/>
              <w:numPr>
                <w:ilvl w:val="0"/>
                <w:numId w:val="35"/>
              </w:numPr>
              <w:tabs>
                <w:tab w:val="clear" w:pos="720"/>
              </w:tabs>
              <w:spacing w:before="100"/>
              <w:ind w:left="252" w:hanging="252"/>
            </w:pPr>
            <w:r w:rsidRPr="00463667">
              <w:t>Asthma.</w:t>
            </w:r>
          </w:p>
        </w:tc>
      </w:tr>
      <w:tr w:rsidR="00BF3DF9" w:rsidRPr="00463667" w14:paraId="62C9F92A" w14:textId="77777777" w:rsidTr="00C56CA6">
        <w:tc>
          <w:tcPr>
            <w:tcW w:w="1890" w:type="dxa"/>
          </w:tcPr>
          <w:p w14:paraId="089DB768" w14:textId="77777777" w:rsidR="00BF3DF9" w:rsidRPr="00463667" w:rsidRDefault="00BF3DF9" w:rsidP="00C56CA6">
            <w:pPr>
              <w:pStyle w:val="MarginSubhead"/>
              <w:rPr>
                <w:rFonts w:cs="Arial"/>
                <w:szCs w:val="22"/>
              </w:rPr>
            </w:pPr>
            <w:r w:rsidRPr="00463667">
              <w:rPr>
                <w:rFonts w:cs="Arial"/>
                <w:szCs w:val="22"/>
              </w:rPr>
              <w:t>Age and gender</w:t>
            </w:r>
          </w:p>
        </w:tc>
        <w:tc>
          <w:tcPr>
            <w:tcW w:w="7920" w:type="dxa"/>
            <w:gridSpan w:val="2"/>
          </w:tcPr>
          <w:p w14:paraId="2591BB44" w14:textId="77777777" w:rsidR="00BF3DF9" w:rsidRPr="00463667" w:rsidRDefault="00BF3DF9" w:rsidP="00C56CA6">
            <w:pPr>
              <w:pStyle w:val="Body"/>
            </w:pPr>
            <w:r w:rsidRPr="00463667">
              <w:t xml:space="preserve">For the major clinical conditions, stratify members by age and gender. When calculating HCC-RRU risk categories, total cost, service frequency and member months, use the age on the last day of the treatment period to identify the appropriate grouping. </w:t>
            </w:r>
          </w:p>
        </w:tc>
      </w:tr>
      <w:tr w:rsidR="00BF3DF9" w:rsidRPr="00463667" w14:paraId="4B2742B5" w14:textId="77777777" w:rsidTr="00C56CA6">
        <w:tc>
          <w:tcPr>
            <w:tcW w:w="1890" w:type="dxa"/>
          </w:tcPr>
          <w:p w14:paraId="7968BBD0" w14:textId="77777777" w:rsidR="00BF3DF9" w:rsidRPr="00463667" w:rsidRDefault="00BF3DF9" w:rsidP="00C56CA6">
            <w:pPr>
              <w:pStyle w:val="MarginSubhead"/>
              <w:jc w:val="right"/>
              <w:rPr>
                <w:i/>
              </w:rPr>
            </w:pPr>
            <w:r w:rsidRPr="00463667">
              <w:rPr>
                <w:i/>
              </w:rPr>
              <w:t>Required exclusions</w:t>
            </w:r>
          </w:p>
        </w:tc>
        <w:tc>
          <w:tcPr>
            <w:tcW w:w="7920" w:type="dxa"/>
            <w:gridSpan w:val="2"/>
          </w:tcPr>
          <w:p w14:paraId="41FA088F" w14:textId="77777777" w:rsidR="00BF3DF9" w:rsidRPr="00463667" w:rsidRDefault="00BF3DF9" w:rsidP="00C56CA6">
            <w:pPr>
              <w:pStyle w:val="Body"/>
              <w:rPr>
                <w:szCs w:val="20"/>
              </w:rPr>
            </w:pPr>
            <w:r w:rsidRPr="00463667">
              <w:rPr>
                <w:szCs w:val="20"/>
              </w:rPr>
              <w:t xml:space="preserve">Exclude members with the following </w:t>
            </w:r>
            <w:r w:rsidRPr="00463667">
              <w:rPr>
                <w:bCs/>
                <w:szCs w:val="20"/>
              </w:rPr>
              <w:t>dominant medical conditions</w:t>
            </w:r>
            <w:r w:rsidRPr="00463667">
              <w:rPr>
                <w:szCs w:val="20"/>
              </w:rPr>
              <w:t xml:space="preserve"> from all RRU measures:</w:t>
            </w:r>
          </w:p>
          <w:p w14:paraId="3027224D" w14:textId="77777777" w:rsidR="00BF3DF9" w:rsidRPr="00463667" w:rsidRDefault="00BF3DF9" w:rsidP="00C56CA6">
            <w:pPr>
              <w:pStyle w:val="Bullet"/>
              <w:spacing w:before="100"/>
              <w:rPr>
                <w:szCs w:val="20"/>
              </w:rPr>
            </w:pPr>
            <w:r w:rsidRPr="00463667">
              <w:rPr>
                <w:szCs w:val="20"/>
              </w:rPr>
              <w:t xml:space="preserve">Active cancer. </w:t>
            </w:r>
          </w:p>
          <w:p w14:paraId="685BC155" w14:textId="77777777" w:rsidR="00BF3DF9" w:rsidRPr="00463667" w:rsidRDefault="00BF3DF9" w:rsidP="00C56CA6">
            <w:pPr>
              <w:pStyle w:val="Bullet"/>
              <w:spacing w:before="100"/>
              <w:rPr>
                <w:szCs w:val="20"/>
              </w:rPr>
            </w:pPr>
            <w:r w:rsidRPr="00463667">
              <w:rPr>
                <w:szCs w:val="20"/>
              </w:rPr>
              <w:t>HIV/AIDS.</w:t>
            </w:r>
          </w:p>
          <w:p w14:paraId="2314C028" w14:textId="77777777" w:rsidR="00BF3DF9" w:rsidRPr="00463667" w:rsidRDefault="00BF3DF9" w:rsidP="00C56CA6">
            <w:pPr>
              <w:pStyle w:val="Bullet"/>
              <w:spacing w:before="100"/>
              <w:rPr>
                <w:szCs w:val="20"/>
              </w:rPr>
            </w:pPr>
            <w:r w:rsidRPr="00463667">
              <w:rPr>
                <w:szCs w:val="20"/>
              </w:rPr>
              <w:t>Organ transplant (other than kidney).</w:t>
            </w:r>
          </w:p>
          <w:p w14:paraId="6E1C960C" w14:textId="77777777" w:rsidR="00BF3DF9" w:rsidRPr="00463667" w:rsidRDefault="00BF3DF9" w:rsidP="00C56CA6">
            <w:pPr>
              <w:pStyle w:val="Body"/>
              <w:rPr>
                <w:szCs w:val="20"/>
              </w:rPr>
            </w:pPr>
            <w:r w:rsidRPr="00463667">
              <w:rPr>
                <w:szCs w:val="20"/>
              </w:rPr>
              <w:t xml:space="preserve">Exclude members with the following </w:t>
            </w:r>
            <w:r w:rsidRPr="00463667">
              <w:rPr>
                <w:bCs/>
                <w:szCs w:val="20"/>
              </w:rPr>
              <w:t>dominant medical conditions</w:t>
            </w:r>
            <w:r w:rsidRPr="00463667">
              <w:rPr>
                <w:szCs w:val="20"/>
              </w:rPr>
              <w:t xml:space="preserve"> only from RHY, RCO and RAS:</w:t>
            </w:r>
          </w:p>
          <w:p w14:paraId="59B52A31" w14:textId="77777777" w:rsidR="00BF3DF9" w:rsidRPr="00463667" w:rsidRDefault="00BF3DF9" w:rsidP="00C56CA6">
            <w:pPr>
              <w:pStyle w:val="Bullet"/>
              <w:spacing w:before="100"/>
              <w:rPr>
                <w:szCs w:val="20"/>
              </w:rPr>
            </w:pPr>
            <w:r w:rsidRPr="00463667">
              <w:rPr>
                <w:szCs w:val="20"/>
              </w:rPr>
              <w:t>ESRD.</w:t>
            </w:r>
          </w:p>
          <w:p w14:paraId="16207FEE" w14:textId="77777777" w:rsidR="00BF3DF9" w:rsidRPr="00463667" w:rsidRDefault="00BF3DF9" w:rsidP="00C56CA6">
            <w:pPr>
              <w:pStyle w:val="Bullet"/>
              <w:spacing w:before="100"/>
              <w:rPr>
                <w:szCs w:val="20"/>
              </w:rPr>
            </w:pPr>
            <w:r w:rsidRPr="00463667">
              <w:rPr>
                <w:szCs w:val="20"/>
              </w:rPr>
              <w:t>Kidney transplant.</w:t>
            </w:r>
          </w:p>
          <w:p w14:paraId="77D8970A" w14:textId="4A41437E" w:rsidR="00BF3DF9" w:rsidRPr="00463667" w:rsidRDefault="00BF3DF9" w:rsidP="00AF2143">
            <w:pPr>
              <w:pStyle w:val="Body"/>
            </w:pPr>
            <w:r w:rsidRPr="00463667">
              <w:rPr>
                <w:szCs w:val="20"/>
              </w:rPr>
              <w:t xml:space="preserve">Identifying a dominant medical condition is the same for all measures. Refer to the </w:t>
            </w:r>
            <w:r w:rsidRPr="00AF2143">
              <w:rPr>
                <w:i/>
                <w:szCs w:val="20"/>
              </w:rPr>
              <w:t xml:space="preserve">Exclusions (required) </w:t>
            </w:r>
            <w:r w:rsidRPr="00463667">
              <w:rPr>
                <w:szCs w:val="20"/>
              </w:rPr>
              <w:t xml:space="preserve">section in </w:t>
            </w:r>
            <w:r w:rsidRPr="00AF2143">
              <w:rPr>
                <w:i/>
                <w:szCs w:val="20"/>
              </w:rPr>
              <w:t>Guidelines for Relative Resource Use Measures</w:t>
            </w:r>
            <w:r w:rsidR="00AF2143">
              <w:rPr>
                <w:i/>
                <w:szCs w:val="20"/>
              </w:rPr>
              <w:t>.</w:t>
            </w:r>
          </w:p>
        </w:tc>
      </w:tr>
    </w:tbl>
    <w:p w14:paraId="3C36FF22" w14:textId="77777777" w:rsidR="00BF3DF9" w:rsidRPr="00463667" w:rsidRDefault="00BF3DF9" w:rsidP="00BF3DF9">
      <w:pPr>
        <w:sectPr w:rsidR="00BF3DF9" w:rsidRPr="00463667" w:rsidSect="00EC62B2">
          <w:headerReference w:type="even" r:id="rId18"/>
          <w:headerReference w:type="default" r:id="rId19"/>
          <w:footerReference w:type="even" r:id="rId20"/>
          <w:footerReference w:type="default" r:id="rId21"/>
          <w:pgSz w:w="12240" w:h="15840" w:code="1"/>
          <w:pgMar w:top="1080" w:right="1080" w:bottom="1080" w:left="1440" w:header="720" w:footer="720" w:gutter="0"/>
          <w:pgNumType w:start="366"/>
          <w:cols w:space="720"/>
        </w:sectPr>
      </w:pPr>
    </w:p>
    <w:tbl>
      <w:tblPr>
        <w:tblW w:w="9792" w:type="dxa"/>
        <w:tblInd w:w="18" w:type="dxa"/>
        <w:tblLayout w:type="fixed"/>
        <w:tblLook w:val="0000" w:firstRow="0" w:lastRow="0" w:firstColumn="0" w:lastColumn="0" w:noHBand="0" w:noVBand="0"/>
      </w:tblPr>
      <w:tblGrid>
        <w:gridCol w:w="1890"/>
        <w:gridCol w:w="7902"/>
      </w:tblGrid>
      <w:tr w:rsidR="00BF3DF9" w:rsidRPr="00463667" w14:paraId="53BEFCCB" w14:textId="77777777" w:rsidTr="00C56CA6">
        <w:tc>
          <w:tcPr>
            <w:tcW w:w="1890" w:type="dxa"/>
          </w:tcPr>
          <w:p w14:paraId="24E68BFA" w14:textId="77777777" w:rsidR="00BF3DF9" w:rsidRPr="00463667" w:rsidRDefault="00BF3DF9" w:rsidP="00C56CA6">
            <w:pPr>
              <w:pStyle w:val="MarginSubhead"/>
              <w:spacing w:before="0"/>
            </w:pPr>
            <w:r w:rsidRPr="00463667">
              <w:lastRenderedPageBreak/>
              <w:t>Treatment period</w:t>
            </w:r>
          </w:p>
        </w:tc>
        <w:tc>
          <w:tcPr>
            <w:tcW w:w="7902" w:type="dxa"/>
          </w:tcPr>
          <w:p w14:paraId="3B94BA61" w14:textId="77777777" w:rsidR="00BF3DF9" w:rsidRPr="00463667" w:rsidRDefault="00BF3DF9" w:rsidP="00C56CA6">
            <w:pPr>
              <w:pStyle w:val="Body"/>
              <w:spacing w:before="0"/>
            </w:pPr>
            <w:r w:rsidRPr="00463667">
              <w:t>The period for counting service cost and frequency. The treatment period is the measurement year for all measures.</w:t>
            </w:r>
          </w:p>
        </w:tc>
      </w:tr>
      <w:tr w:rsidR="00BF3DF9" w:rsidRPr="00463667" w14:paraId="1C4C26FE" w14:textId="77777777" w:rsidTr="00C56CA6">
        <w:tc>
          <w:tcPr>
            <w:tcW w:w="1890" w:type="dxa"/>
          </w:tcPr>
          <w:p w14:paraId="60F4E49D" w14:textId="77777777" w:rsidR="00BF3DF9" w:rsidRPr="00463667" w:rsidRDefault="00BF3DF9" w:rsidP="00C56CA6">
            <w:pPr>
              <w:pStyle w:val="MarginSubhead"/>
            </w:pPr>
            <w:r w:rsidRPr="00463667">
              <w:t xml:space="preserve">Standard price </w:t>
            </w:r>
          </w:p>
        </w:tc>
        <w:tc>
          <w:tcPr>
            <w:tcW w:w="7902" w:type="dxa"/>
          </w:tcPr>
          <w:p w14:paraId="2DF35851" w14:textId="77777777" w:rsidR="00BF3DF9" w:rsidRPr="00463667" w:rsidRDefault="00BF3DF9" w:rsidP="00C56CA6">
            <w:pPr>
              <w:pStyle w:val="Body"/>
            </w:pPr>
            <w:r w:rsidRPr="00463667">
              <w:t xml:space="preserve">The unit price per service that represents standardized, allowed payment levels for provider services, including payer liability and member cost sharing. Unit prices represent data derived from a single source, using a single approach for classifying and pricing services. Pricing algorithms represent average service pricing levels for organizations for the most recent period. </w:t>
            </w:r>
          </w:p>
          <w:p w14:paraId="6B8FE9E0" w14:textId="77777777" w:rsidR="00BF3DF9" w:rsidRPr="00463667" w:rsidRDefault="00BF3DF9" w:rsidP="00C56CA6">
            <w:pPr>
              <w:pStyle w:val="Body"/>
            </w:pPr>
            <w:r w:rsidRPr="00463667">
              <w:rPr>
                <w:iCs/>
              </w:rPr>
              <w:t>RRU</w:t>
            </w:r>
            <w:r w:rsidRPr="00463667">
              <w:t xml:space="preserve"> measures use NCQA’s standardized prices. The organization does not report prices based on its contracts and fee schedules; it applies a standard price to each service, multiplies it by the number of units of service and reports the resulting standard cost. Consistent standard prices protect the organization’s proprietary fee schedules and contracts and support measure comparison across organizations and across regions without requiring adjustment for levels of service payment.</w:t>
            </w:r>
          </w:p>
          <w:p w14:paraId="0B0C1709" w14:textId="77777777" w:rsidR="00BF3DF9" w:rsidRPr="00463667" w:rsidRDefault="00BF3DF9" w:rsidP="00C56CA6">
            <w:pPr>
              <w:pStyle w:val="Body"/>
            </w:pPr>
            <w:r w:rsidRPr="00463667">
              <w:t xml:space="preserve">Download the SPT for each service category, the Major Surgery Table, the LOS Group Table and the cost cap table from </w:t>
            </w:r>
            <w:hyperlink r:id="rId22" w:history="1">
              <w:r w:rsidRPr="00AF2143">
                <w:rPr>
                  <w:u w:val="single"/>
                </w:rPr>
                <w:t>www.ncqa.org</w:t>
              </w:r>
            </w:hyperlink>
            <w:r w:rsidRPr="00463667">
              <w:t>:</w:t>
            </w:r>
          </w:p>
          <w:tbl>
            <w:tblPr>
              <w:tblW w:w="9936" w:type="dxa"/>
              <w:tblLayout w:type="fixed"/>
              <w:tblLook w:val="0000" w:firstRow="0" w:lastRow="0" w:firstColumn="0" w:lastColumn="0" w:noHBand="0" w:noVBand="0"/>
            </w:tblPr>
            <w:tblGrid>
              <w:gridCol w:w="2520"/>
              <w:gridCol w:w="1890"/>
              <w:gridCol w:w="5526"/>
            </w:tblGrid>
            <w:tr w:rsidR="00BF3DF9" w:rsidRPr="00463667" w14:paraId="009A62E9" w14:textId="77777777" w:rsidTr="00C56CA6">
              <w:tc>
                <w:tcPr>
                  <w:tcW w:w="2520" w:type="dxa"/>
                </w:tcPr>
                <w:p w14:paraId="69DC7408" w14:textId="77777777" w:rsidR="00BF3DF9" w:rsidRPr="00463667" w:rsidRDefault="00BF3DF9" w:rsidP="00AF2143">
                  <w:pPr>
                    <w:pStyle w:val="Bullet"/>
                    <w:tabs>
                      <w:tab w:val="clear" w:pos="576"/>
                    </w:tabs>
                    <w:spacing w:before="60"/>
                    <w:ind w:left="446"/>
                  </w:pPr>
                  <w:r w:rsidRPr="00463667">
                    <w:t>SPT-INP-ADSC.</w:t>
                  </w:r>
                </w:p>
                <w:p w14:paraId="495C46D9" w14:textId="77777777" w:rsidR="00BF3DF9" w:rsidRPr="00463667" w:rsidRDefault="00BF3DF9" w:rsidP="00AF2143">
                  <w:pPr>
                    <w:pStyle w:val="Bullet"/>
                    <w:tabs>
                      <w:tab w:val="clear" w:pos="576"/>
                    </w:tabs>
                    <w:spacing w:before="60"/>
                    <w:ind w:left="446"/>
                  </w:pPr>
                  <w:r w:rsidRPr="00463667">
                    <w:t>SPT-Surg-Proc.</w:t>
                  </w:r>
                </w:p>
                <w:p w14:paraId="7416DAE8" w14:textId="77777777" w:rsidR="00BF3DF9" w:rsidRPr="00463667" w:rsidRDefault="00BF3DF9" w:rsidP="00AF2143">
                  <w:pPr>
                    <w:pStyle w:val="Bullet"/>
                    <w:tabs>
                      <w:tab w:val="clear" w:pos="576"/>
                    </w:tabs>
                    <w:spacing w:before="60"/>
                    <w:ind w:left="446"/>
                  </w:pPr>
                  <w:r w:rsidRPr="00463667">
                    <w:t>SPT-EM.</w:t>
                  </w:r>
                </w:p>
              </w:tc>
              <w:tc>
                <w:tcPr>
                  <w:tcW w:w="1890" w:type="dxa"/>
                </w:tcPr>
                <w:p w14:paraId="2BD8DB96" w14:textId="77777777" w:rsidR="00BF3DF9" w:rsidRPr="00463667" w:rsidRDefault="00BF3DF9" w:rsidP="00AF2143">
                  <w:pPr>
                    <w:pStyle w:val="ProcessBullet"/>
                    <w:spacing w:before="60"/>
                  </w:pPr>
                  <w:r w:rsidRPr="00463667">
                    <w:t>SPT-Pharm.</w:t>
                  </w:r>
                </w:p>
                <w:p w14:paraId="396CD326" w14:textId="77777777" w:rsidR="00BF3DF9" w:rsidRPr="00463667" w:rsidRDefault="00BF3DF9" w:rsidP="00AF2143">
                  <w:pPr>
                    <w:pStyle w:val="ProcessBullet"/>
                    <w:spacing w:before="60"/>
                  </w:pPr>
                  <w:r w:rsidRPr="00463667">
                    <w:t>SPT-LAB.</w:t>
                  </w:r>
                </w:p>
                <w:p w14:paraId="1EED217D" w14:textId="77777777" w:rsidR="00BF3DF9" w:rsidRPr="00463667" w:rsidRDefault="00BF3DF9" w:rsidP="00AF2143">
                  <w:pPr>
                    <w:pStyle w:val="ProcessBullet"/>
                    <w:spacing w:before="60"/>
                  </w:pPr>
                  <w:r w:rsidRPr="00463667">
                    <w:t>SPT-IMG.</w:t>
                  </w:r>
                </w:p>
              </w:tc>
              <w:tc>
                <w:tcPr>
                  <w:tcW w:w="5526" w:type="dxa"/>
                </w:tcPr>
                <w:p w14:paraId="0A2A733C" w14:textId="77777777" w:rsidR="00BF3DF9" w:rsidRPr="00463667" w:rsidRDefault="00BF3DF9" w:rsidP="00AF2143">
                  <w:pPr>
                    <w:pStyle w:val="ProcessBullet"/>
                    <w:spacing w:before="60"/>
                  </w:pPr>
                  <w:r w:rsidRPr="00463667">
                    <w:t>Maj-Surg Table.</w:t>
                  </w:r>
                </w:p>
                <w:p w14:paraId="19936877" w14:textId="77777777" w:rsidR="00BF3DF9" w:rsidRPr="00463667" w:rsidRDefault="00BF3DF9" w:rsidP="00AF2143">
                  <w:pPr>
                    <w:pStyle w:val="ProcessBullet"/>
                    <w:spacing w:before="60"/>
                  </w:pPr>
                  <w:r w:rsidRPr="00463667">
                    <w:t>SPT-CAP Amount.</w:t>
                  </w:r>
                </w:p>
                <w:p w14:paraId="471B6264" w14:textId="77777777" w:rsidR="00BF3DF9" w:rsidRPr="00463667" w:rsidRDefault="00BF3DF9" w:rsidP="00AF2143">
                  <w:pPr>
                    <w:pStyle w:val="ProcessBullet"/>
                    <w:spacing w:before="60"/>
                  </w:pPr>
                  <w:r w:rsidRPr="00463667">
                    <w:t>LOS Group.</w:t>
                  </w:r>
                </w:p>
              </w:tc>
            </w:tr>
          </w:tbl>
          <w:p w14:paraId="3DD12A2F" w14:textId="77777777" w:rsidR="00BF3DF9" w:rsidRPr="00463667" w:rsidRDefault="00BF3DF9" w:rsidP="00C56CA6">
            <w:pPr>
              <w:pStyle w:val="Body"/>
            </w:pPr>
            <w:r w:rsidRPr="00463667">
              <w:t>The SPTs contain the service codes used for the total standard cost estimation and their respective standard unit price. Not all pharmacy or CPT codes are included in these tables; codes included represent a significant portion of expected utilization for the eligible populations.</w:t>
            </w:r>
          </w:p>
        </w:tc>
      </w:tr>
      <w:tr w:rsidR="00BF3DF9" w:rsidRPr="00463667" w14:paraId="3DEFE7A0" w14:textId="77777777" w:rsidTr="00C56CA6">
        <w:tc>
          <w:tcPr>
            <w:tcW w:w="1890" w:type="dxa"/>
          </w:tcPr>
          <w:p w14:paraId="30809C04" w14:textId="77777777" w:rsidR="00BF3DF9" w:rsidRPr="00463667" w:rsidRDefault="00BF3DF9" w:rsidP="00C56CA6">
            <w:pPr>
              <w:pStyle w:val="MarginSubhead"/>
            </w:pPr>
            <w:r w:rsidRPr="00463667">
              <w:t>Standard cost</w:t>
            </w:r>
          </w:p>
        </w:tc>
        <w:tc>
          <w:tcPr>
            <w:tcW w:w="7902" w:type="dxa"/>
          </w:tcPr>
          <w:p w14:paraId="50EE12B4" w14:textId="77777777" w:rsidR="00BF3DF9" w:rsidRPr="00463667" w:rsidRDefault="00BF3DF9" w:rsidP="00C56CA6">
            <w:pPr>
              <w:pStyle w:val="Body"/>
            </w:pPr>
            <w:r w:rsidRPr="00463667">
              <w:t>The standard price multiplied by the quantity of the service. A member’s services are aggregated by service categories, and then standard costs are aggregated across services and members to compute the overall cost of care.</w:t>
            </w:r>
          </w:p>
          <w:p w14:paraId="585067A5" w14:textId="77777777" w:rsidR="00BF3DF9" w:rsidRPr="00463667" w:rsidRDefault="00BF3DF9" w:rsidP="00C56CA6">
            <w:pPr>
              <w:pStyle w:val="Body"/>
            </w:pPr>
            <w:r w:rsidRPr="00463667">
              <w:t>Standard cost is reported for the following categories:</w:t>
            </w:r>
          </w:p>
          <w:p w14:paraId="1FA50022" w14:textId="77777777" w:rsidR="00BF3DF9" w:rsidRPr="00463667" w:rsidRDefault="00BF3DF9" w:rsidP="007058EB">
            <w:pPr>
              <w:pStyle w:val="Bullet"/>
              <w:spacing w:before="60"/>
            </w:pPr>
            <w:r w:rsidRPr="00463667">
              <w:t>Inpatient Facility.</w:t>
            </w:r>
          </w:p>
          <w:p w14:paraId="1802CE01" w14:textId="77777777" w:rsidR="00BF3DF9" w:rsidRPr="00463667" w:rsidRDefault="00BF3DF9" w:rsidP="007058EB">
            <w:pPr>
              <w:pStyle w:val="Bullet"/>
              <w:spacing w:before="60"/>
            </w:pPr>
            <w:r w:rsidRPr="00463667">
              <w:t>Surgery and Procedure:</w:t>
            </w:r>
          </w:p>
          <w:p w14:paraId="3EA5B1F0" w14:textId="77777777" w:rsidR="00BF3DF9" w:rsidRPr="00463667" w:rsidRDefault="00BF3DF9" w:rsidP="007058EB">
            <w:pPr>
              <w:pStyle w:val="Dash"/>
              <w:spacing w:before="30"/>
            </w:pPr>
            <w:r w:rsidRPr="00463667">
              <w:t>Inpatient Services.</w:t>
            </w:r>
          </w:p>
          <w:p w14:paraId="75A81927" w14:textId="77777777" w:rsidR="00BF3DF9" w:rsidRPr="00463667" w:rsidRDefault="00BF3DF9" w:rsidP="007058EB">
            <w:pPr>
              <w:pStyle w:val="Dash"/>
              <w:spacing w:before="30"/>
            </w:pPr>
            <w:r w:rsidRPr="00463667">
              <w:t>Outpatient Services.</w:t>
            </w:r>
          </w:p>
          <w:p w14:paraId="4CD9EC9F" w14:textId="77777777" w:rsidR="00BF3DF9" w:rsidRPr="00463667" w:rsidRDefault="00BF3DF9" w:rsidP="007058EB">
            <w:pPr>
              <w:pStyle w:val="Bullet"/>
              <w:spacing w:before="60"/>
            </w:pPr>
            <w:r w:rsidRPr="00463667">
              <w:t>Evaluation and Management (E&amp;M):</w:t>
            </w:r>
          </w:p>
          <w:p w14:paraId="5F57688D" w14:textId="77777777" w:rsidR="00BF3DF9" w:rsidRPr="00463667" w:rsidRDefault="00BF3DF9" w:rsidP="007058EB">
            <w:pPr>
              <w:pStyle w:val="Dash"/>
              <w:spacing w:before="30"/>
            </w:pPr>
            <w:r w:rsidRPr="00463667">
              <w:t>Inpatient Services.</w:t>
            </w:r>
          </w:p>
          <w:p w14:paraId="3752CC6E" w14:textId="77777777" w:rsidR="00BF3DF9" w:rsidRPr="00463667" w:rsidRDefault="00BF3DF9" w:rsidP="007058EB">
            <w:pPr>
              <w:pStyle w:val="Dash"/>
              <w:spacing w:before="30"/>
            </w:pPr>
            <w:r w:rsidRPr="00463667">
              <w:t>Outpatient Services.</w:t>
            </w:r>
          </w:p>
          <w:p w14:paraId="7E795E51" w14:textId="77777777" w:rsidR="00BF3DF9" w:rsidRPr="00463667" w:rsidRDefault="00BF3DF9" w:rsidP="007058EB">
            <w:pPr>
              <w:pStyle w:val="Bullet"/>
              <w:spacing w:before="60"/>
            </w:pPr>
            <w:r w:rsidRPr="00463667">
              <w:t>Diagnostic Laboratory Services.</w:t>
            </w:r>
          </w:p>
          <w:p w14:paraId="112438C6" w14:textId="77777777" w:rsidR="00BF3DF9" w:rsidRPr="00463667" w:rsidRDefault="00BF3DF9" w:rsidP="007058EB">
            <w:pPr>
              <w:pStyle w:val="Bullet"/>
              <w:spacing w:before="60"/>
            </w:pPr>
            <w:r w:rsidRPr="00463667">
              <w:t>Diagnostic Imaging Services.</w:t>
            </w:r>
          </w:p>
          <w:p w14:paraId="35A2B469" w14:textId="77777777" w:rsidR="00BF3DF9" w:rsidRPr="00463667" w:rsidRDefault="00BF3DF9" w:rsidP="007058EB">
            <w:pPr>
              <w:pStyle w:val="Bullet"/>
              <w:spacing w:before="60"/>
            </w:pPr>
            <w:r w:rsidRPr="00463667">
              <w:t>Pharmacy, Ambulatory.</w:t>
            </w:r>
          </w:p>
        </w:tc>
      </w:tr>
    </w:tbl>
    <w:p w14:paraId="3795C9E8" w14:textId="77777777" w:rsidR="00BF3DF9" w:rsidRPr="00463667" w:rsidRDefault="00BF3DF9" w:rsidP="007058EB">
      <w:pPr>
        <w:spacing w:before="2160"/>
        <w:rPr>
          <w:sz w:val="18"/>
          <w:szCs w:val="18"/>
        </w:rPr>
      </w:pPr>
      <w:r w:rsidRPr="00463667">
        <w:rPr>
          <w:sz w:val="18"/>
          <w:szCs w:val="18"/>
        </w:rPr>
        <w:t>____________</w:t>
      </w:r>
    </w:p>
    <w:p w14:paraId="3D391C45" w14:textId="77777777" w:rsidR="007058EB" w:rsidRDefault="00BF3DF9" w:rsidP="00343766">
      <w:pPr>
        <w:spacing w:before="60"/>
        <w:rPr>
          <w:sz w:val="18"/>
          <w:szCs w:val="18"/>
        </w:rPr>
        <w:sectPr w:rsidR="007058EB" w:rsidSect="00C56CA6">
          <w:headerReference w:type="even" r:id="rId23"/>
          <w:headerReference w:type="default" r:id="rId24"/>
          <w:footerReference w:type="default" r:id="rId25"/>
          <w:headerReference w:type="first" r:id="rId26"/>
          <w:pgSz w:w="12240" w:h="15840" w:code="1"/>
          <w:pgMar w:top="1080" w:right="1080" w:bottom="1080" w:left="1440" w:header="720" w:footer="720" w:gutter="0"/>
          <w:cols w:space="720"/>
          <w:docGrid w:linePitch="360"/>
        </w:sectPr>
      </w:pPr>
      <w:r w:rsidRPr="00463667">
        <w:rPr>
          <w:sz w:val="18"/>
          <w:szCs w:val="18"/>
        </w:rPr>
        <w:t xml:space="preserve">Current Procedural Terminology © </w:t>
      </w:r>
      <w:r w:rsidR="0083581E">
        <w:rPr>
          <w:sz w:val="18"/>
          <w:szCs w:val="18"/>
        </w:rPr>
        <w:t>2015</w:t>
      </w:r>
      <w:r w:rsidRPr="00463667">
        <w:rPr>
          <w:sz w:val="18"/>
          <w:szCs w:val="18"/>
        </w:rPr>
        <w:t xml:space="preserve"> American Medical Association. All rights reserved.</w:t>
      </w:r>
    </w:p>
    <w:tbl>
      <w:tblPr>
        <w:tblW w:w="9817" w:type="dxa"/>
        <w:tblInd w:w="11" w:type="dxa"/>
        <w:tblLayout w:type="fixed"/>
        <w:tblLook w:val="0000" w:firstRow="0" w:lastRow="0" w:firstColumn="0" w:lastColumn="0" w:noHBand="0" w:noVBand="0"/>
      </w:tblPr>
      <w:tblGrid>
        <w:gridCol w:w="7"/>
        <w:gridCol w:w="1890"/>
        <w:gridCol w:w="7920"/>
      </w:tblGrid>
      <w:tr w:rsidR="00BF3DF9" w:rsidRPr="00463667" w14:paraId="3D841557" w14:textId="77777777" w:rsidTr="00C56CA6">
        <w:trPr>
          <w:gridBefore w:val="1"/>
          <w:wBefore w:w="7" w:type="dxa"/>
        </w:trPr>
        <w:tc>
          <w:tcPr>
            <w:tcW w:w="1890" w:type="dxa"/>
          </w:tcPr>
          <w:p w14:paraId="39D53BD8" w14:textId="77777777" w:rsidR="00BF3DF9" w:rsidRPr="00463667" w:rsidRDefault="00BF3DF9" w:rsidP="00C56CA6">
            <w:pPr>
              <w:pStyle w:val="MarginSubhead"/>
              <w:spacing w:before="0"/>
            </w:pPr>
            <w:r w:rsidRPr="00463667">
              <w:lastRenderedPageBreak/>
              <w:t>Service frequency</w:t>
            </w:r>
          </w:p>
        </w:tc>
        <w:tc>
          <w:tcPr>
            <w:tcW w:w="7920" w:type="dxa"/>
          </w:tcPr>
          <w:p w14:paraId="4465AC07" w14:textId="77777777" w:rsidR="00BF3DF9" w:rsidRPr="00463667" w:rsidRDefault="00BF3DF9" w:rsidP="00AF2143">
            <w:pPr>
              <w:pStyle w:val="Body"/>
              <w:spacing w:before="0"/>
            </w:pPr>
            <w:r w:rsidRPr="00463667">
              <w:t>Service frequency is reported for the following categories:</w:t>
            </w:r>
          </w:p>
          <w:p w14:paraId="0B856B3A" w14:textId="77777777" w:rsidR="00BF3DF9" w:rsidRPr="00463667" w:rsidRDefault="00BF3DF9" w:rsidP="007058EB">
            <w:pPr>
              <w:pStyle w:val="Bullet"/>
              <w:spacing w:before="60"/>
            </w:pPr>
            <w:r w:rsidRPr="00463667">
              <w:t>Acute Medicine: Discharges, Days.</w:t>
            </w:r>
          </w:p>
          <w:p w14:paraId="186F4C04" w14:textId="77777777" w:rsidR="00BF3DF9" w:rsidRPr="00463667" w:rsidRDefault="00BF3DF9" w:rsidP="007058EB">
            <w:pPr>
              <w:pStyle w:val="Bullet"/>
              <w:spacing w:before="60"/>
            </w:pPr>
            <w:r w:rsidRPr="00463667">
              <w:t>Acute Surgery: Discharges, Days.</w:t>
            </w:r>
          </w:p>
          <w:p w14:paraId="00C3F4EC" w14:textId="77777777" w:rsidR="00BF3DF9" w:rsidRPr="00463667" w:rsidRDefault="00BF3DF9" w:rsidP="007058EB">
            <w:pPr>
              <w:pStyle w:val="Bullet"/>
              <w:spacing w:before="60"/>
            </w:pPr>
            <w:r w:rsidRPr="00463667">
              <w:t>Nonacute Inpatient: Discharges, Days.</w:t>
            </w:r>
          </w:p>
          <w:p w14:paraId="7897AF70" w14:textId="77777777" w:rsidR="00BF3DF9" w:rsidRPr="00463667" w:rsidRDefault="00BF3DF9" w:rsidP="007058EB">
            <w:pPr>
              <w:pStyle w:val="Bullet"/>
              <w:spacing w:before="60"/>
            </w:pPr>
            <w:r w:rsidRPr="00463667">
              <w:t>ED Discharges.</w:t>
            </w:r>
          </w:p>
          <w:p w14:paraId="6E32543F" w14:textId="77777777" w:rsidR="00BF3DF9" w:rsidRPr="00463667" w:rsidRDefault="00BF3DF9" w:rsidP="007058EB">
            <w:pPr>
              <w:pStyle w:val="Bullet"/>
              <w:spacing w:before="60"/>
            </w:pPr>
            <w:r w:rsidRPr="00463667">
              <w:t>Pharmacy Utilization:</w:t>
            </w:r>
          </w:p>
          <w:p w14:paraId="1BD6E44F" w14:textId="77777777" w:rsidR="00BF3DF9" w:rsidRPr="00463667" w:rsidRDefault="00BF3DF9" w:rsidP="007058EB">
            <w:pPr>
              <w:pStyle w:val="Dash"/>
              <w:spacing w:before="30"/>
            </w:pPr>
            <w:r w:rsidRPr="00463667">
              <w:t xml:space="preserve">Name brand only. </w:t>
            </w:r>
          </w:p>
          <w:p w14:paraId="1E016213" w14:textId="77777777" w:rsidR="00BF3DF9" w:rsidRPr="00463667" w:rsidRDefault="00BF3DF9" w:rsidP="007058EB">
            <w:pPr>
              <w:pStyle w:val="Dash"/>
              <w:spacing w:before="30"/>
            </w:pPr>
            <w:r w:rsidRPr="00463667">
              <w:t xml:space="preserve">Name brand—Generic exists. </w:t>
            </w:r>
          </w:p>
          <w:p w14:paraId="361C2F4C" w14:textId="77777777" w:rsidR="00BF3DF9" w:rsidRPr="00463667" w:rsidRDefault="00BF3DF9" w:rsidP="007058EB">
            <w:pPr>
              <w:pStyle w:val="Dash"/>
              <w:spacing w:before="30"/>
            </w:pPr>
            <w:r w:rsidRPr="00463667">
              <w:t xml:space="preserve">Generic only. </w:t>
            </w:r>
          </w:p>
          <w:p w14:paraId="724F3985" w14:textId="77777777" w:rsidR="00BF3DF9" w:rsidRPr="00463667" w:rsidRDefault="00BF3DF9" w:rsidP="007058EB">
            <w:pPr>
              <w:pStyle w:val="Dash"/>
              <w:spacing w:before="30"/>
            </w:pPr>
            <w:r w:rsidRPr="00463667">
              <w:t xml:space="preserve">Generic name—Name brand exists. </w:t>
            </w:r>
          </w:p>
          <w:p w14:paraId="645E8505" w14:textId="77777777" w:rsidR="00BF3DF9" w:rsidRPr="00463667" w:rsidRDefault="00BF3DF9" w:rsidP="007058EB">
            <w:pPr>
              <w:pStyle w:val="Bullet"/>
              <w:spacing w:before="60"/>
            </w:pPr>
            <w:r w:rsidRPr="00463667">
              <w:t xml:space="preserve">Other condition-specific categories. </w:t>
            </w:r>
          </w:p>
          <w:p w14:paraId="19220BA0" w14:textId="77777777" w:rsidR="00BF3DF9" w:rsidRPr="00463667" w:rsidRDefault="00BF3DF9" w:rsidP="007058EB">
            <w:pPr>
              <w:pStyle w:val="Dash"/>
              <w:spacing w:before="30"/>
            </w:pPr>
            <w:r w:rsidRPr="00463667">
              <w:t>RCA and RDI report information on select cardiac procedures.</w:t>
            </w:r>
          </w:p>
          <w:p w14:paraId="4A24C7CD" w14:textId="77777777" w:rsidR="00BF3DF9" w:rsidRPr="00463667" w:rsidRDefault="00BF3DF9" w:rsidP="00C56CA6">
            <w:pPr>
              <w:spacing w:before="180"/>
            </w:pPr>
            <w:r w:rsidRPr="00463667">
              <w:t>NCQA calculates:</w:t>
            </w:r>
          </w:p>
          <w:p w14:paraId="0011D2AD" w14:textId="77777777" w:rsidR="00BF3DF9" w:rsidRPr="00463667" w:rsidRDefault="00BF3DF9" w:rsidP="00C56CA6">
            <w:pPr>
              <w:pStyle w:val="Bullet"/>
            </w:pPr>
            <w:r w:rsidRPr="00463667">
              <w:t>Total Inpatient Facility: Discharges, Days, ALOS.</w:t>
            </w:r>
          </w:p>
          <w:p w14:paraId="46CBEA19" w14:textId="77777777" w:rsidR="00BF3DF9" w:rsidRPr="00463667" w:rsidRDefault="00BF3DF9" w:rsidP="007058EB">
            <w:pPr>
              <w:pStyle w:val="Bullet"/>
              <w:spacing w:before="60"/>
            </w:pPr>
            <w:r w:rsidRPr="00463667">
              <w:t>Total Acute Inpatient: Discharges, Days, ALOS:</w:t>
            </w:r>
          </w:p>
          <w:p w14:paraId="17E0A437" w14:textId="77777777" w:rsidR="00BF3DF9" w:rsidRPr="00463667" w:rsidRDefault="00BF3DF9" w:rsidP="007058EB">
            <w:pPr>
              <w:pStyle w:val="Dash"/>
              <w:spacing w:before="30"/>
            </w:pPr>
            <w:r w:rsidRPr="00463667">
              <w:t>Total Acute Medicine: ALOS.</w:t>
            </w:r>
          </w:p>
          <w:p w14:paraId="20089F02" w14:textId="77777777" w:rsidR="00BF3DF9" w:rsidRPr="00463667" w:rsidRDefault="00BF3DF9" w:rsidP="007058EB">
            <w:pPr>
              <w:pStyle w:val="Dash"/>
              <w:spacing w:before="30"/>
            </w:pPr>
            <w:r w:rsidRPr="00463667">
              <w:t>Total Acute Surgery: ALOS.</w:t>
            </w:r>
          </w:p>
          <w:p w14:paraId="05C8DF14" w14:textId="77777777" w:rsidR="00BF3DF9" w:rsidRPr="00463667" w:rsidRDefault="00BF3DF9" w:rsidP="007058EB">
            <w:pPr>
              <w:pStyle w:val="Bullet"/>
              <w:spacing w:before="60"/>
            </w:pPr>
            <w:r w:rsidRPr="00463667">
              <w:t>Total Nonacute Inpatient: ALOS.</w:t>
            </w:r>
          </w:p>
          <w:p w14:paraId="0622C375" w14:textId="77777777" w:rsidR="00BF3DF9" w:rsidRPr="00463667" w:rsidRDefault="00BF3DF9" w:rsidP="007058EB">
            <w:pPr>
              <w:pStyle w:val="Bullet"/>
              <w:spacing w:before="60"/>
            </w:pPr>
            <w:r w:rsidRPr="00463667">
              <w:t xml:space="preserve">Generic Utilization, given the existence of the generic option. </w:t>
            </w:r>
          </w:p>
          <w:p w14:paraId="7EB11406" w14:textId="77777777" w:rsidR="00BF3DF9" w:rsidRPr="00463667" w:rsidRDefault="00BF3DF9" w:rsidP="007058EB">
            <w:pPr>
              <w:pStyle w:val="Bullet"/>
              <w:spacing w:before="60"/>
            </w:pPr>
            <w:r w:rsidRPr="00463667">
              <w:t xml:space="preserve">Generic Substitution Rate. </w:t>
            </w:r>
          </w:p>
          <w:p w14:paraId="6A5A370B" w14:textId="77777777" w:rsidR="00BF3DF9" w:rsidRPr="00463667" w:rsidRDefault="00BF3DF9" w:rsidP="007058EB">
            <w:pPr>
              <w:pStyle w:val="Bullet"/>
              <w:spacing w:before="60"/>
            </w:pPr>
            <w:r w:rsidRPr="00463667">
              <w:t xml:space="preserve">Overall Generic Utilization. </w:t>
            </w:r>
          </w:p>
          <w:p w14:paraId="21FE8D6B" w14:textId="52665443" w:rsidR="00BF3DF9" w:rsidRPr="00463667" w:rsidRDefault="00BF3DF9" w:rsidP="0083581E">
            <w:pPr>
              <w:pStyle w:val="Bullet"/>
              <w:numPr>
                <w:ilvl w:val="0"/>
                <w:numId w:val="0"/>
              </w:numPr>
              <w:rPr>
                <w:i/>
              </w:rPr>
            </w:pPr>
            <w:r w:rsidRPr="00463667">
              <w:rPr>
                <w:b/>
                <w:i/>
              </w:rPr>
              <w:t xml:space="preserve">Note: </w:t>
            </w:r>
            <w:r w:rsidRPr="00463667">
              <w:rPr>
                <w:i/>
              </w:rPr>
              <w:t xml:space="preserve">NCQA’s SPTs will be posted to </w:t>
            </w:r>
            <w:r w:rsidRPr="00463667">
              <w:t>www.ncqa.org</w:t>
            </w:r>
            <w:r w:rsidRPr="00463667">
              <w:rPr>
                <w:i/>
              </w:rPr>
              <w:t xml:space="preserve"> by November </w:t>
            </w:r>
            <w:r w:rsidR="0083581E">
              <w:rPr>
                <w:i/>
              </w:rPr>
              <w:t>2</w:t>
            </w:r>
            <w:r w:rsidRPr="00463667">
              <w:rPr>
                <w:i/>
              </w:rPr>
              <w:t xml:space="preserve">, </w:t>
            </w:r>
            <w:r w:rsidR="0083581E">
              <w:rPr>
                <w:i/>
              </w:rPr>
              <w:t>2015</w:t>
            </w:r>
            <w:r w:rsidRPr="00463667">
              <w:rPr>
                <w:i/>
              </w:rPr>
              <w:t>.</w:t>
            </w:r>
          </w:p>
        </w:tc>
      </w:tr>
      <w:tr w:rsidR="00BF3DF9" w:rsidRPr="00463667" w14:paraId="061354EC" w14:textId="77777777" w:rsidTr="00C56CA6">
        <w:trPr>
          <w:gridBefore w:val="1"/>
          <w:wBefore w:w="7" w:type="dxa"/>
        </w:trPr>
        <w:tc>
          <w:tcPr>
            <w:tcW w:w="1890" w:type="dxa"/>
          </w:tcPr>
          <w:p w14:paraId="0F3391C9" w14:textId="77777777" w:rsidR="00BF3DF9" w:rsidRPr="00463667" w:rsidRDefault="00BF3DF9" w:rsidP="00C56CA6">
            <w:pPr>
              <w:pStyle w:val="MarginSubhead"/>
              <w:ind w:left="0"/>
              <w:jc w:val="right"/>
              <w:rPr>
                <w:i/>
                <w:iCs/>
              </w:rPr>
            </w:pPr>
            <w:r w:rsidRPr="00463667">
              <w:rPr>
                <w:i/>
                <w:iCs/>
              </w:rPr>
              <w:t>Inpatient facility standard price</w:t>
            </w:r>
          </w:p>
        </w:tc>
        <w:tc>
          <w:tcPr>
            <w:tcW w:w="7920" w:type="dxa"/>
          </w:tcPr>
          <w:p w14:paraId="486C8411" w14:textId="56F26F01" w:rsidR="00BF3DF9" w:rsidRPr="00463667" w:rsidRDefault="00BF3DF9" w:rsidP="00C56CA6">
            <w:pPr>
              <w:pStyle w:val="Body"/>
            </w:pPr>
            <w:r w:rsidRPr="00463667">
              <w:t>Standard prices for inpatient facility services are assigned to each stay and based on the standard per diem price. Standard prices include room, board and ancillary services. Organizations use the length of stay and ICD-9-CM</w:t>
            </w:r>
            <w:r w:rsidR="005600CA">
              <w:t>/ICD-10-CM</w:t>
            </w:r>
            <w:r w:rsidRPr="00463667">
              <w:t xml:space="preserve"> Diagnosis codes to assign the appropriate standard price. Refer to</w:t>
            </w:r>
            <w:r w:rsidRPr="00463667">
              <w:rPr>
                <w:i/>
              </w:rPr>
              <w:t xml:space="preserve"> Calculating Total Standard Cost and Frequency: Inpatient Facility</w:t>
            </w:r>
            <w:r w:rsidRPr="00463667">
              <w:t>.</w:t>
            </w:r>
          </w:p>
        </w:tc>
      </w:tr>
      <w:tr w:rsidR="00BF3DF9" w:rsidRPr="00463667" w14:paraId="13E7CFE5" w14:textId="77777777" w:rsidTr="00C56CA6">
        <w:trPr>
          <w:gridBefore w:val="1"/>
          <w:wBefore w:w="7" w:type="dxa"/>
        </w:trPr>
        <w:tc>
          <w:tcPr>
            <w:tcW w:w="1890" w:type="dxa"/>
          </w:tcPr>
          <w:p w14:paraId="2EADA5EC" w14:textId="77777777" w:rsidR="00BF3DF9" w:rsidRPr="00463667" w:rsidRDefault="00BF3DF9" w:rsidP="00C56CA6">
            <w:pPr>
              <w:pStyle w:val="MarginSubhead"/>
              <w:jc w:val="right"/>
              <w:rPr>
                <w:i/>
                <w:iCs/>
              </w:rPr>
            </w:pPr>
            <w:r w:rsidRPr="00463667">
              <w:rPr>
                <w:i/>
                <w:iCs/>
              </w:rPr>
              <w:t>E&amp;M; surgery and procedure standard price</w:t>
            </w:r>
          </w:p>
        </w:tc>
        <w:tc>
          <w:tcPr>
            <w:tcW w:w="7920" w:type="dxa"/>
          </w:tcPr>
          <w:p w14:paraId="56C30D73" w14:textId="77777777" w:rsidR="00BF3DF9" w:rsidRPr="00463667" w:rsidRDefault="00BF3DF9" w:rsidP="00C56CA6">
            <w:pPr>
              <w:pStyle w:val="Body"/>
            </w:pPr>
            <w:r w:rsidRPr="00463667">
              <w:t xml:space="preserve">Standard prices for E&amp;M and surgery and procedure services (professional component) use a </w:t>
            </w:r>
            <w:r w:rsidRPr="00463667">
              <w:rPr>
                <w:u w:val="single"/>
              </w:rPr>
              <w:t>r</w:t>
            </w:r>
            <w:r w:rsidRPr="00463667">
              <w:t>esource-</w:t>
            </w:r>
            <w:r w:rsidRPr="00463667">
              <w:rPr>
                <w:u w:val="single"/>
              </w:rPr>
              <w:t>b</w:t>
            </w:r>
            <w:r w:rsidRPr="00463667">
              <w:t xml:space="preserve">ased, </w:t>
            </w:r>
            <w:r w:rsidRPr="00463667">
              <w:rPr>
                <w:u w:val="single"/>
              </w:rPr>
              <w:t>r</w:t>
            </w:r>
            <w:r w:rsidRPr="00463667">
              <w:t xml:space="preserve">elative </w:t>
            </w:r>
            <w:r w:rsidRPr="00463667">
              <w:rPr>
                <w:u w:val="single"/>
              </w:rPr>
              <w:t>v</w:t>
            </w:r>
            <w:r w:rsidRPr="00463667">
              <w:t xml:space="preserve">alue </w:t>
            </w:r>
            <w:r w:rsidRPr="00463667">
              <w:rPr>
                <w:u w:val="single"/>
              </w:rPr>
              <w:t>s</w:t>
            </w:r>
            <w:r w:rsidRPr="00463667">
              <w:t>cale (RBRVS) that establishes consistent prices across a wide range of professional services, including those performed by different specialists and other professionals. Additionally, inpatient, E&amp;M and surgery and procedure services are summarized and collected separately from outpatient services. Refer to</w:t>
            </w:r>
            <w:r w:rsidRPr="00463667">
              <w:rPr>
                <w:i/>
              </w:rPr>
              <w:t xml:space="preserve"> Calculating Total Standard Cost: E&amp;M, Surgery and Procedure.</w:t>
            </w:r>
          </w:p>
        </w:tc>
      </w:tr>
      <w:tr w:rsidR="00BF3DF9" w:rsidRPr="00463667" w14:paraId="3F6B0822" w14:textId="77777777" w:rsidTr="00C56CA6">
        <w:tc>
          <w:tcPr>
            <w:tcW w:w="1897" w:type="dxa"/>
            <w:gridSpan w:val="2"/>
            <w:tcMar>
              <w:left w:w="115" w:type="dxa"/>
              <w:right w:w="115" w:type="dxa"/>
            </w:tcMar>
          </w:tcPr>
          <w:p w14:paraId="3F1F32DF" w14:textId="77777777" w:rsidR="00BF3DF9" w:rsidRPr="00463667" w:rsidRDefault="00BF3DF9" w:rsidP="00C56CA6">
            <w:pPr>
              <w:pStyle w:val="MarginSubhead"/>
              <w:jc w:val="right"/>
              <w:rPr>
                <w:i/>
                <w:iCs/>
              </w:rPr>
            </w:pPr>
            <w:r w:rsidRPr="00463667">
              <w:rPr>
                <w:i/>
                <w:iCs/>
              </w:rPr>
              <w:t>Diagnostic imaging and laboratory standard price</w:t>
            </w:r>
          </w:p>
        </w:tc>
        <w:tc>
          <w:tcPr>
            <w:tcW w:w="7920" w:type="dxa"/>
            <w:tcMar>
              <w:left w:w="115" w:type="dxa"/>
              <w:right w:w="115" w:type="dxa"/>
            </w:tcMar>
          </w:tcPr>
          <w:p w14:paraId="2AEF7512" w14:textId="77777777" w:rsidR="00BF3DF9" w:rsidRPr="00463667" w:rsidRDefault="00BF3DF9" w:rsidP="00C56CA6">
            <w:pPr>
              <w:pStyle w:val="Body"/>
            </w:pPr>
            <w:r w:rsidRPr="00463667">
              <w:rPr>
                <w:szCs w:val="20"/>
              </w:rPr>
              <w:t>Standard prices for imaging and laboratory services (professional and technical components) use an approach that establishes consistent prices across a wide range of services, including those performed by facilities, specialists and other professionals. An RBRVS is the primary source of data for these prices.</w:t>
            </w:r>
          </w:p>
        </w:tc>
      </w:tr>
      <w:tr w:rsidR="007058EB" w:rsidRPr="00463667" w14:paraId="06594FBC" w14:textId="77777777" w:rsidTr="00C56CA6">
        <w:tc>
          <w:tcPr>
            <w:tcW w:w="1897" w:type="dxa"/>
            <w:gridSpan w:val="2"/>
            <w:tcMar>
              <w:left w:w="115" w:type="dxa"/>
              <w:right w:w="115" w:type="dxa"/>
            </w:tcMar>
          </w:tcPr>
          <w:p w14:paraId="69108CDF" w14:textId="7B325EC6" w:rsidR="007058EB" w:rsidRPr="00463667" w:rsidRDefault="007058EB" w:rsidP="00C56CA6">
            <w:pPr>
              <w:pStyle w:val="MarginSubhead"/>
              <w:jc w:val="right"/>
              <w:rPr>
                <w:i/>
                <w:iCs/>
              </w:rPr>
            </w:pPr>
            <w:r w:rsidRPr="00463667">
              <w:rPr>
                <w:i/>
                <w:iCs/>
              </w:rPr>
              <w:t>Pharmacy standard price</w:t>
            </w:r>
          </w:p>
        </w:tc>
        <w:tc>
          <w:tcPr>
            <w:tcW w:w="7920" w:type="dxa"/>
            <w:tcMar>
              <w:left w:w="115" w:type="dxa"/>
              <w:right w:w="115" w:type="dxa"/>
            </w:tcMar>
          </w:tcPr>
          <w:p w14:paraId="3AF93B00" w14:textId="686F0532" w:rsidR="007058EB" w:rsidRPr="007058EB" w:rsidRDefault="007058EB" w:rsidP="00C56CA6">
            <w:pPr>
              <w:pStyle w:val="Body"/>
            </w:pPr>
            <w:r w:rsidRPr="007058EB">
              <w:t xml:space="preserve">Standard prices for ambulatory prescriptions are based on an index of average wholesale prices for drugs of interest. The standard price is listed per metric quantity for each NDC code. Organizations that do not capture the metric quantity for a prescription can use the standard price per </w:t>
            </w:r>
            <w:proofErr w:type="spellStart"/>
            <w:r w:rsidRPr="007058EB">
              <w:t>days</w:t>
            </w:r>
            <w:proofErr w:type="spellEnd"/>
            <w:r w:rsidRPr="007058EB">
              <w:t xml:space="preserve"> supply for an NDC.</w:t>
            </w:r>
          </w:p>
        </w:tc>
      </w:tr>
    </w:tbl>
    <w:p w14:paraId="0823DCF7" w14:textId="77777777" w:rsidR="00BF3DF9" w:rsidRPr="00463667" w:rsidRDefault="00BF3DF9" w:rsidP="00BF3DF9">
      <w:pPr>
        <w:sectPr w:rsidR="00BF3DF9" w:rsidRPr="00463667" w:rsidSect="00C56CA6">
          <w:pgSz w:w="12240" w:h="15840" w:code="1"/>
          <w:pgMar w:top="1080" w:right="1080" w:bottom="1080" w:left="1440" w:header="720" w:footer="720" w:gutter="0"/>
          <w:cols w:space="720"/>
          <w:docGrid w:linePitch="360"/>
        </w:sectPr>
      </w:pPr>
    </w:p>
    <w:tbl>
      <w:tblPr>
        <w:tblW w:w="9925" w:type="dxa"/>
        <w:tblInd w:w="-90" w:type="dxa"/>
        <w:tblLayout w:type="fixed"/>
        <w:tblLook w:val="0000" w:firstRow="0" w:lastRow="0" w:firstColumn="0" w:lastColumn="0" w:noHBand="0" w:noVBand="0"/>
      </w:tblPr>
      <w:tblGrid>
        <w:gridCol w:w="1998"/>
        <w:gridCol w:w="7"/>
        <w:gridCol w:w="7913"/>
        <w:gridCol w:w="7"/>
      </w:tblGrid>
      <w:tr w:rsidR="00BF3DF9" w:rsidRPr="00463667" w14:paraId="6FDE9BE7" w14:textId="77777777" w:rsidTr="00C56CA6">
        <w:trPr>
          <w:gridAfter w:val="1"/>
          <w:wAfter w:w="7" w:type="dxa"/>
        </w:trPr>
        <w:tc>
          <w:tcPr>
            <w:tcW w:w="1998" w:type="dxa"/>
            <w:tcMar>
              <w:left w:w="115" w:type="dxa"/>
              <w:right w:w="115" w:type="dxa"/>
            </w:tcMar>
          </w:tcPr>
          <w:p w14:paraId="62E0B6B0" w14:textId="2BFBEFFC" w:rsidR="00BF3DF9" w:rsidRPr="00463667" w:rsidRDefault="00BF3DF9" w:rsidP="00C56CA6">
            <w:pPr>
              <w:pStyle w:val="MarginSubhead"/>
              <w:spacing w:before="0"/>
              <w:jc w:val="right"/>
              <w:rPr>
                <w:i/>
                <w:iCs/>
              </w:rPr>
            </w:pPr>
          </w:p>
        </w:tc>
        <w:tc>
          <w:tcPr>
            <w:tcW w:w="7920" w:type="dxa"/>
            <w:gridSpan w:val="2"/>
            <w:tcMar>
              <w:left w:w="115" w:type="dxa"/>
              <w:right w:w="115" w:type="dxa"/>
            </w:tcMar>
          </w:tcPr>
          <w:p w14:paraId="1DC15E10" w14:textId="77777777" w:rsidR="00BF3DF9" w:rsidRPr="00463667" w:rsidRDefault="00BF3DF9" w:rsidP="007058EB">
            <w:pPr>
              <w:pStyle w:val="Body"/>
              <w:spacing w:before="0"/>
              <w:rPr>
                <w:szCs w:val="20"/>
              </w:rPr>
            </w:pPr>
            <w:r w:rsidRPr="00463667">
              <w:rPr>
                <w:szCs w:val="20"/>
              </w:rPr>
              <w:t xml:space="preserve">Both the standard price per metric quantity and the standard price per </w:t>
            </w:r>
            <w:proofErr w:type="spellStart"/>
            <w:r w:rsidRPr="00463667">
              <w:rPr>
                <w:szCs w:val="20"/>
              </w:rPr>
              <w:t>days</w:t>
            </w:r>
            <w:proofErr w:type="spellEnd"/>
            <w:r w:rsidRPr="00463667">
              <w:rPr>
                <w:szCs w:val="20"/>
              </w:rPr>
              <w:t xml:space="preserve"> supply are included in the SPT posted on the NCQA Web site (</w:t>
            </w:r>
            <w:hyperlink r:id="rId27" w:history="1">
              <w:r w:rsidRPr="00463667">
                <w:rPr>
                  <w:szCs w:val="20"/>
                </w:rPr>
                <w:t>www.ncqa.org</w:t>
              </w:r>
            </w:hyperlink>
            <w:r w:rsidRPr="00463667">
              <w:rPr>
                <w:szCs w:val="20"/>
              </w:rPr>
              <w:t>). Refer to Calculating Total Standard Cost: Pharmacy Services.</w:t>
            </w:r>
          </w:p>
          <w:p w14:paraId="1E42485B" w14:textId="77777777" w:rsidR="00BF3DF9" w:rsidRPr="00463667" w:rsidRDefault="00BF3DF9" w:rsidP="00C56CA6">
            <w:pPr>
              <w:pStyle w:val="Note"/>
            </w:pPr>
            <w:r w:rsidRPr="00463667">
              <w:rPr>
                <w:b/>
              </w:rPr>
              <w:t>Note:</w:t>
            </w:r>
            <w:r w:rsidRPr="00463667">
              <w:t xml:space="preserve"> Medical supplies (e.g., syringes) are not included in these measures.</w:t>
            </w:r>
          </w:p>
        </w:tc>
      </w:tr>
      <w:tr w:rsidR="00BF3DF9" w:rsidRPr="00463667" w14:paraId="1C2C4B81" w14:textId="77777777" w:rsidTr="00C56CA6">
        <w:tc>
          <w:tcPr>
            <w:tcW w:w="2005" w:type="dxa"/>
            <w:gridSpan w:val="2"/>
            <w:tcMar>
              <w:left w:w="115" w:type="dxa"/>
              <w:right w:w="115" w:type="dxa"/>
            </w:tcMar>
          </w:tcPr>
          <w:p w14:paraId="4A0FECBF" w14:textId="77777777" w:rsidR="00BF3DF9" w:rsidRPr="00463667" w:rsidRDefault="00BF3DF9" w:rsidP="00C56CA6">
            <w:pPr>
              <w:pStyle w:val="MarginSubhead"/>
            </w:pPr>
            <w:r w:rsidRPr="00463667">
              <w:t xml:space="preserve">Metric quantity </w:t>
            </w:r>
          </w:p>
        </w:tc>
        <w:tc>
          <w:tcPr>
            <w:tcW w:w="7920" w:type="dxa"/>
            <w:gridSpan w:val="2"/>
            <w:tcMar>
              <w:left w:w="115" w:type="dxa"/>
              <w:right w:w="115" w:type="dxa"/>
            </w:tcMar>
          </w:tcPr>
          <w:p w14:paraId="5FFA30BA" w14:textId="77777777" w:rsidR="00BF3DF9" w:rsidRPr="00463667" w:rsidRDefault="00BF3DF9" w:rsidP="00C56CA6">
            <w:pPr>
              <w:pStyle w:val="Body"/>
            </w:pPr>
            <w:r w:rsidRPr="00463667">
              <w:t xml:space="preserve">For an ambulatory prescription, the number of metric units dispensed. Metric quantity considers the number of pills (or </w:t>
            </w:r>
            <w:proofErr w:type="spellStart"/>
            <w:r w:rsidRPr="00463667">
              <w:t>days</w:t>
            </w:r>
            <w:proofErr w:type="spellEnd"/>
            <w:r w:rsidRPr="00463667">
              <w:t xml:space="preserve"> supply), as well as pill strength, and is more precise than estimating quantity using “</w:t>
            </w:r>
            <w:proofErr w:type="spellStart"/>
            <w:r w:rsidRPr="00463667">
              <w:t>days</w:t>
            </w:r>
            <w:proofErr w:type="spellEnd"/>
            <w:r w:rsidRPr="00463667">
              <w:t xml:space="preserve"> supply” only. </w:t>
            </w:r>
          </w:p>
        </w:tc>
      </w:tr>
      <w:tr w:rsidR="00BF3DF9" w:rsidRPr="00463667" w14:paraId="4D919EE9" w14:textId="77777777" w:rsidTr="00C56CA6">
        <w:tc>
          <w:tcPr>
            <w:tcW w:w="2005" w:type="dxa"/>
            <w:gridSpan w:val="2"/>
            <w:tcMar>
              <w:left w:w="115" w:type="dxa"/>
              <w:right w:w="115" w:type="dxa"/>
            </w:tcMar>
          </w:tcPr>
          <w:p w14:paraId="6A5957F9" w14:textId="77777777" w:rsidR="00BF3DF9" w:rsidRPr="00463667" w:rsidRDefault="00BF3DF9" w:rsidP="00C56CA6">
            <w:pPr>
              <w:pStyle w:val="MarginSubhead"/>
            </w:pPr>
            <w:r w:rsidRPr="00463667">
              <w:t>Observed amount</w:t>
            </w:r>
          </w:p>
        </w:tc>
        <w:tc>
          <w:tcPr>
            <w:tcW w:w="7920" w:type="dxa"/>
            <w:gridSpan w:val="2"/>
            <w:tcMar>
              <w:left w:w="115" w:type="dxa"/>
              <w:right w:w="115" w:type="dxa"/>
            </w:tcMar>
          </w:tcPr>
          <w:p w14:paraId="0090C992" w14:textId="77777777" w:rsidR="00BF3DF9" w:rsidRPr="00463667" w:rsidRDefault="00BF3DF9" w:rsidP="00C56CA6">
            <w:pPr>
              <w:pStyle w:val="Body"/>
            </w:pPr>
            <w:r w:rsidRPr="00463667">
              <w:t>Observed amounts represent the organization’s services and costs for the eligible population during the treatment period.</w:t>
            </w:r>
          </w:p>
        </w:tc>
      </w:tr>
      <w:tr w:rsidR="00BF3DF9" w:rsidRPr="00463667" w14:paraId="40EEB5FE" w14:textId="77777777" w:rsidTr="00C56CA6">
        <w:tc>
          <w:tcPr>
            <w:tcW w:w="2005" w:type="dxa"/>
            <w:gridSpan w:val="2"/>
            <w:tcMar>
              <w:left w:w="115" w:type="dxa"/>
              <w:right w:w="115" w:type="dxa"/>
            </w:tcMar>
          </w:tcPr>
          <w:p w14:paraId="668A2550" w14:textId="77777777" w:rsidR="00BF3DF9" w:rsidRPr="00463667" w:rsidRDefault="00BF3DF9" w:rsidP="00C56CA6">
            <w:pPr>
              <w:pStyle w:val="MarginSubhead"/>
            </w:pPr>
            <w:r w:rsidRPr="00463667">
              <w:t>Expected amount</w:t>
            </w:r>
          </w:p>
        </w:tc>
        <w:tc>
          <w:tcPr>
            <w:tcW w:w="7920" w:type="dxa"/>
            <w:gridSpan w:val="2"/>
            <w:tcMar>
              <w:left w:w="115" w:type="dxa"/>
              <w:right w:w="115" w:type="dxa"/>
            </w:tcMar>
          </w:tcPr>
          <w:p w14:paraId="5CC65D1B" w14:textId="702D8BA2" w:rsidR="00BF3DF9" w:rsidRPr="00463667" w:rsidRDefault="00BF3DF9" w:rsidP="00166DDA">
            <w:pPr>
              <w:pStyle w:val="Body"/>
              <w:rPr>
                <w:kern w:val="24"/>
                <w:szCs w:val="20"/>
              </w:rPr>
            </w:pPr>
            <w:r w:rsidRPr="00463667">
              <w:rPr>
                <w:kern w:val="24"/>
                <w:szCs w:val="20"/>
              </w:rPr>
              <w:t>NCQA calculates expected amounts based on national norms (i.e., based on data submitted to NCQA) after risk adjustment for the organization’s mix of conditions and members.</w:t>
            </w:r>
          </w:p>
        </w:tc>
      </w:tr>
      <w:tr w:rsidR="00BF3DF9" w:rsidRPr="00463667" w14:paraId="4CC8A302" w14:textId="77777777" w:rsidTr="007058EB">
        <w:tc>
          <w:tcPr>
            <w:tcW w:w="2005" w:type="dxa"/>
            <w:gridSpan w:val="2"/>
            <w:tcMar>
              <w:left w:w="115" w:type="dxa"/>
              <w:right w:w="115" w:type="dxa"/>
            </w:tcMar>
          </w:tcPr>
          <w:p w14:paraId="20C89B4E" w14:textId="77777777" w:rsidR="00BF3DF9" w:rsidRPr="00463667" w:rsidRDefault="00BF3DF9" w:rsidP="00C56CA6">
            <w:pPr>
              <w:pStyle w:val="MarginSubhead"/>
              <w:rPr>
                <w:rFonts w:cs="Arial"/>
                <w:szCs w:val="20"/>
              </w:rPr>
            </w:pPr>
            <w:r w:rsidRPr="00463667">
              <w:rPr>
                <w:rFonts w:cs="Arial"/>
                <w:szCs w:val="20"/>
              </w:rPr>
              <w:t>Risk adjustment</w:t>
            </w:r>
          </w:p>
        </w:tc>
        <w:tc>
          <w:tcPr>
            <w:tcW w:w="7920" w:type="dxa"/>
            <w:gridSpan w:val="2"/>
            <w:tcMar>
              <w:left w:w="115" w:type="dxa"/>
              <w:right w:w="115" w:type="dxa"/>
            </w:tcMar>
          </w:tcPr>
          <w:p w14:paraId="4AFAC47F" w14:textId="77777777" w:rsidR="00BF3DF9" w:rsidRPr="00463667" w:rsidRDefault="00BF3DF9" w:rsidP="00C56CA6">
            <w:pPr>
              <w:pStyle w:val="Body"/>
            </w:pPr>
            <w:r w:rsidRPr="00463667">
              <w:t xml:space="preserve">A method that adjusts each measure’s results based on hierarchical condition categories (HCC) risk adjustment approach. This approach combines diagnosis codes into a reduced code set of condition risk categories. Then, where relevant, condition risk categories and category combinations are mapped to disease groups called Hierarchical Condition Categories (HCC). </w:t>
            </w:r>
          </w:p>
          <w:p w14:paraId="115108B7" w14:textId="77777777" w:rsidR="00BF3DF9" w:rsidRPr="00463667" w:rsidRDefault="00BF3DF9" w:rsidP="00C56CA6">
            <w:pPr>
              <w:pStyle w:val="Body"/>
            </w:pPr>
            <w:r w:rsidRPr="00463667">
              <w:t xml:space="preserve">The approach further groups patients based on age, gender and condition to determine each patient’s risk weight. Risk weight scores are then assigned to </w:t>
            </w:r>
            <w:r w:rsidRPr="00463667">
              <w:rPr>
                <w:rFonts w:cs="Arial"/>
                <w:szCs w:val="20"/>
              </w:rPr>
              <w:t>one of 13 risk groups</w:t>
            </w:r>
            <w:r w:rsidRPr="00463667">
              <w:t>.</w:t>
            </w:r>
          </w:p>
          <w:p w14:paraId="6CC82061" w14:textId="77777777" w:rsidR="00BF3DF9" w:rsidRPr="00463667" w:rsidRDefault="00BF3DF9" w:rsidP="00C56CA6">
            <w:pPr>
              <w:pStyle w:val="Body"/>
            </w:pPr>
            <w:r w:rsidRPr="00463667">
              <w:t xml:space="preserve">Download the risk adjustment tables from </w:t>
            </w:r>
            <w:hyperlink r:id="rId28" w:history="1">
              <w:r w:rsidRPr="00463667">
                <w:t>www.ncqa.org</w:t>
              </w:r>
            </w:hyperlink>
            <w:r w:rsidRPr="00463667">
              <w:t>:</w:t>
            </w:r>
          </w:p>
          <w:p w14:paraId="548F2984" w14:textId="77777777" w:rsidR="00BF3DF9" w:rsidRPr="00463667" w:rsidRDefault="00BF3DF9" w:rsidP="007058EB">
            <w:pPr>
              <w:pStyle w:val="Bullet"/>
              <w:spacing w:before="60"/>
            </w:pPr>
            <w:r w:rsidRPr="00463667">
              <w:t>Table CC—Comorbid.</w:t>
            </w:r>
          </w:p>
          <w:p w14:paraId="13388599" w14:textId="77777777" w:rsidR="00BF3DF9" w:rsidRPr="00463667" w:rsidRDefault="00BF3DF9" w:rsidP="007058EB">
            <w:pPr>
              <w:pStyle w:val="Bullet"/>
              <w:spacing w:before="60"/>
            </w:pPr>
            <w:r w:rsidRPr="00463667">
              <w:t>Table HCC—Rank.</w:t>
            </w:r>
          </w:p>
          <w:p w14:paraId="7A69ED7C" w14:textId="77777777" w:rsidR="00BF3DF9" w:rsidRPr="00463667" w:rsidRDefault="00BF3DF9" w:rsidP="007058EB">
            <w:pPr>
              <w:pStyle w:val="Bullet"/>
              <w:spacing w:before="60"/>
            </w:pPr>
            <w:r w:rsidRPr="00463667">
              <w:t>Table RRU—Weight.</w:t>
            </w:r>
          </w:p>
        </w:tc>
      </w:tr>
      <w:tr w:rsidR="00BF3DF9" w:rsidRPr="00463667" w14:paraId="3C8A0E54" w14:textId="77777777" w:rsidTr="00C56CA6">
        <w:tc>
          <w:tcPr>
            <w:tcW w:w="2005" w:type="dxa"/>
            <w:gridSpan w:val="2"/>
            <w:tcMar>
              <w:left w:w="115" w:type="dxa"/>
              <w:right w:w="115" w:type="dxa"/>
            </w:tcMar>
          </w:tcPr>
          <w:p w14:paraId="48227265" w14:textId="77777777" w:rsidR="00BF3DF9" w:rsidRPr="00463667" w:rsidRDefault="00BF3DF9" w:rsidP="00C56CA6">
            <w:pPr>
              <w:pStyle w:val="MarginSubhead"/>
            </w:pPr>
            <w:r w:rsidRPr="00463667">
              <w:t>Risk-adjusted (expected) peer amount</w:t>
            </w:r>
          </w:p>
        </w:tc>
        <w:tc>
          <w:tcPr>
            <w:tcW w:w="7920" w:type="dxa"/>
            <w:gridSpan w:val="2"/>
            <w:tcMar>
              <w:left w:w="115" w:type="dxa"/>
              <w:right w:w="115" w:type="dxa"/>
            </w:tcMar>
          </w:tcPr>
          <w:p w14:paraId="6C8B7165" w14:textId="77777777" w:rsidR="00BF3DF9" w:rsidRPr="00463667" w:rsidRDefault="00BF3DF9" w:rsidP="00C56CA6">
            <w:pPr>
              <w:spacing w:before="180"/>
            </w:pPr>
            <w:r w:rsidRPr="00463667">
              <w:t>For each risk group, NCQA compares the organization’s results with a risk-adjusted peer amount. Peer amounts represent what is expected from an organization that has the same mix of members as other organizations with similar ages and genders.</w:t>
            </w:r>
          </w:p>
        </w:tc>
      </w:tr>
    </w:tbl>
    <w:bookmarkStart w:id="4" w:name="_Toc400546189"/>
    <w:p w14:paraId="1D54C988" w14:textId="43B53FBA" w:rsidR="00BF3DF9" w:rsidRPr="00463667" w:rsidRDefault="00EF7C1A" w:rsidP="007058EB">
      <w:pPr>
        <w:pStyle w:val="StdHead"/>
        <w:spacing w:before="240"/>
      </w:pPr>
      <w:r>
        <w:fldChar w:fldCharType="begin"/>
      </w:r>
      <w:r>
        <w:instrText xml:space="preserve"> HYPERLINK  \l "TOC" </w:instrText>
      </w:r>
      <w:r>
        <w:fldChar w:fldCharType="separate"/>
      </w:r>
      <w:r w:rsidR="00BF3DF9" w:rsidRPr="00EF7C1A">
        <w:t>Overview</w:t>
      </w:r>
      <w:bookmarkEnd w:id="4"/>
      <w:r>
        <w:fldChar w:fldCharType="end"/>
      </w:r>
    </w:p>
    <w:p w14:paraId="58C4221F" w14:textId="77777777" w:rsidR="00BF3DF9" w:rsidRPr="00463667" w:rsidRDefault="00BF3DF9" w:rsidP="00BF3DF9">
      <w:pPr>
        <w:pStyle w:val="Body"/>
        <w:spacing w:before="120"/>
      </w:pPr>
      <w:r w:rsidRPr="00463667">
        <w:t xml:space="preserve">RRU measures report the organization’s total resource use, including cost and service frequency for each eligible member, during each measure’s treatment period. For RRU measures, the treatment period is the </w:t>
      </w:r>
      <w:r w:rsidRPr="00463667">
        <w:br/>
        <w:t xml:space="preserve">12-month measurement year and resource use is calculated for all services, whether or not they relate to the chronic condition. </w:t>
      </w:r>
    </w:p>
    <w:bookmarkStart w:id="5" w:name="_Toc400546190"/>
    <w:p w14:paraId="775DF68B" w14:textId="3E870203" w:rsidR="00BF3DF9" w:rsidRPr="00463667" w:rsidRDefault="00EF7C1A" w:rsidP="00BF3DF9">
      <w:pPr>
        <w:pStyle w:val="SubHead"/>
        <w:spacing w:before="200"/>
      </w:pPr>
      <w:r>
        <w:fldChar w:fldCharType="begin"/>
      </w:r>
      <w:r>
        <w:instrText xml:space="preserve"> HYPERLINK  \l "TOC" </w:instrText>
      </w:r>
      <w:r>
        <w:fldChar w:fldCharType="separate"/>
      </w:r>
      <w:r w:rsidR="00BF3DF9" w:rsidRPr="00EF7C1A">
        <w:t>Measurement and Calculation Process</w:t>
      </w:r>
      <w:bookmarkEnd w:id="5"/>
      <w:r>
        <w:fldChar w:fldCharType="end"/>
      </w:r>
    </w:p>
    <w:tbl>
      <w:tblPr>
        <w:tblW w:w="9810" w:type="dxa"/>
        <w:tblInd w:w="-90" w:type="dxa"/>
        <w:tblLayout w:type="fixed"/>
        <w:tblLook w:val="0000" w:firstRow="0" w:lastRow="0" w:firstColumn="0" w:lastColumn="0" w:noHBand="0" w:noVBand="0"/>
      </w:tblPr>
      <w:tblGrid>
        <w:gridCol w:w="900"/>
        <w:gridCol w:w="8910"/>
      </w:tblGrid>
      <w:tr w:rsidR="00BF3DF9" w:rsidRPr="00463667" w14:paraId="3536C8BE" w14:textId="77777777" w:rsidTr="00343766">
        <w:tc>
          <w:tcPr>
            <w:tcW w:w="900" w:type="dxa"/>
          </w:tcPr>
          <w:p w14:paraId="6AC8394A" w14:textId="77777777" w:rsidR="00BF3DF9" w:rsidRPr="00463667" w:rsidRDefault="00BF3DF9" w:rsidP="00343766">
            <w:pPr>
              <w:pStyle w:val="MarginSubhead"/>
              <w:ind w:left="0"/>
              <w:jc w:val="right"/>
              <w:rPr>
                <w:i/>
              </w:rPr>
            </w:pPr>
            <w:r w:rsidRPr="00463667">
              <w:rPr>
                <w:i/>
              </w:rPr>
              <w:t>Step 1</w:t>
            </w:r>
          </w:p>
        </w:tc>
        <w:tc>
          <w:tcPr>
            <w:tcW w:w="8910" w:type="dxa"/>
          </w:tcPr>
          <w:p w14:paraId="1E4AC365" w14:textId="77777777" w:rsidR="00BF3DF9" w:rsidRPr="00463667" w:rsidRDefault="00BF3DF9" w:rsidP="00C56CA6">
            <w:pPr>
              <w:pStyle w:val="Body"/>
            </w:pPr>
            <w:r w:rsidRPr="00463667">
              <w:t>Identify members for each major clinical condition and determine the age and gender category for each member. The medical and pharmacy services for these members are identified for the treatment period.</w:t>
            </w:r>
          </w:p>
        </w:tc>
      </w:tr>
      <w:tr w:rsidR="00BF3DF9" w:rsidRPr="00463667" w14:paraId="13AC8010" w14:textId="77777777" w:rsidTr="00343766">
        <w:tc>
          <w:tcPr>
            <w:tcW w:w="900" w:type="dxa"/>
          </w:tcPr>
          <w:p w14:paraId="11BFECB4" w14:textId="77777777" w:rsidR="00BF3DF9" w:rsidRPr="00463667" w:rsidRDefault="00BF3DF9" w:rsidP="00343766">
            <w:pPr>
              <w:pStyle w:val="MarginSubhead"/>
              <w:ind w:left="0"/>
              <w:jc w:val="right"/>
              <w:rPr>
                <w:i/>
              </w:rPr>
            </w:pPr>
            <w:r w:rsidRPr="00463667">
              <w:rPr>
                <w:i/>
              </w:rPr>
              <w:t>Step 2</w:t>
            </w:r>
          </w:p>
        </w:tc>
        <w:tc>
          <w:tcPr>
            <w:tcW w:w="8910" w:type="dxa"/>
          </w:tcPr>
          <w:p w14:paraId="0AE87A67" w14:textId="77777777" w:rsidR="00BF3DF9" w:rsidRPr="00463667" w:rsidDel="00B372E8" w:rsidRDefault="00BF3DF9" w:rsidP="00C56CA6">
            <w:pPr>
              <w:pStyle w:val="Body"/>
            </w:pPr>
            <w:r w:rsidRPr="00463667">
              <w:t>Calculate total standard costs for each service category using NCQA-provided SPTs. Specifications list services to be measured and SPTs provide the standard price. Refer to the SPT Tables posted on the NCQA Web site (www.ncqa.org).</w:t>
            </w:r>
          </w:p>
        </w:tc>
      </w:tr>
      <w:tr w:rsidR="00BF3DF9" w:rsidRPr="00463667" w14:paraId="74081A48" w14:textId="77777777" w:rsidTr="00343766">
        <w:tc>
          <w:tcPr>
            <w:tcW w:w="900" w:type="dxa"/>
          </w:tcPr>
          <w:p w14:paraId="5BB99398" w14:textId="77777777" w:rsidR="00BF3DF9" w:rsidRPr="00463667" w:rsidRDefault="00BF3DF9" w:rsidP="00343766">
            <w:pPr>
              <w:pStyle w:val="MarginSubhead"/>
              <w:ind w:left="0"/>
              <w:jc w:val="right"/>
              <w:rPr>
                <w:i/>
              </w:rPr>
            </w:pPr>
            <w:r w:rsidRPr="00463667">
              <w:rPr>
                <w:i/>
              </w:rPr>
              <w:t>Step 3</w:t>
            </w:r>
          </w:p>
        </w:tc>
        <w:tc>
          <w:tcPr>
            <w:tcW w:w="8910" w:type="dxa"/>
          </w:tcPr>
          <w:p w14:paraId="79600761" w14:textId="77777777" w:rsidR="00BF3DF9" w:rsidRPr="00463667" w:rsidRDefault="00BF3DF9" w:rsidP="00C56CA6">
            <w:pPr>
              <w:pStyle w:val="Body"/>
            </w:pPr>
            <w:r w:rsidRPr="00463667">
              <w:t>Report service frequency and standard costs for the eligible population by member cohort, across all</w:t>
            </w:r>
            <w:r w:rsidRPr="00463667">
              <w:rPr>
                <w:iCs/>
              </w:rPr>
              <w:t xml:space="preserve"> </w:t>
            </w:r>
            <w:r w:rsidRPr="00463667">
              <w:t xml:space="preserve">service categories. </w:t>
            </w:r>
          </w:p>
        </w:tc>
      </w:tr>
      <w:tr w:rsidR="00BF3DF9" w:rsidRPr="00463667" w14:paraId="7EFAA375" w14:textId="77777777" w:rsidTr="00343766">
        <w:trPr>
          <w:trHeight w:val="243"/>
        </w:trPr>
        <w:tc>
          <w:tcPr>
            <w:tcW w:w="900" w:type="dxa"/>
          </w:tcPr>
          <w:p w14:paraId="75E53AB5" w14:textId="77777777" w:rsidR="00BF3DF9" w:rsidRPr="00463667" w:rsidRDefault="00BF3DF9" w:rsidP="00343766">
            <w:pPr>
              <w:pStyle w:val="MarginSubhead"/>
              <w:ind w:left="0"/>
              <w:jc w:val="right"/>
              <w:rPr>
                <w:bCs/>
                <w:i/>
                <w:iCs/>
              </w:rPr>
            </w:pPr>
            <w:r w:rsidRPr="00463667">
              <w:rPr>
                <w:i/>
              </w:rPr>
              <w:t>Step 4</w:t>
            </w:r>
          </w:p>
        </w:tc>
        <w:tc>
          <w:tcPr>
            <w:tcW w:w="8910" w:type="dxa"/>
          </w:tcPr>
          <w:p w14:paraId="760A2A03" w14:textId="77777777" w:rsidR="00BF3DF9" w:rsidRPr="00463667" w:rsidRDefault="00BF3DF9" w:rsidP="00C56CA6">
            <w:pPr>
              <w:pStyle w:val="Body"/>
            </w:pPr>
            <w:r w:rsidRPr="00463667">
              <w:rPr>
                <w:rFonts w:cs="Arial"/>
                <w:szCs w:val="20"/>
              </w:rPr>
              <w:t xml:space="preserve">NCQA uses the stratified data submitted by all organizations to calculate each organization’s expected RRU amounts for each major clinical condition. </w:t>
            </w:r>
          </w:p>
        </w:tc>
      </w:tr>
    </w:tbl>
    <w:bookmarkStart w:id="6" w:name="_Toc400546191"/>
    <w:p w14:paraId="705DAEC5" w14:textId="24DB786C" w:rsidR="00BF3DF9" w:rsidRPr="00463667" w:rsidRDefault="00EF7C1A" w:rsidP="00BF3DF9">
      <w:pPr>
        <w:pStyle w:val="StdHead"/>
      </w:pPr>
      <w:r>
        <w:lastRenderedPageBreak/>
        <w:fldChar w:fldCharType="begin"/>
      </w:r>
      <w:r>
        <w:instrText xml:space="preserve"> HYPERLINK  \l "TOC" </w:instrText>
      </w:r>
      <w:r>
        <w:fldChar w:fldCharType="separate"/>
      </w:r>
      <w:r w:rsidR="00BF3DF9" w:rsidRPr="00EF7C1A">
        <w:t>Guidelines</w:t>
      </w:r>
      <w:bookmarkEnd w:id="6"/>
      <w:r>
        <w:fldChar w:fldCharType="end"/>
      </w:r>
    </w:p>
    <w:tbl>
      <w:tblPr>
        <w:tblW w:w="9810" w:type="dxa"/>
        <w:tblInd w:w="-90" w:type="dxa"/>
        <w:tblLayout w:type="fixed"/>
        <w:tblLook w:val="0000" w:firstRow="0" w:lastRow="0" w:firstColumn="0" w:lastColumn="0" w:noHBand="0" w:noVBand="0"/>
      </w:tblPr>
      <w:tblGrid>
        <w:gridCol w:w="540"/>
        <w:gridCol w:w="900"/>
        <w:gridCol w:w="3060"/>
        <w:gridCol w:w="2316"/>
        <w:gridCol w:w="2994"/>
      </w:tblGrid>
      <w:tr w:rsidR="00BF3DF9" w:rsidRPr="00463667" w14:paraId="48E0DE12" w14:textId="77777777" w:rsidTr="00C56CA6">
        <w:tc>
          <w:tcPr>
            <w:tcW w:w="540" w:type="dxa"/>
            <w:vMerge w:val="restart"/>
          </w:tcPr>
          <w:p w14:paraId="5506B1BA" w14:textId="77777777" w:rsidR="00BF3DF9" w:rsidRPr="00463667" w:rsidRDefault="00BF3DF9" w:rsidP="00C56CA6">
            <w:pPr>
              <w:pStyle w:val="MarginSubhead"/>
              <w:ind w:left="0"/>
              <w:jc w:val="right"/>
              <w:rPr>
                <w:i/>
              </w:rPr>
            </w:pPr>
            <w:r w:rsidRPr="00463667">
              <w:rPr>
                <w:i/>
              </w:rPr>
              <w:t>1.</w:t>
            </w:r>
          </w:p>
        </w:tc>
        <w:tc>
          <w:tcPr>
            <w:tcW w:w="9270" w:type="dxa"/>
            <w:gridSpan w:val="4"/>
          </w:tcPr>
          <w:p w14:paraId="7CDD17A4" w14:textId="77777777" w:rsidR="00BF3DF9" w:rsidRPr="00463667" w:rsidRDefault="00BF3DF9" w:rsidP="00C56CA6">
            <w:pPr>
              <w:pStyle w:val="Body"/>
              <w:rPr>
                <w:rFonts w:cs="Arial"/>
                <w:szCs w:val="20"/>
              </w:rPr>
            </w:pPr>
            <w:r w:rsidRPr="00463667">
              <w:rPr>
                <w:rFonts w:cs="Arial"/>
                <w:b/>
                <w:szCs w:val="20"/>
              </w:rPr>
              <w:t xml:space="preserve">Reporting the RRU measures. </w:t>
            </w:r>
            <w:r w:rsidRPr="00463667">
              <w:rPr>
                <w:rFonts w:cs="Arial"/>
                <w:szCs w:val="20"/>
              </w:rPr>
              <w:t xml:space="preserve">Organizations </w:t>
            </w:r>
            <w:r w:rsidRPr="00463667">
              <w:rPr>
                <w:rFonts w:cs="Arial"/>
                <w:i/>
                <w:szCs w:val="20"/>
              </w:rPr>
              <w:t>must</w:t>
            </w:r>
            <w:r w:rsidRPr="00463667">
              <w:rPr>
                <w:rFonts w:cs="Arial"/>
                <w:szCs w:val="20"/>
              </w:rPr>
              <w:t xml:space="preserve"> report the related quality EOC measure when reporting RRU measures, specifically: </w:t>
            </w:r>
          </w:p>
        </w:tc>
      </w:tr>
      <w:tr w:rsidR="00BF3DF9" w:rsidRPr="00463667" w14:paraId="54AD88B2" w14:textId="77777777" w:rsidTr="00C56CA6">
        <w:tc>
          <w:tcPr>
            <w:tcW w:w="540" w:type="dxa"/>
            <w:vMerge/>
          </w:tcPr>
          <w:p w14:paraId="75B43D2A" w14:textId="77777777" w:rsidR="00BF3DF9" w:rsidRPr="00463667" w:rsidRDefault="00BF3DF9" w:rsidP="00C56CA6">
            <w:pPr>
              <w:pStyle w:val="MarginSubhead"/>
              <w:ind w:left="0"/>
              <w:jc w:val="right"/>
              <w:rPr>
                <w:i/>
              </w:rPr>
            </w:pPr>
          </w:p>
        </w:tc>
        <w:tc>
          <w:tcPr>
            <w:tcW w:w="3960" w:type="dxa"/>
            <w:gridSpan w:val="2"/>
          </w:tcPr>
          <w:p w14:paraId="1E9B724A" w14:textId="77777777" w:rsidR="00BF3DF9" w:rsidRPr="00463667" w:rsidRDefault="00BF3DF9" w:rsidP="00AF2143">
            <w:pPr>
              <w:pStyle w:val="Bullet"/>
              <w:spacing w:before="60"/>
            </w:pPr>
            <w:r w:rsidRPr="00463667">
              <w:t>RDI and CDC.</w:t>
            </w:r>
          </w:p>
          <w:p w14:paraId="4C7C4870" w14:textId="1E52CA7A" w:rsidR="00BF3DF9" w:rsidRPr="00463667" w:rsidRDefault="00BF3DF9" w:rsidP="0099704D">
            <w:pPr>
              <w:pStyle w:val="Bullet"/>
              <w:spacing w:before="60"/>
            </w:pPr>
            <w:r w:rsidRPr="00463667">
              <w:t>RAS with MMA and AMR.</w:t>
            </w:r>
          </w:p>
        </w:tc>
        <w:tc>
          <w:tcPr>
            <w:tcW w:w="2316" w:type="dxa"/>
          </w:tcPr>
          <w:p w14:paraId="56F3DC6F" w14:textId="77777777" w:rsidR="00BF3DF9" w:rsidRPr="00463667" w:rsidRDefault="00BF3DF9" w:rsidP="00AF2143">
            <w:pPr>
              <w:pStyle w:val="ProcessBullet"/>
              <w:spacing w:before="60"/>
            </w:pPr>
            <w:r w:rsidRPr="00463667">
              <w:t>RHY and CBP.</w:t>
            </w:r>
          </w:p>
          <w:p w14:paraId="645C6FCE" w14:textId="77777777" w:rsidR="00BF3DF9" w:rsidRPr="00463667" w:rsidRDefault="00BF3DF9" w:rsidP="00AF2143">
            <w:pPr>
              <w:pStyle w:val="ProcessBullet"/>
              <w:spacing w:before="60"/>
            </w:pPr>
            <w:r w:rsidRPr="00463667">
              <w:t>RCA and PBH.</w:t>
            </w:r>
            <w:r w:rsidRPr="00463667" w:rsidDel="00C47B3E">
              <w:t xml:space="preserve"> </w:t>
            </w:r>
          </w:p>
        </w:tc>
        <w:tc>
          <w:tcPr>
            <w:tcW w:w="2994" w:type="dxa"/>
          </w:tcPr>
          <w:p w14:paraId="493A17BD" w14:textId="77777777" w:rsidR="00BF3DF9" w:rsidRPr="00463667" w:rsidRDefault="00BF3DF9" w:rsidP="00AF2143">
            <w:pPr>
              <w:pStyle w:val="ProcessBullet"/>
              <w:spacing w:before="60"/>
              <w:rPr>
                <w:b/>
              </w:rPr>
            </w:pPr>
            <w:r w:rsidRPr="00463667">
              <w:t>RCO with SPR and PCE.</w:t>
            </w:r>
          </w:p>
        </w:tc>
      </w:tr>
      <w:tr w:rsidR="00BF3DF9" w:rsidRPr="00463667" w14:paraId="2D91E41A" w14:textId="77777777" w:rsidTr="00C56CA6">
        <w:tc>
          <w:tcPr>
            <w:tcW w:w="540" w:type="dxa"/>
            <w:vMerge/>
          </w:tcPr>
          <w:p w14:paraId="2062091B" w14:textId="77777777" w:rsidR="00BF3DF9" w:rsidRPr="00463667" w:rsidRDefault="00BF3DF9" w:rsidP="00C56CA6">
            <w:pPr>
              <w:pStyle w:val="MarginSubhead"/>
              <w:ind w:left="0"/>
              <w:jc w:val="right"/>
              <w:rPr>
                <w:i/>
              </w:rPr>
            </w:pPr>
          </w:p>
        </w:tc>
        <w:tc>
          <w:tcPr>
            <w:tcW w:w="9270" w:type="dxa"/>
            <w:gridSpan w:val="4"/>
          </w:tcPr>
          <w:p w14:paraId="72B1E457" w14:textId="77777777" w:rsidR="00BF3DF9" w:rsidRPr="00463667" w:rsidRDefault="00BF3DF9" w:rsidP="00C56CA6">
            <w:pPr>
              <w:pStyle w:val="Body"/>
              <w:rPr>
                <w:rFonts w:cs="Arial"/>
                <w:szCs w:val="20"/>
              </w:rPr>
            </w:pPr>
            <w:r w:rsidRPr="00463667">
              <w:rPr>
                <w:rFonts w:cs="Arial"/>
                <w:szCs w:val="20"/>
              </w:rPr>
              <w:t xml:space="preserve">Additional information on quality indicator requirements for RRU reporting is available in the </w:t>
            </w:r>
            <w:r w:rsidRPr="00463667">
              <w:rPr>
                <w:rFonts w:cs="Arial"/>
                <w:i/>
                <w:szCs w:val="20"/>
              </w:rPr>
              <w:t>How NCQA Calculates a Quality Index</w:t>
            </w:r>
            <w:r w:rsidRPr="00463667">
              <w:rPr>
                <w:rFonts w:cs="Arial"/>
                <w:szCs w:val="20"/>
              </w:rPr>
              <w:t xml:space="preserve"> </w:t>
            </w:r>
            <w:r w:rsidRPr="00463667">
              <w:rPr>
                <w:rFonts w:cs="Arial"/>
                <w:i/>
                <w:szCs w:val="20"/>
              </w:rPr>
              <w:t>for RRU</w:t>
            </w:r>
            <w:r w:rsidRPr="00463667">
              <w:rPr>
                <w:rFonts w:cs="Arial"/>
                <w:szCs w:val="20"/>
              </w:rPr>
              <w:t xml:space="preserve"> document available at </w:t>
            </w:r>
            <w:hyperlink r:id="rId29" w:history="1">
              <w:r w:rsidRPr="00463667">
                <w:rPr>
                  <w:rFonts w:cs="Arial"/>
                  <w:szCs w:val="20"/>
                </w:rPr>
                <w:t>www.ncqa.org/rru</w:t>
              </w:r>
            </w:hyperlink>
            <w:r w:rsidRPr="00463667">
              <w:rPr>
                <w:rFonts w:cs="Arial"/>
                <w:szCs w:val="20"/>
              </w:rPr>
              <w:t xml:space="preserve">. </w:t>
            </w:r>
          </w:p>
        </w:tc>
      </w:tr>
      <w:tr w:rsidR="00BF3DF9" w:rsidRPr="00463667" w14:paraId="383E0391" w14:textId="77777777" w:rsidTr="00C56CA6">
        <w:tc>
          <w:tcPr>
            <w:tcW w:w="540" w:type="dxa"/>
          </w:tcPr>
          <w:p w14:paraId="50E89515" w14:textId="77777777" w:rsidR="00BF3DF9" w:rsidRPr="00463667" w:rsidRDefault="00BF3DF9" w:rsidP="00C56CA6">
            <w:pPr>
              <w:pStyle w:val="MarginSubhead"/>
              <w:ind w:left="0"/>
              <w:jc w:val="right"/>
              <w:rPr>
                <w:i/>
              </w:rPr>
            </w:pPr>
            <w:r w:rsidRPr="00463667">
              <w:rPr>
                <w:i/>
              </w:rPr>
              <w:t>2.</w:t>
            </w:r>
          </w:p>
        </w:tc>
        <w:tc>
          <w:tcPr>
            <w:tcW w:w="9270" w:type="dxa"/>
            <w:gridSpan w:val="4"/>
          </w:tcPr>
          <w:p w14:paraId="05AC2617" w14:textId="77777777" w:rsidR="00BF3DF9" w:rsidRPr="00463667" w:rsidRDefault="00BF3DF9" w:rsidP="00C56CA6">
            <w:pPr>
              <w:pStyle w:val="Body"/>
              <w:rPr>
                <w:rFonts w:cs="Arial"/>
                <w:b/>
                <w:szCs w:val="20"/>
              </w:rPr>
            </w:pPr>
            <w:r w:rsidRPr="00463667">
              <w:rPr>
                <w:b/>
              </w:rPr>
              <w:t xml:space="preserve">Reporting members who switch products and product lines. </w:t>
            </w:r>
            <w:r w:rsidRPr="00463667">
              <w:t>Assign members to the product and product line in which they are enrolled on the last day of the treatment period, as specified in each measure’s eligible population criteria.</w:t>
            </w:r>
          </w:p>
        </w:tc>
      </w:tr>
      <w:tr w:rsidR="00BF3DF9" w:rsidRPr="00463667" w14:paraId="367CC266" w14:textId="77777777" w:rsidTr="00C56CA6">
        <w:tc>
          <w:tcPr>
            <w:tcW w:w="540" w:type="dxa"/>
          </w:tcPr>
          <w:p w14:paraId="3E1BA8E5" w14:textId="77777777" w:rsidR="00BF3DF9" w:rsidRPr="00463667" w:rsidRDefault="00BF3DF9" w:rsidP="00C56CA6">
            <w:pPr>
              <w:pStyle w:val="MarginSubhead"/>
              <w:ind w:left="0"/>
              <w:jc w:val="right"/>
              <w:rPr>
                <w:i/>
              </w:rPr>
            </w:pPr>
            <w:r w:rsidRPr="00463667">
              <w:rPr>
                <w:i/>
              </w:rPr>
              <w:t>3.</w:t>
            </w:r>
          </w:p>
        </w:tc>
        <w:tc>
          <w:tcPr>
            <w:tcW w:w="9270" w:type="dxa"/>
            <w:gridSpan w:val="4"/>
          </w:tcPr>
          <w:p w14:paraId="462B1D27" w14:textId="77777777" w:rsidR="00BF3DF9" w:rsidRPr="00463667" w:rsidRDefault="00BF3DF9" w:rsidP="00C56CA6">
            <w:pPr>
              <w:pStyle w:val="Body"/>
            </w:pPr>
            <w:r w:rsidRPr="00463667">
              <w:rPr>
                <w:b/>
              </w:rPr>
              <w:t xml:space="preserve">Categorizing members by services. </w:t>
            </w:r>
            <w:r w:rsidRPr="00463667">
              <w:t>To identify or further categorize the eligible population (e.g., if an eligible member had major surgery during an inpatient stay), include all services, whether or not the organization paid for them or expects to pay for them (i.e., include denied claims).</w:t>
            </w:r>
          </w:p>
          <w:p w14:paraId="7F0A3156" w14:textId="77777777" w:rsidR="00BF3DF9" w:rsidRPr="00463667" w:rsidRDefault="00BF3DF9" w:rsidP="00C56CA6">
            <w:pPr>
              <w:pStyle w:val="Body"/>
            </w:pPr>
            <w:r w:rsidRPr="00463667">
              <w:rPr>
                <w:b/>
              </w:rPr>
              <w:t>Counting services</w:t>
            </w:r>
            <w:r w:rsidRPr="00463667">
              <w:t xml:space="preserve">. For cost and frequency reporting, report all services the organization paid for or expects to pay for (i.e., claims incurred but not paid yet). </w:t>
            </w:r>
            <w:r w:rsidRPr="00463667">
              <w:rPr>
                <w:i/>
              </w:rPr>
              <w:t>Do not include</w:t>
            </w:r>
            <w:r w:rsidRPr="00463667">
              <w:t xml:space="preserve"> any denied service or day. If a member is enrolled retroactively, count all services for which the organization paid or expects to pay.</w:t>
            </w:r>
          </w:p>
          <w:p w14:paraId="4513BE15" w14:textId="77777777" w:rsidR="00BF3DF9" w:rsidRPr="00463667" w:rsidRDefault="00BF3DF9" w:rsidP="00C56CA6">
            <w:pPr>
              <w:pStyle w:val="Body"/>
            </w:pPr>
            <w:r w:rsidRPr="00463667">
              <w:t>The organization may have:</w:t>
            </w:r>
          </w:p>
          <w:p w14:paraId="216FFFA0" w14:textId="77777777" w:rsidR="00BF3DF9" w:rsidRPr="00463667" w:rsidRDefault="00BF3DF9" w:rsidP="007058EB">
            <w:pPr>
              <w:pStyle w:val="Bullet"/>
              <w:spacing w:before="40"/>
            </w:pPr>
            <w:r w:rsidRPr="00463667">
              <w:t>Covered the full amount.</w:t>
            </w:r>
          </w:p>
          <w:p w14:paraId="60AE685A" w14:textId="77777777" w:rsidR="00BF3DF9" w:rsidRPr="00463667" w:rsidRDefault="00BF3DF9" w:rsidP="007058EB">
            <w:pPr>
              <w:pStyle w:val="Bullet"/>
              <w:spacing w:before="40"/>
            </w:pPr>
            <w:r w:rsidRPr="00463667">
              <w:t>Paid only a portion of the amount (e.g., 80 percent).</w:t>
            </w:r>
          </w:p>
          <w:p w14:paraId="1DE62CA0" w14:textId="77777777" w:rsidR="00BF3DF9" w:rsidRPr="00463667" w:rsidRDefault="00BF3DF9" w:rsidP="007058EB">
            <w:pPr>
              <w:pStyle w:val="Bullet"/>
              <w:spacing w:before="40"/>
            </w:pPr>
            <w:r w:rsidRPr="00463667">
              <w:t xml:space="preserve">Paid nothing because the member covered the entire amount to meet a deductible. </w:t>
            </w:r>
          </w:p>
          <w:p w14:paraId="224AA721" w14:textId="77777777" w:rsidR="00BF3DF9" w:rsidRPr="00463667" w:rsidRDefault="00BF3DF9" w:rsidP="007058EB">
            <w:pPr>
              <w:pStyle w:val="Bullet"/>
              <w:spacing w:before="40"/>
            </w:pPr>
            <w:r w:rsidRPr="00463667">
              <w:t>Paid nothing because the service was covered as part of a PMPM payment.</w:t>
            </w:r>
          </w:p>
          <w:p w14:paraId="06273FC9" w14:textId="77777777" w:rsidR="00BF3DF9" w:rsidRDefault="00BF3DF9" w:rsidP="007058EB">
            <w:pPr>
              <w:pStyle w:val="Bullet"/>
              <w:spacing w:before="40"/>
            </w:pPr>
            <w:r w:rsidRPr="00463667">
              <w:t>Denied the service.</w:t>
            </w:r>
          </w:p>
          <w:p w14:paraId="084EF1E8" w14:textId="77777777" w:rsidR="007058EB" w:rsidRPr="00463667" w:rsidRDefault="007058EB" w:rsidP="007058EB">
            <w:pPr>
              <w:pStyle w:val="Body"/>
            </w:pPr>
            <w:r w:rsidRPr="00463667">
              <w:t>Count the service if:</w:t>
            </w:r>
          </w:p>
          <w:p w14:paraId="57A2F94B" w14:textId="77777777" w:rsidR="007058EB" w:rsidRPr="00463667" w:rsidRDefault="007058EB" w:rsidP="007058EB">
            <w:pPr>
              <w:pStyle w:val="Bullet"/>
              <w:spacing w:before="40"/>
            </w:pPr>
            <w:r w:rsidRPr="00463667">
              <w:t xml:space="preserve">The organization paid the full amount </w:t>
            </w:r>
            <w:r w:rsidRPr="00463667">
              <w:rPr>
                <w:b/>
                <w:bCs/>
                <w:i/>
                <w:iCs/>
              </w:rPr>
              <w:t>or</w:t>
            </w:r>
            <w:r w:rsidRPr="00463667">
              <w:t xml:space="preserve"> a portion of the amount (e.g., 80 percent).</w:t>
            </w:r>
          </w:p>
          <w:p w14:paraId="22428BF0" w14:textId="77777777" w:rsidR="007058EB" w:rsidRPr="00463667" w:rsidRDefault="007058EB" w:rsidP="007058EB">
            <w:pPr>
              <w:pStyle w:val="Bullet"/>
              <w:spacing w:before="40"/>
            </w:pPr>
            <w:r w:rsidRPr="00463667">
              <w:t xml:space="preserve">The member paid for the service as part of the benefit offering (e.g., to meet a deductible), </w:t>
            </w:r>
            <w:r w:rsidRPr="00463667">
              <w:rPr>
                <w:b/>
                <w:bCs/>
                <w:i/>
                <w:iCs/>
              </w:rPr>
              <w:t>or</w:t>
            </w:r>
            <w:r w:rsidRPr="00463667">
              <w:t xml:space="preserve"> </w:t>
            </w:r>
          </w:p>
          <w:p w14:paraId="6DFF39EC" w14:textId="77777777" w:rsidR="007058EB" w:rsidRPr="00463667" w:rsidRDefault="007058EB" w:rsidP="007058EB">
            <w:pPr>
              <w:pStyle w:val="Bullet"/>
              <w:spacing w:before="40"/>
              <w:rPr>
                <w:b/>
              </w:rPr>
            </w:pPr>
            <w:r w:rsidRPr="00463667">
              <w:t>The service was covered under a PMPM payment.</w:t>
            </w:r>
          </w:p>
          <w:p w14:paraId="735DF45D" w14:textId="77777777" w:rsidR="007058EB" w:rsidRPr="00463667" w:rsidRDefault="007058EB" w:rsidP="007058EB">
            <w:pPr>
              <w:pStyle w:val="Body"/>
            </w:pPr>
            <w:r w:rsidRPr="00463667">
              <w:t xml:space="preserve">Do not count the service if: </w:t>
            </w:r>
          </w:p>
          <w:p w14:paraId="767487B2" w14:textId="77777777" w:rsidR="007058EB" w:rsidRPr="00463667" w:rsidRDefault="007058EB" w:rsidP="007058EB">
            <w:pPr>
              <w:pStyle w:val="Bullet"/>
              <w:spacing w:before="40"/>
              <w:rPr>
                <w:i/>
              </w:rPr>
            </w:pPr>
            <w:r w:rsidRPr="00463667">
              <w:t xml:space="preserve">The organization denied the service for any reason, </w:t>
            </w:r>
            <w:r w:rsidRPr="00463667">
              <w:rPr>
                <w:bCs/>
              </w:rPr>
              <w:t>unless</w:t>
            </w:r>
            <w:r w:rsidRPr="00463667">
              <w:t xml:space="preserve"> the member paid for the service as part of the benefit offering (e.g., to meet a deductible),</w:t>
            </w:r>
            <w:r w:rsidRPr="00463667">
              <w:rPr>
                <w:b/>
              </w:rPr>
              <w:t xml:space="preserve"> </w:t>
            </w:r>
            <w:r w:rsidRPr="00463667">
              <w:rPr>
                <w:b/>
                <w:i/>
              </w:rPr>
              <w:t>or</w:t>
            </w:r>
          </w:p>
          <w:p w14:paraId="24FA6EE3" w14:textId="6F86B7DD" w:rsidR="007058EB" w:rsidRPr="00463667" w:rsidRDefault="007058EB" w:rsidP="007058EB">
            <w:pPr>
              <w:pStyle w:val="Bullet"/>
              <w:spacing w:before="40"/>
            </w:pPr>
            <w:r w:rsidRPr="00463667">
              <w:t>The claim for the service was rejected because it was missing information or was invalid for another reason.</w:t>
            </w:r>
          </w:p>
        </w:tc>
      </w:tr>
      <w:tr w:rsidR="00BF3DF9" w:rsidRPr="00463667" w14:paraId="635A8299" w14:textId="77777777" w:rsidTr="00C56CA6">
        <w:tc>
          <w:tcPr>
            <w:tcW w:w="540" w:type="dxa"/>
            <w:vMerge w:val="restart"/>
          </w:tcPr>
          <w:p w14:paraId="7F935DE7" w14:textId="77777777" w:rsidR="00BF3DF9" w:rsidRPr="00463667" w:rsidRDefault="00BF3DF9" w:rsidP="00C56CA6">
            <w:pPr>
              <w:pStyle w:val="MarginSubhead"/>
              <w:ind w:left="0"/>
              <w:jc w:val="right"/>
              <w:rPr>
                <w:i/>
              </w:rPr>
            </w:pPr>
            <w:r w:rsidRPr="00463667">
              <w:rPr>
                <w:i/>
              </w:rPr>
              <w:t>4.</w:t>
            </w:r>
          </w:p>
        </w:tc>
        <w:tc>
          <w:tcPr>
            <w:tcW w:w="9270" w:type="dxa"/>
            <w:gridSpan w:val="4"/>
          </w:tcPr>
          <w:p w14:paraId="5386543D" w14:textId="77777777" w:rsidR="00BF3DF9" w:rsidRPr="00463667" w:rsidRDefault="00BF3DF9" w:rsidP="00C56CA6">
            <w:pPr>
              <w:pStyle w:val="Body"/>
            </w:pPr>
            <w:r w:rsidRPr="00463667">
              <w:rPr>
                <w:b/>
              </w:rPr>
              <w:t xml:space="preserve">Calculating member months. </w:t>
            </w:r>
            <w:r w:rsidRPr="00463667">
              <w:t xml:space="preserve">Count all eligible members with the relevant benefit during the treatment period. Using the following steps, calculate member months after all optional and required exclusions are applied. </w:t>
            </w:r>
          </w:p>
        </w:tc>
      </w:tr>
      <w:tr w:rsidR="00BF3DF9" w:rsidRPr="00463667" w14:paraId="6ED06641" w14:textId="77777777" w:rsidTr="00C56CA6">
        <w:tc>
          <w:tcPr>
            <w:tcW w:w="540" w:type="dxa"/>
            <w:vMerge/>
          </w:tcPr>
          <w:p w14:paraId="22510AA4" w14:textId="77777777" w:rsidR="00BF3DF9" w:rsidRPr="00463667" w:rsidRDefault="00BF3DF9" w:rsidP="00C56CA6">
            <w:pPr>
              <w:pStyle w:val="MarginSubhead"/>
              <w:ind w:left="0"/>
              <w:jc w:val="right"/>
              <w:rPr>
                <w:i/>
              </w:rPr>
            </w:pPr>
          </w:p>
        </w:tc>
        <w:tc>
          <w:tcPr>
            <w:tcW w:w="900" w:type="dxa"/>
          </w:tcPr>
          <w:p w14:paraId="1A11EE00" w14:textId="77777777" w:rsidR="00BF3DF9" w:rsidRPr="00463667" w:rsidRDefault="00BF3DF9" w:rsidP="00C56CA6">
            <w:pPr>
              <w:pStyle w:val="MarginSubhead"/>
              <w:ind w:left="0"/>
              <w:jc w:val="right"/>
              <w:rPr>
                <w:i/>
              </w:rPr>
            </w:pPr>
            <w:r w:rsidRPr="00463667">
              <w:rPr>
                <w:i/>
              </w:rPr>
              <w:t>Step 1</w:t>
            </w:r>
          </w:p>
        </w:tc>
        <w:tc>
          <w:tcPr>
            <w:tcW w:w="8370" w:type="dxa"/>
            <w:gridSpan w:val="3"/>
          </w:tcPr>
          <w:p w14:paraId="3CE44739" w14:textId="77777777" w:rsidR="00BF3DF9" w:rsidRPr="00463667" w:rsidRDefault="00BF3DF9" w:rsidP="00C56CA6">
            <w:pPr>
              <w:pStyle w:val="Body"/>
            </w:pPr>
            <w:r w:rsidRPr="00463667">
              <w:t xml:space="preserve">For chronic condition measures, determine member months using a prespecified day </w:t>
            </w:r>
            <w:r w:rsidRPr="00463667">
              <w:br/>
              <w:t>(e.g., the 15th or the last day of the month), which is determined by the organization’s administrative processes. The day selected must be consistent from month to month and year to year. For example</w:t>
            </w:r>
            <w:r w:rsidRPr="00463667">
              <w:rPr>
                <w:i/>
              </w:rPr>
              <w:t>,</w:t>
            </w:r>
            <w:r w:rsidRPr="00463667">
              <w:t xml:space="preserve"> if the organization tallies membership on the 15th of the month and Ms. X is enrolled in the organization on January 15, Ms. X contributes one member month in January. </w:t>
            </w:r>
          </w:p>
          <w:p w14:paraId="1C8D2BA7" w14:textId="77777777" w:rsidR="00BF3DF9" w:rsidRPr="00463667" w:rsidRDefault="00BF3DF9" w:rsidP="00C56CA6">
            <w:pPr>
              <w:pStyle w:val="Body"/>
              <w:spacing w:before="120"/>
            </w:pPr>
            <w:r w:rsidRPr="00463667">
              <w:rPr>
                <w:i/>
              </w:rPr>
              <w:t>Retroactive enrollment.</w:t>
            </w:r>
            <w:r w:rsidRPr="00463667">
              <w:t xml:space="preserve"> Organizations may count any month in which members were enrolled retrospectively and the organization received a retroactive capitation payment. </w:t>
            </w:r>
          </w:p>
        </w:tc>
      </w:tr>
    </w:tbl>
    <w:p w14:paraId="42BC7733" w14:textId="77777777" w:rsidR="007058EB" w:rsidRDefault="007058EB">
      <w:pPr>
        <w:sectPr w:rsidR="007058EB" w:rsidSect="00C56CA6">
          <w:headerReference w:type="even" r:id="rId30"/>
          <w:headerReference w:type="default" r:id="rId31"/>
          <w:footerReference w:type="even" r:id="rId32"/>
          <w:footerReference w:type="default" r:id="rId33"/>
          <w:pgSz w:w="12240" w:h="15840" w:code="1"/>
          <w:pgMar w:top="1080" w:right="1080" w:bottom="1080" w:left="1440" w:header="720" w:footer="720" w:gutter="0"/>
          <w:cols w:space="720"/>
        </w:sectPr>
      </w:pPr>
    </w:p>
    <w:tbl>
      <w:tblPr>
        <w:tblW w:w="9810" w:type="dxa"/>
        <w:tblInd w:w="-90" w:type="dxa"/>
        <w:tblLayout w:type="fixed"/>
        <w:tblLook w:val="0000" w:firstRow="0" w:lastRow="0" w:firstColumn="0" w:lastColumn="0" w:noHBand="0" w:noVBand="0"/>
      </w:tblPr>
      <w:tblGrid>
        <w:gridCol w:w="720"/>
        <w:gridCol w:w="900"/>
        <w:gridCol w:w="720"/>
        <w:gridCol w:w="7470"/>
      </w:tblGrid>
      <w:tr w:rsidR="00BF3DF9" w:rsidRPr="00463667" w14:paraId="11A49C5F" w14:textId="77777777" w:rsidTr="007058EB">
        <w:tc>
          <w:tcPr>
            <w:tcW w:w="720" w:type="dxa"/>
            <w:vMerge w:val="restart"/>
          </w:tcPr>
          <w:p w14:paraId="4BEFBB7B" w14:textId="77777777" w:rsidR="00BF3DF9" w:rsidRPr="00463667" w:rsidRDefault="00BF3DF9" w:rsidP="00C56CA6">
            <w:pPr>
              <w:pStyle w:val="MarginSubhead"/>
              <w:ind w:left="0"/>
              <w:rPr>
                <w:i/>
              </w:rPr>
            </w:pPr>
          </w:p>
        </w:tc>
        <w:tc>
          <w:tcPr>
            <w:tcW w:w="900" w:type="dxa"/>
          </w:tcPr>
          <w:p w14:paraId="46F83EDE" w14:textId="77777777" w:rsidR="00BF3DF9" w:rsidRPr="00463667" w:rsidRDefault="00BF3DF9" w:rsidP="007058EB">
            <w:pPr>
              <w:pStyle w:val="MarginSubhead"/>
              <w:spacing w:before="0"/>
              <w:ind w:left="0"/>
              <w:jc w:val="right"/>
              <w:rPr>
                <w:i/>
              </w:rPr>
            </w:pPr>
            <w:r w:rsidRPr="00463667">
              <w:rPr>
                <w:i/>
              </w:rPr>
              <w:t>Step 2</w:t>
            </w:r>
          </w:p>
        </w:tc>
        <w:tc>
          <w:tcPr>
            <w:tcW w:w="8190" w:type="dxa"/>
            <w:gridSpan w:val="2"/>
          </w:tcPr>
          <w:p w14:paraId="3C9094AE" w14:textId="77777777" w:rsidR="00BF3DF9" w:rsidRPr="00463667" w:rsidRDefault="00BF3DF9" w:rsidP="007058EB">
            <w:pPr>
              <w:pStyle w:val="Body"/>
              <w:spacing w:before="0"/>
            </w:pPr>
            <w:r w:rsidRPr="00463667">
              <w:t xml:space="preserve">Use the member’s age on the last day of the treatment period to determine the age group where member months are counted. For example, for </w:t>
            </w:r>
            <w:r w:rsidRPr="00463667">
              <w:rPr>
                <w:i/>
              </w:rPr>
              <w:t>Relative Resource Use for People With Diabete</w:t>
            </w:r>
            <w:r w:rsidRPr="00463667">
              <w:t>s, if Ms. X turns 18 on December 31 and is enrolled for the entire treatment period, she contributes 12 member months to the 18–44 age category.</w:t>
            </w:r>
          </w:p>
        </w:tc>
      </w:tr>
      <w:tr w:rsidR="00BF3DF9" w:rsidRPr="00463667" w14:paraId="05BFC358" w14:textId="77777777" w:rsidTr="007058EB">
        <w:tc>
          <w:tcPr>
            <w:tcW w:w="720" w:type="dxa"/>
            <w:vMerge/>
          </w:tcPr>
          <w:p w14:paraId="730FB516" w14:textId="77777777" w:rsidR="00BF3DF9" w:rsidRPr="00463667" w:rsidRDefault="00BF3DF9" w:rsidP="00C56CA6">
            <w:pPr>
              <w:pStyle w:val="MarginSubhead"/>
              <w:ind w:left="0"/>
              <w:rPr>
                <w:i/>
              </w:rPr>
            </w:pPr>
          </w:p>
        </w:tc>
        <w:tc>
          <w:tcPr>
            <w:tcW w:w="900" w:type="dxa"/>
          </w:tcPr>
          <w:p w14:paraId="3CA2FF42" w14:textId="77777777" w:rsidR="00BF3DF9" w:rsidRPr="00463667" w:rsidRDefault="00BF3DF9" w:rsidP="00C56CA6">
            <w:pPr>
              <w:pStyle w:val="MarginSubhead"/>
              <w:ind w:left="0"/>
              <w:jc w:val="right"/>
              <w:rPr>
                <w:i/>
              </w:rPr>
            </w:pPr>
            <w:r w:rsidRPr="00463667">
              <w:rPr>
                <w:i/>
              </w:rPr>
              <w:t>Step 3</w:t>
            </w:r>
          </w:p>
        </w:tc>
        <w:tc>
          <w:tcPr>
            <w:tcW w:w="8190" w:type="dxa"/>
            <w:gridSpan w:val="2"/>
          </w:tcPr>
          <w:p w14:paraId="542760F7" w14:textId="77777777" w:rsidR="00BF3DF9" w:rsidRPr="00463667" w:rsidRDefault="00BF3DF9" w:rsidP="00C56CA6">
            <w:pPr>
              <w:pStyle w:val="Body"/>
            </w:pPr>
            <w:r w:rsidRPr="00463667">
              <w:t>Attribute all member months to the product line in which the member is enrolled on the last day of the treatment period.</w:t>
            </w:r>
          </w:p>
        </w:tc>
      </w:tr>
      <w:tr w:rsidR="00BF3DF9" w:rsidRPr="00463667" w14:paraId="20C4984F" w14:textId="77777777" w:rsidTr="007058EB">
        <w:tc>
          <w:tcPr>
            <w:tcW w:w="720" w:type="dxa"/>
            <w:vMerge/>
          </w:tcPr>
          <w:p w14:paraId="28B5B1C1" w14:textId="77777777" w:rsidR="00BF3DF9" w:rsidRPr="00463667" w:rsidRDefault="00BF3DF9" w:rsidP="00C56CA6">
            <w:pPr>
              <w:pStyle w:val="MarginSubhead"/>
              <w:ind w:left="0"/>
              <w:rPr>
                <w:i/>
              </w:rPr>
            </w:pPr>
          </w:p>
        </w:tc>
        <w:tc>
          <w:tcPr>
            <w:tcW w:w="9090" w:type="dxa"/>
            <w:gridSpan w:val="3"/>
          </w:tcPr>
          <w:p w14:paraId="5D710816" w14:textId="77777777" w:rsidR="00BF3DF9" w:rsidRPr="00463667" w:rsidRDefault="00BF3DF9" w:rsidP="00C56CA6">
            <w:pPr>
              <w:pStyle w:val="Note"/>
              <w:rPr>
                <w:rFonts w:ascii="Arial Narrow" w:hAnsi="Arial Narrow" w:cs="Arial Narrow"/>
                <w:iCs/>
                <w:szCs w:val="20"/>
              </w:rPr>
            </w:pPr>
            <w:r w:rsidRPr="00463667">
              <w:rPr>
                <w:b/>
              </w:rPr>
              <w:t>Note:</w:t>
            </w:r>
            <w:r w:rsidRPr="00463667">
              <w:t xml:space="preserve"> Pharmacy member months are the months during the treatment period when the member is covered by a pharmacy benefit. Calculate pharmacy member months using steps 1–3.</w:t>
            </w:r>
            <w:r w:rsidRPr="00463667">
              <w:rPr>
                <w:rFonts w:ascii="Arial Narrow" w:hAnsi="Arial Narrow" w:cs="Arial Narrow"/>
                <w:iCs/>
                <w:szCs w:val="20"/>
              </w:rPr>
              <w:t xml:space="preserve"> </w:t>
            </w:r>
          </w:p>
          <w:p w14:paraId="54501F10" w14:textId="26EDA282" w:rsidR="00BF3DF9" w:rsidRPr="00463667" w:rsidRDefault="00BF3DF9" w:rsidP="00AF2143">
            <w:pPr>
              <w:autoSpaceDE w:val="0"/>
              <w:autoSpaceDN w:val="0"/>
              <w:adjustRightInd w:val="0"/>
              <w:spacing w:before="60"/>
              <w:rPr>
                <w:rFonts w:cs="Arial"/>
                <w:i/>
                <w:iCs/>
                <w:szCs w:val="20"/>
              </w:rPr>
            </w:pPr>
            <w:r w:rsidRPr="00463667">
              <w:rPr>
                <w:rFonts w:cs="Arial"/>
                <w:i/>
                <w:iCs/>
                <w:szCs w:val="20"/>
              </w:rPr>
              <w:t xml:space="preserve">Organizations that report pharmacy services for a member cohort (e.g., males, 18–44 years of age, risk group 1) must also report pharmacy benefit enrollment (i.e., pharmacy member months must be greater than 0) for that member cohort. </w:t>
            </w:r>
          </w:p>
        </w:tc>
      </w:tr>
      <w:tr w:rsidR="00BF3DF9" w:rsidRPr="00463667" w14:paraId="3CE1CB76" w14:textId="77777777" w:rsidTr="007058EB">
        <w:tc>
          <w:tcPr>
            <w:tcW w:w="720" w:type="dxa"/>
          </w:tcPr>
          <w:p w14:paraId="3113CCF7" w14:textId="77777777" w:rsidR="00BF3DF9" w:rsidRPr="00463667" w:rsidRDefault="00BF3DF9" w:rsidP="00C56CA6">
            <w:pPr>
              <w:pStyle w:val="MarginSubhead"/>
              <w:ind w:left="0"/>
              <w:jc w:val="right"/>
              <w:rPr>
                <w:i/>
              </w:rPr>
            </w:pPr>
            <w:r w:rsidRPr="00463667">
              <w:rPr>
                <w:i/>
              </w:rPr>
              <w:t>5.</w:t>
            </w:r>
          </w:p>
        </w:tc>
        <w:tc>
          <w:tcPr>
            <w:tcW w:w="9090" w:type="dxa"/>
            <w:gridSpan w:val="3"/>
          </w:tcPr>
          <w:p w14:paraId="5FAAF765" w14:textId="77777777" w:rsidR="00BF3DF9" w:rsidRPr="00463667" w:rsidRDefault="00BF3DF9" w:rsidP="00C56CA6">
            <w:pPr>
              <w:pStyle w:val="Body"/>
              <w:rPr>
                <w:b/>
              </w:rPr>
            </w:pPr>
            <w:r w:rsidRPr="00463667">
              <w:rPr>
                <w:b/>
              </w:rPr>
              <w:t xml:space="preserve">Reporting outpatient services. </w:t>
            </w:r>
            <w:r w:rsidRPr="00463667">
              <w:t>To report outpatient procedures and services, count the number of specified services the organization paid for, or expects to pay for, during the treatment period. Report all services under the member’s age and product on the last day of the treatment period.</w:t>
            </w:r>
          </w:p>
        </w:tc>
      </w:tr>
      <w:tr w:rsidR="00BF3DF9" w:rsidRPr="00463667" w14:paraId="705B6731" w14:textId="77777777" w:rsidTr="007058EB">
        <w:trPr>
          <w:cantSplit/>
        </w:trPr>
        <w:tc>
          <w:tcPr>
            <w:tcW w:w="720" w:type="dxa"/>
          </w:tcPr>
          <w:p w14:paraId="3D474BAE" w14:textId="77777777" w:rsidR="00BF3DF9" w:rsidRPr="00463667" w:rsidRDefault="00BF3DF9" w:rsidP="00C56CA6">
            <w:pPr>
              <w:pStyle w:val="MarginSubhead"/>
              <w:ind w:left="0"/>
              <w:jc w:val="right"/>
              <w:rPr>
                <w:i/>
              </w:rPr>
            </w:pPr>
            <w:r w:rsidRPr="00463667">
              <w:rPr>
                <w:i/>
              </w:rPr>
              <w:t>6.</w:t>
            </w:r>
          </w:p>
        </w:tc>
        <w:tc>
          <w:tcPr>
            <w:tcW w:w="9090" w:type="dxa"/>
            <w:gridSpan w:val="3"/>
          </w:tcPr>
          <w:p w14:paraId="732F1592" w14:textId="77777777" w:rsidR="00BF3DF9" w:rsidRPr="00463667" w:rsidRDefault="00BF3DF9" w:rsidP="00C56CA6">
            <w:pPr>
              <w:pStyle w:val="Body"/>
              <w:rPr>
                <w:b/>
              </w:rPr>
            </w:pPr>
            <w:r w:rsidRPr="00463667">
              <w:rPr>
                <w:b/>
              </w:rPr>
              <w:t>Reporting inpatient services.</w:t>
            </w:r>
          </w:p>
        </w:tc>
      </w:tr>
      <w:tr w:rsidR="00BF3DF9" w:rsidRPr="00463667" w14:paraId="407FFFF5" w14:textId="77777777" w:rsidTr="007058EB">
        <w:trPr>
          <w:cantSplit/>
        </w:trPr>
        <w:tc>
          <w:tcPr>
            <w:tcW w:w="720" w:type="dxa"/>
          </w:tcPr>
          <w:p w14:paraId="7D92A507" w14:textId="77777777" w:rsidR="00BF3DF9" w:rsidRPr="00463667" w:rsidRDefault="00BF3DF9" w:rsidP="00C56CA6">
            <w:pPr>
              <w:pStyle w:val="MarginSubhead"/>
              <w:ind w:left="0"/>
              <w:jc w:val="right"/>
              <w:rPr>
                <w:i/>
              </w:rPr>
            </w:pPr>
          </w:p>
        </w:tc>
        <w:tc>
          <w:tcPr>
            <w:tcW w:w="1620" w:type="dxa"/>
            <w:gridSpan w:val="2"/>
          </w:tcPr>
          <w:p w14:paraId="7DD202D6" w14:textId="77777777" w:rsidR="00BF3DF9" w:rsidRPr="00463667" w:rsidRDefault="00BF3DF9" w:rsidP="00C56CA6">
            <w:pPr>
              <w:pStyle w:val="Body"/>
              <w:jc w:val="right"/>
              <w:rPr>
                <w:b/>
              </w:rPr>
            </w:pPr>
            <w:r w:rsidRPr="00463667">
              <w:rPr>
                <w:b/>
                <w:i/>
              </w:rPr>
              <w:t>Services for pricing and frequency</w:t>
            </w:r>
          </w:p>
        </w:tc>
        <w:tc>
          <w:tcPr>
            <w:tcW w:w="7470" w:type="dxa"/>
          </w:tcPr>
          <w:p w14:paraId="7CC3D156" w14:textId="77777777" w:rsidR="00BF3DF9" w:rsidRPr="00463667" w:rsidRDefault="00BF3DF9" w:rsidP="00C56CA6">
            <w:pPr>
              <w:pStyle w:val="Body"/>
            </w:pPr>
            <w:r w:rsidRPr="00463667">
              <w:t>Identify inpatient stays that occurred during the treatment period, even if the inpatient admission was prior to the treatment period or the inpatient discharge was after the end of the treatment period. Refer to the inpatient stay cost calculation instructions.</w:t>
            </w:r>
          </w:p>
          <w:p w14:paraId="7F42CB59" w14:textId="77777777" w:rsidR="00BF3DF9" w:rsidRPr="00463667" w:rsidRDefault="00BF3DF9" w:rsidP="00C56CA6">
            <w:pPr>
              <w:pStyle w:val="Body"/>
              <w:spacing w:before="120"/>
            </w:pPr>
            <w:r w:rsidRPr="00463667">
              <w:t>When reporting frequency of inpatient services, include all priced stays in the frequency counts.</w:t>
            </w:r>
          </w:p>
        </w:tc>
      </w:tr>
      <w:tr w:rsidR="00BF3DF9" w:rsidRPr="00463667" w14:paraId="2D8A087B" w14:textId="77777777" w:rsidTr="007058EB">
        <w:trPr>
          <w:cantSplit/>
        </w:trPr>
        <w:tc>
          <w:tcPr>
            <w:tcW w:w="720" w:type="dxa"/>
          </w:tcPr>
          <w:p w14:paraId="394E59CD" w14:textId="77777777" w:rsidR="00BF3DF9" w:rsidRPr="00463667" w:rsidRDefault="00BF3DF9" w:rsidP="007058EB">
            <w:pPr>
              <w:pStyle w:val="MarginSubhead"/>
              <w:ind w:left="0"/>
              <w:jc w:val="right"/>
              <w:rPr>
                <w:i/>
              </w:rPr>
            </w:pPr>
            <w:r w:rsidRPr="00463667">
              <w:rPr>
                <w:i/>
              </w:rPr>
              <w:t>7.</w:t>
            </w:r>
          </w:p>
        </w:tc>
        <w:tc>
          <w:tcPr>
            <w:tcW w:w="9090" w:type="dxa"/>
            <w:gridSpan w:val="3"/>
          </w:tcPr>
          <w:p w14:paraId="0DD7DEC6" w14:textId="77777777" w:rsidR="00BF3DF9" w:rsidRPr="00463667" w:rsidRDefault="00BF3DF9" w:rsidP="007058EB">
            <w:pPr>
              <w:pStyle w:val="Body"/>
            </w:pPr>
            <w:r w:rsidRPr="00463667">
              <w:rPr>
                <w:b/>
              </w:rPr>
              <w:t xml:space="preserve">Mapping proprietary or other codes. </w:t>
            </w:r>
            <w:r w:rsidRPr="00463667">
              <w:t>Organizations and providers that use proprietary codes, Level II or state-specific Level III HCPCS codes must map them to industry standard codes. Organizations cannot count codes that are not included in the NCQA SPTs. For example, do not count anesthesiology (CPT 00100–01999), which is not included in the NCQA Surgery and Procedure SPT.</w:t>
            </w:r>
          </w:p>
        </w:tc>
      </w:tr>
      <w:tr w:rsidR="00BF3DF9" w:rsidRPr="00463667" w14:paraId="6A096EF1" w14:textId="77777777" w:rsidTr="007058EB">
        <w:trPr>
          <w:cantSplit/>
        </w:trPr>
        <w:tc>
          <w:tcPr>
            <w:tcW w:w="720" w:type="dxa"/>
          </w:tcPr>
          <w:p w14:paraId="23741327" w14:textId="77777777" w:rsidR="00BF3DF9" w:rsidRPr="00463667" w:rsidRDefault="00BF3DF9" w:rsidP="00C56CA6">
            <w:pPr>
              <w:pStyle w:val="MarginSubhead"/>
              <w:spacing w:before="120"/>
              <w:ind w:left="0"/>
              <w:jc w:val="right"/>
              <w:rPr>
                <w:i/>
              </w:rPr>
            </w:pPr>
            <w:r w:rsidRPr="00463667">
              <w:rPr>
                <w:i/>
              </w:rPr>
              <w:t>8.</w:t>
            </w:r>
          </w:p>
        </w:tc>
        <w:tc>
          <w:tcPr>
            <w:tcW w:w="9090" w:type="dxa"/>
            <w:gridSpan w:val="3"/>
          </w:tcPr>
          <w:p w14:paraId="370F890C" w14:textId="77777777" w:rsidR="00BF3DF9" w:rsidRPr="00463667" w:rsidRDefault="00BF3DF9" w:rsidP="00C56CA6">
            <w:pPr>
              <w:pStyle w:val="Body"/>
              <w:spacing w:before="120"/>
              <w:rPr>
                <w:b/>
              </w:rPr>
            </w:pPr>
            <w:r w:rsidRPr="00463667">
              <w:rPr>
                <w:b/>
              </w:rPr>
              <w:t>Counting multiple billings for the same date of service.</w:t>
            </w:r>
          </w:p>
        </w:tc>
      </w:tr>
      <w:tr w:rsidR="00BF3DF9" w:rsidRPr="00463667" w14:paraId="0F7068CA" w14:textId="77777777" w:rsidTr="007058EB">
        <w:tc>
          <w:tcPr>
            <w:tcW w:w="720" w:type="dxa"/>
          </w:tcPr>
          <w:p w14:paraId="06F20EBD" w14:textId="77777777" w:rsidR="00BF3DF9" w:rsidRPr="00463667" w:rsidRDefault="00BF3DF9" w:rsidP="00C56CA6">
            <w:pPr>
              <w:pStyle w:val="MarginSubhead"/>
            </w:pPr>
          </w:p>
        </w:tc>
        <w:tc>
          <w:tcPr>
            <w:tcW w:w="1620" w:type="dxa"/>
            <w:gridSpan w:val="2"/>
          </w:tcPr>
          <w:p w14:paraId="0F2C0D74" w14:textId="77777777" w:rsidR="00BF3DF9" w:rsidRPr="00463667" w:rsidRDefault="00BF3DF9" w:rsidP="00C56CA6">
            <w:pPr>
              <w:pStyle w:val="MarginSubhead"/>
              <w:spacing w:before="120"/>
              <w:ind w:left="0"/>
              <w:jc w:val="right"/>
              <w:rPr>
                <w:i/>
              </w:rPr>
            </w:pPr>
            <w:r w:rsidRPr="00463667">
              <w:rPr>
                <w:i/>
              </w:rPr>
              <w:t>Services for pricing</w:t>
            </w:r>
          </w:p>
        </w:tc>
        <w:tc>
          <w:tcPr>
            <w:tcW w:w="7470" w:type="dxa"/>
          </w:tcPr>
          <w:p w14:paraId="280CD5BD" w14:textId="77777777" w:rsidR="00BF3DF9" w:rsidRPr="00463667" w:rsidRDefault="00BF3DF9" w:rsidP="00C56CA6">
            <w:pPr>
              <w:pStyle w:val="Body"/>
              <w:spacing w:before="120"/>
              <w:rPr>
                <w:rFonts w:cs="Arial"/>
                <w:szCs w:val="20"/>
              </w:rPr>
            </w:pPr>
            <w:r w:rsidRPr="00463667">
              <w:t xml:space="preserve">Count </w:t>
            </w:r>
            <w:r w:rsidRPr="00463667">
              <w:rPr>
                <w:i/>
              </w:rPr>
              <w:t xml:space="preserve">all </w:t>
            </w:r>
            <w:r w:rsidRPr="00463667">
              <w:t xml:space="preserve">services billed for inpatient </w:t>
            </w:r>
            <w:r w:rsidRPr="00463667">
              <w:rPr>
                <w:rFonts w:cs="Arial"/>
                <w:szCs w:val="20"/>
              </w:rPr>
              <w:t xml:space="preserve">facility; E&amp;M; surgery and procedure; and pharmacy pricing. For example, if a surgeon submits a bill for professional charges for an inpatient surgery and a hospital submits a separate bill pertaining to the same surgical episode with the same date of service, include each charge in the appropriate service category (Surgery and Procedure and Inpatient Facility, respectively). </w:t>
            </w:r>
          </w:p>
        </w:tc>
      </w:tr>
      <w:tr w:rsidR="00BF3DF9" w:rsidRPr="00463667" w14:paraId="444A1964" w14:textId="77777777" w:rsidTr="007058EB">
        <w:trPr>
          <w:cantSplit/>
        </w:trPr>
        <w:tc>
          <w:tcPr>
            <w:tcW w:w="720" w:type="dxa"/>
          </w:tcPr>
          <w:p w14:paraId="6670B88A" w14:textId="77777777" w:rsidR="00BF3DF9" w:rsidRPr="00463667" w:rsidRDefault="00BF3DF9" w:rsidP="00C56CA6">
            <w:pPr>
              <w:pStyle w:val="MarginSubhead"/>
            </w:pPr>
          </w:p>
        </w:tc>
        <w:tc>
          <w:tcPr>
            <w:tcW w:w="1620" w:type="dxa"/>
            <w:gridSpan w:val="2"/>
          </w:tcPr>
          <w:p w14:paraId="0D6477F4" w14:textId="77777777" w:rsidR="00BF3DF9" w:rsidRPr="00463667" w:rsidRDefault="00BF3DF9" w:rsidP="00C56CA6">
            <w:pPr>
              <w:pStyle w:val="MarginSubhead"/>
              <w:ind w:left="0"/>
              <w:jc w:val="right"/>
              <w:rPr>
                <w:i/>
              </w:rPr>
            </w:pPr>
            <w:r w:rsidRPr="00463667">
              <w:rPr>
                <w:i/>
              </w:rPr>
              <w:t>Services for frequency</w:t>
            </w:r>
          </w:p>
        </w:tc>
        <w:tc>
          <w:tcPr>
            <w:tcW w:w="7470" w:type="dxa"/>
          </w:tcPr>
          <w:p w14:paraId="625A7BBE" w14:textId="77777777" w:rsidR="00BF3DF9" w:rsidRPr="00463667" w:rsidRDefault="00BF3DF9" w:rsidP="00C56CA6">
            <w:pPr>
              <w:pStyle w:val="Body"/>
            </w:pPr>
            <w:r w:rsidRPr="00463667">
              <w:t>For inpatient discharges, ED visits and condition-specific frequencies, count discharges, not the frequency of procedure codes billed. For example, if a surgeon submits a bill for professional charges for one inpatient stay, and a hospital submits a separate bill pertaining to the same surgical episode with the same date of service, count only one inpatient discharge.</w:t>
            </w:r>
          </w:p>
        </w:tc>
      </w:tr>
      <w:tr w:rsidR="00BF3DF9" w:rsidRPr="00463667" w14:paraId="6DD54C95" w14:textId="77777777" w:rsidTr="007058EB">
        <w:trPr>
          <w:cantSplit/>
        </w:trPr>
        <w:tc>
          <w:tcPr>
            <w:tcW w:w="720" w:type="dxa"/>
          </w:tcPr>
          <w:p w14:paraId="69BCE459" w14:textId="77777777" w:rsidR="00BF3DF9" w:rsidRPr="00463667" w:rsidRDefault="00BF3DF9" w:rsidP="00C56CA6">
            <w:pPr>
              <w:pStyle w:val="MarginSubhead"/>
            </w:pPr>
            <w:r w:rsidRPr="00463667">
              <w:rPr>
                <w:i/>
              </w:rPr>
              <w:t>9.</w:t>
            </w:r>
          </w:p>
        </w:tc>
        <w:tc>
          <w:tcPr>
            <w:tcW w:w="9090" w:type="dxa"/>
            <w:gridSpan w:val="3"/>
          </w:tcPr>
          <w:p w14:paraId="0E910E11" w14:textId="3A0CB90B" w:rsidR="00BF3DF9" w:rsidRPr="00463667" w:rsidRDefault="00BF3DF9" w:rsidP="00C56CA6">
            <w:pPr>
              <w:pStyle w:val="Body"/>
            </w:pPr>
            <w:r w:rsidRPr="00463667">
              <w:rPr>
                <w:b/>
              </w:rPr>
              <w:t>Counting transfers.</w:t>
            </w:r>
            <w:r w:rsidRPr="00463667">
              <w:t xml:space="preserve"> Follow the </w:t>
            </w:r>
            <w:r w:rsidRPr="00463667">
              <w:rPr>
                <w:i/>
              </w:rPr>
              <w:t xml:space="preserve">Guidelines for Utilization </w:t>
            </w:r>
            <w:r w:rsidR="001E64CC" w:rsidRPr="001B7C57">
              <w:rPr>
                <w:i/>
              </w:rPr>
              <w:t>and Risk Adjusted Utilization</w:t>
            </w:r>
            <w:r w:rsidR="001E64CC">
              <w:rPr>
                <w:i/>
              </w:rPr>
              <w:t xml:space="preserve"> </w:t>
            </w:r>
            <w:r w:rsidRPr="00463667">
              <w:rPr>
                <w:i/>
              </w:rPr>
              <w:t>Measures.</w:t>
            </w:r>
          </w:p>
        </w:tc>
      </w:tr>
      <w:tr w:rsidR="00BF3DF9" w:rsidRPr="00463667" w14:paraId="1D960B48" w14:textId="77777777" w:rsidTr="007058EB">
        <w:trPr>
          <w:cantSplit/>
        </w:trPr>
        <w:tc>
          <w:tcPr>
            <w:tcW w:w="720" w:type="dxa"/>
          </w:tcPr>
          <w:p w14:paraId="2AE7E8FD" w14:textId="77777777" w:rsidR="00BF3DF9" w:rsidRPr="00463667" w:rsidRDefault="00BF3DF9" w:rsidP="00C56CA6">
            <w:pPr>
              <w:pStyle w:val="MarginSubhead"/>
            </w:pPr>
          </w:p>
        </w:tc>
        <w:tc>
          <w:tcPr>
            <w:tcW w:w="1620" w:type="dxa"/>
            <w:gridSpan w:val="2"/>
          </w:tcPr>
          <w:p w14:paraId="1DE20B4D" w14:textId="77777777" w:rsidR="00BF3DF9" w:rsidRPr="00463667" w:rsidRDefault="00BF3DF9" w:rsidP="00C56CA6">
            <w:pPr>
              <w:pStyle w:val="MarginSubhead"/>
              <w:spacing w:before="120"/>
              <w:ind w:left="0"/>
              <w:jc w:val="right"/>
              <w:rPr>
                <w:i/>
              </w:rPr>
            </w:pPr>
            <w:r w:rsidRPr="00463667">
              <w:rPr>
                <w:i/>
              </w:rPr>
              <w:t xml:space="preserve">Mental health </w:t>
            </w:r>
            <w:r w:rsidRPr="00463667">
              <w:rPr>
                <w:i/>
              </w:rPr>
              <w:br/>
              <w:t>and chemical dependency transfers</w:t>
            </w:r>
          </w:p>
        </w:tc>
        <w:tc>
          <w:tcPr>
            <w:tcW w:w="7470" w:type="dxa"/>
          </w:tcPr>
          <w:p w14:paraId="03D85734" w14:textId="338B6F97" w:rsidR="00BF3DF9" w:rsidRPr="00463667" w:rsidRDefault="00BF3DF9" w:rsidP="00C56CA6">
            <w:pPr>
              <w:pStyle w:val="Body"/>
              <w:spacing w:before="120"/>
            </w:pPr>
            <w:r w:rsidRPr="00463667">
              <w:t xml:space="preserve">Follow the </w:t>
            </w:r>
            <w:r w:rsidRPr="00463667">
              <w:rPr>
                <w:i/>
              </w:rPr>
              <w:t xml:space="preserve">Guidelines for Utilization </w:t>
            </w:r>
            <w:r w:rsidR="001E64CC" w:rsidRPr="001B7C57">
              <w:rPr>
                <w:i/>
              </w:rPr>
              <w:t>and Risk Adjusted Utilization</w:t>
            </w:r>
            <w:r w:rsidR="001E64CC">
              <w:rPr>
                <w:i/>
              </w:rPr>
              <w:t xml:space="preserve"> </w:t>
            </w:r>
            <w:r w:rsidRPr="00463667">
              <w:rPr>
                <w:i/>
              </w:rPr>
              <w:t>Measures.</w:t>
            </w:r>
          </w:p>
        </w:tc>
      </w:tr>
    </w:tbl>
    <w:p w14:paraId="1CF5457B" w14:textId="77777777" w:rsidR="007058EB" w:rsidRPr="00463667" w:rsidRDefault="007058EB" w:rsidP="007058EB">
      <w:pPr>
        <w:spacing w:before="600"/>
        <w:rPr>
          <w:sz w:val="18"/>
          <w:szCs w:val="18"/>
        </w:rPr>
      </w:pPr>
      <w:r w:rsidRPr="00463667">
        <w:rPr>
          <w:sz w:val="18"/>
          <w:szCs w:val="18"/>
        </w:rPr>
        <w:t>____________</w:t>
      </w:r>
    </w:p>
    <w:p w14:paraId="0877430D" w14:textId="77777777" w:rsidR="007058EB" w:rsidRPr="00463667" w:rsidRDefault="007058EB" w:rsidP="007058EB">
      <w:pPr>
        <w:spacing w:before="60"/>
        <w:rPr>
          <w:sz w:val="18"/>
          <w:szCs w:val="18"/>
        </w:rPr>
        <w:sectPr w:rsidR="007058EB" w:rsidRPr="00463667" w:rsidSect="00C56CA6">
          <w:pgSz w:w="12240" w:h="15840" w:code="1"/>
          <w:pgMar w:top="1080" w:right="1080" w:bottom="1080" w:left="1440" w:header="720" w:footer="720" w:gutter="0"/>
          <w:cols w:space="720"/>
        </w:sectPr>
      </w:pPr>
      <w:r w:rsidRPr="00463667">
        <w:rPr>
          <w:sz w:val="18"/>
          <w:szCs w:val="18"/>
        </w:rPr>
        <w:t xml:space="preserve">Current Procedural Terminology © </w:t>
      </w:r>
      <w:r>
        <w:rPr>
          <w:sz w:val="18"/>
          <w:szCs w:val="18"/>
        </w:rPr>
        <w:t>2015</w:t>
      </w:r>
      <w:r w:rsidRPr="00463667">
        <w:rPr>
          <w:sz w:val="18"/>
          <w:szCs w:val="18"/>
        </w:rPr>
        <w:t xml:space="preserve"> American Medical Association. All rights reserved.</w:t>
      </w:r>
    </w:p>
    <w:tbl>
      <w:tblPr>
        <w:tblW w:w="9810" w:type="dxa"/>
        <w:tblInd w:w="-90" w:type="dxa"/>
        <w:tblLayout w:type="fixed"/>
        <w:tblLook w:val="0000" w:firstRow="0" w:lastRow="0" w:firstColumn="0" w:lastColumn="0" w:noHBand="0" w:noVBand="0"/>
      </w:tblPr>
      <w:tblGrid>
        <w:gridCol w:w="720"/>
        <w:gridCol w:w="1620"/>
        <w:gridCol w:w="7470"/>
      </w:tblGrid>
      <w:tr w:rsidR="00BF3DF9" w:rsidRPr="00463667" w14:paraId="125C4452" w14:textId="77777777" w:rsidTr="007058EB">
        <w:trPr>
          <w:cantSplit/>
        </w:trPr>
        <w:tc>
          <w:tcPr>
            <w:tcW w:w="720" w:type="dxa"/>
          </w:tcPr>
          <w:p w14:paraId="203B9523" w14:textId="77777777" w:rsidR="00BF3DF9" w:rsidRPr="00463667" w:rsidRDefault="00BF3DF9" w:rsidP="007058EB">
            <w:pPr>
              <w:pStyle w:val="MarginSubhead"/>
              <w:spacing w:before="0"/>
            </w:pPr>
            <w:r w:rsidRPr="00463667">
              <w:rPr>
                <w:i/>
              </w:rPr>
              <w:lastRenderedPageBreak/>
              <w:t>10.</w:t>
            </w:r>
          </w:p>
        </w:tc>
        <w:tc>
          <w:tcPr>
            <w:tcW w:w="9090" w:type="dxa"/>
            <w:gridSpan w:val="2"/>
          </w:tcPr>
          <w:p w14:paraId="28D51A3C" w14:textId="77777777" w:rsidR="00BF3DF9" w:rsidRPr="00463667" w:rsidRDefault="00BF3DF9" w:rsidP="007058EB">
            <w:pPr>
              <w:pStyle w:val="Body"/>
              <w:spacing w:before="0"/>
            </w:pPr>
            <w:r w:rsidRPr="00463667">
              <w:rPr>
                <w:b/>
              </w:rPr>
              <w:t>Calculating inpatient services length of stay.</w:t>
            </w:r>
            <w:r w:rsidRPr="00463667">
              <w:t xml:space="preserve"> Use the formula below to report length of stay (LOS).</w:t>
            </w:r>
          </w:p>
        </w:tc>
      </w:tr>
      <w:tr w:rsidR="00BF3DF9" w:rsidRPr="00463667" w14:paraId="6A77687E" w14:textId="77777777" w:rsidTr="007058EB">
        <w:trPr>
          <w:cantSplit/>
        </w:trPr>
        <w:tc>
          <w:tcPr>
            <w:tcW w:w="720" w:type="dxa"/>
          </w:tcPr>
          <w:p w14:paraId="78B5AD11" w14:textId="77777777" w:rsidR="00BF3DF9" w:rsidRPr="00463667" w:rsidRDefault="00BF3DF9" w:rsidP="00C56CA6">
            <w:pPr>
              <w:pStyle w:val="MarginSubhead"/>
              <w:rPr>
                <w:i/>
              </w:rPr>
            </w:pPr>
          </w:p>
        </w:tc>
        <w:tc>
          <w:tcPr>
            <w:tcW w:w="1620" w:type="dxa"/>
          </w:tcPr>
          <w:p w14:paraId="6CBD569D" w14:textId="77777777" w:rsidR="00BF3DF9" w:rsidRPr="00463667" w:rsidRDefault="00BF3DF9" w:rsidP="00C56CA6">
            <w:pPr>
              <w:pStyle w:val="MarginSubhead"/>
              <w:ind w:left="0"/>
              <w:jc w:val="right"/>
              <w:rPr>
                <w:i/>
              </w:rPr>
            </w:pPr>
            <w:r w:rsidRPr="00463667">
              <w:rPr>
                <w:i/>
              </w:rPr>
              <w:t>LOS</w:t>
            </w:r>
          </w:p>
        </w:tc>
        <w:tc>
          <w:tcPr>
            <w:tcW w:w="7470" w:type="dxa"/>
          </w:tcPr>
          <w:p w14:paraId="36B0C58A" w14:textId="77777777" w:rsidR="00BF3DF9" w:rsidRPr="00463667" w:rsidRDefault="00BF3DF9" w:rsidP="00C56CA6">
            <w:pPr>
              <w:pStyle w:val="Body"/>
            </w:pPr>
            <w:r w:rsidRPr="00463667">
              <w:t>All paid days from admission up to discharge. Do not count the last day of the stay unless the admission and discharge date are the same. For inpatient stays that start before the treatment period and end during the treatment period, or that start during the treatment period and end after the treatment period, count all paid days during the inpatient stay, even if they occur outside of the treatment period.</w:t>
            </w:r>
          </w:p>
          <w:p w14:paraId="36970664" w14:textId="77777777" w:rsidR="00BF3DF9" w:rsidRPr="00463667" w:rsidRDefault="00BF3DF9" w:rsidP="00C56CA6">
            <w:pPr>
              <w:pStyle w:val="Body"/>
              <w:spacing w:before="120"/>
              <w:jc w:val="center"/>
            </w:pPr>
            <w:r w:rsidRPr="00463667">
              <w:t>LOS = discharge date – admit date – denied days</w:t>
            </w:r>
          </w:p>
          <w:p w14:paraId="5ADCFA33" w14:textId="77777777" w:rsidR="00BF3DF9" w:rsidRPr="00463667" w:rsidRDefault="00BF3DF9" w:rsidP="00C56CA6">
            <w:pPr>
              <w:pStyle w:val="Note"/>
            </w:pPr>
            <w:r w:rsidRPr="00463667">
              <w:rPr>
                <w:b/>
              </w:rPr>
              <w:t xml:space="preserve">Note: </w:t>
            </w:r>
            <w:r w:rsidRPr="00463667">
              <w:t>When an inpatient revenue code (i.e., UB Revenue code or equivalent) is associated with a stay, the LOS must equal at least one day. If the discharge date and the admission date are the same, the discharge date minus admission date equals 1 day, not 0 days.</w:t>
            </w:r>
          </w:p>
        </w:tc>
      </w:tr>
      <w:tr w:rsidR="00BF3DF9" w:rsidRPr="00463667" w14:paraId="6E21B93F" w14:textId="77777777" w:rsidTr="007058EB">
        <w:trPr>
          <w:cantSplit/>
        </w:trPr>
        <w:tc>
          <w:tcPr>
            <w:tcW w:w="720" w:type="dxa"/>
          </w:tcPr>
          <w:p w14:paraId="01F08E2E" w14:textId="77777777" w:rsidR="00BF3DF9" w:rsidRPr="00463667" w:rsidRDefault="00BF3DF9" w:rsidP="00C56CA6">
            <w:pPr>
              <w:pStyle w:val="MarginSubhead"/>
              <w:spacing w:before="120"/>
              <w:rPr>
                <w:i/>
              </w:rPr>
            </w:pPr>
          </w:p>
        </w:tc>
        <w:tc>
          <w:tcPr>
            <w:tcW w:w="1620" w:type="dxa"/>
          </w:tcPr>
          <w:p w14:paraId="048B3D7A" w14:textId="77777777" w:rsidR="00BF3DF9" w:rsidRPr="00463667" w:rsidRDefault="00BF3DF9" w:rsidP="00C56CA6">
            <w:pPr>
              <w:pStyle w:val="MarginSubhead"/>
              <w:spacing w:before="120"/>
              <w:ind w:left="0"/>
              <w:jc w:val="right"/>
              <w:rPr>
                <w:i/>
              </w:rPr>
            </w:pPr>
            <w:r w:rsidRPr="00463667">
              <w:rPr>
                <w:i/>
              </w:rPr>
              <w:t>LOS per diem multiplier</w:t>
            </w:r>
          </w:p>
        </w:tc>
        <w:tc>
          <w:tcPr>
            <w:tcW w:w="7470" w:type="dxa"/>
          </w:tcPr>
          <w:p w14:paraId="6CC21EBA" w14:textId="77777777" w:rsidR="00BF3DF9" w:rsidRPr="00463667" w:rsidRDefault="00BF3DF9" w:rsidP="00C56CA6">
            <w:pPr>
              <w:pStyle w:val="Body"/>
              <w:spacing w:before="120"/>
            </w:pPr>
            <w:r w:rsidRPr="00463667">
              <w:t>If the inpatient stay falls completely within the treatment period, use the total number of paid days as the per diem multiplier. If the inpatient stay does not fall completely inside the treatment period, or the organization did not pay for all days or expect to pay for all days, count only the days within the treatment period (including the last day in the treatment period) that the organization paid for or expected to pay for, to compute the per diem multiplier.</w:t>
            </w:r>
          </w:p>
        </w:tc>
      </w:tr>
    </w:tbl>
    <w:bookmarkStart w:id="7" w:name="_Toc400546192"/>
    <w:p w14:paraId="658E3885" w14:textId="423E463F" w:rsidR="00BF3DF9" w:rsidRPr="00463667" w:rsidRDefault="00EF7C1A" w:rsidP="007058EB">
      <w:pPr>
        <w:pStyle w:val="StdHead"/>
      </w:pPr>
      <w:r>
        <w:fldChar w:fldCharType="begin"/>
      </w:r>
      <w:r>
        <w:instrText xml:space="preserve"> HYPERLINK  \l "TOC" </w:instrText>
      </w:r>
      <w:r>
        <w:fldChar w:fldCharType="separate"/>
      </w:r>
      <w:r w:rsidR="00BF3DF9" w:rsidRPr="00EF7C1A">
        <w:t>HCC-RRU Risk Adjustment</w:t>
      </w:r>
      <w:bookmarkEnd w:id="7"/>
      <w:r>
        <w:fldChar w:fldCharType="end"/>
      </w:r>
    </w:p>
    <w:p w14:paraId="1C1B4207" w14:textId="4275971B" w:rsidR="00BF3DF9" w:rsidRPr="00463667" w:rsidRDefault="00BF3DF9" w:rsidP="00BF3DF9">
      <w:pPr>
        <w:pStyle w:val="Body"/>
      </w:pPr>
      <w:r w:rsidRPr="00463667">
        <w:t xml:space="preserve">For the resource use measures, the following steps assign each member to a risk group. The steps are implemented after the eligible population is identified, Tables used to classify the eligible population by risk adjustment approach will be released with the SPTs on November </w:t>
      </w:r>
      <w:r w:rsidR="0083581E">
        <w:t>2</w:t>
      </w:r>
      <w:r w:rsidRPr="00463667">
        <w:t xml:space="preserve">, </w:t>
      </w:r>
      <w:r w:rsidR="0083581E">
        <w:t>2015</w:t>
      </w:r>
      <w:r w:rsidRPr="00463667">
        <w:t xml:space="preserve">. </w:t>
      </w:r>
    </w:p>
    <w:tbl>
      <w:tblPr>
        <w:tblW w:w="9702" w:type="dxa"/>
        <w:tblInd w:w="18" w:type="dxa"/>
        <w:tblLayout w:type="fixed"/>
        <w:tblLook w:val="0000" w:firstRow="0" w:lastRow="0" w:firstColumn="0" w:lastColumn="0" w:noHBand="0" w:noVBand="0"/>
      </w:tblPr>
      <w:tblGrid>
        <w:gridCol w:w="882"/>
        <w:gridCol w:w="8820"/>
      </w:tblGrid>
      <w:tr w:rsidR="00BF3DF9" w:rsidRPr="00463667" w14:paraId="23CB848A" w14:textId="77777777" w:rsidTr="00343766">
        <w:tc>
          <w:tcPr>
            <w:tcW w:w="882" w:type="dxa"/>
          </w:tcPr>
          <w:p w14:paraId="5CC0B5BF" w14:textId="77777777" w:rsidR="00BF3DF9" w:rsidRPr="00463667" w:rsidRDefault="00BF3DF9" w:rsidP="00343766">
            <w:pPr>
              <w:pStyle w:val="MarginSubhead"/>
              <w:ind w:left="0"/>
              <w:jc w:val="right"/>
              <w:rPr>
                <w:i/>
              </w:rPr>
            </w:pPr>
            <w:r w:rsidRPr="00463667">
              <w:rPr>
                <w:i/>
              </w:rPr>
              <w:t>Step 1</w:t>
            </w:r>
          </w:p>
        </w:tc>
        <w:tc>
          <w:tcPr>
            <w:tcW w:w="8820" w:type="dxa"/>
          </w:tcPr>
          <w:p w14:paraId="68094ADC" w14:textId="77777777" w:rsidR="00BF3DF9" w:rsidRPr="00463667" w:rsidRDefault="00BF3DF9" w:rsidP="00C56CA6">
            <w:pPr>
              <w:pStyle w:val="Body"/>
            </w:pPr>
            <w:r w:rsidRPr="00463667">
              <w:t>Identify the qualified service diagnosis.</w:t>
            </w:r>
          </w:p>
          <w:p w14:paraId="4789B808" w14:textId="77777777" w:rsidR="00BF3DF9" w:rsidRPr="00463667" w:rsidRDefault="00BF3DF9" w:rsidP="00C56CA6">
            <w:pPr>
              <w:pStyle w:val="Body"/>
            </w:pPr>
            <w:r w:rsidRPr="00463667">
              <w:t>Use the following value sets and identify all diagnoses for encounters during the treatment period based on the date of service for outpatient or ED services or on the discharge date for inpatient stays.</w:t>
            </w:r>
          </w:p>
          <w:p w14:paraId="0965EA25" w14:textId="77777777" w:rsidR="00BF3DF9" w:rsidRPr="00463667" w:rsidRDefault="00BF3DF9" w:rsidP="00C56CA6">
            <w:pPr>
              <w:pStyle w:val="Bullet"/>
            </w:pPr>
            <w:r w:rsidRPr="00463667">
              <w:t>Outpatient (</w:t>
            </w:r>
            <w:r w:rsidRPr="00463667">
              <w:rPr>
                <w:u w:val="single"/>
              </w:rPr>
              <w:t>Outpatient Value Set</w:t>
            </w:r>
            <w:r w:rsidRPr="00463667">
              <w:t>).</w:t>
            </w:r>
          </w:p>
          <w:p w14:paraId="25D43BC0" w14:textId="77777777" w:rsidR="00BF3DF9" w:rsidRPr="00463667" w:rsidRDefault="00BF3DF9" w:rsidP="00C56CA6">
            <w:pPr>
              <w:pStyle w:val="Bullet"/>
            </w:pPr>
            <w:r w:rsidRPr="00463667">
              <w:t>Observation (</w:t>
            </w:r>
            <w:r w:rsidRPr="00463667">
              <w:rPr>
                <w:u w:val="single"/>
              </w:rPr>
              <w:t>Observation Value Set</w:t>
            </w:r>
            <w:r w:rsidRPr="00463667">
              <w:t>).</w:t>
            </w:r>
          </w:p>
          <w:p w14:paraId="5A04F1F7" w14:textId="77777777" w:rsidR="00BF3DF9" w:rsidRPr="00463667" w:rsidRDefault="00BF3DF9" w:rsidP="00C56CA6">
            <w:pPr>
              <w:pStyle w:val="Bullet"/>
            </w:pPr>
            <w:r w:rsidRPr="00463667">
              <w:t>Acute inpatient (</w:t>
            </w:r>
            <w:r w:rsidRPr="00463667">
              <w:rPr>
                <w:u w:val="single"/>
              </w:rPr>
              <w:t>Acute Inpatient Value Set</w:t>
            </w:r>
            <w:r w:rsidRPr="00463667">
              <w:t>).</w:t>
            </w:r>
          </w:p>
          <w:p w14:paraId="0AC379EF" w14:textId="77777777" w:rsidR="00BF3DF9" w:rsidRPr="00463667" w:rsidRDefault="00BF3DF9" w:rsidP="00C56CA6">
            <w:pPr>
              <w:pStyle w:val="Bullet"/>
            </w:pPr>
            <w:r w:rsidRPr="00463667">
              <w:t>Nonacute inpatient (</w:t>
            </w:r>
            <w:r w:rsidRPr="00463667">
              <w:rPr>
                <w:u w:val="single"/>
              </w:rPr>
              <w:t>Nonacute Inpatient Value Set</w:t>
            </w:r>
            <w:r w:rsidRPr="00463667">
              <w:t>).</w:t>
            </w:r>
          </w:p>
          <w:p w14:paraId="08297A34" w14:textId="77777777" w:rsidR="00BF3DF9" w:rsidRPr="00463667" w:rsidRDefault="00BF3DF9" w:rsidP="00C56CA6">
            <w:pPr>
              <w:pStyle w:val="Bullet"/>
            </w:pPr>
            <w:r w:rsidRPr="00463667">
              <w:t>ED (</w:t>
            </w:r>
            <w:r w:rsidRPr="00463667">
              <w:rPr>
                <w:u w:val="single"/>
              </w:rPr>
              <w:t>ED Value Set</w:t>
            </w:r>
            <w:r w:rsidRPr="00463667">
              <w:t>).</w:t>
            </w:r>
          </w:p>
          <w:p w14:paraId="3A41CF18" w14:textId="77777777" w:rsidR="00BF3DF9" w:rsidRPr="00463667" w:rsidRDefault="00BF3DF9" w:rsidP="00C56CA6">
            <w:pPr>
              <w:pStyle w:val="Bullet"/>
            </w:pPr>
            <w:r w:rsidRPr="00463667">
              <w:t xml:space="preserve">Surgery and procedure services. Services with a CPT Procedure code in Table </w:t>
            </w:r>
            <w:r w:rsidRPr="00463667">
              <w:br/>
              <w:t>HCC—Surg.</w:t>
            </w:r>
          </w:p>
          <w:p w14:paraId="09B29A06" w14:textId="77777777" w:rsidR="00BF3DF9" w:rsidRPr="00463667" w:rsidRDefault="00BF3DF9" w:rsidP="00C56CA6">
            <w:pPr>
              <w:pStyle w:val="Body"/>
            </w:pPr>
            <w:r w:rsidRPr="00463667">
              <w:t>Use all diagnosis codes for all services that meet the criteria listed above to complete the steps below.</w:t>
            </w:r>
          </w:p>
        </w:tc>
      </w:tr>
      <w:tr w:rsidR="00BF3DF9" w:rsidRPr="00463667" w14:paraId="3198CB6D" w14:textId="77777777" w:rsidTr="00343766">
        <w:tc>
          <w:tcPr>
            <w:tcW w:w="882" w:type="dxa"/>
          </w:tcPr>
          <w:p w14:paraId="51A869FD" w14:textId="77777777" w:rsidR="00BF3DF9" w:rsidRPr="00463667" w:rsidRDefault="00BF3DF9" w:rsidP="00343766">
            <w:pPr>
              <w:pStyle w:val="MarginSubhead"/>
              <w:ind w:left="0"/>
              <w:jc w:val="right"/>
              <w:rPr>
                <w:i/>
              </w:rPr>
            </w:pPr>
            <w:r w:rsidRPr="00463667">
              <w:rPr>
                <w:i/>
              </w:rPr>
              <w:t>Step 2</w:t>
            </w:r>
          </w:p>
        </w:tc>
        <w:tc>
          <w:tcPr>
            <w:tcW w:w="8820" w:type="dxa"/>
          </w:tcPr>
          <w:p w14:paraId="44F6F02B" w14:textId="77777777" w:rsidR="00BF3DF9" w:rsidRPr="00463667" w:rsidRDefault="00BF3DF9" w:rsidP="00C56CA6">
            <w:pPr>
              <w:pStyle w:val="Body"/>
            </w:pPr>
            <w:r w:rsidRPr="00463667">
              <w:t xml:space="preserve">Assign each diagnosis code to one CC category (CC) using Table CC—Comorbid. </w:t>
            </w:r>
          </w:p>
          <w:p w14:paraId="5068729E" w14:textId="77777777" w:rsidR="00BF3DF9" w:rsidRPr="00463667" w:rsidRDefault="00BF3DF9" w:rsidP="00C56CA6">
            <w:pPr>
              <w:pStyle w:val="Body"/>
            </w:pPr>
            <w:r w:rsidRPr="00463667">
              <w:t>Exclude all diagnoses that cannot be assigned to a CC category. For members with no qualifying diagnoses from face-to-face encounters, skip to step 6.</w:t>
            </w:r>
          </w:p>
          <w:p w14:paraId="5201FECC" w14:textId="77777777" w:rsidR="00BF3DF9" w:rsidRPr="00463667" w:rsidRDefault="00BF3DF9" w:rsidP="00C56CA6">
            <w:pPr>
              <w:pStyle w:val="Body"/>
            </w:pPr>
            <w:r w:rsidRPr="00463667">
              <w:t>All digits must match exactly when mapping diagnosis codes to the CCs.</w:t>
            </w:r>
          </w:p>
        </w:tc>
      </w:tr>
    </w:tbl>
    <w:p w14:paraId="26D3561B" w14:textId="77777777" w:rsidR="007058EB" w:rsidRPr="00463667" w:rsidRDefault="007058EB" w:rsidP="007058EB">
      <w:pPr>
        <w:spacing w:before="360"/>
        <w:rPr>
          <w:sz w:val="18"/>
          <w:szCs w:val="18"/>
        </w:rPr>
      </w:pPr>
      <w:r w:rsidRPr="00463667">
        <w:rPr>
          <w:sz w:val="18"/>
          <w:szCs w:val="18"/>
        </w:rPr>
        <w:t>____________</w:t>
      </w:r>
    </w:p>
    <w:p w14:paraId="30E7AAD2" w14:textId="149B12A4" w:rsidR="007058EB" w:rsidRDefault="007058EB" w:rsidP="007058EB">
      <w:pPr>
        <w:spacing w:before="60"/>
        <w:sectPr w:rsidR="007058EB" w:rsidSect="00C56CA6">
          <w:footerReference w:type="even" r:id="rId34"/>
          <w:headerReference w:type="first" r:id="rId35"/>
          <w:footerReference w:type="first" r:id="rId36"/>
          <w:pgSz w:w="12240" w:h="15840" w:code="1"/>
          <w:pgMar w:top="1080" w:right="1080" w:bottom="1080" w:left="1440" w:header="720" w:footer="720" w:gutter="0"/>
          <w:cols w:space="720"/>
        </w:sectPr>
      </w:pPr>
      <w:r w:rsidRPr="00463667">
        <w:rPr>
          <w:sz w:val="18"/>
          <w:szCs w:val="18"/>
        </w:rPr>
        <w:t xml:space="preserve">Current Procedural Terminology © </w:t>
      </w:r>
      <w:r>
        <w:rPr>
          <w:sz w:val="18"/>
          <w:szCs w:val="18"/>
        </w:rPr>
        <w:t>2015</w:t>
      </w:r>
      <w:r w:rsidRPr="00463667">
        <w:rPr>
          <w:sz w:val="18"/>
          <w:szCs w:val="18"/>
        </w:rPr>
        <w:t xml:space="preserve"> American Medical Association. All rights reserved.</w:t>
      </w:r>
    </w:p>
    <w:tbl>
      <w:tblPr>
        <w:tblW w:w="9707" w:type="dxa"/>
        <w:tblInd w:w="18" w:type="dxa"/>
        <w:tblLayout w:type="fixed"/>
        <w:tblLook w:val="0000" w:firstRow="0" w:lastRow="0" w:firstColumn="0" w:lastColumn="0" w:noHBand="0" w:noVBand="0"/>
      </w:tblPr>
      <w:tblGrid>
        <w:gridCol w:w="882"/>
        <w:gridCol w:w="8825"/>
      </w:tblGrid>
      <w:tr w:rsidR="00BF3DF9" w:rsidRPr="00463667" w14:paraId="65F211F7" w14:textId="77777777" w:rsidTr="007058EB">
        <w:tc>
          <w:tcPr>
            <w:tcW w:w="882" w:type="dxa"/>
          </w:tcPr>
          <w:p w14:paraId="4DC0DCFA" w14:textId="77777777" w:rsidR="00BF3DF9" w:rsidRPr="00463667" w:rsidRDefault="00BF3DF9" w:rsidP="007058EB">
            <w:pPr>
              <w:pStyle w:val="MarginSubhead"/>
              <w:spacing w:before="0"/>
              <w:ind w:left="0"/>
              <w:rPr>
                <w:i/>
              </w:rPr>
            </w:pPr>
            <w:r w:rsidRPr="00463667">
              <w:rPr>
                <w:i/>
              </w:rPr>
              <w:lastRenderedPageBreak/>
              <w:t>Step 3</w:t>
            </w:r>
          </w:p>
        </w:tc>
        <w:tc>
          <w:tcPr>
            <w:tcW w:w="8825" w:type="dxa"/>
          </w:tcPr>
          <w:p w14:paraId="7AEA4E7D" w14:textId="77777777" w:rsidR="00BF3DF9" w:rsidRPr="00463667" w:rsidRDefault="00BF3DF9" w:rsidP="007058EB">
            <w:pPr>
              <w:pStyle w:val="Body"/>
              <w:spacing w:before="0"/>
            </w:pPr>
            <w:r w:rsidRPr="00463667">
              <w:t>Determine HCCs for each CC identified. Refer to Table HCC—Rank.</w:t>
            </w:r>
          </w:p>
          <w:p w14:paraId="09D2124A" w14:textId="77777777" w:rsidR="00BF3DF9" w:rsidRPr="00463667" w:rsidRDefault="00BF3DF9" w:rsidP="00C56CA6">
            <w:pPr>
              <w:pStyle w:val="Body"/>
              <w:rPr>
                <w:rFonts w:cs="Arial"/>
                <w:szCs w:val="20"/>
              </w:rPr>
            </w:pPr>
            <w:r w:rsidRPr="00463667">
              <w:rPr>
                <w:rFonts w:cs="Arial"/>
                <w:szCs w:val="20"/>
              </w:rPr>
              <w:t>For a member’s CC list, match the CC code to the CC code in the table, and assign:</w:t>
            </w:r>
          </w:p>
          <w:p w14:paraId="5B14648B" w14:textId="77777777" w:rsidR="00BF3DF9" w:rsidRPr="00463667" w:rsidRDefault="00BF3DF9" w:rsidP="007058EB">
            <w:pPr>
              <w:pStyle w:val="Bullet"/>
              <w:spacing w:before="60"/>
            </w:pPr>
            <w:r w:rsidRPr="00463667">
              <w:t>The ranking group.</w:t>
            </w:r>
          </w:p>
          <w:p w14:paraId="38620329" w14:textId="77777777" w:rsidR="00BF3DF9" w:rsidRPr="00463667" w:rsidRDefault="00BF3DF9" w:rsidP="007058EB">
            <w:pPr>
              <w:pStyle w:val="Bullet"/>
              <w:spacing w:before="60"/>
              <w:rPr>
                <w:rFonts w:cs="Arial"/>
                <w:szCs w:val="20"/>
              </w:rPr>
            </w:pPr>
            <w:r w:rsidRPr="00463667">
              <w:rPr>
                <w:rFonts w:cs="Arial"/>
                <w:szCs w:val="20"/>
              </w:rPr>
              <w:t>The rank.</w:t>
            </w:r>
          </w:p>
          <w:p w14:paraId="23200D7E" w14:textId="77777777" w:rsidR="00BF3DF9" w:rsidRPr="00463667" w:rsidRDefault="00BF3DF9" w:rsidP="007058EB">
            <w:pPr>
              <w:pStyle w:val="Bullet"/>
              <w:spacing w:before="60"/>
              <w:rPr>
                <w:rFonts w:cs="Arial"/>
                <w:szCs w:val="20"/>
              </w:rPr>
            </w:pPr>
            <w:r w:rsidRPr="00463667">
              <w:rPr>
                <w:rFonts w:cs="Arial"/>
                <w:szCs w:val="20"/>
              </w:rPr>
              <w:t>The HCC.</w:t>
            </w:r>
          </w:p>
          <w:p w14:paraId="1FB26D32" w14:textId="77777777" w:rsidR="00BF3DF9" w:rsidRPr="00463667" w:rsidRDefault="00BF3DF9" w:rsidP="00C56CA6">
            <w:pPr>
              <w:pStyle w:val="Body"/>
            </w:pPr>
            <w:r w:rsidRPr="00463667">
              <w:t xml:space="preserve">For CCs that do not match to Table HCC—Rank, use the CC as the HCC and assign a rank </w:t>
            </w:r>
            <w:r w:rsidRPr="00463667">
              <w:br/>
              <w:t>of 1.</w:t>
            </w:r>
          </w:p>
          <w:p w14:paraId="1B13E983" w14:textId="77777777" w:rsidR="00BF3DF9" w:rsidRPr="00463667" w:rsidRDefault="00BF3DF9" w:rsidP="00C56CA6">
            <w:pPr>
              <w:pStyle w:val="Note"/>
              <w:rPr>
                <w:rFonts w:cs="Arial"/>
                <w:szCs w:val="20"/>
              </w:rPr>
            </w:pPr>
            <w:r w:rsidRPr="00463667">
              <w:rPr>
                <w:b/>
              </w:rPr>
              <w:t>Note:</w:t>
            </w:r>
            <w:r w:rsidRPr="00463667">
              <w:t xml:space="preserve"> One CC can map to multiple HCCs; each HCC can have one or more CCs.</w:t>
            </w:r>
          </w:p>
        </w:tc>
      </w:tr>
      <w:tr w:rsidR="00BF3DF9" w:rsidRPr="00463667" w14:paraId="720051E5" w14:textId="77777777" w:rsidTr="007058EB">
        <w:tc>
          <w:tcPr>
            <w:tcW w:w="882" w:type="dxa"/>
          </w:tcPr>
          <w:p w14:paraId="12A82699" w14:textId="77777777" w:rsidR="00BF3DF9" w:rsidRPr="00463667" w:rsidRDefault="00BF3DF9" w:rsidP="00343766">
            <w:pPr>
              <w:pStyle w:val="MarginSubhead"/>
              <w:ind w:left="0"/>
              <w:rPr>
                <w:i/>
              </w:rPr>
            </w:pPr>
            <w:r w:rsidRPr="00463667">
              <w:rPr>
                <w:i/>
              </w:rPr>
              <w:t>Step 4</w:t>
            </w:r>
          </w:p>
        </w:tc>
        <w:tc>
          <w:tcPr>
            <w:tcW w:w="8825" w:type="dxa"/>
          </w:tcPr>
          <w:p w14:paraId="57DD6458" w14:textId="77777777" w:rsidR="00BF3DF9" w:rsidRPr="00463667" w:rsidRDefault="00BF3DF9" w:rsidP="00C56CA6">
            <w:pPr>
              <w:pStyle w:val="Body"/>
            </w:pPr>
            <w:r w:rsidRPr="00463667">
              <w:t xml:space="preserve">Select only the highest-ranked HCC in each ranking group using the </w:t>
            </w:r>
            <w:r w:rsidRPr="00463667">
              <w:rPr>
                <w:i/>
              </w:rPr>
              <w:t xml:space="preserve">Rank </w:t>
            </w:r>
            <w:r w:rsidRPr="00463667">
              <w:t xml:space="preserve">column (1 is the highest possible rank). </w:t>
            </w:r>
          </w:p>
          <w:p w14:paraId="635F569D" w14:textId="77777777" w:rsidR="00BF3DF9" w:rsidRPr="00463667" w:rsidRDefault="00BF3DF9" w:rsidP="00C56CA6">
            <w:pPr>
              <w:pStyle w:val="Body"/>
            </w:pPr>
            <w:r w:rsidRPr="00463667">
              <w:t>Drop all other HCCs in each ranking group and de-duplicate the HCC list if necessary.</w:t>
            </w:r>
          </w:p>
          <w:p w14:paraId="5B8AAC49" w14:textId="77777777" w:rsidR="00BF3DF9" w:rsidRPr="00463667" w:rsidRDefault="00BF3DF9" w:rsidP="00C56CA6">
            <w:pPr>
              <w:pStyle w:val="Note"/>
            </w:pPr>
            <w:r w:rsidRPr="00463667">
              <w:rPr>
                <w:b/>
              </w:rPr>
              <w:t xml:space="preserve">Note: </w:t>
            </w:r>
            <w:r w:rsidRPr="00463667">
              <w:t>Refer to the Plan All-Cause Readmissions (PCR) measure for a Comorbid CC calculation example.</w:t>
            </w:r>
          </w:p>
        </w:tc>
      </w:tr>
      <w:tr w:rsidR="00BF3DF9" w:rsidRPr="00463667" w14:paraId="72321DE9" w14:textId="77777777" w:rsidTr="007058EB">
        <w:trPr>
          <w:trHeight w:val="4060"/>
        </w:trPr>
        <w:tc>
          <w:tcPr>
            <w:tcW w:w="882" w:type="dxa"/>
          </w:tcPr>
          <w:p w14:paraId="10E2BAA0" w14:textId="77777777" w:rsidR="00BF3DF9" w:rsidRPr="00463667" w:rsidRDefault="00BF3DF9" w:rsidP="007058EB">
            <w:pPr>
              <w:pStyle w:val="MarginSubhead"/>
              <w:ind w:left="0"/>
              <w:jc w:val="right"/>
              <w:rPr>
                <w:i/>
              </w:rPr>
            </w:pPr>
            <w:r w:rsidRPr="00463667">
              <w:rPr>
                <w:i/>
              </w:rPr>
              <w:t>Step 5</w:t>
            </w:r>
          </w:p>
        </w:tc>
        <w:tc>
          <w:tcPr>
            <w:tcW w:w="8825" w:type="dxa"/>
          </w:tcPr>
          <w:p w14:paraId="651E52A1" w14:textId="77777777" w:rsidR="00BF3DF9" w:rsidRPr="00463667" w:rsidRDefault="00BF3DF9" w:rsidP="007058EB">
            <w:pPr>
              <w:pStyle w:val="Body"/>
            </w:pPr>
            <w:r w:rsidRPr="00463667">
              <w:t>Identify combination HCCs listed in Table HCC—Comb.</w:t>
            </w:r>
          </w:p>
          <w:p w14:paraId="5754E7C4" w14:textId="77777777" w:rsidR="00BF3DF9" w:rsidRPr="00463667" w:rsidRDefault="00BF3DF9" w:rsidP="00C56CA6">
            <w:pPr>
              <w:pStyle w:val="Body"/>
            </w:pPr>
            <w:r w:rsidRPr="00463667">
              <w:rPr>
                <w:rFonts w:cs="Arial"/>
                <w:szCs w:val="20"/>
              </w:rPr>
              <w:t xml:space="preserve">Some combinations suggest a greater amount of risk when observed together. For example, when diabetes </w:t>
            </w:r>
            <w:r w:rsidRPr="00463667">
              <w:rPr>
                <w:rFonts w:cs="Arial"/>
                <w:i/>
                <w:szCs w:val="20"/>
              </w:rPr>
              <w:t xml:space="preserve">and </w:t>
            </w:r>
            <w:r w:rsidRPr="00463667">
              <w:rPr>
                <w:rFonts w:cs="Arial"/>
                <w:szCs w:val="20"/>
              </w:rPr>
              <w:t xml:space="preserve">CHF are present, an increased amount of risk is evident. Additional HCCs are selected to account for these relationships. </w:t>
            </w:r>
          </w:p>
          <w:p w14:paraId="6F4C3F04" w14:textId="77777777" w:rsidR="00BF3DF9" w:rsidRPr="00463667" w:rsidRDefault="00BF3DF9" w:rsidP="00C56CA6">
            <w:pPr>
              <w:pStyle w:val="Body"/>
              <w:rPr>
                <w:rFonts w:cs="Arial"/>
                <w:szCs w:val="20"/>
              </w:rPr>
            </w:pPr>
            <w:r w:rsidRPr="00463667">
              <w:rPr>
                <w:rFonts w:cs="Arial"/>
                <w:szCs w:val="20"/>
              </w:rPr>
              <w:t xml:space="preserve">Compare each member’s list of unique HCCs to those in the </w:t>
            </w:r>
            <w:r w:rsidRPr="00463667">
              <w:rPr>
                <w:rFonts w:cs="Arial"/>
                <w:i/>
                <w:szCs w:val="20"/>
              </w:rPr>
              <w:t>HCC</w:t>
            </w:r>
            <w:r w:rsidRPr="00463667">
              <w:rPr>
                <w:rFonts w:cs="Arial"/>
                <w:szCs w:val="20"/>
              </w:rPr>
              <w:t xml:space="preserve"> column in Table HCC—Comb and assign any additional HCC conditions.</w:t>
            </w:r>
          </w:p>
          <w:p w14:paraId="5B1A5D1C" w14:textId="77777777" w:rsidR="00BF3DF9" w:rsidRPr="00463667" w:rsidRDefault="00BF3DF9" w:rsidP="00C56CA6">
            <w:pPr>
              <w:pStyle w:val="Body"/>
            </w:pPr>
            <w:r w:rsidRPr="00463667">
              <w:t>For fully nested combinations (e.g., the diabetes/CHF combination is nested in the diabetes/ CHF/renal combination), use only the more comprehensive pattern. In this example, only the diabetes/CHF/renal combination is counted.</w:t>
            </w:r>
          </w:p>
          <w:p w14:paraId="1D72E14D" w14:textId="77777777" w:rsidR="00BF3DF9" w:rsidRPr="00463667" w:rsidRDefault="00BF3DF9" w:rsidP="00C56CA6">
            <w:pPr>
              <w:pStyle w:val="Body"/>
              <w:rPr>
                <w:rFonts w:cs="Arial"/>
                <w:szCs w:val="20"/>
              </w:rPr>
            </w:pPr>
            <w:r w:rsidRPr="00463667">
              <w:rPr>
                <w:rFonts w:cs="Arial"/>
                <w:szCs w:val="20"/>
              </w:rPr>
              <w:t>For overlapping combinations (e.g., the CHF, COPD combination overlaps the CHR/renal/ diabetes combination), use both sets of combinations. In this example, both CHF/COPD and CHF/renal/diabetes combinations are counted.</w:t>
            </w:r>
          </w:p>
          <w:p w14:paraId="5B3A108D" w14:textId="77777777" w:rsidR="00BF3DF9" w:rsidRPr="00463667" w:rsidRDefault="00BF3DF9" w:rsidP="00C56CA6">
            <w:pPr>
              <w:pStyle w:val="Body"/>
            </w:pPr>
            <w:r w:rsidRPr="00463667">
              <w:t>Based on the combinations, a member can have none, one or more of these additional HCCs.</w:t>
            </w:r>
          </w:p>
          <w:p w14:paraId="5D99D94C" w14:textId="77777777" w:rsidR="00BF3DF9" w:rsidRPr="00463667" w:rsidRDefault="00BF3DF9" w:rsidP="00C56CA6">
            <w:pPr>
              <w:pStyle w:val="Note"/>
              <w:rPr>
                <w:rFonts w:cs="Arial"/>
                <w:szCs w:val="20"/>
              </w:rPr>
            </w:pPr>
            <w:r w:rsidRPr="00463667">
              <w:rPr>
                <w:b/>
              </w:rPr>
              <w:t xml:space="preserve">Note: </w:t>
            </w:r>
            <w:r w:rsidRPr="00463667">
              <w:t>Refer to the PCR measure for a combination HCC calculation example.</w:t>
            </w:r>
          </w:p>
        </w:tc>
      </w:tr>
      <w:tr w:rsidR="00BF3DF9" w:rsidRPr="00463667" w14:paraId="517AF47A" w14:textId="77777777" w:rsidTr="007058EB">
        <w:tc>
          <w:tcPr>
            <w:tcW w:w="882" w:type="dxa"/>
          </w:tcPr>
          <w:p w14:paraId="07B263AB" w14:textId="77777777" w:rsidR="00BF3DF9" w:rsidRPr="00463667" w:rsidRDefault="00BF3DF9" w:rsidP="00343766">
            <w:pPr>
              <w:pStyle w:val="MarginSubhead"/>
              <w:ind w:left="0"/>
              <w:jc w:val="right"/>
              <w:rPr>
                <w:rFonts w:cs="Arial"/>
                <w:i/>
                <w:szCs w:val="20"/>
              </w:rPr>
            </w:pPr>
            <w:r w:rsidRPr="00463667">
              <w:rPr>
                <w:rFonts w:cs="Arial"/>
                <w:i/>
                <w:szCs w:val="20"/>
              </w:rPr>
              <w:t>Step 6</w:t>
            </w:r>
          </w:p>
        </w:tc>
        <w:tc>
          <w:tcPr>
            <w:tcW w:w="8825" w:type="dxa"/>
          </w:tcPr>
          <w:p w14:paraId="61A63983" w14:textId="77777777" w:rsidR="00BF3DF9" w:rsidRPr="00463667" w:rsidRDefault="00BF3DF9" w:rsidP="00C56CA6">
            <w:pPr>
              <w:pStyle w:val="Body"/>
              <w:tabs>
                <w:tab w:val="center" w:pos="4204"/>
              </w:tabs>
              <w:rPr>
                <w:rFonts w:cs="Arial"/>
                <w:szCs w:val="20"/>
              </w:rPr>
            </w:pPr>
            <w:r w:rsidRPr="00463667">
              <w:rPr>
                <w:rFonts w:cs="Arial"/>
                <w:szCs w:val="20"/>
              </w:rPr>
              <w:t>Identify demographic HCCs for RRU.</w:t>
            </w:r>
          </w:p>
          <w:p w14:paraId="40F93EBE" w14:textId="77777777" w:rsidR="00BF3DF9" w:rsidRPr="00463667" w:rsidRDefault="00BF3DF9" w:rsidP="00C56CA6">
            <w:pPr>
              <w:pStyle w:val="Body"/>
            </w:pPr>
            <w:r w:rsidRPr="00463667">
              <w:t xml:space="preserve">Categorize members by age and gender using the age ranges described in Table RRU—Age/ Gender—HCC. Assign a demographic HCC based on gender and the member’s age on the last day of the treatment period. </w:t>
            </w:r>
          </w:p>
          <w:p w14:paraId="34E8C4EF" w14:textId="77777777" w:rsidR="00BF3DF9" w:rsidRPr="00463667" w:rsidRDefault="00BF3DF9" w:rsidP="00C56CA6">
            <w:pPr>
              <w:pStyle w:val="Body"/>
            </w:pPr>
            <w:r w:rsidRPr="00463667">
              <w:t xml:space="preserve">At the end of step 6, each member will have a final list of HCCs that includes at least one demographic HCC and none, one or more HCCs based on steps 1–5. </w:t>
            </w:r>
          </w:p>
          <w:p w14:paraId="60D7CA5B" w14:textId="77777777" w:rsidR="00BF3DF9" w:rsidRPr="00463667" w:rsidRDefault="00BF3DF9" w:rsidP="00C56CA6">
            <w:pPr>
              <w:pStyle w:val="Note"/>
            </w:pPr>
            <w:r w:rsidRPr="00463667">
              <w:rPr>
                <w:b/>
              </w:rPr>
              <w:t xml:space="preserve">Note: </w:t>
            </w:r>
            <w:r w:rsidRPr="00463667">
              <w:t>Each RRU measure has its own demographic criteria.</w:t>
            </w:r>
          </w:p>
        </w:tc>
      </w:tr>
      <w:tr w:rsidR="00BF3DF9" w:rsidRPr="00463667" w14:paraId="21238091" w14:textId="77777777" w:rsidTr="007058EB">
        <w:tc>
          <w:tcPr>
            <w:tcW w:w="882" w:type="dxa"/>
          </w:tcPr>
          <w:p w14:paraId="7501C9FA" w14:textId="77777777" w:rsidR="00BF3DF9" w:rsidRPr="00463667" w:rsidRDefault="00BF3DF9" w:rsidP="00343766">
            <w:pPr>
              <w:pStyle w:val="MarginSubhead"/>
              <w:ind w:left="0"/>
              <w:jc w:val="right"/>
              <w:rPr>
                <w:rFonts w:cs="Arial"/>
                <w:i/>
                <w:szCs w:val="20"/>
              </w:rPr>
            </w:pPr>
            <w:r w:rsidRPr="00463667">
              <w:rPr>
                <w:rFonts w:cs="Arial"/>
                <w:i/>
                <w:szCs w:val="20"/>
              </w:rPr>
              <w:t>Step 7</w:t>
            </w:r>
          </w:p>
        </w:tc>
        <w:tc>
          <w:tcPr>
            <w:tcW w:w="8825" w:type="dxa"/>
          </w:tcPr>
          <w:p w14:paraId="60AE7DF8" w14:textId="77777777" w:rsidR="00BF3DF9" w:rsidRPr="00463667" w:rsidRDefault="00BF3DF9" w:rsidP="00C56CA6">
            <w:pPr>
              <w:pStyle w:val="Body"/>
            </w:pPr>
            <w:r w:rsidRPr="00463667">
              <w:rPr>
                <w:rFonts w:cs="Arial"/>
                <w:szCs w:val="20"/>
              </w:rPr>
              <w:t xml:space="preserve">Calculate the weight for all the HCCs on each member’s list using Table RRU—Weight. </w:t>
            </w:r>
            <w:r w:rsidRPr="00463667">
              <w:t xml:space="preserve">Each HCC for RRU carries a predefined risk weight. </w:t>
            </w:r>
          </w:p>
        </w:tc>
      </w:tr>
      <w:tr w:rsidR="00BF3DF9" w:rsidRPr="00463667" w14:paraId="06102966" w14:textId="77777777" w:rsidTr="007058EB">
        <w:tc>
          <w:tcPr>
            <w:tcW w:w="882" w:type="dxa"/>
          </w:tcPr>
          <w:p w14:paraId="6A07FC9C" w14:textId="77777777" w:rsidR="00BF3DF9" w:rsidRPr="00463667" w:rsidRDefault="00BF3DF9" w:rsidP="00343766">
            <w:pPr>
              <w:pStyle w:val="MarginSubhead"/>
              <w:ind w:left="0"/>
              <w:jc w:val="right"/>
            </w:pPr>
            <w:r w:rsidRPr="00463667">
              <w:rPr>
                <w:i/>
              </w:rPr>
              <w:t>Step 8</w:t>
            </w:r>
          </w:p>
        </w:tc>
        <w:tc>
          <w:tcPr>
            <w:tcW w:w="8825" w:type="dxa"/>
          </w:tcPr>
          <w:p w14:paraId="4F72E6E1" w14:textId="77777777" w:rsidR="00BF3DF9" w:rsidRPr="00463667" w:rsidRDefault="00BF3DF9" w:rsidP="00C56CA6">
            <w:pPr>
              <w:pStyle w:val="Body"/>
              <w:rPr>
                <w:rFonts w:cs="Arial"/>
                <w:szCs w:val="20"/>
              </w:rPr>
            </w:pPr>
            <w:r w:rsidRPr="00463667">
              <w:t xml:space="preserve">Sum each member’s </w:t>
            </w:r>
            <w:r w:rsidRPr="00463667">
              <w:rPr>
                <w:rFonts w:cs="Arial"/>
                <w:szCs w:val="20"/>
              </w:rPr>
              <w:t xml:space="preserve">risk weights based on the final list of HCCs. A member’s risk score is the sum of the risk weights for all HCCs on that member’s list. </w:t>
            </w:r>
            <w:r w:rsidRPr="00463667">
              <w:t>Sum the</w:t>
            </w:r>
            <w:r w:rsidRPr="00463667">
              <w:rPr>
                <w:rFonts w:cs="Arial"/>
                <w:szCs w:val="20"/>
              </w:rPr>
              <w:t xml:space="preserve"> weights based on the member’s HCC lists. Round the final risk score to four decimal places. </w:t>
            </w:r>
          </w:p>
        </w:tc>
      </w:tr>
    </w:tbl>
    <w:p w14:paraId="2E357FD1" w14:textId="77777777" w:rsidR="007058EB" w:rsidRDefault="007058EB">
      <w:pPr>
        <w:sectPr w:rsidR="007058EB" w:rsidSect="00C56CA6">
          <w:pgSz w:w="12240" w:h="15840" w:code="1"/>
          <w:pgMar w:top="1080" w:right="1080" w:bottom="1080" w:left="1440" w:header="720" w:footer="720" w:gutter="0"/>
          <w:cols w:space="720"/>
        </w:sectPr>
      </w:pPr>
    </w:p>
    <w:tbl>
      <w:tblPr>
        <w:tblW w:w="9707" w:type="dxa"/>
        <w:tblInd w:w="18" w:type="dxa"/>
        <w:tblLayout w:type="fixed"/>
        <w:tblLook w:val="0000" w:firstRow="0" w:lastRow="0" w:firstColumn="0" w:lastColumn="0" w:noHBand="0" w:noVBand="0"/>
      </w:tblPr>
      <w:tblGrid>
        <w:gridCol w:w="882"/>
        <w:gridCol w:w="8825"/>
      </w:tblGrid>
      <w:tr w:rsidR="00BF3DF9" w:rsidRPr="00463667" w14:paraId="1100D7DE" w14:textId="77777777" w:rsidTr="007058EB">
        <w:tc>
          <w:tcPr>
            <w:tcW w:w="882" w:type="dxa"/>
          </w:tcPr>
          <w:p w14:paraId="3510D17F" w14:textId="77777777" w:rsidR="00BF3DF9" w:rsidRPr="00463667" w:rsidRDefault="00BF3DF9" w:rsidP="007058EB">
            <w:pPr>
              <w:pStyle w:val="MarginSubhead"/>
              <w:spacing w:before="0"/>
              <w:ind w:left="0"/>
              <w:jc w:val="right"/>
              <w:rPr>
                <w:i/>
              </w:rPr>
            </w:pPr>
            <w:r w:rsidRPr="00463667">
              <w:rPr>
                <w:i/>
              </w:rPr>
              <w:lastRenderedPageBreak/>
              <w:t>Step 9</w:t>
            </w:r>
          </w:p>
        </w:tc>
        <w:tc>
          <w:tcPr>
            <w:tcW w:w="8825" w:type="dxa"/>
          </w:tcPr>
          <w:p w14:paraId="6141CBC1" w14:textId="77777777" w:rsidR="00BF3DF9" w:rsidRPr="00463667" w:rsidRDefault="00BF3DF9" w:rsidP="007058EB">
            <w:pPr>
              <w:pStyle w:val="Body"/>
              <w:spacing w:before="0"/>
            </w:pPr>
            <w:r w:rsidRPr="00463667">
              <w:t>Use the table below to assign the member to a risk group based on risk score.</w:t>
            </w:r>
          </w:p>
          <w:p w14:paraId="3432840E" w14:textId="77777777" w:rsidR="00BF3DF9" w:rsidRPr="00463667" w:rsidRDefault="00BF3DF9" w:rsidP="00C56CA6">
            <w:pPr>
              <w:pStyle w:val="Body"/>
            </w:pPr>
            <w:r w:rsidRPr="00463667">
              <w:rPr>
                <w:rFonts w:cs="Arial"/>
                <w:szCs w:val="20"/>
              </w:rPr>
              <w:t xml:space="preserve">For example, a member with a total HCC risk score of 1.2300 is assigned to Risk Group 5. Report all member months and cost information for this member in this risk group, within the appropriate age and gender stratifications. </w:t>
            </w:r>
          </w:p>
        </w:tc>
      </w:tr>
    </w:tbl>
    <w:p w14:paraId="68661DC3" w14:textId="77777777" w:rsidR="00BF3DF9" w:rsidRPr="00463667" w:rsidRDefault="00BF3DF9" w:rsidP="00BF3DF9"/>
    <w:tbl>
      <w:tblPr>
        <w:tblW w:w="972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1"/>
        <w:gridCol w:w="1657"/>
        <w:gridCol w:w="1669"/>
        <w:gridCol w:w="1636"/>
        <w:gridCol w:w="1633"/>
        <w:gridCol w:w="1463"/>
      </w:tblGrid>
      <w:tr w:rsidR="00BF3DF9" w:rsidRPr="00463667" w14:paraId="3CE88A1D" w14:textId="77777777" w:rsidTr="00C56CA6">
        <w:tc>
          <w:tcPr>
            <w:tcW w:w="1671" w:type="dxa"/>
            <w:tcBorders>
              <w:right w:val="single" w:sz="6" w:space="0" w:color="FFFFFF"/>
            </w:tcBorders>
            <w:shd w:val="clear" w:color="auto" w:fill="000000"/>
            <w:vAlign w:val="bottom"/>
          </w:tcPr>
          <w:p w14:paraId="3090B1EF" w14:textId="77777777" w:rsidR="00BF3DF9" w:rsidRPr="00463667" w:rsidRDefault="00BF3DF9" w:rsidP="00C56CA6">
            <w:pPr>
              <w:pStyle w:val="TableHead"/>
            </w:pPr>
            <w:r w:rsidRPr="00463667">
              <w:t>Risk Group</w:t>
            </w:r>
          </w:p>
        </w:tc>
        <w:tc>
          <w:tcPr>
            <w:tcW w:w="1657" w:type="dxa"/>
            <w:tcBorders>
              <w:left w:val="single" w:sz="6" w:space="0" w:color="FFFFFF"/>
              <w:right w:val="single" w:sz="6" w:space="0" w:color="FFFFFF"/>
            </w:tcBorders>
            <w:shd w:val="clear" w:color="auto" w:fill="000000"/>
            <w:vAlign w:val="bottom"/>
          </w:tcPr>
          <w:p w14:paraId="3A06ED79" w14:textId="77777777" w:rsidR="00BF3DF9" w:rsidRPr="00463667" w:rsidRDefault="00BF3DF9" w:rsidP="00C56CA6">
            <w:pPr>
              <w:pStyle w:val="TableHead"/>
            </w:pPr>
            <w:r w:rsidRPr="00463667">
              <w:t>Lower Score</w:t>
            </w:r>
          </w:p>
        </w:tc>
        <w:tc>
          <w:tcPr>
            <w:tcW w:w="1669" w:type="dxa"/>
            <w:tcBorders>
              <w:left w:val="single" w:sz="6" w:space="0" w:color="FFFFFF"/>
              <w:right w:val="single" w:sz="12" w:space="0" w:color="FFFFFF"/>
            </w:tcBorders>
            <w:shd w:val="clear" w:color="auto" w:fill="000000"/>
            <w:vAlign w:val="bottom"/>
          </w:tcPr>
          <w:p w14:paraId="36D11805" w14:textId="77777777" w:rsidR="00BF3DF9" w:rsidRPr="00463667" w:rsidRDefault="00BF3DF9" w:rsidP="00C56CA6">
            <w:pPr>
              <w:pStyle w:val="TableHead"/>
            </w:pPr>
            <w:r w:rsidRPr="00463667">
              <w:t>Upper Score</w:t>
            </w:r>
          </w:p>
        </w:tc>
        <w:tc>
          <w:tcPr>
            <w:tcW w:w="1636" w:type="dxa"/>
            <w:tcBorders>
              <w:left w:val="single" w:sz="12" w:space="0" w:color="FFFFFF"/>
            </w:tcBorders>
            <w:shd w:val="clear" w:color="auto" w:fill="000000"/>
            <w:vAlign w:val="bottom"/>
          </w:tcPr>
          <w:p w14:paraId="0E934239" w14:textId="77777777" w:rsidR="00BF3DF9" w:rsidRPr="00463667" w:rsidRDefault="00BF3DF9" w:rsidP="00C56CA6">
            <w:pPr>
              <w:pStyle w:val="TableHead"/>
            </w:pPr>
            <w:r w:rsidRPr="00463667">
              <w:t>Risk Group</w:t>
            </w:r>
          </w:p>
        </w:tc>
        <w:tc>
          <w:tcPr>
            <w:tcW w:w="1633" w:type="dxa"/>
            <w:tcBorders>
              <w:left w:val="single" w:sz="6" w:space="0" w:color="FFFFFF"/>
            </w:tcBorders>
            <w:shd w:val="clear" w:color="auto" w:fill="000000"/>
            <w:vAlign w:val="bottom"/>
          </w:tcPr>
          <w:p w14:paraId="42604658" w14:textId="77777777" w:rsidR="00BF3DF9" w:rsidRPr="00463667" w:rsidRDefault="00BF3DF9" w:rsidP="00C56CA6">
            <w:pPr>
              <w:pStyle w:val="TableHead"/>
            </w:pPr>
            <w:r w:rsidRPr="00463667">
              <w:t>Lower Score</w:t>
            </w:r>
          </w:p>
        </w:tc>
        <w:tc>
          <w:tcPr>
            <w:tcW w:w="1463" w:type="dxa"/>
            <w:tcBorders>
              <w:left w:val="single" w:sz="6" w:space="0" w:color="FFFFFF"/>
            </w:tcBorders>
            <w:shd w:val="clear" w:color="auto" w:fill="000000"/>
            <w:vAlign w:val="bottom"/>
          </w:tcPr>
          <w:p w14:paraId="02777C4F" w14:textId="77777777" w:rsidR="00BF3DF9" w:rsidRPr="00463667" w:rsidRDefault="00BF3DF9" w:rsidP="00C56CA6">
            <w:pPr>
              <w:pStyle w:val="TableHead"/>
            </w:pPr>
            <w:r w:rsidRPr="00463667">
              <w:t>Upper Score</w:t>
            </w:r>
          </w:p>
        </w:tc>
      </w:tr>
      <w:tr w:rsidR="00BF3DF9" w:rsidRPr="00463667" w14:paraId="0F3B7E3D" w14:textId="77777777" w:rsidTr="00C56CA6">
        <w:tc>
          <w:tcPr>
            <w:tcW w:w="1671" w:type="dxa"/>
          </w:tcPr>
          <w:p w14:paraId="400742D8" w14:textId="77777777" w:rsidR="00BF3DF9" w:rsidRPr="00463667" w:rsidRDefault="00BF3DF9" w:rsidP="00C56CA6">
            <w:pPr>
              <w:pStyle w:val="TableText"/>
              <w:ind w:left="576"/>
            </w:pPr>
            <w:r w:rsidRPr="00463667">
              <w:t>1</w:t>
            </w:r>
          </w:p>
        </w:tc>
        <w:tc>
          <w:tcPr>
            <w:tcW w:w="1657" w:type="dxa"/>
          </w:tcPr>
          <w:p w14:paraId="719C2DCF" w14:textId="77777777" w:rsidR="00BF3DF9" w:rsidRPr="00463667" w:rsidRDefault="00BF3DF9" w:rsidP="00C56CA6">
            <w:pPr>
              <w:pStyle w:val="TableText"/>
              <w:jc w:val="center"/>
            </w:pPr>
            <w:r w:rsidRPr="00463667">
              <w:t>0.0000</w:t>
            </w:r>
          </w:p>
        </w:tc>
        <w:tc>
          <w:tcPr>
            <w:tcW w:w="1669" w:type="dxa"/>
            <w:tcBorders>
              <w:right w:val="single" w:sz="12" w:space="0" w:color="auto"/>
            </w:tcBorders>
          </w:tcPr>
          <w:p w14:paraId="0F965A22" w14:textId="77777777" w:rsidR="00BF3DF9" w:rsidRPr="00463667" w:rsidRDefault="00BF3DF9" w:rsidP="00C56CA6">
            <w:pPr>
              <w:pStyle w:val="TableText"/>
              <w:jc w:val="center"/>
            </w:pPr>
            <w:r w:rsidRPr="00463667">
              <w:t>0.2499</w:t>
            </w:r>
          </w:p>
        </w:tc>
        <w:tc>
          <w:tcPr>
            <w:tcW w:w="1636" w:type="dxa"/>
            <w:tcBorders>
              <w:left w:val="single" w:sz="12" w:space="0" w:color="auto"/>
            </w:tcBorders>
          </w:tcPr>
          <w:p w14:paraId="160C8E9D" w14:textId="77777777" w:rsidR="00BF3DF9" w:rsidRPr="00463667" w:rsidRDefault="00BF3DF9" w:rsidP="00C56CA6">
            <w:pPr>
              <w:pStyle w:val="TableText"/>
              <w:ind w:right="648"/>
              <w:jc w:val="right"/>
            </w:pPr>
            <w:r w:rsidRPr="00463667">
              <w:t>8</w:t>
            </w:r>
          </w:p>
        </w:tc>
        <w:tc>
          <w:tcPr>
            <w:tcW w:w="1633" w:type="dxa"/>
          </w:tcPr>
          <w:p w14:paraId="7AC7E2B7" w14:textId="77777777" w:rsidR="00BF3DF9" w:rsidRPr="00463667" w:rsidRDefault="00BF3DF9" w:rsidP="00C56CA6">
            <w:pPr>
              <w:pStyle w:val="TableText"/>
              <w:jc w:val="center"/>
            </w:pPr>
            <w:r w:rsidRPr="00463667">
              <w:t>2.0000</w:t>
            </w:r>
          </w:p>
        </w:tc>
        <w:tc>
          <w:tcPr>
            <w:tcW w:w="1463" w:type="dxa"/>
          </w:tcPr>
          <w:p w14:paraId="615183D5" w14:textId="77777777" w:rsidR="00BF3DF9" w:rsidRPr="00463667" w:rsidRDefault="00BF3DF9" w:rsidP="00C56CA6">
            <w:pPr>
              <w:pStyle w:val="TableText"/>
              <w:ind w:left="207"/>
            </w:pPr>
            <w:r w:rsidRPr="00463667">
              <w:t>2.4999</w:t>
            </w:r>
          </w:p>
        </w:tc>
      </w:tr>
      <w:tr w:rsidR="00BF3DF9" w:rsidRPr="00463667" w14:paraId="003E5C3E" w14:textId="77777777" w:rsidTr="00C56CA6">
        <w:tc>
          <w:tcPr>
            <w:tcW w:w="1671" w:type="dxa"/>
          </w:tcPr>
          <w:p w14:paraId="7866A74C" w14:textId="77777777" w:rsidR="00BF3DF9" w:rsidRPr="00463667" w:rsidRDefault="00BF3DF9" w:rsidP="00C56CA6">
            <w:pPr>
              <w:pStyle w:val="TableText"/>
              <w:ind w:left="576"/>
            </w:pPr>
            <w:r w:rsidRPr="00463667">
              <w:t>2</w:t>
            </w:r>
          </w:p>
        </w:tc>
        <w:tc>
          <w:tcPr>
            <w:tcW w:w="1657" w:type="dxa"/>
          </w:tcPr>
          <w:p w14:paraId="152D1735" w14:textId="77777777" w:rsidR="00BF3DF9" w:rsidRPr="00463667" w:rsidRDefault="00BF3DF9" w:rsidP="00C56CA6">
            <w:pPr>
              <w:pStyle w:val="TableText"/>
              <w:jc w:val="center"/>
            </w:pPr>
            <w:r w:rsidRPr="00463667">
              <w:t>0.2500</w:t>
            </w:r>
          </w:p>
        </w:tc>
        <w:tc>
          <w:tcPr>
            <w:tcW w:w="1669" w:type="dxa"/>
            <w:tcBorders>
              <w:right w:val="single" w:sz="12" w:space="0" w:color="auto"/>
            </w:tcBorders>
          </w:tcPr>
          <w:p w14:paraId="7DE004D2" w14:textId="77777777" w:rsidR="00BF3DF9" w:rsidRPr="00463667" w:rsidRDefault="00BF3DF9" w:rsidP="00C56CA6">
            <w:pPr>
              <w:pStyle w:val="TableText"/>
              <w:jc w:val="center"/>
            </w:pPr>
            <w:r w:rsidRPr="00463667">
              <w:t>0.4999</w:t>
            </w:r>
          </w:p>
        </w:tc>
        <w:tc>
          <w:tcPr>
            <w:tcW w:w="1636" w:type="dxa"/>
            <w:tcBorders>
              <w:left w:val="single" w:sz="12" w:space="0" w:color="auto"/>
            </w:tcBorders>
          </w:tcPr>
          <w:p w14:paraId="1625F1D0" w14:textId="77777777" w:rsidR="00BF3DF9" w:rsidRPr="00463667" w:rsidRDefault="00BF3DF9" w:rsidP="00C56CA6">
            <w:pPr>
              <w:pStyle w:val="TableText"/>
              <w:ind w:right="648"/>
              <w:jc w:val="right"/>
            </w:pPr>
            <w:r w:rsidRPr="00463667">
              <w:t>9</w:t>
            </w:r>
          </w:p>
        </w:tc>
        <w:tc>
          <w:tcPr>
            <w:tcW w:w="1633" w:type="dxa"/>
          </w:tcPr>
          <w:p w14:paraId="48BA866A" w14:textId="77777777" w:rsidR="00BF3DF9" w:rsidRPr="00463667" w:rsidRDefault="00BF3DF9" w:rsidP="00C56CA6">
            <w:pPr>
              <w:pStyle w:val="TableText"/>
              <w:jc w:val="center"/>
            </w:pPr>
            <w:r w:rsidRPr="00463667">
              <w:t>2.5000</w:t>
            </w:r>
          </w:p>
        </w:tc>
        <w:tc>
          <w:tcPr>
            <w:tcW w:w="1463" w:type="dxa"/>
          </w:tcPr>
          <w:p w14:paraId="36C35FC8" w14:textId="77777777" w:rsidR="00BF3DF9" w:rsidRPr="00463667" w:rsidRDefault="00BF3DF9" w:rsidP="00C56CA6">
            <w:pPr>
              <w:pStyle w:val="TableText"/>
              <w:ind w:left="207"/>
            </w:pPr>
            <w:r w:rsidRPr="00463667">
              <w:t>2.9999</w:t>
            </w:r>
          </w:p>
        </w:tc>
      </w:tr>
      <w:tr w:rsidR="00BF3DF9" w:rsidRPr="00463667" w14:paraId="14B48B1F" w14:textId="77777777" w:rsidTr="00C56CA6">
        <w:tc>
          <w:tcPr>
            <w:tcW w:w="1671" w:type="dxa"/>
          </w:tcPr>
          <w:p w14:paraId="73656F2B" w14:textId="77777777" w:rsidR="00BF3DF9" w:rsidRPr="00463667" w:rsidRDefault="00BF3DF9" w:rsidP="00C56CA6">
            <w:pPr>
              <w:pStyle w:val="TableText"/>
              <w:ind w:left="576"/>
            </w:pPr>
            <w:r w:rsidRPr="00463667">
              <w:t>3</w:t>
            </w:r>
          </w:p>
        </w:tc>
        <w:tc>
          <w:tcPr>
            <w:tcW w:w="1657" w:type="dxa"/>
          </w:tcPr>
          <w:p w14:paraId="1566AAC1" w14:textId="77777777" w:rsidR="00BF3DF9" w:rsidRPr="00463667" w:rsidRDefault="00BF3DF9" w:rsidP="00C56CA6">
            <w:pPr>
              <w:pStyle w:val="TableText"/>
              <w:jc w:val="center"/>
            </w:pPr>
            <w:r w:rsidRPr="00463667">
              <w:t>0.5000</w:t>
            </w:r>
          </w:p>
        </w:tc>
        <w:tc>
          <w:tcPr>
            <w:tcW w:w="1669" w:type="dxa"/>
            <w:tcBorders>
              <w:right w:val="single" w:sz="12" w:space="0" w:color="auto"/>
            </w:tcBorders>
          </w:tcPr>
          <w:p w14:paraId="1EB15FCB" w14:textId="77777777" w:rsidR="00BF3DF9" w:rsidRPr="00463667" w:rsidRDefault="00BF3DF9" w:rsidP="00C56CA6">
            <w:pPr>
              <w:pStyle w:val="TableText"/>
              <w:jc w:val="center"/>
            </w:pPr>
            <w:r w:rsidRPr="00463667">
              <w:t>0.7499</w:t>
            </w:r>
          </w:p>
        </w:tc>
        <w:tc>
          <w:tcPr>
            <w:tcW w:w="1636" w:type="dxa"/>
            <w:tcBorders>
              <w:left w:val="single" w:sz="12" w:space="0" w:color="auto"/>
            </w:tcBorders>
          </w:tcPr>
          <w:p w14:paraId="15B4B2A2" w14:textId="77777777" w:rsidR="00BF3DF9" w:rsidRPr="00463667" w:rsidRDefault="00BF3DF9" w:rsidP="00C56CA6">
            <w:pPr>
              <w:pStyle w:val="TableText"/>
              <w:ind w:right="648"/>
              <w:jc w:val="right"/>
            </w:pPr>
            <w:r w:rsidRPr="00463667">
              <w:t>10</w:t>
            </w:r>
          </w:p>
        </w:tc>
        <w:tc>
          <w:tcPr>
            <w:tcW w:w="1633" w:type="dxa"/>
          </w:tcPr>
          <w:p w14:paraId="5035BA0E" w14:textId="77777777" w:rsidR="00BF3DF9" w:rsidRPr="00463667" w:rsidRDefault="00BF3DF9" w:rsidP="00C56CA6">
            <w:pPr>
              <w:pStyle w:val="TableText"/>
              <w:jc w:val="center"/>
            </w:pPr>
            <w:r w:rsidRPr="00463667">
              <w:t>3.0000</w:t>
            </w:r>
          </w:p>
        </w:tc>
        <w:tc>
          <w:tcPr>
            <w:tcW w:w="1463" w:type="dxa"/>
          </w:tcPr>
          <w:p w14:paraId="382F96AF" w14:textId="77777777" w:rsidR="00BF3DF9" w:rsidRPr="00463667" w:rsidRDefault="00BF3DF9" w:rsidP="00C56CA6">
            <w:pPr>
              <w:pStyle w:val="TableText"/>
              <w:ind w:left="207"/>
            </w:pPr>
            <w:r w:rsidRPr="00463667">
              <w:t>3.9999</w:t>
            </w:r>
          </w:p>
        </w:tc>
      </w:tr>
      <w:tr w:rsidR="00BF3DF9" w:rsidRPr="00463667" w14:paraId="5A1BEAEE" w14:textId="77777777" w:rsidTr="00C56CA6">
        <w:tc>
          <w:tcPr>
            <w:tcW w:w="1671" w:type="dxa"/>
          </w:tcPr>
          <w:p w14:paraId="6D49EC0A" w14:textId="77777777" w:rsidR="00BF3DF9" w:rsidRPr="00463667" w:rsidRDefault="00BF3DF9" w:rsidP="00C56CA6">
            <w:pPr>
              <w:pStyle w:val="TableText"/>
              <w:ind w:left="576"/>
            </w:pPr>
            <w:r w:rsidRPr="00463667">
              <w:t>4</w:t>
            </w:r>
          </w:p>
        </w:tc>
        <w:tc>
          <w:tcPr>
            <w:tcW w:w="1657" w:type="dxa"/>
          </w:tcPr>
          <w:p w14:paraId="47F13C49" w14:textId="77777777" w:rsidR="00BF3DF9" w:rsidRPr="00463667" w:rsidRDefault="00BF3DF9" w:rsidP="00C56CA6">
            <w:pPr>
              <w:pStyle w:val="TableText"/>
              <w:jc w:val="center"/>
            </w:pPr>
            <w:r w:rsidRPr="00463667">
              <w:t>0.7500</w:t>
            </w:r>
          </w:p>
        </w:tc>
        <w:tc>
          <w:tcPr>
            <w:tcW w:w="1669" w:type="dxa"/>
            <w:tcBorders>
              <w:right w:val="single" w:sz="12" w:space="0" w:color="auto"/>
            </w:tcBorders>
          </w:tcPr>
          <w:p w14:paraId="0CA291B7" w14:textId="77777777" w:rsidR="00BF3DF9" w:rsidRPr="00463667" w:rsidRDefault="00BF3DF9" w:rsidP="00C56CA6">
            <w:pPr>
              <w:pStyle w:val="TableText"/>
              <w:jc w:val="center"/>
            </w:pPr>
            <w:r w:rsidRPr="00463667">
              <w:t>0.9999</w:t>
            </w:r>
          </w:p>
        </w:tc>
        <w:tc>
          <w:tcPr>
            <w:tcW w:w="1636" w:type="dxa"/>
            <w:tcBorders>
              <w:left w:val="single" w:sz="12" w:space="0" w:color="auto"/>
            </w:tcBorders>
          </w:tcPr>
          <w:p w14:paraId="53BCE11C" w14:textId="77777777" w:rsidR="00BF3DF9" w:rsidRPr="00463667" w:rsidRDefault="00BF3DF9" w:rsidP="00C56CA6">
            <w:pPr>
              <w:pStyle w:val="TableText"/>
              <w:ind w:right="648"/>
              <w:jc w:val="right"/>
            </w:pPr>
            <w:r w:rsidRPr="00463667">
              <w:t>11</w:t>
            </w:r>
          </w:p>
        </w:tc>
        <w:tc>
          <w:tcPr>
            <w:tcW w:w="1633" w:type="dxa"/>
          </w:tcPr>
          <w:p w14:paraId="1014E1E4" w14:textId="77777777" w:rsidR="00BF3DF9" w:rsidRPr="00463667" w:rsidRDefault="00BF3DF9" w:rsidP="00C56CA6">
            <w:pPr>
              <w:pStyle w:val="TableText"/>
              <w:jc w:val="center"/>
            </w:pPr>
            <w:r w:rsidRPr="00463667">
              <w:t>4.0000</w:t>
            </w:r>
          </w:p>
        </w:tc>
        <w:tc>
          <w:tcPr>
            <w:tcW w:w="1463" w:type="dxa"/>
          </w:tcPr>
          <w:p w14:paraId="0C2A9ED4" w14:textId="77777777" w:rsidR="00BF3DF9" w:rsidRPr="00463667" w:rsidRDefault="00BF3DF9" w:rsidP="00C56CA6">
            <w:pPr>
              <w:pStyle w:val="TableText"/>
              <w:ind w:left="207"/>
            </w:pPr>
            <w:r w:rsidRPr="00463667">
              <w:t>4.9999</w:t>
            </w:r>
          </w:p>
        </w:tc>
      </w:tr>
      <w:tr w:rsidR="00BF3DF9" w:rsidRPr="00463667" w14:paraId="77AD4858" w14:textId="77777777" w:rsidTr="00C56CA6">
        <w:tc>
          <w:tcPr>
            <w:tcW w:w="1671" w:type="dxa"/>
          </w:tcPr>
          <w:p w14:paraId="7C1083F9" w14:textId="77777777" w:rsidR="00BF3DF9" w:rsidRPr="00463667" w:rsidRDefault="00BF3DF9" w:rsidP="00C56CA6">
            <w:pPr>
              <w:pStyle w:val="TableText"/>
              <w:ind w:left="576"/>
            </w:pPr>
            <w:r w:rsidRPr="00463667">
              <w:t>5</w:t>
            </w:r>
          </w:p>
        </w:tc>
        <w:tc>
          <w:tcPr>
            <w:tcW w:w="1657" w:type="dxa"/>
          </w:tcPr>
          <w:p w14:paraId="20A3EDA8" w14:textId="77777777" w:rsidR="00BF3DF9" w:rsidRPr="00463667" w:rsidRDefault="00BF3DF9" w:rsidP="00C56CA6">
            <w:pPr>
              <w:pStyle w:val="TableText"/>
              <w:jc w:val="center"/>
            </w:pPr>
            <w:r w:rsidRPr="00463667">
              <w:t>1.0000</w:t>
            </w:r>
          </w:p>
        </w:tc>
        <w:tc>
          <w:tcPr>
            <w:tcW w:w="1669" w:type="dxa"/>
            <w:tcBorders>
              <w:right w:val="single" w:sz="12" w:space="0" w:color="auto"/>
            </w:tcBorders>
          </w:tcPr>
          <w:p w14:paraId="4BE105CB" w14:textId="77777777" w:rsidR="00BF3DF9" w:rsidRPr="00463667" w:rsidRDefault="00BF3DF9" w:rsidP="00C56CA6">
            <w:pPr>
              <w:pStyle w:val="TableText"/>
              <w:jc w:val="center"/>
            </w:pPr>
            <w:r w:rsidRPr="00463667">
              <w:t>1.2499</w:t>
            </w:r>
          </w:p>
        </w:tc>
        <w:tc>
          <w:tcPr>
            <w:tcW w:w="1636" w:type="dxa"/>
            <w:tcBorders>
              <w:left w:val="single" w:sz="12" w:space="0" w:color="auto"/>
            </w:tcBorders>
          </w:tcPr>
          <w:p w14:paraId="12A82CB1" w14:textId="77777777" w:rsidR="00BF3DF9" w:rsidRPr="00463667" w:rsidRDefault="00BF3DF9" w:rsidP="00C56CA6">
            <w:pPr>
              <w:pStyle w:val="TableText"/>
              <w:ind w:right="648"/>
              <w:jc w:val="right"/>
            </w:pPr>
            <w:r w:rsidRPr="00463667">
              <w:t>12</w:t>
            </w:r>
          </w:p>
        </w:tc>
        <w:tc>
          <w:tcPr>
            <w:tcW w:w="1633" w:type="dxa"/>
          </w:tcPr>
          <w:p w14:paraId="58C74403" w14:textId="77777777" w:rsidR="00BF3DF9" w:rsidRPr="00463667" w:rsidRDefault="00BF3DF9" w:rsidP="00C56CA6">
            <w:pPr>
              <w:pStyle w:val="TableText"/>
              <w:jc w:val="center"/>
            </w:pPr>
            <w:r w:rsidRPr="00463667">
              <w:t>5.0000</w:t>
            </w:r>
          </w:p>
        </w:tc>
        <w:tc>
          <w:tcPr>
            <w:tcW w:w="1463" w:type="dxa"/>
          </w:tcPr>
          <w:p w14:paraId="6F890C64" w14:textId="77777777" w:rsidR="00BF3DF9" w:rsidRPr="00463667" w:rsidRDefault="00BF3DF9" w:rsidP="00C56CA6">
            <w:pPr>
              <w:pStyle w:val="TableText"/>
              <w:ind w:left="207"/>
            </w:pPr>
            <w:r w:rsidRPr="00463667">
              <w:t>5.9999</w:t>
            </w:r>
          </w:p>
        </w:tc>
      </w:tr>
      <w:tr w:rsidR="00BF3DF9" w:rsidRPr="00463667" w14:paraId="2A543BA5" w14:textId="77777777" w:rsidTr="00C56CA6">
        <w:tc>
          <w:tcPr>
            <w:tcW w:w="1671" w:type="dxa"/>
          </w:tcPr>
          <w:p w14:paraId="4DBD4716" w14:textId="77777777" w:rsidR="00BF3DF9" w:rsidRPr="00463667" w:rsidRDefault="00BF3DF9" w:rsidP="00C56CA6">
            <w:pPr>
              <w:pStyle w:val="TableText"/>
              <w:ind w:left="576"/>
            </w:pPr>
            <w:r w:rsidRPr="00463667">
              <w:t>6</w:t>
            </w:r>
          </w:p>
        </w:tc>
        <w:tc>
          <w:tcPr>
            <w:tcW w:w="1657" w:type="dxa"/>
          </w:tcPr>
          <w:p w14:paraId="715CFF37" w14:textId="77777777" w:rsidR="00BF3DF9" w:rsidRPr="00463667" w:rsidRDefault="00BF3DF9" w:rsidP="00C56CA6">
            <w:pPr>
              <w:pStyle w:val="TableText"/>
              <w:jc w:val="center"/>
            </w:pPr>
            <w:r w:rsidRPr="00463667">
              <w:t>1.2500</w:t>
            </w:r>
          </w:p>
        </w:tc>
        <w:tc>
          <w:tcPr>
            <w:tcW w:w="1669" w:type="dxa"/>
            <w:tcBorders>
              <w:right w:val="single" w:sz="12" w:space="0" w:color="auto"/>
            </w:tcBorders>
          </w:tcPr>
          <w:p w14:paraId="17B7D439" w14:textId="77777777" w:rsidR="00BF3DF9" w:rsidRPr="00463667" w:rsidRDefault="00BF3DF9" w:rsidP="00C56CA6">
            <w:pPr>
              <w:pStyle w:val="TableText"/>
              <w:jc w:val="center"/>
            </w:pPr>
            <w:r w:rsidRPr="00463667">
              <w:t>1.4999</w:t>
            </w:r>
          </w:p>
        </w:tc>
        <w:tc>
          <w:tcPr>
            <w:tcW w:w="1636" w:type="dxa"/>
            <w:tcBorders>
              <w:left w:val="single" w:sz="12" w:space="0" w:color="auto"/>
            </w:tcBorders>
          </w:tcPr>
          <w:p w14:paraId="02555046" w14:textId="77777777" w:rsidR="00BF3DF9" w:rsidRPr="00463667" w:rsidRDefault="00BF3DF9" w:rsidP="00C56CA6">
            <w:pPr>
              <w:pStyle w:val="TableText"/>
              <w:ind w:right="648"/>
              <w:jc w:val="right"/>
            </w:pPr>
            <w:r w:rsidRPr="00463667">
              <w:t>13</w:t>
            </w:r>
          </w:p>
        </w:tc>
        <w:tc>
          <w:tcPr>
            <w:tcW w:w="1633" w:type="dxa"/>
          </w:tcPr>
          <w:p w14:paraId="1DF53E6F" w14:textId="77777777" w:rsidR="00BF3DF9" w:rsidRPr="00463667" w:rsidRDefault="00BF3DF9" w:rsidP="00C56CA6">
            <w:pPr>
              <w:pStyle w:val="TableText"/>
              <w:jc w:val="center"/>
            </w:pPr>
            <w:r w:rsidRPr="00463667">
              <w:t>6.0000</w:t>
            </w:r>
          </w:p>
        </w:tc>
        <w:tc>
          <w:tcPr>
            <w:tcW w:w="1463" w:type="dxa"/>
          </w:tcPr>
          <w:p w14:paraId="6468FA39" w14:textId="77777777" w:rsidR="00BF3DF9" w:rsidRPr="00463667" w:rsidRDefault="00BF3DF9" w:rsidP="00C56CA6">
            <w:pPr>
              <w:pStyle w:val="TableText"/>
              <w:ind w:left="207"/>
            </w:pPr>
            <w:r w:rsidRPr="00463667">
              <w:t>6.9999 over</w:t>
            </w:r>
          </w:p>
        </w:tc>
      </w:tr>
      <w:tr w:rsidR="00BF3DF9" w:rsidRPr="00463667" w14:paraId="2DFC5404" w14:textId="77777777" w:rsidTr="00C56CA6">
        <w:tc>
          <w:tcPr>
            <w:tcW w:w="1671" w:type="dxa"/>
          </w:tcPr>
          <w:p w14:paraId="7C80E1BC" w14:textId="77777777" w:rsidR="00BF3DF9" w:rsidRPr="00463667" w:rsidRDefault="00BF3DF9" w:rsidP="00C56CA6">
            <w:pPr>
              <w:pStyle w:val="TableText"/>
              <w:ind w:left="576"/>
            </w:pPr>
            <w:r w:rsidRPr="00463667">
              <w:t>7</w:t>
            </w:r>
          </w:p>
        </w:tc>
        <w:tc>
          <w:tcPr>
            <w:tcW w:w="1657" w:type="dxa"/>
          </w:tcPr>
          <w:p w14:paraId="7760DD5C" w14:textId="77777777" w:rsidR="00BF3DF9" w:rsidRPr="00463667" w:rsidRDefault="00BF3DF9" w:rsidP="00C56CA6">
            <w:pPr>
              <w:pStyle w:val="TableText"/>
              <w:jc w:val="center"/>
            </w:pPr>
            <w:r w:rsidRPr="00463667">
              <w:t>1.5000</w:t>
            </w:r>
          </w:p>
        </w:tc>
        <w:tc>
          <w:tcPr>
            <w:tcW w:w="1669" w:type="dxa"/>
            <w:tcBorders>
              <w:right w:val="single" w:sz="12" w:space="0" w:color="auto"/>
            </w:tcBorders>
          </w:tcPr>
          <w:p w14:paraId="5A18FA32" w14:textId="77777777" w:rsidR="00BF3DF9" w:rsidRPr="00463667" w:rsidRDefault="00BF3DF9" w:rsidP="00C56CA6">
            <w:pPr>
              <w:pStyle w:val="TableText"/>
              <w:jc w:val="center"/>
            </w:pPr>
            <w:r w:rsidRPr="00463667">
              <w:t>1.9999</w:t>
            </w:r>
          </w:p>
        </w:tc>
        <w:tc>
          <w:tcPr>
            <w:tcW w:w="4732" w:type="dxa"/>
            <w:gridSpan w:val="3"/>
            <w:tcBorders>
              <w:left w:val="single" w:sz="12" w:space="0" w:color="auto"/>
            </w:tcBorders>
            <w:shd w:val="clear" w:color="auto" w:fill="BFBFBF"/>
          </w:tcPr>
          <w:p w14:paraId="0B434009" w14:textId="77777777" w:rsidR="00BF3DF9" w:rsidRPr="00463667" w:rsidRDefault="00BF3DF9" w:rsidP="00C56CA6">
            <w:pPr>
              <w:pStyle w:val="TableText"/>
              <w:ind w:left="382"/>
            </w:pPr>
          </w:p>
        </w:tc>
      </w:tr>
    </w:tbl>
    <w:p w14:paraId="7BC4F13B" w14:textId="6E8EB88F" w:rsidR="00BF3DF9" w:rsidRPr="00463667" w:rsidRDefault="00BF3DF9" w:rsidP="007058EB">
      <w:pPr>
        <w:pStyle w:val="SubHead20"/>
      </w:pPr>
      <w:bookmarkStart w:id="8" w:name="_Toc400546193"/>
      <w:r w:rsidRPr="00463667">
        <w:t xml:space="preserve">Exclusions </w:t>
      </w:r>
      <w:r w:rsidRPr="00974E25">
        <w:rPr>
          <w:i/>
          <w:sz w:val="20"/>
        </w:rPr>
        <w:t>(required)</w:t>
      </w:r>
      <w:bookmarkEnd w:id="8"/>
    </w:p>
    <w:p w14:paraId="4D675700" w14:textId="77777777" w:rsidR="00BF3DF9" w:rsidRPr="00463667" w:rsidRDefault="00BF3DF9" w:rsidP="00BF3DF9">
      <w:pPr>
        <w:pStyle w:val="Body"/>
      </w:pPr>
      <w:r w:rsidRPr="00463667">
        <w:t>Exclude members with one or more of the following dominant conditions during the measurement year from all RRU measures.</w:t>
      </w:r>
    </w:p>
    <w:p w14:paraId="10816A81" w14:textId="77777777" w:rsidR="00BF3DF9" w:rsidRPr="00463667" w:rsidRDefault="00BF3DF9" w:rsidP="00BF3DF9">
      <w:pPr>
        <w:pStyle w:val="Bullet"/>
      </w:pPr>
      <w:r w:rsidRPr="00463667">
        <w:rPr>
          <w:i/>
        </w:rPr>
        <w:t>Active cancer.</w:t>
      </w:r>
      <w:r w:rsidRPr="00463667">
        <w:t xml:space="preserve"> Members who had any diagnosis of cancer (</w:t>
      </w:r>
      <w:r w:rsidRPr="00463667">
        <w:rPr>
          <w:u w:val="single"/>
        </w:rPr>
        <w:t>Malignant Neoplasms Value Set</w:t>
      </w:r>
      <w:r w:rsidRPr="00463667">
        <w:t xml:space="preserve">; </w:t>
      </w:r>
      <w:r w:rsidRPr="00463667">
        <w:rPr>
          <w:u w:val="single"/>
        </w:rPr>
        <w:t>Other Neoplasms Value Set</w:t>
      </w:r>
      <w:r w:rsidRPr="00463667">
        <w:t>) with treatment (</w:t>
      </w:r>
      <w:r w:rsidRPr="00463667">
        <w:rPr>
          <w:u w:val="single"/>
        </w:rPr>
        <w:t>Cancer Treatment Value Set</w:t>
      </w:r>
      <w:r w:rsidRPr="00463667">
        <w:t>) during the measurement year.</w:t>
      </w:r>
    </w:p>
    <w:p w14:paraId="4FDF7FA0" w14:textId="77777777" w:rsidR="00BF3DF9" w:rsidRPr="00463667" w:rsidRDefault="00BF3DF9" w:rsidP="00BF3DF9">
      <w:pPr>
        <w:pStyle w:val="Bullet"/>
      </w:pPr>
      <w:r w:rsidRPr="00463667">
        <w:rPr>
          <w:i/>
        </w:rPr>
        <w:t>Organ transplant (other than kidney).</w:t>
      </w:r>
      <w:r w:rsidRPr="00463667">
        <w:t xml:space="preserve"> Organ transplant (other than kidney) (</w:t>
      </w:r>
      <w:r w:rsidRPr="00463667">
        <w:rPr>
          <w:u w:val="single"/>
        </w:rPr>
        <w:t>Organ Transplant Other Than Kidney Value Set</w:t>
      </w:r>
      <w:r w:rsidRPr="00463667">
        <w:t>) during the measurement year.</w:t>
      </w:r>
    </w:p>
    <w:p w14:paraId="4C2FEFC5" w14:textId="77777777" w:rsidR="00BF3DF9" w:rsidRPr="00463667" w:rsidRDefault="00BF3DF9" w:rsidP="00BF3DF9">
      <w:pPr>
        <w:pStyle w:val="Bullet"/>
      </w:pPr>
      <w:r w:rsidRPr="00463667">
        <w:rPr>
          <w:i/>
        </w:rPr>
        <w:t xml:space="preserve">HIV/AIDS. </w:t>
      </w:r>
      <w:r w:rsidRPr="00463667">
        <w:t>Members who met any of the following criteria during the measurement year:</w:t>
      </w:r>
    </w:p>
    <w:p w14:paraId="660E3FD1" w14:textId="77777777" w:rsidR="00BF3DF9" w:rsidRPr="00463667" w:rsidRDefault="00BF3DF9" w:rsidP="00BF3DF9">
      <w:pPr>
        <w:pStyle w:val="Dash"/>
      </w:pPr>
      <w:r w:rsidRPr="00463667">
        <w:t>At least two outpatient visits (</w:t>
      </w:r>
      <w:r w:rsidRPr="00463667">
        <w:rPr>
          <w:u w:val="single"/>
        </w:rPr>
        <w:t>Outpatient Value Set</w:t>
      </w:r>
      <w:r w:rsidRPr="00463667">
        <w:t>), observation visits (</w:t>
      </w:r>
      <w:r w:rsidRPr="00463667">
        <w:rPr>
          <w:u w:val="single"/>
        </w:rPr>
        <w:t>Observation Value Set</w:t>
      </w:r>
      <w:r w:rsidRPr="00463667">
        <w:t>) or nonacute inpatient encounters (</w:t>
      </w:r>
      <w:r w:rsidRPr="00463667">
        <w:rPr>
          <w:u w:val="single"/>
        </w:rPr>
        <w:t>Nonacute Inpatient Value Set</w:t>
      </w:r>
      <w:r w:rsidRPr="00463667">
        <w:t>), on different dates of service, with an HIV diagnosis (</w:t>
      </w:r>
      <w:r w:rsidRPr="00463667">
        <w:rPr>
          <w:u w:val="single"/>
        </w:rPr>
        <w:t>HIV Disease Value Set</w:t>
      </w:r>
      <w:r w:rsidRPr="00463667">
        <w:t>). Visit types need not be the same for the two visits.</w:t>
      </w:r>
    </w:p>
    <w:p w14:paraId="4BB31A4E" w14:textId="77777777" w:rsidR="00BF3DF9" w:rsidRPr="00463667" w:rsidRDefault="00BF3DF9" w:rsidP="00BF3DF9">
      <w:pPr>
        <w:pStyle w:val="Dash"/>
      </w:pPr>
      <w:r w:rsidRPr="00463667">
        <w:t>At least one acute inpatient encounter (</w:t>
      </w:r>
      <w:r w:rsidRPr="00463667">
        <w:rPr>
          <w:u w:val="single"/>
        </w:rPr>
        <w:t>Acute Inpatient Value Set</w:t>
      </w:r>
      <w:r w:rsidRPr="00463667">
        <w:t>) with an HIV diagnosis (</w:t>
      </w:r>
      <w:r w:rsidRPr="00463667">
        <w:rPr>
          <w:u w:val="single"/>
        </w:rPr>
        <w:t>HIV Disease Value Set</w:t>
      </w:r>
      <w:r w:rsidRPr="00463667">
        <w:t>).</w:t>
      </w:r>
    </w:p>
    <w:p w14:paraId="3104F2F6" w14:textId="77777777" w:rsidR="00BF3DF9" w:rsidRPr="00463667" w:rsidRDefault="00BF3DF9" w:rsidP="00BF3DF9">
      <w:pPr>
        <w:pStyle w:val="Dash"/>
      </w:pPr>
      <w:r w:rsidRPr="00463667">
        <w:t>At least one ED visit (</w:t>
      </w:r>
      <w:r w:rsidRPr="00463667">
        <w:rPr>
          <w:u w:val="single"/>
        </w:rPr>
        <w:t>ED Value Set</w:t>
      </w:r>
      <w:r w:rsidRPr="00463667">
        <w:t>) with an HIV diagnosis (</w:t>
      </w:r>
      <w:r w:rsidRPr="00463667">
        <w:rPr>
          <w:u w:val="single"/>
        </w:rPr>
        <w:t>HIV Disease Value Set</w:t>
      </w:r>
      <w:r w:rsidRPr="00463667">
        <w:t>).</w:t>
      </w:r>
    </w:p>
    <w:p w14:paraId="25E98BEE" w14:textId="77777777" w:rsidR="00BF3DF9" w:rsidRPr="00463667" w:rsidRDefault="00BF3DF9" w:rsidP="00BF3DF9">
      <w:pPr>
        <w:pStyle w:val="Body"/>
      </w:pPr>
      <w:r w:rsidRPr="00463667">
        <w:t>Exclude members with either of the following dominant conditions during the measurement year from RHY, RCO and RAS.</w:t>
      </w:r>
    </w:p>
    <w:p w14:paraId="0BA9E4A8" w14:textId="77777777" w:rsidR="00BF3DF9" w:rsidRPr="00463667" w:rsidRDefault="00BF3DF9" w:rsidP="00BF3DF9">
      <w:pPr>
        <w:pStyle w:val="Bullet"/>
      </w:pPr>
      <w:r w:rsidRPr="00463667">
        <w:rPr>
          <w:i/>
        </w:rPr>
        <w:t xml:space="preserve">ESRD. </w:t>
      </w:r>
      <w:r w:rsidRPr="00463667">
        <w:t>ESRD (</w:t>
      </w:r>
      <w:r w:rsidRPr="00463667">
        <w:rPr>
          <w:u w:val="single"/>
        </w:rPr>
        <w:t>ESRD Value Set</w:t>
      </w:r>
      <w:r w:rsidRPr="00463667">
        <w:t>) during the measurement year.</w:t>
      </w:r>
    </w:p>
    <w:p w14:paraId="44C3FE7B" w14:textId="77777777" w:rsidR="00740D50" w:rsidRDefault="00BF3DF9" w:rsidP="00BF3DF9">
      <w:pPr>
        <w:pStyle w:val="Bullet"/>
        <w:sectPr w:rsidR="00740D50" w:rsidSect="00C56CA6">
          <w:pgSz w:w="12240" w:h="15840" w:code="1"/>
          <w:pgMar w:top="1080" w:right="1080" w:bottom="1080" w:left="1440" w:header="720" w:footer="720" w:gutter="0"/>
          <w:cols w:space="720"/>
        </w:sectPr>
      </w:pPr>
      <w:r w:rsidRPr="00463667">
        <w:rPr>
          <w:i/>
        </w:rPr>
        <w:t>Kidney transplant.</w:t>
      </w:r>
      <w:r w:rsidRPr="00463667">
        <w:t xml:space="preserve"> Kidney transplant (</w:t>
      </w:r>
      <w:r w:rsidRPr="00463667">
        <w:rPr>
          <w:u w:val="single"/>
        </w:rPr>
        <w:t>Kidney Transplant Value Set</w:t>
      </w:r>
      <w:r w:rsidRPr="00463667">
        <w:t>) during the measurement year.</w:t>
      </w:r>
    </w:p>
    <w:bookmarkStart w:id="9" w:name="_Toc400546194"/>
    <w:p w14:paraId="4BB4D00D" w14:textId="788D9F1A" w:rsidR="00BF3DF9" w:rsidRPr="00463667" w:rsidRDefault="00EF7C1A" w:rsidP="00740D50">
      <w:pPr>
        <w:pStyle w:val="StdHead"/>
        <w:spacing w:before="0"/>
      </w:pPr>
      <w:r>
        <w:lastRenderedPageBreak/>
        <w:fldChar w:fldCharType="begin"/>
      </w:r>
      <w:r>
        <w:instrText xml:space="preserve"> HYPERLINK  \l "TOC" </w:instrText>
      </w:r>
      <w:r>
        <w:fldChar w:fldCharType="separate"/>
      </w:r>
      <w:r w:rsidR="00BF3DF9" w:rsidRPr="00EF7C1A">
        <w:t>Steps for Calculating Service Categories</w:t>
      </w:r>
      <w:bookmarkEnd w:id="9"/>
      <w:r>
        <w:fldChar w:fldCharType="end"/>
      </w:r>
    </w:p>
    <w:bookmarkStart w:id="10" w:name="_Toc400546195"/>
    <w:p w14:paraId="729E512B" w14:textId="367895DF" w:rsidR="00BF3DF9" w:rsidRPr="00463667" w:rsidRDefault="00EF7C1A" w:rsidP="00BF3DF9">
      <w:pPr>
        <w:pStyle w:val="SubHead"/>
      </w:pPr>
      <w:r>
        <w:fldChar w:fldCharType="begin"/>
      </w:r>
      <w:r>
        <w:instrText xml:space="preserve"> HYPERLINK  \l "TOC" </w:instrText>
      </w:r>
      <w:r>
        <w:fldChar w:fldCharType="separate"/>
      </w:r>
      <w:r w:rsidR="00BF3DF9" w:rsidRPr="00EF7C1A">
        <w:t>Calculating Service Frequency</w:t>
      </w:r>
      <w:bookmarkEnd w:id="10"/>
      <w:r>
        <w:fldChar w:fldCharType="end"/>
      </w:r>
    </w:p>
    <w:tbl>
      <w:tblPr>
        <w:tblW w:w="9702" w:type="dxa"/>
        <w:tblInd w:w="18" w:type="dxa"/>
        <w:tblLayout w:type="fixed"/>
        <w:tblLook w:val="0000" w:firstRow="0" w:lastRow="0" w:firstColumn="0" w:lastColumn="0" w:noHBand="0" w:noVBand="0"/>
      </w:tblPr>
      <w:tblGrid>
        <w:gridCol w:w="1080"/>
        <w:gridCol w:w="8622"/>
      </w:tblGrid>
      <w:tr w:rsidR="00BF3DF9" w:rsidRPr="00463667" w14:paraId="60FBAB55" w14:textId="77777777" w:rsidTr="00C56CA6">
        <w:trPr>
          <w:cantSplit/>
        </w:trPr>
        <w:tc>
          <w:tcPr>
            <w:tcW w:w="1080" w:type="dxa"/>
          </w:tcPr>
          <w:p w14:paraId="3E9CE5A4" w14:textId="77777777" w:rsidR="00BF3DF9" w:rsidRPr="00463667" w:rsidRDefault="00BF3DF9" w:rsidP="00C56CA6">
            <w:pPr>
              <w:pStyle w:val="MarginSubhead"/>
              <w:jc w:val="right"/>
              <w:rPr>
                <w:i/>
                <w:iCs/>
              </w:rPr>
            </w:pPr>
            <w:r w:rsidRPr="00463667">
              <w:rPr>
                <w:i/>
                <w:iCs/>
              </w:rPr>
              <w:t>Step 1</w:t>
            </w:r>
          </w:p>
        </w:tc>
        <w:tc>
          <w:tcPr>
            <w:tcW w:w="8622" w:type="dxa"/>
          </w:tcPr>
          <w:p w14:paraId="2422AAB5" w14:textId="77777777" w:rsidR="00BF3DF9" w:rsidRPr="00463667" w:rsidRDefault="00BF3DF9" w:rsidP="00C56CA6">
            <w:pPr>
              <w:pStyle w:val="Body"/>
            </w:pPr>
            <w:r w:rsidRPr="00463667">
              <w:t xml:space="preserve">Identify eligible members for each major clinical condition and assign them a risk group. </w:t>
            </w:r>
          </w:p>
        </w:tc>
      </w:tr>
      <w:tr w:rsidR="00BF3DF9" w:rsidRPr="00463667" w14:paraId="583EA991" w14:textId="77777777" w:rsidTr="00C56CA6">
        <w:trPr>
          <w:cantSplit/>
        </w:trPr>
        <w:tc>
          <w:tcPr>
            <w:tcW w:w="1080" w:type="dxa"/>
          </w:tcPr>
          <w:p w14:paraId="31E8C3F5" w14:textId="77777777" w:rsidR="00BF3DF9" w:rsidRPr="00463667" w:rsidRDefault="00BF3DF9" w:rsidP="00C56CA6">
            <w:pPr>
              <w:pStyle w:val="MarginSubhead"/>
              <w:jc w:val="right"/>
              <w:rPr>
                <w:i/>
                <w:iCs/>
              </w:rPr>
            </w:pPr>
            <w:r w:rsidRPr="00463667">
              <w:rPr>
                <w:i/>
                <w:iCs/>
              </w:rPr>
              <w:t>Step 2</w:t>
            </w:r>
          </w:p>
        </w:tc>
        <w:tc>
          <w:tcPr>
            <w:tcW w:w="8622" w:type="dxa"/>
          </w:tcPr>
          <w:p w14:paraId="49B24CF2" w14:textId="77777777" w:rsidR="00BF3DF9" w:rsidRPr="00463667" w:rsidRDefault="00BF3DF9" w:rsidP="00C56CA6">
            <w:pPr>
              <w:pStyle w:val="Body"/>
            </w:pPr>
            <w:r w:rsidRPr="00463667">
              <w:t xml:space="preserve">Identify all inpatient, ED, pharmacy and condition-specific services rendered during the treatment period. </w:t>
            </w:r>
          </w:p>
        </w:tc>
      </w:tr>
      <w:tr w:rsidR="00BF3DF9" w:rsidRPr="00463667" w14:paraId="63659707" w14:textId="77777777" w:rsidTr="00C56CA6">
        <w:tc>
          <w:tcPr>
            <w:tcW w:w="1080" w:type="dxa"/>
          </w:tcPr>
          <w:p w14:paraId="76FC0EB7" w14:textId="77777777" w:rsidR="00BF3DF9" w:rsidRPr="00463667" w:rsidRDefault="00BF3DF9" w:rsidP="00C56CA6">
            <w:pPr>
              <w:pStyle w:val="MarginSubhead"/>
              <w:ind w:left="0"/>
              <w:jc w:val="right"/>
              <w:rPr>
                <w:i/>
              </w:rPr>
            </w:pPr>
            <w:r w:rsidRPr="00463667">
              <w:rPr>
                <w:i/>
              </w:rPr>
              <w:t>Step 3</w:t>
            </w:r>
          </w:p>
        </w:tc>
        <w:tc>
          <w:tcPr>
            <w:tcW w:w="8622" w:type="dxa"/>
          </w:tcPr>
          <w:p w14:paraId="3ECD8A07" w14:textId="77777777" w:rsidR="00BF3DF9" w:rsidRPr="00463667" w:rsidRDefault="00BF3DF9" w:rsidP="00C56CA6">
            <w:pPr>
              <w:pStyle w:val="Body"/>
            </w:pPr>
            <w:r w:rsidRPr="00463667">
              <w:t>Match the services to the codes provided in the specifications then group them into the following utilization categories:</w:t>
            </w:r>
          </w:p>
          <w:p w14:paraId="6E34F8A5" w14:textId="77777777" w:rsidR="00BF3DF9" w:rsidRPr="00463667" w:rsidRDefault="00BF3DF9" w:rsidP="00740D50">
            <w:pPr>
              <w:pStyle w:val="Bullet"/>
              <w:spacing w:before="60"/>
            </w:pPr>
            <w:r w:rsidRPr="00463667">
              <w:t>Acute Medicine: Discharges, Days.</w:t>
            </w:r>
          </w:p>
          <w:p w14:paraId="0133C470" w14:textId="77777777" w:rsidR="00BF3DF9" w:rsidRPr="00463667" w:rsidRDefault="00BF3DF9" w:rsidP="00740D50">
            <w:pPr>
              <w:pStyle w:val="Bullet"/>
              <w:spacing w:before="60"/>
            </w:pPr>
            <w:r w:rsidRPr="00463667">
              <w:t xml:space="preserve">Acute Surgery: Discharges, Days. </w:t>
            </w:r>
          </w:p>
          <w:p w14:paraId="3A039EC8" w14:textId="77777777" w:rsidR="00BF3DF9" w:rsidRPr="00463667" w:rsidRDefault="00BF3DF9" w:rsidP="00740D50">
            <w:pPr>
              <w:pStyle w:val="Bullet"/>
              <w:spacing w:before="60"/>
            </w:pPr>
            <w:r w:rsidRPr="00463667">
              <w:t>Nonacute: Discharges, Days.</w:t>
            </w:r>
          </w:p>
          <w:p w14:paraId="37EF2AEF" w14:textId="77777777" w:rsidR="00BF3DF9" w:rsidRPr="00463667" w:rsidRDefault="00BF3DF9" w:rsidP="00740D50">
            <w:pPr>
              <w:pStyle w:val="Bullet"/>
              <w:spacing w:before="60"/>
            </w:pPr>
            <w:r w:rsidRPr="00463667">
              <w:t>ED: Discharges.</w:t>
            </w:r>
          </w:p>
          <w:p w14:paraId="6D4EF4AE" w14:textId="77777777" w:rsidR="00BF3DF9" w:rsidRPr="00463667" w:rsidRDefault="00BF3DF9" w:rsidP="00740D50">
            <w:pPr>
              <w:pStyle w:val="Bullet"/>
              <w:spacing w:before="60"/>
            </w:pPr>
            <w:r w:rsidRPr="00463667">
              <w:t>Pharmacy Utilization:</w:t>
            </w:r>
          </w:p>
          <w:p w14:paraId="090D9998" w14:textId="77777777" w:rsidR="00BF3DF9" w:rsidRPr="00463667" w:rsidRDefault="00BF3DF9" w:rsidP="00740D50">
            <w:pPr>
              <w:pStyle w:val="Dash"/>
              <w:spacing w:before="30"/>
            </w:pPr>
            <w:r w:rsidRPr="00463667">
              <w:t xml:space="preserve">Name brand only. </w:t>
            </w:r>
          </w:p>
          <w:p w14:paraId="69CA22B9" w14:textId="77777777" w:rsidR="00BF3DF9" w:rsidRPr="00463667" w:rsidRDefault="00BF3DF9" w:rsidP="00740D50">
            <w:pPr>
              <w:pStyle w:val="Dash"/>
              <w:spacing w:before="30"/>
            </w:pPr>
            <w:r w:rsidRPr="00463667">
              <w:t xml:space="preserve">Name brand—Generic exists. </w:t>
            </w:r>
          </w:p>
          <w:p w14:paraId="0AA3107E" w14:textId="77777777" w:rsidR="00BF3DF9" w:rsidRPr="00463667" w:rsidRDefault="00BF3DF9" w:rsidP="00740D50">
            <w:pPr>
              <w:pStyle w:val="Dash"/>
              <w:spacing w:before="30"/>
            </w:pPr>
            <w:r w:rsidRPr="00463667">
              <w:t xml:space="preserve">Generic only. </w:t>
            </w:r>
          </w:p>
          <w:p w14:paraId="2CBC59DD" w14:textId="77777777" w:rsidR="00BF3DF9" w:rsidRPr="00463667" w:rsidRDefault="00BF3DF9" w:rsidP="00740D50">
            <w:pPr>
              <w:pStyle w:val="Dash"/>
              <w:spacing w:before="30"/>
            </w:pPr>
            <w:r w:rsidRPr="00463667">
              <w:t xml:space="preserve">Generic name—Name brand exists. </w:t>
            </w:r>
          </w:p>
          <w:p w14:paraId="50D02D94" w14:textId="77777777" w:rsidR="00BF3DF9" w:rsidRPr="00463667" w:rsidRDefault="00BF3DF9" w:rsidP="00740D50">
            <w:pPr>
              <w:pStyle w:val="Bullet"/>
              <w:spacing w:before="60"/>
            </w:pPr>
            <w:r w:rsidRPr="00463667">
              <w:t>Other condition-specific categories (e.g., MRI, cardiac procedures):</w:t>
            </w:r>
          </w:p>
          <w:p w14:paraId="5D716CBE" w14:textId="77777777" w:rsidR="00BF3DF9" w:rsidRPr="00463667" w:rsidRDefault="00BF3DF9" w:rsidP="00740D50">
            <w:pPr>
              <w:pStyle w:val="Bullet"/>
              <w:spacing w:before="60"/>
            </w:pPr>
            <w:r w:rsidRPr="00463667">
              <w:t>RCA and RDI report information on select cardiac procedures.</w:t>
            </w:r>
          </w:p>
        </w:tc>
      </w:tr>
      <w:tr w:rsidR="00BF3DF9" w:rsidRPr="00463667" w14:paraId="020C0069" w14:textId="77777777" w:rsidTr="00C56CA6">
        <w:trPr>
          <w:cantSplit/>
        </w:trPr>
        <w:tc>
          <w:tcPr>
            <w:tcW w:w="1080" w:type="dxa"/>
          </w:tcPr>
          <w:p w14:paraId="36E8F77A" w14:textId="77777777" w:rsidR="00BF3DF9" w:rsidRPr="00463667" w:rsidRDefault="00BF3DF9" w:rsidP="00740D50">
            <w:pPr>
              <w:pStyle w:val="MarginSubhead"/>
              <w:ind w:left="0"/>
              <w:jc w:val="right"/>
              <w:rPr>
                <w:i/>
              </w:rPr>
            </w:pPr>
            <w:r w:rsidRPr="00463667">
              <w:rPr>
                <w:i/>
              </w:rPr>
              <w:t>Step 4</w:t>
            </w:r>
          </w:p>
        </w:tc>
        <w:tc>
          <w:tcPr>
            <w:tcW w:w="8622" w:type="dxa"/>
          </w:tcPr>
          <w:p w14:paraId="226AD405" w14:textId="77777777" w:rsidR="00BF3DF9" w:rsidRPr="00463667" w:rsidRDefault="00BF3DF9" w:rsidP="00740D50">
            <w:pPr>
              <w:pStyle w:val="Body"/>
            </w:pPr>
            <w:r w:rsidRPr="00463667">
              <w:t xml:space="preserve">Count the unique services rendered during the treatment period in each utilization category, for each risk group. Refer to </w:t>
            </w:r>
            <w:r w:rsidRPr="00463667">
              <w:rPr>
                <w:i/>
              </w:rPr>
              <w:t>Guideline 8—Counting multiple billings for the same date of service.</w:t>
            </w:r>
            <w:r w:rsidRPr="00463667">
              <w:t xml:space="preserve"> </w:t>
            </w:r>
          </w:p>
          <w:p w14:paraId="77548F57" w14:textId="77777777" w:rsidR="00BF3DF9" w:rsidRPr="00463667" w:rsidRDefault="00BF3DF9" w:rsidP="00740D50">
            <w:pPr>
              <w:pStyle w:val="Body"/>
            </w:pPr>
            <w:r w:rsidRPr="00463667">
              <w:t xml:space="preserve">Count the pharmacy prescriptions dispensed during the treatment period in each utilization category. One prescription is an amount lasting 30 days or less. To calculate the number of prescriptions that have a </w:t>
            </w:r>
            <w:proofErr w:type="spellStart"/>
            <w:r w:rsidRPr="00463667">
              <w:t>days</w:t>
            </w:r>
            <w:proofErr w:type="spellEnd"/>
            <w:r w:rsidRPr="00463667">
              <w:t xml:space="preserve"> supply of 30 days or longer, divide the </w:t>
            </w:r>
            <w:proofErr w:type="spellStart"/>
            <w:r w:rsidRPr="00463667">
              <w:t>days</w:t>
            </w:r>
            <w:proofErr w:type="spellEnd"/>
            <w:r w:rsidRPr="00463667">
              <w:t xml:space="preserve"> supply by 30 and round down to convert.</w:t>
            </w:r>
          </w:p>
        </w:tc>
      </w:tr>
      <w:tr w:rsidR="00BF3DF9" w:rsidRPr="00463667" w14:paraId="5D1D6E45" w14:textId="77777777" w:rsidTr="00C56CA6">
        <w:tc>
          <w:tcPr>
            <w:tcW w:w="1080" w:type="dxa"/>
          </w:tcPr>
          <w:p w14:paraId="21785CBE" w14:textId="77777777" w:rsidR="00BF3DF9" w:rsidRPr="00463667" w:rsidRDefault="00BF3DF9" w:rsidP="00C56CA6">
            <w:pPr>
              <w:pStyle w:val="MarginSubhead"/>
              <w:jc w:val="right"/>
              <w:rPr>
                <w:i/>
              </w:rPr>
            </w:pPr>
            <w:r w:rsidRPr="00463667">
              <w:rPr>
                <w:i/>
              </w:rPr>
              <w:t>Step 5</w:t>
            </w:r>
          </w:p>
        </w:tc>
        <w:tc>
          <w:tcPr>
            <w:tcW w:w="8622" w:type="dxa"/>
          </w:tcPr>
          <w:p w14:paraId="218A9907" w14:textId="77777777" w:rsidR="00BF3DF9" w:rsidRPr="00463667" w:rsidRDefault="00BF3DF9" w:rsidP="00C56CA6">
            <w:pPr>
              <w:pStyle w:val="Body"/>
            </w:pPr>
            <w:r w:rsidRPr="00463667">
              <w:t>Aggregate and report service frequencies by age, gender and risk group.</w:t>
            </w:r>
          </w:p>
        </w:tc>
      </w:tr>
    </w:tbl>
    <w:bookmarkStart w:id="11" w:name="_Toc400546196"/>
    <w:p w14:paraId="4D1C26E8" w14:textId="33FD01E3" w:rsidR="00BF3DF9" w:rsidRPr="00463667" w:rsidRDefault="00EF7C1A" w:rsidP="00BF3DF9">
      <w:pPr>
        <w:pStyle w:val="SubHead"/>
      </w:pPr>
      <w:r>
        <w:fldChar w:fldCharType="begin"/>
      </w:r>
      <w:r>
        <w:instrText xml:space="preserve"> HYPERLINK  \l "TOC" </w:instrText>
      </w:r>
      <w:r>
        <w:fldChar w:fldCharType="separate"/>
      </w:r>
      <w:r w:rsidR="00BF3DF9" w:rsidRPr="00EF7C1A">
        <w:t>Calculating Standard Cost</w:t>
      </w:r>
      <w:bookmarkEnd w:id="11"/>
      <w:r>
        <w:fldChar w:fldCharType="end"/>
      </w:r>
    </w:p>
    <w:p w14:paraId="4C0D63F4" w14:textId="77777777" w:rsidR="00BF3DF9" w:rsidRPr="00463667" w:rsidRDefault="00BF3DF9" w:rsidP="00BF3DF9">
      <w:pPr>
        <w:pStyle w:val="Body"/>
      </w:pPr>
      <w:r w:rsidRPr="00463667">
        <w:t>Apply the SPTs to all services in each service category using the following steps. Refer to measure specifications for additional instructions.</w:t>
      </w:r>
    </w:p>
    <w:tbl>
      <w:tblPr>
        <w:tblW w:w="9702" w:type="dxa"/>
        <w:tblInd w:w="18" w:type="dxa"/>
        <w:tblLayout w:type="fixed"/>
        <w:tblLook w:val="0000" w:firstRow="0" w:lastRow="0" w:firstColumn="0" w:lastColumn="0" w:noHBand="0" w:noVBand="0"/>
      </w:tblPr>
      <w:tblGrid>
        <w:gridCol w:w="1080"/>
        <w:gridCol w:w="8622"/>
      </w:tblGrid>
      <w:tr w:rsidR="00BF3DF9" w:rsidRPr="00463667" w14:paraId="78F76A1A" w14:textId="77777777" w:rsidTr="00C56CA6">
        <w:tc>
          <w:tcPr>
            <w:tcW w:w="1080" w:type="dxa"/>
          </w:tcPr>
          <w:p w14:paraId="38C06108" w14:textId="77777777" w:rsidR="00BF3DF9" w:rsidRPr="00463667" w:rsidRDefault="00BF3DF9" w:rsidP="00C56CA6">
            <w:pPr>
              <w:pStyle w:val="MarginSubhead"/>
              <w:spacing w:before="160"/>
              <w:jc w:val="right"/>
              <w:rPr>
                <w:i/>
                <w:iCs/>
              </w:rPr>
            </w:pPr>
            <w:r w:rsidRPr="00463667">
              <w:rPr>
                <w:i/>
                <w:iCs/>
              </w:rPr>
              <w:t>Step 1</w:t>
            </w:r>
          </w:p>
        </w:tc>
        <w:tc>
          <w:tcPr>
            <w:tcW w:w="8622" w:type="dxa"/>
          </w:tcPr>
          <w:p w14:paraId="47573E22" w14:textId="77777777" w:rsidR="00BF3DF9" w:rsidRPr="00463667" w:rsidRDefault="00BF3DF9" w:rsidP="00C56CA6">
            <w:pPr>
              <w:pStyle w:val="Body"/>
              <w:spacing w:before="160"/>
            </w:pPr>
            <w:r w:rsidRPr="00463667">
              <w:t>Identify eligible members for each major clinical condition and assign them a risk group.</w:t>
            </w:r>
          </w:p>
        </w:tc>
      </w:tr>
      <w:tr w:rsidR="00BF3DF9" w:rsidRPr="00463667" w14:paraId="2D822497" w14:textId="77777777" w:rsidTr="00C56CA6">
        <w:tc>
          <w:tcPr>
            <w:tcW w:w="1080" w:type="dxa"/>
          </w:tcPr>
          <w:p w14:paraId="46AE59C9" w14:textId="77777777" w:rsidR="00BF3DF9" w:rsidRPr="00463667" w:rsidRDefault="00BF3DF9" w:rsidP="00C56CA6">
            <w:pPr>
              <w:pStyle w:val="MarginSubhead"/>
              <w:spacing w:before="120"/>
              <w:ind w:left="144"/>
              <w:jc w:val="right"/>
              <w:rPr>
                <w:i/>
                <w:iCs/>
              </w:rPr>
            </w:pPr>
            <w:r w:rsidRPr="00463667">
              <w:rPr>
                <w:i/>
                <w:iCs/>
              </w:rPr>
              <w:t>Step 2</w:t>
            </w:r>
          </w:p>
        </w:tc>
        <w:tc>
          <w:tcPr>
            <w:tcW w:w="8622" w:type="dxa"/>
          </w:tcPr>
          <w:p w14:paraId="29B7550E" w14:textId="77777777" w:rsidR="00BF3DF9" w:rsidRPr="00463667" w:rsidRDefault="00BF3DF9" w:rsidP="00C56CA6">
            <w:pPr>
              <w:pStyle w:val="Body"/>
              <w:spacing w:before="120"/>
            </w:pPr>
            <w:r w:rsidRPr="00463667">
              <w:t>Identify all services rendered during the treatment period for each service category:</w:t>
            </w:r>
          </w:p>
          <w:p w14:paraId="7946B62D" w14:textId="77777777" w:rsidR="00BF3DF9" w:rsidRPr="00463667" w:rsidRDefault="00BF3DF9" w:rsidP="00740D50">
            <w:pPr>
              <w:pStyle w:val="Bullet"/>
              <w:spacing w:before="60"/>
            </w:pPr>
            <w:r w:rsidRPr="00463667">
              <w:rPr>
                <w:iCs/>
              </w:rPr>
              <w:t>Inpatient Facility</w:t>
            </w:r>
            <w:r w:rsidRPr="00463667">
              <w:t xml:space="preserve"> (services provided by a facility during an inpatient stay).</w:t>
            </w:r>
          </w:p>
          <w:p w14:paraId="28C7D01D" w14:textId="77777777" w:rsidR="00BF3DF9" w:rsidRPr="00463667" w:rsidRDefault="00BF3DF9" w:rsidP="00740D50">
            <w:pPr>
              <w:pStyle w:val="Bullet"/>
              <w:spacing w:before="60"/>
            </w:pPr>
            <w:r w:rsidRPr="00463667">
              <w:rPr>
                <w:iCs/>
              </w:rPr>
              <w:t>E&amp;M</w:t>
            </w:r>
            <w:r w:rsidRPr="00463667">
              <w:t xml:space="preserve"> (inpatient visits, and outpatient visits including office visits, consultations and other services).</w:t>
            </w:r>
          </w:p>
          <w:p w14:paraId="1487B471" w14:textId="77777777" w:rsidR="00BF3DF9" w:rsidRPr="00463667" w:rsidRDefault="00BF3DF9" w:rsidP="00740D50">
            <w:pPr>
              <w:pStyle w:val="Bullet"/>
              <w:spacing w:before="60"/>
            </w:pPr>
            <w:r w:rsidRPr="00463667">
              <w:rPr>
                <w:iCs/>
              </w:rPr>
              <w:t>Surgery and Procedure</w:t>
            </w:r>
            <w:r w:rsidRPr="00463667">
              <w:t xml:space="preserve"> (inpatient and outpatient procedures).</w:t>
            </w:r>
          </w:p>
          <w:p w14:paraId="3522069A" w14:textId="77777777" w:rsidR="00BF3DF9" w:rsidRPr="00463667" w:rsidRDefault="00BF3DF9" w:rsidP="00740D50">
            <w:pPr>
              <w:pStyle w:val="Bullet"/>
              <w:spacing w:before="60"/>
            </w:pPr>
            <w:r w:rsidRPr="00463667">
              <w:rPr>
                <w:iCs/>
              </w:rPr>
              <w:t>Diagnostic Imaging.</w:t>
            </w:r>
          </w:p>
          <w:p w14:paraId="75641A95" w14:textId="77777777" w:rsidR="00BF3DF9" w:rsidRPr="00463667" w:rsidRDefault="00BF3DF9" w:rsidP="00740D50">
            <w:pPr>
              <w:pStyle w:val="Bullet"/>
              <w:spacing w:before="60"/>
            </w:pPr>
            <w:r w:rsidRPr="00463667">
              <w:rPr>
                <w:iCs/>
              </w:rPr>
              <w:t xml:space="preserve">Diagnostic Laboratory. </w:t>
            </w:r>
          </w:p>
          <w:p w14:paraId="1C5CC1C3" w14:textId="77777777" w:rsidR="00BF3DF9" w:rsidRPr="00463667" w:rsidRDefault="00BF3DF9" w:rsidP="00740D50">
            <w:pPr>
              <w:pStyle w:val="Bullet"/>
              <w:spacing w:before="60"/>
            </w:pPr>
            <w:r w:rsidRPr="00463667">
              <w:rPr>
                <w:iCs/>
              </w:rPr>
              <w:t>Pharmacy</w:t>
            </w:r>
            <w:r w:rsidRPr="00463667">
              <w:t xml:space="preserve"> (ambulatory prescriptions).</w:t>
            </w:r>
          </w:p>
        </w:tc>
      </w:tr>
      <w:tr w:rsidR="00BF3DF9" w:rsidRPr="00463667" w14:paraId="7B43BC10" w14:textId="77777777" w:rsidTr="00C56CA6">
        <w:tc>
          <w:tcPr>
            <w:tcW w:w="1080" w:type="dxa"/>
          </w:tcPr>
          <w:p w14:paraId="74C28B05" w14:textId="77777777" w:rsidR="00BF3DF9" w:rsidRPr="00463667" w:rsidRDefault="00BF3DF9" w:rsidP="00C56CA6">
            <w:pPr>
              <w:pStyle w:val="MarginSubhead"/>
              <w:spacing w:before="160"/>
              <w:jc w:val="right"/>
              <w:rPr>
                <w:i/>
                <w:iCs/>
              </w:rPr>
            </w:pPr>
            <w:r w:rsidRPr="00463667">
              <w:rPr>
                <w:i/>
                <w:iCs/>
              </w:rPr>
              <w:t>Step 3</w:t>
            </w:r>
          </w:p>
        </w:tc>
        <w:tc>
          <w:tcPr>
            <w:tcW w:w="8622" w:type="dxa"/>
          </w:tcPr>
          <w:p w14:paraId="665C3AAC" w14:textId="77777777" w:rsidR="00BF3DF9" w:rsidRPr="00463667" w:rsidRDefault="00BF3DF9" w:rsidP="00C56CA6">
            <w:pPr>
              <w:pStyle w:val="Body"/>
              <w:spacing w:before="160"/>
            </w:pPr>
            <w:r w:rsidRPr="00463667">
              <w:t xml:space="preserve">Multiply the standard price by the units of service to compute a standard cost for the service. Refer to each service category’s instructions (i.e., </w:t>
            </w:r>
            <w:r w:rsidRPr="00463667">
              <w:rPr>
                <w:i/>
              </w:rPr>
              <w:t>Calculating Total Standard Cost</w:t>
            </w:r>
            <w:r w:rsidRPr="00463667">
              <w:t>).</w:t>
            </w:r>
          </w:p>
        </w:tc>
      </w:tr>
    </w:tbl>
    <w:p w14:paraId="25238F88" w14:textId="77777777" w:rsidR="00740D50" w:rsidRDefault="00740D50">
      <w:pPr>
        <w:sectPr w:rsidR="00740D50" w:rsidSect="00C56CA6">
          <w:pgSz w:w="12240" w:h="15840" w:code="1"/>
          <w:pgMar w:top="1080" w:right="1080" w:bottom="1080" w:left="1440" w:header="720" w:footer="720" w:gutter="0"/>
          <w:cols w:space="720"/>
        </w:sectPr>
      </w:pPr>
    </w:p>
    <w:tbl>
      <w:tblPr>
        <w:tblW w:w="9702" w:type="dxa"/>
        <w:tblInd w:w="18" w:type="dxa"/>
        <w:tblLayout w:type="fixed"/>
        <w:tblLook w:val="0000" w:firstRow="0" w:lastRow="0" w:firstColumn="0" w:lastColumn="0" w:noHBand="0" w:noVBand="0"/>
      </w:tblPr>
      <w:tblGrid>
        <w:gridCol w:w="1080"/>
        <w:gridCol w:w="8622"/>
      </w:tblGrid>
      <w:tr w:rsidR="00BF3DF9" w:rsidRPr="00463667" w14:paraId="2CFA49A8" w14:textId="77777777" w:rsidTr="00C56CA6">
        <w:trPr>
          <w:trHeight w:val="567"/>
        </w:trPr>
        <w:tc>
          <w:tcPr>
            <w:tcW w:w="1080" w:type="dxa"/>
          </w:tcPr>
          <w:p w14:paraId="70929B02" w14:textId="77777777" w:rsidR="00BF3DF9" w:rsidRPr="00463667" w:rsidRDefault="00BF3DF9" w:rsidP="00740D50">
            <w:pPr>
              <w:pStyle w:val="MarginSubhead"/>
              <w:spacing w:before="0"/>
              <w:jc w:val="right"/>
              <w:rPr>
                <w:i/>
                <w:iCs/>
              </w:rPr>
            </w:pPr>
            <w:r w:rsidRPr="00463667">
              <w:rPr>
                <w:i/>
                <w:iCs/>
              </w:rPr>
              <w:lastRenderedPageBreak/>
              <w:t>Step 4</w:t>
            </w:r>
          </w:p>
        </w:tc>
        <w:tc>
          <w:tcPr>
            <w:tcW w:w="8622" w:type="dxa"/>
          </w:tcPr>
          <w:p w14:paraId="43519CD4" w14:textId="77777777" w:rsidR="00BF3DF9" w:rsidRPr="00463667" w:rsidRDefault="00BF3DF9" w:rsidP="00740D50">
            <w:pPr>
              <w:pStyle w:val="Body"/>
              <w:spacing w:before="0"/>
            </w:pPr>
            <w:r w:rsidRPr="00463667">
              <w:t xml:space="preserve">For each major clinical condition, sum each member’s total standard cost for each service category. </w:t>
            </w:r>
          </w:p>
        </w:tc>
      </w:tr>
      <w:tr w:rsidR="00BF3DF9" w:rsidRPr="00463667" w14:paraId="0347C6A3" w14:textId="77777777" w:rsidTr="00C56CA6">
        <w:tc>
          <w:tcPr>
            <w:tcW w:w="1080" w:type="dxa"/>
          </w:tcPr>
          <w:p w14:paraId="18E8874D" w14:textId="77777777" w:rsidR="00BF3DF9" w:rsidRPr="00463667" w:rsidRDefault="00BF3DF9" w:rsidP="00C56CA6">
            <w:pPr>
              <w:pStyle w:val="MarginSubhead"/>
              <w:spacing w:before="160"/>
              <w:jc w:val="right"/>
              <w:rPr>
                <w:rFonts w:ascii="Arial Bold" w:hAnsi="Arial Bold"/>
                <w:i/>
                <w:iCs/>
                <w:strike/>
              </w:rPr>
            </w:pPr>
            <w:r w:rsidRPr="00463667">
              <w:rPr>
                <w:rFonts w:ascii="Arial Bold" w:hAnsi="Arial Bold"/>
                <w:i/>
                <w:iCs/>
              </w:rPr>
              <w:t>Step 5</w:t>
            </w:r>
          </w:p>
        </w:tc>
        <w:tc>
          <w:tcPr>
            <w:tcW w:w="8622" w:type="dxa"/>
          </w:tcPr>
          <w:p w14:paraId="2B9B6393" w14:textId="77777777" w:rsidR="00BF3DF9" w:rsidRPr="00463667" w:rsidRDefault="00BF3DF9" w:rsidP="00C56CA6">
            <w:pPr>
              <w:pStyle w:val="Body"/>
              <w:spacing w:before="160"/>
            </w:pPr>
            <w:r w:rsidRPr="00463667">
              <w:t>Report the total standard cost by age, gender and risk group.</w:t>
            </w:r>
          </w:p>
        </w:tc>
      </w:tr>
      <w:tr w:rsidR="00BF3DF9" w:rsidRPr="00463667" w14:paraId="23915C3E" w14:textId="77777777" w:rsidTr="00C56CA6">
        <w:trPr>
          <w:trHeight w:val="567"/>
        </w:trPr>
        <w:tc>
          <w:tcPr>
            <w:tcW w:w="1080" w:type="dxa"/>
          </w:tcPr>
          <w:p w14:paraId="739C1296" w14:textId="77777777" w:rsidR="00BF3DF9" w:rsidRPr="00463667" w:rsidRDefault="00BF3DF9" w:rsidP="00C56CA6">
            <w:pPr>
              <w:pStyle w:val="MarginSubhead"/>
              <w:spacing w:before="160"/>
              <w:ind w:left="0"/>
              <w:jc w:val="right"/>
              <w:rPr>
                <w:i/>
                <w:iCs/>
              </w:rPr>
            </w:pPr>
            <w:r w:rsidRPr="00463667">
              <w:rPr>
                <w:i/>
                <w:iCs/>
              </w:rPr>
              <w:t>Step 6</w:t>
            </w:r>
          </w:p>
        </w:tc>
        <w:tc>
          <w:tcPr>
            <w:tcW w:w="8622" w:type="dxa"/>
          </w:tcPr>
          <w:p w14:paraId="4581E740" w14:textId="77777777" w:rsidR="00BF3DF9" w:rsidRPr="00463667" w:rsidRDefault="00BF3DF9" w:rsidP="00C56CA6">
            <w:pPr>
              <w:pStyle w:val="Body"/>
              <w:spacing w:before="160"/>
            </w:pPr>
            <w:r w:rsidRPr="00463667">
              <w:t>In each service category, if a member’s standard cost exceeds the cap amount, report the total standard cost, including only the cap amount from Table SPT-CAP. Do not exclude members who exceed the cap.</w:t>
            </w:r>
          </w:p>
        </w:tc>
      </w:tr>
    </w:tbl>
    <w:p w14:paraId="1A8C6FC5" w14:textId="77777777" w:rsidR="00BF3DF9" w:rsidRPr="00463667" w:rsidRDefault="00BF3DF9" w:rsidP="00BF3DF9">
      <w:pPr>
        <w:pStyle w:val="Body"/>
      </w:pPr>
      <w:r w:rsidRPr="00463667">
        <w:t>Methods used to identify the unit of service and assign standard unit prices vary by service category. Steps required for each category are described below.</w:t>
      </w:r>
    </w:p>
    <w:bookmarkStart w:id="12" w:name="_Toc400546197"/>
    <w:p w14:paraId="18A8A9B7" w14:textId="6445EA7B" w:rsidR="00BF3DF9" w:rsidRPr="00463667" w:rsidRDefault="00EF7C1A" w:rsidP="00BF3DF9">
      <w:pPr>
        <w:pStyle w:val="SubHead"/>
        <w:rPr>
          <w:i/>
        </w:rPr>
      </w:pPr>
      <w:r>
        <w:rPr>
          <w:i/>
        </w:rPr>
        <w:fldChar w:fldCharType="begin"/>
      </w:r>
      <w:r>
        <w:rPr>
          <w:i/>
        </w:rPr>
        <w:instrText xml:space="preserve"> HYPERLINK  \l "TOC" </w:instrText>
      </w:r>
      <w:r>
        <w:rPr>
          <w:i/>
        </w:rPr>
        <w:fldChar w:fldCharType="separate"/>
      </w:r>
      <w:r w:rsidR="00BF3DF9" w:rsidRPr="00EF7C1A">
        <w:rPr>
          <w:i/>
        </w:rPr>
        <w:t>Calculating Total Standard Cost and Frequency:</w:t>
      </w:r>
      <w:r w:rsidR="00BF3DF9" w:rsidRPr="00EF7C1A">
        <w:t xml:space="preserve"> Inpatient Facility</w:t>
      </w:r>
      <w:bookmarkEnd w:id="12"/>
      <w:r w:rsidR="00BF3DF9" w:rsidRPr="00EF7C1A">
        <w:t xml:space="preserve"> </w:t>
      </w:r>
      <w:r>
        <w:rPr>
          <w:i/>
        </w:rPr>
        <w:fldChar w:fldCharType="end"/>
      </w:r>
    </w:p>
    <w:tbl>
      <w:tblPr>
        <w:tblW w:w="0" w:type="auto"/>
        <w:tblInd w:w="18" w:type="dxa"/>
        <w:tblLayout w:type="fixed"/>
        <w:tblLook w:val="0000" w:firstRow="0" w:lastRow="0" w:firstColumn="0" w:lastColumn="0" w:noHBand="0" w:noVBand="0"/>
      </w:tblPr>
      <w:tblGrid>
        <w:gridCol w:w="1080"/>
        <w:gridCol w:w="8622"/>
      </w:tblGrid>
      <w:tr w:rsidR="00BF3DF9" w:rsidRPr="00463667" w14:paraId="09FDA01D" w14:textId="77777777" w:rsidTr="00C56CA6">
        <w:tc>
          <w:tcPr>
            <w:tcW w:w="1080" w:type="dxa"/>
          </w:tcPr>
          <w:p w14:paraId="1983A075" w14:textId="77777777" w:rsidR="00BF3DF9" w:rsidRPr="00463667" w:rsidRDefault="00BF3DF9" w:rsidP="00C56CA6">
            <w:pPr>
              <w:pStyle w:val="MarginSubhead"/>
              <w:spacing w:before="160"/>
              <w:jc w:val="right"/>
              <w:rPr>
                <w:i/>
                <w:iCs/>
              </w:rPr>
            </w:pPr>
            <w:r w:rsidRPr="00463667">
              <w:rPr>
                <w:i/>
                <w:iCs/>
              </w:rPr>
              <w:t>Step 1</w:t>
            </w:r>
          </w:p>
        </w:tc>
        <w:tc>
          <w:tcPr>
            <w:tcW w:w="8622" w:type="dxa"/>
          </w:tcPr>
          <w:p w14:paraId="69AF6D36" w14:textId="77777777" w:rsidR="00BF3DF9" w:rsidRPr="00463667" w:rsidRDefault="00BF3DF9" w:rsidP="00C56CA6">
            <w:pPr>
              <w:pStyle w:val="Body"/>
              <w:spacing w:before="160"/>
            </w:pPr>
            <w:r w:rsidRPr="00463667">
              <w:t xml:space="preserve">Identify all inpatient stays that occurred during the treatment period. Include stays that started before the treatment period or ended after the close of the treatment period. Create a unique record describing the member’s inpatient stay. </w:t>
            </w:r>
          </w:p>
        </w:tc>
      </w:tr>
      <w:tr w:rsidR="00BF3DF9" w:rsidRPr="00463667" w14:paraId="6FE1E27B" w14:textId="77777777" w:rsidTr="00C56CA6">
        <w:tc>
          <w:tcPr>
            <w:tcW w:w="1080" w:type="dxa"/>
          </w:tcPr>
          <w:p w14:paraId="61F436CC" w14:textId="77777777" w:rsidR="00BF3DF9" w:rsidRPr="00463667" w:rsidRDefault="00BF3DF9" w:rsidP="00C56CA6">
            <w:pPr>
              <w:pStyle w:val="MarginSubhead"/>
              <w:spacing w:before="160"/>
              <w:jc w:val="right"/>
              <w:rPr>
                <w:i/>
                <w:iCs/>
              </w:rPr>
            </w:pPr>
            <w:r w:rsidRPr="00463667">
              <w:rPr>
                <w:i/>
                <w:iCs/>
              </w:rPr>
              <w:t>Step 2</w:t>
            </w:r>
          </w:p>
        </w:tc>
        <w:tc>
          <w:tcPr>
            <w:tcW w:w="8622" w:type="dxa"/>
          </w:tcPr>
          <w:p w14:paraId="70E72E23" w14:textId="77777777" w:rsidR="00BF3DF9" w:rsidRPr="00463667" w:rsidRDefault="00BF3DF9" w:rsidP="00C56CA6">
            <w:pPr>
              <w:pStyle w:val="Body"/>
              <w:spacing w:before="160"/>
            </w:pPr>
            <w:r w:rsidRPr="00463667">
              <w:t xml:space="preserve">Determine the LOS for frequency reporting. Compute the LOS in days, using paid for or expected-to-be-paid-for days only. Include all paid days in the calculation, whether or not they fall inside the treatment period. Use this LOS when reporting the frequency counts for each inpatient stay. </w:t>
            </w:r>
          </w:p>
        </w:tc>
      </w:tr>
      <w:tr w:rsidR="00BF3DF9" w:rsidRPr="00463667" w14:paraId="3193D412" w14:textId="77777777" w:rsidTr="00C56CA6">
        <w:tc>
          <w:tcPr>
            <w:tcW w:w="1080" w:type="dxa"/>
          </w:tcPr>
          <w:p w14:paraId="47BA8CEF" w14:textId="77777777" w:rsidR="00BF3DF9" w:rsidRPr="00463667" w:rsidRDefault="00BF3DF9" w:rsidP="00C56CA6">
            <w:pPr>
              <w:pStyle w:val="MarginSubhead"/>
              <w:spacing w:before="160"/>
              <w:jc w:val="right"/>
              <w:rPr>
                <w:i/>
                <w:iCs/>
              </w:rPr>
            </w:pPr>
            <w:r w:rsidRPr="00463667">
              <w:rPr>
                <w:i/>
                <w:iCs/>
              </w:rPr>
              <w:t>Step 3</w:t>
            </w:r>
          </w:p>
        </w:tc>
        <w:tc>
          <w:tcPr>
            <w:tcW w:w="8622" w:type="dxa"/>
          </w:tcPr>
          <w:p w14:paraId="5ABD773A" w14:textId="77777777" w:rsidR="00BF3DF9" w:rsidRPr="00463667" w:rsidRDefault="00BF3DF9" w:rsidP="00C56CA6">
            <w:pPr>
              <w:pStyle w:val="Body"/>
              <w:spacing w:before="160"/>
            </w:pPr>
            <w:r w:rsidRPr="00463667">
              <w:t xml:space="preserve">Determine the LOS category for standard cost reporting. Assign the appropriate LOS group using Table C. </w:t>
            </w:r>
          </w:p>
        </w:tc>
      </w:tr>
    </w:tbl>
    <w:p w14:paraId="0F3B94E1" w14:textId="77777777" w:rsidR="00BF3DF9" w:rsidRPr="00463667" w:rsidRDefault="00BF3DF9" w:rsidP="00BF3DF9">
      <w:pPr>
        <w:pStyle w:val="TableHeadNotCondensed"/>
        <w:ind w:left="1170"/>
      </w:pPr>
      <w:r w:rsidRPr="00463667">
        <w:t>Table C: Length of Stay Group</w:t>
      </w:r>
    </w:p>
    <w:tbl>
      <w:tblPr>
        <w:tblW w:w="984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6"/>
        <w:gridCol w:w="175"/>
        <w:gridCol w:w="1444"/>
        <w:gridCol w:w="1619"/>
        <w:gridCol w:w="5376"/>
        <w:gridCol w:w="30"/>
      </w:tblGrid>
      <w:tr w:rsidR="00BF3DF9" w:rsidRPr="00463667" w14:paraId="7CF8A1BB" w14:textId="77777777" w:rsidTr="00740D50">
        <w:trPr>
          <w:gridBefore w:val="1"/>
          <w:gridAfter w:val="2"/>
          <w:wBefore w:w="1196" w:type="dxa"/>
          <w:wAfter w:w="5406" w:type="dxa"/>
        </w:trPr>
        <w:tc>
          <w:tcPr>
            <w:tcW w:w="1619" w:type="dxa"/>
            <w:gridSpan w:val="2"/>
            <w:tcBorders>
              <w:bottom w:val="single" w:sz="6" w:space="0" w:color="auto"/>
              <w:right w:val="single" w:sz="6" w:space="0" w:color="FFFFFF"/>
            </w:tcBorders>
            <w:shd w:val="clear" w:color="auto" w:fill="000000"/>
          </w:tcPr>
          <w:p w14:paraId="7BCB2326" w14:textId="77777777" w:rsidR="00BF3DF9" w:rsidRPr="00463667" w:rsidRDefault="00BF3DF9" w:rsidP="00C56CA6">
            <w:pPr>
              <w:pStyle w:val="TableHead"/>
              <w:rPr>
                <w:color w:val="auto"/>
              </w:rPr>
            </w:pPr>
            <w:r w:rsidRPr="00463667">
              <w:rPr>
                <w:color w:val="auto"/>
              </w:rPr>
              <w:t>LOS (Days)</w:t>
            </w:r>
          </w:p>
        </w:tc>
        <w:tc>
          <w:tcPr>
            <w:tcW w:w="1619" w:type="dxa"/>
            <w:tcBorders>
              <w:left w:val="single" w:sz="6" w:space="0" w:color="FFFFFF"/>
              <w:bottom w:val="single" w:sz="6" w:space="0" w:color="auto"/>
            </w:tcBorders>
            <w:shd w:val="clear" w:color="auto" w:fill="000000"/>
          </w:tcPr>
          <w:p w14:paraId="3B105779" w14:textId="77777777" w:rsidR="00BF3DF9" w:rsidRPr="00463667" w:rsidRDefault="00BF3DF9" w:rsidP="00C56CA6">
            <w:pPr>
              <w:pStyle w:val="TableHead"/>
              <w:rPr>
                <w:color w:val="auto"/>
              </w:rPr>
            </w:pPr>
            <w:r w:rsidRPr="00463667">
              <w:rPr>
                <w:color w:val="auto"/>
              </w:rPr>
              <w:t>LOS GRP</w:t>
            </w:r>
          </w:p>
        </w:tc>
      </w:tr>
      <w:tr w:rsidR="00BF3DF9" w:rsidRPr="00463667" w14:paraId="38814B30" w14:textId="77777777" w:rsidTr="00740D50">
        <w:trPr>
          <w:gridBefore w:val="1"/>
          <w:gridAfter w:val="2"/>
          <w:wBefore w:w="1196" w:type="dxa"/>
          <w:wAfter w:w="5406" w:type="dxa"/>
        </w:trPr>
        <w:tc>
          <w:tcPr>
            <w:tcW w:w="1619" w:type="dxa"/>
            <w:gridSpan w:val="2"/>
            <w:tcBorders>
              <w:top w:val="single" w:sz="6" w:space="0" w:color="auto"/>
              <w:left w:val="single" w:sz="6" w:space="0" w:color="auto"/>
            </w:tcBorders>
          </w:tcPr>
          <w:p w14:paraId="69618EE6" w14:textId="77777777" w:rsidR="00BF3DF9" w:rsidRPr="00463667" w:rsidRDefault="00BF3DF9" w:rsidP="00C56CA6">
            <w:pPr>
              <w:pStyle w:val="TableText"/>
              <w:ind w:left="288"/>
            </w:pPr>
            <w:r w:rsidRPr="00463667">
              <w:t>1</w:t>
            </w:r>
          </w:p>
        </w:tc>
        <w:tc>
          <w:tcPr>
            <w:tcW w:w="1619" w:type="dxa"/>
            <w:tcBorders>
              <w:top w:val="single" w:sz="6" w:space="0" w:color="auto"/>
              <w:right w:val="single" w:sz="6" w:space="0" w:color="auto"/>
            </w:tcBorders>
          </w:tcPr>
          <w:p w14:paraId="5EB3F315" w14:textId="77777777" w:rsidR="00BF3DF9" w:rsidRPr="00463667" w:rsidRDefault="00BF3DF9" w:rsidP="00C56CA6">
            <w:pPr>
              <w:pStyle w:val="TableText"/>
              <w:jc w:val="center"/>
            </w:pPr>
            <w:r w:rsidRPr="00463667">
              <w:t>A</w:t>
            </w:r>
          </w:p>
        </w:tc>
      </w:tr>
      <w:tr w:rsidR="00BF3DF9" w:rsidRPr="00463667" w14:paraId="747118B7" w14:textId="77777777" w:rsidTr="00740D50">
        <w:trPr>
          <w:gridBefore w:val="1"/>
          <w:gridAfter w:val="2"/>
          <w:wBefore w:w="1196" w:type="dxa"/>
          <w:wAfter w:w="5406" w:type="dxa"/>
        </w:trPr>
        <w:tc>
          <w:tcPr>
            <w:tcW w:w="1619" w:type="dxa"/>
            <w:gridSpan w:val="2"/>
            <w:tcBorders>
              <w:left w:val="single" w:sz="6" w:space="0" w:color="auto"/>
            </w:tcBorders>
            <w:shd w:val="clear" w:color="auto" w:fill="D9D9D9" w:themeFill="background1" w:themeFillShade="D9"/>
          </w:tcPr>
          <w:p w14:paraId="532E531E" w14:textId="77777777" w:rsidR="00BF3DF9" w:rsidRPr="00463667" w:rsidRDefault="00BF3DF9" w:rsidP="00C56CA6">
            <w:pPr>
              <w:pStyle w:val="TableText"/>
              <w:ind w:left="288"/>
            </w:pPr>
            <w:r w:rsidRPr="00463667">
              <w:t>2</w:t>
            </w:r>
          </w:p>
        </w:tc>
        <w:tc>
          <w:tcPr>
            <w:tcW w:w="1619" w:type="dxa"/>
            <w:tcBorders>
              <w:right w:val="single" w:sz="6" w:space="0" w:color="auto"/>
            </w:tcBorders>
            <w:shd w:val="clear" w:color="auto" w:fill="D9D9D9" w:themeFill="background1" w:themeFillShade="D9"/>
          </w:tcPr>
          <w:p w14:paraId="33378835" w14:textId="77777777" w:rsidR="00BF3DF9" w:rsidRPr="00463667" w:rsidRDefault="00BF3DF9" w:rsidP="00C56CA6">
            <w:pPr>
              <w:pStyle w:val="TableText"/>
              <w:jc w:val="center"/>
            </w:pPr>
            <w:r w:rsidRPr="00463667">
              <w:t>B</w:t>
            </w:r>
          </w:p>
        </w:tc>
      </w:tr>
      <w:tr w:rsidR="00BF3DF9" w:rsidRPr="00463667" w14:paraId="402D7370" w14:textId="77777777" w:rsidTr="00740D50">
        <w:trPr>
          <w:gridBefore w:val="1"/>
          <w:gridAfter w:val="2"/>
          <w:wBefore w:w="1196" w:type="dxa"/>
          <w:wAfter w:w="5406" w:type="dxa"/>
        </w:trPr>
        <w:tc>
          <w:tcPr>
            <w:tcW w:w="1619" w:type="dxa"/>
            <w:gridSpan w:val="2"/>
            <w:tcBorders>
              <w:left w:val="single" w:sz="6" w:space="0" w:color="auto"/>
            </w:tcBorders>
          </w:tcPr>
          <w:p w14:paraId="31CE1EEA" w14:textId="77777777" w:rsidR="00BF3DF9" w:rsidRPr="00463667" w:rsidRDefault="00BF3DF9" w:rsidP="00C56CA6">
            <w:pPr>
              <w:pStyle w:val="TableText"/>
              <w:ind w:left="288"/>
            </w:pPr>
            <w:r w:rsidRPr="00463667">
              <w:t>3-4</w:t>
            </w:r>
          </w:p>
        </w:tc>
        <w:tc>
          <w:tcPr>
            <w:tcW w:w="1619" w:type="dxa"/>
            <w:tcBorders>
              <w:right w:val="single" w:sz="6" w:space="0" w:color="auto"/>
            </w:tcBorders>
          </w:tcPr>
          <w:p w14:paraId="4B84C95B" w14:textId="77777777" w:rsidR="00BF3DF9" w:rsidRPr="00463667" w:rsidRDefault="00BF3DF9" w:rsidP="00C56CA6">
            <w:pPr>
              <w:pStyle w:val="TableText"/>
              <w:jc w:val="center"/>
            </w:pPr>
            <w:r w:rsidRPr="00463667">
              <w:t>C</w:t>
            </w:r>
          </w:p>
        </w:tc>
      </w:tr>
      <w:tr w:rsidR="00BF3DF9" w:rsidRPr="00463667" w14:paraId="0095FDF6" w14:textId="77777777" w:rsidTr="00740D50">
        <w:trPr>
          <w:gridBefore w:val="1"/>
          <w:gridAfter w:val="2"/>
          <w:wBefore w:w="1196" w:type="dxa"/>
          <w:wAfter w:w="5406" w:type="dxa"/>
        </w:trPr>
        <w:tc>
          <w:tcPr>
            <w:tcW w:w="1619" w:type="dxa"/>
            <w:gridSpan w:val="2"/>
            <w:tcBorders>
              <w:left w:val="single" w:sz="6" w:space="0" w:color="auto"/>
            </w:tcBorders>
            <w:shd w:val="clear" w:color="auto" w:fill="D9D9D9" w:themeFill="background1" w:themeFillShade="D9"/>
          </w:tcPr>
          <w:p w14:paraId="2AB25F30" w14:textId="77777777" w:rsidR="00BF3DF9" w:rsidRPr="00463667" w:rsidRDefault="00BF3DF9" w:rsidP="00C56CA6">
            <w:pPr>
              <w:pStyle w:val="TableText"/>
              <w:ind w:left="288"/>
            </w:pPr>
            <w:r w:rsidRPr="00463667">
              <w:t xml:space="preserve">5-6 </w:t>
            </w:r>
          </w:p>
        </w:tc>
        <w:tc>
          <w:tcPr>
            <w:tcW w:w="1619" w:type="dxa"/>
            <w:tcBorders>
              <w:right w:val="single" w:sz="6" w:space="0" w:color="auto"/>
            </w:tcBorders>
            <w:shd w:val="clear" w:color="auto" w:fill="D9D9D9" w:themeFill="background1" w:themeFillShade="D9"/>
          </w:tcPr>
          <w:p w14:paraId="17FA8391" w14:textId="77777777" w:rsidR="00BF3DF9" w:rsidRPr="00463667" w:rsidRDefault="00BF3DF9" w:rsidP="00C56CA6">
            <w:pPr>
              <w:pStyle w:val="TableText"/>
              <w:jc w:val="center"/>
            </w:pPr>
            <w:r w:rsidRPr="00463667">
              <w:t>D</w:t>
            </w:r>
          </w:p>
        </w:tc>
      </w:tr>
      <w:tr w:rsidR="00BF3DF9" w:rsidRPr="00463667" w14:paraId="63A8C565" w14:textId="77777777" w:rsidTr="00740D50">
        <w:trPr>
          <w:gridBefore w:val="1"/>
          <w:gridAfter w:val="2"/>
          <w:wBefore w:w="1196" w:type="dxa"/>
          <w:wAfter w:w="5406" w:type="dxa"/>
        </w:trPr>
        <w:tc>
          <w:tcPr>
            <w:tcW w:w="1619" w:type="dxa"/>
            <w:gridSpan w:val="2"/>
            <w:tcBorders>
              <w:left w:val="single" w:sz="6" w:space="0" w:color="auto"/>
            </w:tcBorders>
          </w:tcPr>
          <w:p w14:paraId="153C8742" w14:textId="77777777" w:rsidR="00BF3DF9" w:rsidRPr="00463667" w:rsidRDefault="00BF3DF9" w:rsidP="00C56CA6">
            <w:pPr>
              <w:pStyle w:val="TableText"/>
              <w:ind w:left="288"/>
            </w:pPr>
            <w:r w:rsidRPr="00463667">
              <w:t xml:space="preserve">7-8 </w:t>
            </w:r>
          </w:p>
        </w:tc>
        <w:tc>
          <w:tcPr>
            <w:tcW w:w="1619" w:type="dxa"/>
            <w:tcBorders>
              <w:right w:val="single" w:sz="6" w:space="0" w:color="auto"/>
            </w:tcBorders>
          </w:tcPr>
          <w:p w14:paraId="4E1DADFE" w14:textId="77777777" w:rsidR="00BF3DF9" w:rsidRPr="00463667" w:rsidRDefault="00BF3DF9" w:rsidP="00C56CA6">
            <w:pPr>
              <w:pStyle w:val="TableText"/>
              <w:jc w:val="center"/>
            </w:pPr>
            <w:r w:rsidRPr="00463667">
              <w:t>E</w:t>
            </w:r>
          </w:p>
        </w:tc>
      </w:tr>
      <w:tr w:rsidR="00BF3DF9" w:rsidRPr="00463667" w14:paraId="3B430C68" w14:textId="77777777" w:rsidTr="00740D50">
        <w:trPr>
          <w:gridBefore w:val="1"/>
          <w:gridAfter w:val="2"/>
          <w:wBefore w:w="1196" w:type="dxa"/>
          <w:wAfter w:w="5406" w:type="dxa"/>
        </w:trPr>
        <w:tc>
          <w:tcPr>
            <w:tcW w:w="1619" w:type="dxa"/>
            <w:gridSpan w:val="2"/>
            <w:tcBorders>
              <w:left w:val="single" w:sz="6" w:space="0" w:color="auto"/>
            </w:tcBorders>
            <w:shd w:val="clear" w:color="auto" w:fill="D9D9D9" w:themeFill="background1" w:themeFillShade="D9"/>
          </w:tcPr>
          <w:p w14:paraId="5CA9AD39" w14:textId="77777777" w:rsidR="00BF3DF9" w:rsidRPr="00463667" w:rsidRDefault="00BF3DF9" w:rsidP="00C56CA6">
            <w:pPr>
              <w:pStyle w:val="TableText"/>
              <w:ind w:left="288"/>
            </w:pPr>
            <w:r w:rsidRPr="00463667">
              <w:t xml:space="preserve">9-15 </w:t>
            </w:r>
          </w:p>
        </w:tc>
        <w:tc>
          <w:tcPr>
            <w:tcW w:w="1619" w:type="dxa"/>
            <w:tcBorders>
              <w:right w:val="single" w:sz="6" w:space="0" w:color="auto"/>
            </w:tcBorders>
            <w:shd w:val="clear" w:color="auto" w:fill="D9D9D9" w:themeFill="background1" w:themeFillShade="D9"/>
          </w:tcPr>
          <w:p w14:paraId="7467555F" w14:textId="77777777" w:rsidR="00BF3DF9" w:rsidRPr="00463667" w:rsidRDefault="00BF3DF9" w:rsidP="00C56CA6">
            <w:pPr>
              <w:pStyle w:val="TableText"/>
              <w:jc w:val="center"/>
            </w:pPr>
            <w:r w:rsidRPr="00463667">
              <w:t>F</w:t>
            </w:r>
          </w:p>
        </w:tc>
      </w:tr>
      <w:tr w:rsidR="00BF3DF9" w:rsidRPr="00463667" w14:paraId="05AC6957" w14:textId="77777777" w:rsidTr="00740D50">
        <w:trPr>
          <w:gridBefore w:val="1"/>
          <w:gridAfter w:val="2"/>
          <w:wBefore w:w="1196" w:type="dxa"/>
          <w:wAfter w:w="5406" w:type="dxa"/>
        </w:trPr>
        <w:tc>
          <w:tcPr>
            <w:tcW w:w="1619" w:type="dxa"/>
            <w:gridSpan w:val="2"/>
            <w:tcBorders>
              <w:left w:val="single" w:sz="6" w:space="0" w:color="auto"/>
              <w:bottom w:val="single" w:sz="6" w:space="0" w:color="auto"/>
            </w:tcBorders>
          </w:tcPr>
          <w:p w14:paraId="163FC508" w14:textId="77777777" w:rsidR="00BF3DF9" w:rsidRPr="00463667" w:rsidRDefault="00BF3DF9" w:rsidP="00C56CA6">
            <w:pPr>
              <w:pStyle w:val="TableText"/>
              <w:ind w:left="288"/>
            </w:pPr>
            <w:r w:rsidRPr="00463667">
              <w:t>16 or more</w:t>
            </w:r>
          </w:p>
        </w:tc>
        <w:tc>
          <w:tcPr>
            <w:tcW w:w="1619" w:type="dxa"/>
            <w:tcBorders>
              <w:bottom w:val="single" w:sz="6" w:space="0" w:color="auto"/>
              <w:right w:val="single" w:sz="6" w:space="0" w:color="auto"/>
            </w:tcBorders>
          </w:tcPr>
          <w:p w14:paraId="27766FD1" w14:textId="77777777" w:rsidR="00BF3DF9" w:rsidRPr="00463667" w:rsidRDefault="00BF3DF9" w:rsidP="00C56CA6">
            <w:pPr>
              <w:pStyle w:val="TableText"/>
              <w:jc w:val="center"/>
            </w:pPr>
            <w:r w:rsidRPr="00463667">
              <w:t>G</w:t>
            </w:r>
          </w:p>
        </w:tc>
      </w:tr>
      <w:tr w:rsidR="00BF3DF9" w:rsidRPr="00463667" w14:paraId="31DF3B70" w14:textId="77777777" w:rsidTr="00740D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30" w:type="dxa"/>
        </w:trPr>
        <w:tc>
          <w:tcPr>
            <w:tcW w:w="1371" w:type="dxa"/>
            <w:gridSpan w:val="2"/>
          </w:tcPr>
          <w:p w14:paraId="4251DBDD" w14:textId="77777777" w:rsidR="00BF3DF9" w:rsidRPr="00463667" w:rsidRDefault="00BF3DF9" w:rsidP="00C56CA6">
            <w:pPr>
              <w:pStyle w:val="MarginSubhead"/>
              <w:jc w:val="right"/>
              <w:rPr>
                <w:i/>
                <w:iCs/>
              </w:rPr>
            </w:pPr>
            <w:r w:rsidRPr="00463667">
              <w:rPr>
                <w:i/>
                <w:iCs/>
              </w:rPr>
              <w:t>Step 4</w:t>
            </w:r>
          </w:p>
        </w:tc>
        <w:tc>
          <w:tcPr>
            <w:tcW w:w="8439" w:type="dxa"/>
            <w:gridSpan w:val="3"/>
          </w:tcPr>
          <w:p w14:paraId="596C7C09" w14:textId="77777777" w:rsidR="00BF3DF9" w:rsidRPr="00463667" w:rsidRDefault="00BF3DF9" w:rsidP="00C56CA6">
            <w:pPr>
              <w:pStyle w:val="Body"/>
            </w:pPr>
            <w:r w:rsidRPr="00463667">
              <w:t xml:space="preserve">Determine the LOS per diem multiplier. If the inpatient stay falls within the treatment period, </w:t>
            </w:r>
            <w:r w:rsidRPr="00463667">
              <w:br/>
              <w:t xml:space="preserve">use the total days the organization paid for or expects to pay for as the per diem multiplier. If the inpatient stay does not fall inside the treatment period, or if the organization did not pay for all days or does not expect to pay for all days, count </w:t>
            </w:r>
            <w:r w:rsidRPr="00463667">
              <w:rPr>
                <w:i/>
              </w:rPr>
              <w:t>only</w:t>
            </w:r>
            <w:r w:rsidRPr="00463667">
              <w:t xml:space="preserve"> the days within the treatment period (including the last day of the treatment period) that are paid for or expected to be paid for, as the per diem multiplier.</w:t>
            </w:r>
          </w:p>
        </w:tc>
      </w:tr>
      <w:tr w:rsidR="00BF3DF9" w:rsidRPr="00463667" w14:paraId="20D723AA" w14:textId="77777777" w:rsidTr="00740D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30" w:type="dxa"/>
        </w:trPr>
        <w:tc>
          <w:tcPr>
            <w:tcW w:w="1371" w:type="dxa"/>
            <w:gridSpan w:val="2"/>
          </w:tcPr>
          <w:p w14:paraId="5BF80D2E" w14:textId="77777777" w:rsidR="00BF3DF9" w:rsidRPr="00463667" w:rsidRDefault="00BF3DF9" w:rsidP="00C56CA6">
            <w:pPr>
              <w:pStyle w:val="MarginSubhead"/>
              <w:jc w:val="right"/>
              <w:rPr>
                <w:i/>
                <w:iCs/>
              </w:rPr>
            </w:pPr>
            <w:r w:rsidRPr="00463667">
              <w:rPr>
                <w:i/>
                <w:iCs/>
              </w:rPr>
              <w:t>Step 5</w:t>
            </w:r>
          </w:p>
        </w:tc>
        <w:tc>
          <w:tcPr>
            <w:tcW w:w="8439" w:type="dxa"/>
            <w:gridSpan w:val="3"/>
          </w:tcPr>
          <w:p w14:paraId="561E8137" w14:textId="77777777" w:rsidR="00BF3DF9" w:rsidRPr="00463667" w:rsidRDefault="00BF3DF9" w:rsidP="00C56CA6">
            <w:pPr>
              <w:pStyle w:val="Body"/>
            </w:pPr>
            <w:r w:rsidRPr="00463667">
              <w:t xml:space="preserve">Determine if the inpatient stay is acute or nonacute. Nonacute stays include nursing home, skilled nursing facility, rehabilitation, hospice, hospital transitional care, swing bed and respite; all other inpatient stays are acute. </w:t>
            </w:r>
          </w:p>
          <w:p w14:paraId="6B4FFD36" w14:textId="77777777" w:rsidR="00BF3DF9" w:rsidRPr="00463667" w:rsidRDefault="00BF3DF9" w:rsidP="00C56CA6">
            <w:pPr>
              <w:pStyle w:val="Body"/>
            </w:pPr>
            <w:r w:rsidRPr="00463667">
              <w:t>Report acute and nonacute stays separately when reporting frequency of inpatient stays.</w:t>
            </w:r>
          </w:p>
          <w:p w14:paraId="76B1DF79" w14:textId="77777777" w:rsidR="00BF3DF9" w:rsidRPr="00463667" w:rsidRDefault="00BF3DF9" w:rsidP="00C56CA6">
            <w:pPr>
              <w:pStyle w:val="Note"/>
            </w:pPr>
            <w:r w:rsidRPr="00463667">
              <w:rPr>
                <w:b/>
              </w:rPr>
              <w:t>Note:</w:t>
            </w:r>
            <w:r w:rsidRPr="00463667">
              <w:t xml:space="preserve"> SPT-INP tables assign the acute field a value of “1” if the discharge was from an acute inpatient stay and a value of “0” if the discharge is from a nonacute stay.</w:t>
            </w:r>
          </w:p>
        </w:tc>
      </w:tr>
      <w:tr w:rsidR="00BF3DF9" w:rsidRPr="00463667" w14:paraId="48842363" w14:textId="77777777" w:rsidTr="00740D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30" w:type="dxa"/>
        </w:trPr>
        <w:tc>
          <w:tcPr>
            <w:tcW w:w="1371" w:type="dxa"/>
            <w:gridSpan w:val="2"/>
          </w:tcPr>
          <w:p w14:paraId="787FEA3A" w14:textId="77777777" w:rsidR="00BF3DF9" w:rsidRPr="00463667" w:rsidRDefault="00BF3DF9" w:rsidP="00C56CA6">
            <w:pPr>
              <w:pStyle w:val="MarginSubhead"/>
              <w:jc w:val="right"/>
              <w:rPr>
                <w:i/>
                <w:iCs/>
              </w:rPr>
            </w:pPr>
            <w:r w:rsidRPr="00463667">
              <w:rPr>
                <w:i/>
                <w:iCs/>
              </w:rPr>
              <w:t>Step 6</w:t>
            </w:r>
          </w:p>
        </w:tc>
        <w:tc>
          <w:tcPr>
            <w:tcW w:w="8439" w:type="dxa"/>
            <w:gridSpan w:val="3"/>
          </w:tcPr>
          <w:p w14:paraId="5E49991F" w14:textId="77777777" w:rsidR="00BF3DF9" w:rsidRPr="00463667" w:rsidRDefault="00BF3DF9" w:rsidP="00C56CA6">
            <w:pPr>
              <w:pStyle w:val="Body"/>
            </w:pPr>
            <w:r w:rsidRPr="00463667">
              <w:t xml:space="preserve">Assign an </w:t>
            </w:r>
            <w:r w:rsidRPr="00463667">
              <w:rPr>
                <w:i/>
              </w:rPr>
              <w:t>Aggregate Diagnostic Service Category (ADSC)</w:t>
            </w:r>
            <w:r w:rsidRPr="00463667">
              <w:t xml:space="preserve"> for the inpatient stay using the principal discharge diagnosis. To assign ADSC, download the ADSC Table from the NCQA Web site (</w:t>
            </w:r>
            <w:hyperlink r:id="rId37" w:history="1">
              <w:r w:rsidRPr="00AF2143">
                <w:rPr>
                  <w:u w:val="single"/>
                </w:rPr>
                <w:t>www.ncqa.org</w:t>
              </w:r>
            </w:hyperlink>
            <w:r w:rsidRPr="00463667">
              <w:t xml:space="preserve">) and match the principal ICD-9-CM Diagnosis code from the </w:t>
            </w:r>
            <w:r w:rsidRPr="00463667">
              <w:lastRenderedPageBreak/>
              <w:t xml:space="preserve">discharge claim to an ADSC. If the principal ICD-9-CM Diagnosis code is invalid or missing, or cannot be determined, map the inpatient stay to the ADSC Table’s </w:t>
            </w:r>
            <w:r w:rsidRPr="00463667">
              <w:rPr>
                <w:i/>
              </w:rPr>
              <w:t>MISA</w:t>
            </w:r>
            <w:r w:rsidRPr="00463667">
              <w:t xml:space="preserve"> category.</w:t>
            </w:r>
          </w:p>
        </w:tc>
      </w:tr>
      <w:tr w:rsidR="00BF3DF9" w:rsidRPr="00463667" w14:paraId="738EF9FC" w14:textId="77777777" w:rsidTr="00740D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30" w:type="dxa"/>
        </w:trPr>
        <w:tc>
          <w:tcPr>
            <w:tcW w:w="1371" w:type="dxa"/>
            <w:gridSpan w:val="2"/>
          </w:tcPr>
          <w:p w14:paraId="104E60BD" w14:textId="77777777" w:rsidR="00BF3DF9" w:rsidRPr="00463667" w:rsidRDefault="00BF3DF9" w:rsidP="00C56CA6">
            <w:pPr>
              <w:pStyle w:val="MarginSubhead"/>
              <w:spacing w:before="240"/>
              <w:ind w:left="224"/>
              <w:jc w:val="right"/>
              <w:rPr>
                <w:i/>
                <w:iCs/>
              </w:rPr>
            </w:pPr>
            <w:r w:rsidRPr="00463667">
              <w:rPr>
                <w:i/>
                <w:iCs/>
              </w:rPr>
              <w:lastRenderedPageBreak/>
              <w:t>Step 7</w:t>
            </w:r>
          </w:p>
        </w:tc>
        <w:tc>
          <w:tcPr>
            <w:tcW w:w="8439" w:type="dxa"/>
            <w:gridSpan w:val="3"/>
          </w:tcPr>
          <w:p w14:paraId="29E1E8FC" w14:textId="77777777" w:rsidR="00BF3DF9" w:rsidRPr="00463667" w:rsidRDefault="00BF3DF9" w:rsidP="00C56CA6">
            <w:pPr>
              <w:pStyle w:val="Body"/>
              <w:spacing w:before="240"/>
            </w:pPr>
            <w:r w:rsidRPr="00463667">
              <w:t>Determine if the member underwent major surgery during the inpatient stay. Identify major surgeries by using the list of codes from the Maj-Surg Table. Flag members if one procedure code in the Maj-Surg Table is present from any provider during the stay.</w:t>
            </w:r>
          </w:p>
          <w:p w14:paraId="5AB3D979" w14:textId="77777777" w:rsidR="00BF3DF9" w:rsidRPr="00463667" w:rsidRDefault="00BF3DF9" w:rsidP="00C56CA6">
            <w:pPr>
              <w:pStyle w:val="Body"/>
            </w:pPr>
            <w:r w:rsidRPr="00463667">
              <w:t xml:space="preserve">If the inpatient stay is acute and has a major surgery, include it in the </w:t>
            </w:r>
            <w:r w:rsidRPr="00463667">
              <w:rPr>
                <w:i/>
              </w:rPr>
              <w:t>Acute Surgery</w:t>
            </w:r>
            <w:r w:rsidRPr="00463667">
              <w:t xml:space="preserve"> category for frequency reporting. If the stay is acute but does not have a major surgery, include it in the </w:t>
            </w:r>
            <w:r w:rsidRPr="00463667">
              <w:rPr>
                <w:i/>
              </w:rPr>
              <w:t>Acute Medicine</w:t>
            </w:r>
            <w:r w:rsidRPr="00463667">
              <w:t xml:space="preserve"> category. Nonacute stays are not categorized as surgical or nonsurgical for frequency reporting.</w:t>
            </w:r>
          </w:p>
          <w:p w14:paraId="40AACD33" w14:textId="77777777" w:rsidR="00BF3DF9" w:rsidRPr="00463667" w:rsidRDefault="00BF3DF9" w:rsidP="00C56CA6">
            <w:pPr>
              <w:pStyle w:val="Note"/>
            </w:pPr>
            <w:r w:rsidRPr="00463667">
              <w:rPr>
                <w:b/>
              </w:rPr>
              <w:t xml:space="preserve">Note: </w:t>
            </w:r>
            <w:r w:rsidRPr="00463667">
              <w:rPr>
                <w:bCs/>
              </w:rPr>
              <w:t xml:space="preserve">SPT-INP-ADSC </w:t>
            </w:r>
            <w:r w:rsidRPr="00463667">
              <w:t>assigns the field MAJSURG a value of “1” to indicate the standard price when a major surgery is identified and a value of “0” if no major surgery is identified during the member’s inpatient stay.</w:t>
            </w:r>
          </w:p>
        </w:tc>
      </w:tr>
      <w:tr w:rsidR="00BF3DF9" w:rsidRPr="00463667" w14:paraId="3E96F03F" w14:textId="77777777" w:rsidTr="00740D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371" w:type="dxa"/>
            <w:gridSpan w:val="2"/>
          </w:tcPr>
          <w:p w14:paraId="4F193E4B" w14:textId="77777777" w:rsidR="00BF3DF9" w:rsidRPr="00463667" w:rsidRDefault="00BF3DF9" w:rsidP="00C56CA6">
            <w:pPr>
              <w:pStyle w:val="MarginSubhead"/>
              <w:jc w:val="right"/>
              <w:rPr>
                <w:i/>
                <w:iCs/>
              </w:rPr>
            </w:pPr>
            <w:r w:rsidRPr="00463667">
              <w:rPr>
                <w:i/>
                <w:iCs/>
              </w:rPr>
              <w:t>Step 8</w:t>
            </w:r>
          </w:p>
        </w:tc>
        <w:tc>
          <w:tcPr>
            <w:tcW w:w="8469" w:type="dxa"/>
            <w:gridSpan w:val="4"/>
          </w:tcPr>
          <w:p w14:paraId="1677A5EE" w14:textId="77777777" w:rsidR="00BF3DF9" w:rsidRPr="00463667" w:rsidRDefault="00BF3DF9" w:rsidP="00C56CA6">
            <w:pPr>
              <w:pStyle w:val="Body"/>
            </w:pPr>
            <w:r w:rsidRPr="00463667">
              <w:t>Match each ADSC, LOS group, major surgery flag and acute or nonacute assignment for the stay to the NCQA-provided SPT to obtain the assigned standard price. Multiply the per diem multiplier by the per diem standard price to compute the total standard cost for the stay.</w:t>
            </w:r>
          </w:p>
          <w:p w14:paraId="07255768" w14:textId="77777777" w:rsidR="00BF3DF9" w:rsidRPr="00463667" w:rsidRDefault="00BF3DF9" w:rsidP="00C56CA6">
            <w:pPr>
              <w:pStyle w:val="Body"/>
            </w:pPr>
            <w:r w:rsidRPr="00463667">
              <w:t>For frequency reporting, report the stay in the appropriate category based on the acute or nonacute assignment and surgery or medicine assignment.</w:t>
            </w:r>
          </w:p>
        </w:tc>
      </w:tr>
      <w:tr w:rsidR="00740D50" w:rsidRPr="00463667" w14:paraId="3B8B6155" w14:textId="77777777" w:rsidTr="00F311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371" w:type="dxa"/>
            <w:gridSpan w:val="2"/>
          </w:tcPr>
          <w:p w14:paraId="3F8B74F5" w14:textId="77777777" w:rsidR="00740D50" w:rsidRPr="00463667" w:rsidRDefault="00740D50" w:rsidP="00C56CA6">
            <w:pPr>
              <w:pStyle w:val="MarginSubhead"/>
              <w:jc w:val="right"/>
              <w:rPr>
                <w:iCs/>
                <w:u w:val="single"/>
              </w:rPr>
            </w:pPr>
            <w:r w:rsidRPr="00463667">
              <w:rPr>
                <w:iCs/>
                <w:u w:val="single"/>
              </w:rPr>
              <w:t>Example</w:t>
            </w:r>
          </w:p>
        </w:tc>
        <w:tc>
          <w:tcPr>
            <w:tcW w:w="8469" w:type="dxa"/>
            <w:gridSpan w:val="4"/>
          </w:tcPr>
          <w:p w14:paraId="2563480C" w14:textId="77777777" w:rsidR="00740D50" w:rsidRPr="00463667" w:rsidRDefault="00740D50" w:rsidP="00C56CA6">
            <w:pPr>
              <w:pStyle w:val="Body"/>
            </w:pPr>
            <w:r w:rsidRPr="00463667">
              <w:t xml:space="preserve">The treatment period is January 1–December 31 of the measurement year and a member </w:t>
            </w:r>
            <w:r w:rsidRPr="00463667">
              <w:br/>
              <w:t>had an inpatient stay that started on December 25 of the measurement year and ended on January 4, with a primary discharge diagnosis from the ADSC category Cardiovascular—A and these characteristics:</w:t>
            </w:r>
          </w:p>
          <w:p w14:paraId="6CCFBC83" w14:textId="77777777" w:rsidR="00740D50" w:rsidRPr="00463667" w:rsidRDefault="00740D50" w:rsidP="00740D50">
            <w:pPr>
              <w:pStyle w:val="Bullet"/>
              <w:spacing w:before="60"/>
            </w:pPr>
            <w:r w:rsidRPr="00463667">
              <w:t>LOS of 10 paid days (LOS GRP = F).</w:t>
            </w:r>
          </w:p>
          <w:p w14:paraId="787FEAB8" w14:textId="77777777" w:rsidR="00740D50" w:rsidRPr="00463667" w:rsidRDefault="00740D50" w:rsidP="00740D50">
            <w:pPr>
              <w:pStyle w:val="Bullet"/>
              <w:spacing w:before="60"/>
            </w:pPr>
            <w:r w:rsidRPr="00463667">
              <w:t>Acute inpatient stay.</w:t>
            </w:r>
          </w:p>
          <w:p w14:paraId="5E5C7BDE" w14:textId="77777777" w:rsidR="00740D50" w:rsidRPr="00463667" w:rsidRDefault="00740D50" w:rsidP="00740D50">
            <w:pPr>
              <w:pStyle w:val="Bullet"/>
              <w:spacing w:before="60"/>
            </w:pPr>
            <w:r w:rsidRPr="00463667">
              <w:t>No major surgery event during the stay.</w:t>
            </w:r>
          </w:p>
          <w:p w14:paraId="1D08EA90" w14:textId="77777777" w:rsidR="00740D50" w:rsidRPr="00463667" w:rsidRDefault="00740D50" w:rsidP="00740D50">
            <w:pPr>
              <w:pStyle w:val="Bullet"/>
              <w:spacing w:before="60"/>
            </w:pPr>
            <w:r w:rsidRPr="00463667">
              <w:t xml:space="preserve">Per diem multiplier of 7 days (December 25–31). </w:t>
            </w:r>
          </w:p>
          <w:p w14:paraId="6412AD33" w14:textId="7A1B53E6" w:rsidR="00740D50" w:rsidRPr="00463667" w:rsidRDefault="00740D50" w:rsidP="00C56CA6">
            <w:pPr>
              <w:pStyle w:val="Body"/>
            </w:pPr>
            <w:r w:rsidRPr="00463667">
              <w:t>Use the per diem multiplier with the original LOS GRP derived. The member’s total inpatient cost is 7 x $1,825 = $12,775.</w:t>
            </w:r>
          </w:p>
        </w:tc>
      </w:tr>
      <w:tr w:rsidR="00BF3DF9" w:rsidRPr="00463667" w14:paraId="3353EE16" w14:textId="77777777" w:rsidTr="00740D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371" w:type="dxa"/>
            <w:gridSpan w:val="2"/>
          </w:tcPr>
          <w:p w14:paraId="573117B8" w14:textId="77777777" w:rsidR="00BF3DF9" w:rsidRPr="00463667" w:rsidRDefault="00BF3DF9" w:rsidP="00C56CA6">
            <w:pPr>
              <w:pStyle w:val="MarginSubhead"/>
              <w:jc w:val="right"/>
              <w:rPr>
                <w:iCs/>
                <w:u w:val="single"/>
              </w:rPr>
            </w:pPr>
            <w:r w:rsidRPr="00463667">
              <w:rPr>
                <w:iCs/>
                <w:u w:val="single"/>
              </w:rPr>
              <w:t>Example</w:t>
            </w:r>
          </w:p>
        </w:tc>
        <w:tc>
          <w:tcPr>
            <w:tcW w:w="8469" w:type="dxa"/>
            <w:gridSpan w:val="4"/>
          </w:tcPr>
          <w:p w14:paraId="1167E1C3" w14:textId="77777777" w:rsidR="00BF3DF9" w:rsidRPr="00463667" w:rsidRDefault="00BF3DF9" w:rsidP="00C56CA6">
            <w:pPr>
              <w:pStyle w:val="Body"/>
            </w:pPr>
            <w:r w:rsidRPr="00463667">
              <w:t>An member with an inpatient admission has a primary discharge diagnosis from the ADSC category Cardiovascular—A with these characteristics:</w:t>
            </w:r>
          </w:p>
          <w:p w14:paraId="594CA93D" w14:textId="77777777" w:rsidR="00BF3DF9" w:rsidRPr="00463667" w:rsidRDefault="00BF3DF9" w:rsidP="00740D50">
            <w:pPr>
              <w:pStyle w:val="Bullet"/>
              <w:spacing w:before="60"/>
            </w:pPr>
            <w:r w:rsidRPr="00463667">
              <w:t>LOS of 4 paid days (LOS GRP = E).</w:t>
            </w:r>
          </w:p>
          <w:p w14:paraId="6D057A39" w14:textId="77777777" w:rsidR="00BF3DF9" w:rsidRPr="00463667" w:rsidRDefault="00BF3DF9" w:rsidP="00740D50">
            <w:pPr>
              <w:pStyle w:val="Bullet"/>
              <w:spacing w:before="60"/>
            </w:pPr>
            <w:r w:rsidRPr="00463667">
              <w:t>Acute inpatient stay.</w:t>
            </w:r>
          </w:p>
          <w:p w14:paraId="062EE096" w14:textId="77777777" w:rsidR="00BF3DF9" w:rsidRPr="00463667" w:rsidRDefault="00BF3DF9" w:rsidP="00740D50">
            <w:pPr>
              <w:pStyle w:val="Bullet"/>
              <w:spacing w:before="60"/>
            </w:pPr>
            <w:r w:rsidRPr="00463667">
              <w:t>Major surgery event during the stay.</w:t>
            </w:r>
          </w:p>
          <w:p w14:paraId="4F6A81FB" w14:textId="77777777" w:rsidR="00BF3DF9" w:rsidRPr="00463667" w:rsidRDefault="00BF3DF9" w:rsidP="00740D50">
            <w:pPr>
              <w:pStyle w:val="Bullet"/>
              <w:spacing w:before="60"/>
            </w:pPr>
            <w:r w:rsidRPr="00463667">
              <w:t>Per diem multiplier of 4 days.</w:t>
            </w:r>
          </w:p>
          <w:p w14:paraId="44094975" w14:textId="77777777" w:rsidR="00BF3DF9" w:rsidRPr="00463667" w:rsidRDefault="00BF3DF9" w:rsidP="00C56CA6">
            <w:pPr>
              <w:pStyle w:val="Body"/>
            </w:pPr>
            <w:r w:rsidRPr="00463667">
              <w:t>The total inpatient standard cost of 4 x $4,000 = $16,000 is counted in the Acute Surgery Inpatient category for frequency counting.</w:t>
            </w:r>
          </w:p>
        </w:tc>
      </w:tr>
    </w:tbl>
    <w:p w14:paraId="05D412C9" w14:textId="77777777" w:rsidR="00740D50" w:rsidRDefault="00740D50" w:rsidP="00BF3DF9">
      <w:pPr>
        <w:pStyle w:val="Heading3"/>
        <w:rPr>
          <w:i/>
        </w:rPr>
        <w:sectPr w:rsidR="00740D50" w:rsidSect="00C56CA6">
          <w:pgSz w:w="12240" w:h="15840" w:code="1"/>
          <w:pgMar w:top="1080" w:right="1080" w:bottom="1080" w:left="1440" w:header="720" w:footer="720" w:gutter="0"/>
          <w:cols w:space="720"/>
        </w:sectPr>
      </w:pPr>
    </w:p>
    <w:p w14:paraId="35E1A101" w14:textId="02AEC54F" w:rsidR="00BF3DF9" w:rsidRPr="00463667" w:rsidRDefault="00BF3DF9" w:rsidP="00740D50">
      <w:pPr>
        <w:pStyle w:val="Heading3"/>
        <w:spacing w:before="0"/>
      </w:pPr>
      <w:r w:rsidRPr="00463667">
        <w:rPr>
          <w:i/>
        </w:rPr>
        <w:lastRenderedPageBreak/>
        <w:t>Sample Table:</w:t>
      </w:r>
      <w:r w:rsidRPr="00463667">
        <w:t xml:space="preserve"> SPT-INP-ADSC—Inpatient Facility Services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530"/>
        <w:gridCol w:w="1530"/>
        <w:gridCol w:w="1530"/>
        <w:gridCol w:w="2430"/>
      </w:tblGrid>
      <w:tr w:rsidR="00BF3DF9" w:rsidRPr="00463667" w14:paraId="1BB91AB5" w14:textId="77777777" w:rsidTr="00C56CA6">
        <w:tc>
          <w:tcPr>
            <w:tcW w:w="1800" w:type="dxa"/>
            <w:tcBorders>
              <w:right w:val="single" w:sz="6" w:space="0" w:color="FFFFFF"/>
            </w:tcBorders>
            <w:shd w:val="clear" w:color="auto" w:fill="000000"/>
            <w:vAlign w:val="bottom"/>
          </w:tcPr>
          <w:p w14:paraId="2BEA6321" w14:textId="77777777" w:rsidR="00BF3DF9" w:rsidRPr="00463667" w:rsidRDefault="00BF3DF9" w:rsidP="00C56CA6">
            <w:pPr>
              <w:pStyle w:val="TableHead"/>
              <w:rPr>
                <w:color w:val="auto"/>
              </w:rPr>
            </w:pPr>
            <w:r w:rsidRPr="00463667">
              <w:rPr>
                <w:color w:val="auto"/>
              </w:rPr>
              <w:t>ADSC</w:t>
            </w:r>
          </w:p>
        </w:tc>
        <w:tc>
          <w:tcPr>
            <w:tcW w:w="1530" w:type="dxa"/>
            <w:tcBorders>
              <w:left w:val="single" w:sz="6" w:space="0" w:color="FFFFFF"/>
              <w:right w:val="single" w:sz="6" w:space="0" w:color="FFFFFF"/>
            </w:tcBorders>
            <w:shd w:val="clear" w:color="auto" w:fill="000000"/>
            <w:vAlign w:val="bottom"/>
          </w:tcPr>
          <w:p w14:paraId="59E9B291" w14:textId="77777777" w:rsidR="00BF3DF9" w:rsidRPr="00463667" w:rsidRDefault="00BF3DF9" w:rsidP="00C56CA6">
            <w:pPr>
              <w:pStyle w:val="TableHead"/>
              <w:rPr>
                <w:color w:val="auto"/>
              </w:rPr>
            </w:pPr>
            <w:r w:rsidRPr="00463667">
              <w:rPr>
                <w:color w:val="auto"/>
              </w:rPr>
              <w:t>MAJSURG</w:t>
            </w:r>
          </w:p>
        </w:tc>
        <w:tc>
          <w:tcPr>
            <w:tcW w:w="1530" w:type="dxa"/>
            <w:tcBorders>
              <w:left w:val="single" w:sz="6" w:space="0" w:color="FFFFFF"/>
              <w:right w:val="single" w:sz="6" w:space="0" w:color="FFFFFF"/>
            </w:tcBorders>
            <w:shd w:val="clear" w:color="auto" w:fill="000000"/>
            <w:vAlign w:val="bottom"/>
          </w:tcPr>
          <w:p w14:paraId="75744CC0" w14:textId="77777777" w:rsidR="00BF3DF9" w:rsidRPr="00463667" w:rsidRDefault="00BF3DF9" w:rsidP="00C56CA6">
            <w:pPr>
              <w:pStyle w:val="TableHead"/>
              <w:rPr>
                <w:color w:val="auto"/>
              </w:rPr>
            </w:pPr>
            <w:r w:rsidRPr="00463667">
              <w:rPr>
                <w:color w:val="auto"/>
              </w:rPr>
              <w:t>ACUTE</w:t>
            </w:r>
          </w:p>
        </w:tc>
        <w:tc>
          <w:tcPr>
            <w:tcW w:w="1530" w:type="dxa"/>
            <w:tcBorders>
              <w:left w:val="single" w:sz="6" w:space="0" w:color="FFFFFF"/>
              <w:right w:val="single" w:sz="6" w:space="0" w:color="FFFFFF"/>
            </w:tcBorders>
            <w:shd w:val="clear" w:color="auto" w:fill="000000"/>
            <w:vAlign w:val="bottom"/>
          </w:tcPr>
          <w:p w14:paraId="09B1470F" w14:textId="77777777" w:rsidR="00BF3DF9" w:rsidRPr="00463667" w:rsidRDefault="00BF3DF9" w:rsidP="00C56CA6">
            <w:pPr>
              <w:pStyle w:val="TableHead"/>
              <w:rPr>
                <w:color w:val="auto"/>
              </w:rPr>
            </w:pPr>
            <w:r w:rsidRPr="00463667">
              <w:rPr>
                <w:color w:val="auto"/>
              </w:rPr>
              <w:t>LOS GRP</w:t>
            </w:r>
          </w:p>
        </w:tc>
        <w:tc>
          <w:tcPr>
            <w:tcW w:w="2430" w:type="dxa"/>
            <w:tcBorders>
              <w:left w:val="single" w:sz="6" w:space="0" w:color="FFFFFF"/>
            </w:tcBorders>
            <w:shd w:val="clear" w:color="auto" w:fill="000000"/>
            <w:vAlign w:val="bottom"/>
          </w:tcPr>
          <w:p w14:paraId="70FFADBD" w14:textId="77777777" w:rsidR="00BF3DF9" w:rsidRPr="00463667" w:rsidRDefault="00BF3DF9" w:rsidP="00C56CA6">
            <w:pPr>
              <w:pStyle w:val="TableHead"/>
              <w:rPr>
                <w:color w:val="auto"/>
              </w:rPr>
            </w:pPr>
            <w:r w:rsidRPr="00463667">
              <w:rPr>
                <w:color w:val="auto"/>
              </w:rPr>
              <w:t>Per Diem Std Unit Price ($)</w:t>
            </w:r>
          </w:p>
        </w:tc>
      </w:tr>
      <w:tr w:rsidR="00BF3DF9" w:rsidRPr="00463667" w14:paraId="31998359" w14:textId="77777777" w:rsidTr="00C56CA6">
        <w:tc>
          <w:tcPr>
            <w:tcW w:w="1800" w:type="dxa"/>
          </w:tcPr>
          <w:p w14:paraId="27424CB9" w14:textId="77777777" w:rsidR="00BF3DF9" w:rsidRPr="00463667" w:rsidRDefault="00BF3DF9" w:rsidP="00C56CA6">
            <w:pPr>
              <w:pStyle w:val="TableText"/>
            </w:pPr>
            <w:r w:rsidRPr="00463667">
              <w:t>Cardiovascular—A</w:t>
            </w:r>
          </w:p>
        </w:tc>
        <w:tc>
          <w:tcPr>
            <w:tcW w:w="1530" w:type="dxa"/>
          </w:tcPr>
          <w:p w14:paraId="35862D2C" w14:textId="77777777" w:rsidR="00BF3DF9" w:rsidRPr="00463667" w:rsidRDefault="00BF3DF9" w:rsidP="00C56CA6">
            <w:pPr>
              <w:pStyle w:val="TableText"/>
              <w:jc w:val="center"/>
            </w:pPr>
            <w:r w:rsidRPr="00463667">
              <w:t>0</w:t>
            </w:r>
          </w:p>
        </w:tc>
        <w:tc>
          <w:tcPr>
            <w:tcW w:w="1530" w:type="dxa"/>
          </w:tcPr>
          <w:p w14:paraId="777FD443" w14:textId="77777777" w:rsidR="00BF3DF9" w:rsidRPr="00463667" w:rsidRDefault="00BF3DF9" w:rsidP="00C56CA6">
            <w:pPr>
              <w:pStyle w:val="TableText"/>
              <w:jc w:val="center"/>
            </w:pPr>
            <w:r w:rsidRPr="00463667">
              <w:t>1</w:t>
            </w:r>
          </w:p>
        </w:tc>
        <w:tc>
          <w:tcPr>
            <w:tcW w:w="1530" w:type="dxa"/>
          </w:tcPr>
          <w:p w14:paraId="7DFF0207" w14:textId="77777777" w:rsidR="00BF3DF9" w:rsidRPr="00463667" w:rsidRDefault="00BF3DF9" w:rsidP="00C56CA6">
            <w:pPr>
              <w:pStyle w:val="TableText"/>
              <w:jc w:val="center"/>
            </w:pPr>
            <w:r w:rsidRPr="00463667">
              <w:t>A</w:t>
            </w:r>
          </w:p>
        </w:tc>
        <w:tc>
          <w:tcPr>
            <w:tcW w:w="2430" w:type="dxa"/>
            <w:vAlign w:val="bottom"/>
          </w:tcPr>
          <w:p w14:paraId="3AFDB1C4" w14:textId="77777777" w:rsidR="00BF3DF9" w:rsidRPr="00463667" w:rsidRDefault="00BF3DF9" w:rsidP="00C56CA6">
            <w:pPr>
              <w:pStyle w:val="TableText"/>
              <w:jc w:val="center"/>
            </w:pPr>
            <w:r w:rsidRPr="00463667">
              <w:t>6,400.00</w:t>
            </w:r>
          </w:p>
        </w:tc>
      </w:tr>
      <w:tr w:rsidR="00BF3DF9" w:rsidRPr="00463667" w14:paraId="598609C2" w14:textId="77777777" w:rsidTr="00C56CA6">
        <w:tc>
          <w:tcPr>
            <w:tcW w:w="1800" w:type="dxa"/>
            <w:shd w:val="clear" w:color="auto" w:fill="D9D9D9" w:themeFill="background1" w:themeFillShade="D9"/>
          </w:tcPr>
          <w:p w14:paraId="6950AA52" w14:textId="77777777" w:rsidR="00BF3DF9" w:rsidRPr="00463667" w:rsidRDefault="00BF3DF9" w:rsidP="00C56CA6">
            <w:pPr>
              <w:pStyle w:val="TableText"/>
            </w:pPr>
            <w:r w:rsidRPr="00463667">
              <w:t>Cardiovascular—A</w:t>
            </w:r>
          </w:p>
        </w:tc>
        <w:tc>
          <w:tcPr>
            <w:tcW w:w="1530" w:type="dxa"/>
            <w:shd w:val="clear" w:color="auto" w:fill="D9D9D9" w:themeFill="background1" w:themeFillShade="D9"/>
          </w:tcPr>
          <w:p w14:paraId="56A30672" w14:textId="77777777" w:rsidR="00BF3DF9" w:rsidRPr="00463667" w:rsidRDefault="00BF3DF9" w:rsidP="00C56CA6">
            <w:pPr>
              <w:pStyle w:val="TableText"/>
              <w:jc w:val="center"/>
            </w:pPr>
            <w:r w:rsidRPr="00463667">
              <w:t>0</w:t>
            </w:r>
          </w:p>
        </w:tc>
        <w:tc>
          <w:tcPr>
            <w:tcW w:w="1530" w:type="dxa"/>
            <w:shd w:val="clear" w:color="auto" w:fill="D9D9D9" w:themeFill="background1" w:themeFillShade="D9"/>
          </w:tcPr>
          <w:p w14:paraId="473B2A84" w14:textId="77777777" w:rsidR="00BF3DF9" w:rsidRPr="00463667" w:rsidRDefault="00BF3DF9" w:rsidP="00C56CA6">
            <w:pPr>
              <w:pStyle w:val="TableText"/>
              <w:jc w:val="center"/>
            </w:pPr>
            <w:r w:rsidRPr="00463667">
              <w:t>1</w:t>
            </w:r>
          </w:p>
        </w:tc>
        <w:tc>
          <w:tcPr>
            <w:tcW w:w="1530" w:type="dxa"/>
            <w:shd w:val="clear" w:color="auto" w:fill="D9D9D9" w:themeFill="background1" w:themeFillShade="D9"/>
          </w:tcPr>
          <w:p w14:paraId="43DAE165" w14:textId="77777777" w:rsidR="00BF3DF9" w:rsidRPr="00463667" w:rsidRDefault="00BF3DF9" w:rsidP="00C56CA6">
            <w:pPr>
              <w:pStyle w:val="TableText"/>
              <w:jc w:val="center"/>
            </w:pPr>
            <w:r w:rsidRPr="00463667">
              <w:t>B</w:t>
            </w:r>
          </w:p>
        </w:tc>
        <w:tc>
          <w:tcPr>
            <w:tcW w:w="2430" w:type="dxa"/>
            <w:shd w:val="clear" w:color="auto" w:fill="D9D9D9" w:themeFill="background1" w:themeFillShade="D9"/>
            <w:vAlign w:val="bottom"/>
          </w:tcPr>
          <w:p w14:paraId="3F05B88F" w14:textId="77777777" w:rsidR="00BF3DF9" w:rsidRPr="00463667" w:rsidRDefault="00BF3DF9" w:rsidP="00C56CA6">
            <w:pPr>
              <w:pStyle w:val="TableText"/>
              <w:jc w:val="center"/>
            </w:pPr>
            <w:r w:rsidRPr="00463667">
              <w:t>3,400.00</w:t>
            </w:r>
          </w:p>
        </w:tc>
      </w:tr>
      <w:tr w:rsidR="00BF3DF9" w:rsidRPr="00463667" w14:paraId="05DD9591" w14:textId="77777777" w:rsidTr="00C56CA6">
        <w:tc>
          <w:tcPr>
            <w:tcW w:w="1800" w:type="dxa"/>
            <w:shd w:val="clear" w:color="auto" w:fill="auto"/>
          </w:tcPr>
          <w:p w14:paraId="06314015" w14:textId="77777777" w:rsidR="00BF3DF9" w:rsidRPr="00463667" w:rsidRDefault="00BF3DF9" w:rsidP="00C56CA6">
            <w:pPr>
              <w:pStyle w:val="TableText"/>
            </w:pPr>
            <w:r w:rsidRPr="00463667">
              <w:t>Cardiovascular—A</w:t>
            </w:r>
          </w:p>
        </w:tc>
        <w:tc>
          <w:tcPr>
            <w:tcW w:w="1530" w:type="dxa"/>
            <w:shd w:val="clear" w:color="auto" w:fill="auto"/>
          </w:tcPr>
          <w:p w14:paraId="2A74089F" w14:textId="77777777" w:rsidR="00BF3DF9" w:rsidRPr="00463667" w:rsidRDefault="00BF3DF9" w:rsidP="00C56CA6">
            <w:pPr>
              <w:pStyle w:val="TableText"/>
              <w:jc w:val="center"/>
            </w:pPr>
            <w:r w:rsidRPr="00463667">
              <w:t>0</w:t>
            </w:r>
          </w:p>
        </w:tc>
        <w:tc>
          <w:tcPr>
            <w:tcW w:w="1530" w:type="dxa"/>
            <w:shd w:val="clear" w:color="auto" w:fill="auto"/>
          </w:tcPr>
          <w:p w14:paraId="407B8EEF" w14:textId="77777777" w:rsidR="00BF3DF9" w:rsidRPr="00463667" w:rsidRDefault="00BF3DF9" w:rsidP="00C56CA6">
            <w:pPr>
              <w:pStyle w:val="TableText"/>
              <w:jc w:val="center"/>
            </w:pPr>
            <w:r w:rsidRPr="00463667">
              <w:t>1</w:t>
            </w:r>
          </w:p>
        </w:tc>
        <w:tc>
          <w:tcPr>
            <w:tcW w:w="1530" w:type="dxa"/>
            <w:shd w:val="clear" w:color="auto" w:fill="auto"/>
          </w:tcPr>
          <w:p w14:paraId="5F273220" w14:textId="77777777" w:rsidR="00BF3DF9" w:rsidRPr="00463667" w:rsidRDefault="00BF3DF9" w:rsidP="00C56CA6">
            <w:pPr>
              <w:pStyle w:val="TableText"/>
              <w:jc w:val="center"/>
            </w:pPr>
            <w:r w:rsidRPr="00463667">
              <w:t>C</w:t>
            </w:r>
          </w:p>
        </w:tc>
        <w:tc>
          <w:tcPr>
            <w:tcW w:w="2430" w:type="dxa"/>
            <w:shd w:val="clear" w:color="auto" w:fill="auto"/>
            <w:vAlign w:val="bottom"/>
          </w:tcPr>
          <w:p w14:paraId="7DBAE484" w14:textId="77777777" w:rsidR="00BF3DF9" w:rsidRPr="00463667" w:rsidRDefault="00BF3DF9" w:rsidP="00C56CA6">
            <w:pPr>
              <w:pStyle w:val="TableText"/>
              <w:jc w:val="center"/>
            </w:pPr>
            <w:r w:rsidRPr="00463667">
              <w:t>3,100.00</w:t>
            </w:r>
          </w:p>
        </w:tc>
      </w:tr>
      <w:tr w:rsidR="00BF3DF9" w:rsidRPr="00463667" w14:paraId="35AD473A" w14:textId="77777777" w:rsidTr="00C56CA6">
        <w:tc>
          <w:tcPr>
            <w:tcW w:w="1800" w:type="dxa"/>
            <w:shd w:val="clear" w:color="auto" w:fill="D9D9D9" w:themeFill="background1" w:themeFillShade="D9"/>
          </w:tcPr>
          <w:p w14:paraId="20BF87A9" w14:textId="77777777" w:rsidR="00BF3DF9" w:rsidRPr="00463667" w:rsidRDefault="00BF3DF9" w:rsidP="00C56CA6">
            <w:pPr>
              <w:pStyle w:val="TableText"/>
            </w:pPr>
            <w:r w:rsidRPr="00463667">
              <w:t>Cardiovascular—A</w:t>
            </w:r>
          </w:p>
        </w:tc>
        <w:tc>
          <w:tcPr>
            <w:tcW w:w="1530" w:type="dxa"/>
            <w:shd w:val="clear" w:color="auto" w:fill="D9D9D9" w:themeFill="background1" w:themeFillShade="D9"/>
          </w:tcPr>
          <w:p w14:paraId="6EC429C5" w14:textId="77777777" w:rsidR="00BF3DF9" w:rsidRPr="00463667" w:rsidRDefault="00BF3DF9" w:rsidP="00C56CA6">
            <w:pPr>
              <w:pStyle w:val="TableText"/>
              <w:jc w:val="center"/>
            </w:pPr>
            <w:r w:rsidRPr="00463667">
              <w:t>0</w:t>
            </w:r>
          </w:p>
        </w:tc>
        <w:tc>
          <w:tcPr>
            <w:tcW w:w="1530" w:type="dxa"/>
            <w:shd w:val="clear" w:color="auto" w:fill="D9D9D9" w:themeFill="background1" w:themeFillShade="D9"/>
          </w:tcPr>
          <w:p w14:paraId="7683606D" w14:textId="77777777" w:rsidR="00BF3DF9" w:rsidRPr="00463667" w:rsidRDefault="00BF3DF9" w:rsidP="00C56CA6">
            <w:pPr>
              <w:pStyle w:val="TableText"/>
              <w:jc w:val="center"/>
            </w:pPr>
            <w:r w:rsidRPr="00463667">
              <w:t>1</w:t>
            </w:r>
          </w:p>
        </w:tc>
        <w:tc>
          <w:tcPr>
            <w:tcW w:w="1530" w:type="dxa"/>
            <w:shd w:val="clear" w:color="auto" w:fill="D9D9D9" w:themeFill="background1" w:themeFillShade="D9"/>
          </w:tcPr>
          <w:p w14:paraId="29172B29" w14:textId="77777777" w:rsidR="00BF3DF9" w:rsidRPr="00463667" w:rsidRDefault="00BF3DF9" w:rsidP="00C56CA6">
            <w:pPr>
              <w:pStyle w:val="TableText"/>
              <w:jc w:val="center"/>
            </w:pPr>
            <w:r w:rsidRPr="00463667">
              <w:t>D</w:t>
            </w:r>
          </w:p>
        </w:tc>
        <w:tc>
          <w:tcPr>
            <w:tcW w:w="2430" w:type="dxa"/>
            <w:shd w:val="clear" w:color="auto" w:fill="D9D9D9" w:themeFill="background1" w:themeFillShade="D9"/>
            <w:vAlign w:val="bottom"/>
          </w:tcPr>
          <w:p w14:paraId="78DF9D95" w14:textId="77777777" w:rsidR="00BF3DF9" w:rsidRPr="00463667" w:rsidRDefault="00BF3DF9" w:rsidP="00C56CA6">
            <w:pPr>
              <w:pStyle w:val="TableText"/>
              <w:jc w:val="center"/>
            </w:pPr>
            <w:r w:rsidRPr="00463667">
              <w:t>2,950.00</w:t>
            </w:r>
          </w:p>
        </w:tc>
      </w:tr>
      <w:tr w:rsidR="00BF3DF9" w:rsidRPr="00463667" w14:paraId="29D5C7FC" w14:textId="77777777" w:rsidTr="00C56CA6">
        <w:tc>
          <w:tcPr>
            <w:tcW w:w="1800" w:type="dxa"/>
            <w:shd w:val="clear" w:color="auto" w:fill="auto"/>
          </w:tcPr>
          <w:p w14:paraId="53925DB3" w14:textId="77777777" w:rsidR="00BF3DF9" w:rsidRPr="00463667" w:rsidRDefault="00BF3DF9" w:rsidP="00C56CA6">
            <w:pPr>
              <w:pStyle w:val="TableText"/>
            </w:pPr>
            <w:r w:rsidRPr="00463667">
              <w:t>Cardiovascular—A</w:t>
            </w:r>
          </w:p>
        </w:tc>
        <w:tc>
          <w:tcPr>
            <w:tcW w:w="1530" w:type="dxa"/>
            <w:shd w:val="clear" w:color="auto" w:fill="auto"/>
          </w:tcPr>
          <w:p w14:paraId="31218FDE" w14:textId="77777777" w:rsidR="00BF3DF9" w:rsidRPr="00463667" w:rsidRDefault="00BF3DF9" w:rsidP="00C56CA6">
            <w:pPr>
              <w:pStyle w:val="TableText"/>
              <w:jc w:val="center"/>
            </w:pPr>
            <w:r w:rsidRPr="00463667">
              <w:t>0</w:t>
            </w:r>
          </w:p>
        </w:tc>
        <w:tc>
          <w:tcPr>
            <w:tcW w:w="1530" w:type="dxa"/>
            <w:shd w:val="clear" w:color="auto" w:fill="auto"/>
          </w:tcPr>
          <w:p w14:paraId="6F990A71" w14:textId="77777777" w:rsidR="00BF3DF9" w:rsidRPr="00463667" w:rsidRDefault="00BF3DF9" w:rsidP="00C56CA6">
            <w:pPr>
              <w:pStyle w:val="TableText"/>
              <w:jc w:val="center"/>
            </w:pPr>
            <w:r w:rsidRPr="00463667">
              <w:t>1</w:t>
            </w:r>
          </w:p>
        </w:tc>
        <w:tc>
          <w:tcPr>
            <w:tcW w:w="1530" w:type="dxa"/>
            <w:shd w:val="clear" w:color="auto" w:fill="auto"/>
          </w:tcPr>
          <w:p w14:paraId="5D32863D" w14:textId="77777777" w:rsidR="00BF3DF9" w:rsidRPr="00463667" w:rsidRDefault="00BF3DF9" w:rsidP="00C56CA6">
            <w:pPr>
              <w:pStyle w:val="TableText"/>
              <w:jc w:val="center"/>
            </w:pPr>
            <w:r w:rsidRPr="00463667">
              <w:t>E</w:t>
            </w:r>
          </w:p>
        </w:tc>
        <w:tc>
          <w:tcPr>
            <w:tcW w:w="2430" w:type="dxa"/>
            <w:shd w:val="clear" w:color="auto" w:fill="auto"/>
            <w:vAlign w:val="bottom"/>
          </w:tcPr>
          <w:p w14:paraId="7654AF4B" w14:textId="77777777" w:rsidR="00BF3DF9" w:rsidRPr="00463667" w:rsidRDefault="00BF3DF9" w:rsidP="00C56CA6">
            <w:pPr>
              <w:pStyle w:val="TableText"/>
              <w:jc w:val="center"/>
            </w:pPr>
            <w:r w:rsidRPr="00463667">
              <w:t>1,850.00</w:t>
            </w:r>
          </w:p>
        </w:tc>
      </w:tr>
      <w:tr w:rsidR="00BF3DF9" w:rsidRPr="00463667" w14:paraId="277487E9" w14:textId="77777777" w:rsidTr="00C56CA6">
        <w:tc>
          <w:tcPr>
            <w:tcW w:w="1800" w:type="dxa"/>
            <w:tcBorders>
              <w:bottom w:val="single" w:sz="4" w:space="0" w:color="auto"/>
            </w:tcBorders>
            <w:shd w:val="clear" w:color="auto" w:fill="D9D9D9" w:themeFill="background1" w:themeFillShade="D9"/>
          </w:tcPr>
          <w:p w14:paraId="0965CC37" w14:textId="77777777" w:rsidR="00BF3DF9" w:rsidRPr="00463667" w:rsidRDefault="00BF3DF9" w:rsidP="00C56CA6">
            <w:pPr>
              <w:pStyle w:val="TableText"/>
            </w:pPr>
            <w:r w:rsidRPr="00463667">
              <w:t>Cardiovascular—A</w:t>
            </w:r>
          </w:p>
        </w:tc>
        <w:tc>
          <w:tcPr>
            <w:tcW w:w="1530" w:type="dxa"/>
            <w:tcBorders>
              <w:bottom w:val="single" w:sz="4" w:space="0" w:color="auto"/>
            </w:tcBorders>
            <w:shd w:val="clear" w:color="auto" w:fill="D9D9D9" w:themeFill="background1" w:themeFillShade="D9"/>
          </w:tcPr>
          <w:p w14:paraId="21582044" w14:textId="77777777" w:rsidR="00BF3DF9" w:rsidRPr="00463667" w:rsidRDefault="00BF3DF9" w:rsidP="00C56CA6">
            <w:pPr>
              <w:pStyle w:val="TableText"/>
              <w:jc w:val="center"/>
            </w:pPr>
            <w:r w:rsidRPr="00463667">
              <w:t>0</w:t>
            </w:r>
          </w:p>
        </w:tc>
        <w:tc>
          <w:tcPr>
            <w:tcW w:w="1530" w:type="dxa"/>
            <w:tcBorders>
              <w:bottom w:val="single" w:sz="4" w:space="0" w:color="auto"/>
            </w:tcBorders>
            <w:shd w:val="clear" w:color="auto" w:fill="D9D9D9" w:themeFill="background1" w:themeFillShade="D9"/>
          </w:tcPr>
          <w:p w14:paraId="4CDA92B7" w14:textId="77777777" w:rsidR="00BF3DF9" w:rsidRPr="00463667" w:rsidRDefault="00BF3DF9" w:rsidP="00C56CA6">
            <w:pPr>
              <w:pStyle w:val="TableText"/>
              <w:jc w:val="center"/>
            </w:pPr>
            <w:r w:rsidRPr="00463667">
              <w:t>1</w:t>
            </w:r>
          </w:p>
        </w:tc>
        <w:tc>
          <w:tcPr>
            <w:tcW w:w="1530" w:type="dxa"/>
            <w:tcBorders>
              <w:bottom w:val="single" w:sz="4" w:space="0" w:color="auto"/>
            </w:tcBorders>
            <w:shd w:val="clear" w:color="auto" w:fill="D9D9D9" w:themeFill="background1" w:themeFillShade="D9"/>
          </w:tcPr>
          <w:p w14:paraId="783B514A" w14:textId="77777777" w:rsidR="00BF3DF9" w:rsidRPr="00463667" w:rsidRDefault="00BF3DF9" w:rsidP="00C56CA6">
            <w:pPr>
              <w:pStyle w:val="TableText"/>
              <w:jc w:val="center"/>
            </w:pPr>
            <w:r w:rsidRPr="00463667">
              <w:t>F</w:t>
            </w:r>
          </w:p>
        </w:tc>
        <w:tc>
          <w:tcPr>
            <w:tcW w:w="2430" w:type="dxa"/>
            <w:tcBorders>
              <w:bottom w:val="single" w:sz="4" w:space="0" w:color="auto"/>
            </w:tcBorders>
            <w:shd w:val="clear" w:color="auto" w:fill="D9D9D9" w:themeFill="background1" w:themeFillShade="D9"/>
            <w:vAlign w:val="bottom"/>
          </w:tcPr>
          <w:p w14:paraId="16AA89C8" w14:textId="77777777" w:rsidR="00BF3DF9" w:rsidRPr="00463667" w:rsidRDefault="00BF3DF9" w:rsidP="00C56CA6">
            <w:pPr>
              <w:pStyle w:val="TableText"/>
              <w:jc w:val="center"/>
            </w:pPr>
            <w:r w:rsidRPr="00463667">
              <w:t>1,825.00</w:t>
            </w:r>
          </w:p>
        </w:tc>
      </w:tr>
      <w:tr w:rsidR="00BF3DF9" w:rsidRPr="00463667" w14:paraId="296BE3AC" w14:textId="77777777" w:rsidTr="00C56CA6">
        <w:tc>
          <w:tcPr>
            <w:tcW w:w="1800" w:type="dxa"/>
            <w:tcBorders>
              <w:bottom w:val="single" w:sz="6" w:space="0" w:color="auto"/>
            </w:tcBorders>
            <w:shd w:val="clear" w:color="auto" w:fill="auto"/>
          </w:tcPr>
          <w:p w14:paraId="3C8ECFB5" w14:textId="77777777" w:rsidR="00BF3DF9" w:rsidRPr="00463667" w:rsidRDefault="00BF3DF9" w:rsidP="00C56CA6">
            <w:pPr>
              <w:pStyle w:val="TableText"/>
            </w:pPr>
            <w:r w:rsidRPr="00463667">
              <w:t>Cardiovascular—A</w:t>
            </w:r>
          </w:p>
        </w:tc>
        <w:tc>
          <w:tcPr>
            <w:tcW w:w="1530" w:type="dxa"/>
            <w:tcBorders>
              <w:bottom w:val="single" w:sz="6" w:space="0" w:color="auto"/>
            </w:tcBorders>
            <w:shd w:val="clear" w:color="auto" w:fill="auto"/>
          </w:tcPr>
          <w:p w14:paraId="4DC33955" w14:textId="77777777" w:rsidR="00BF3DF9" w:rsidRPr="00463667" w:rsidRDefault="00BF3DF9" w:rsidP="00C56CA6">
            <w:pPr>
              <w:pStyle w:val="TableText"/>
              <w:jc w:val="center"/>
            </w:pPr>
            <w:r w:rsidRPr="00463667">
              <w:t>0</w:t>
            </w:r>
          </w:p>
        </w:tc>
        <w:tc>
          <w:tcPr>
            <w:tcW w:w="1530" w:type="dxa"/>
            <w:tcBorders>
              <w:bottom w:val="single" w:sz="6" w:space="0" w:color="auto"/>
            </w:tcBorders>
            <w:shd w:val="clear" w:color="auto" w:fill="auto"/>
          </w:tcPr>
          <w:p w14:paraId="557B3EE7" w14:textId="77777777" w:rsidR="00BF3DF9" w:rsidRPr="00463667" w:rsidRDefault="00BF3DF9" w:rsidP="00C56CA6">
            <w:pPr>
              <w:pStyle w:val="TableText"/>
              <w:jc w:val="center"/>
            </w:pPr>
            <w:r w:rsidRPr="00463667">
              <w:t>1</w:t>
            </w:r>
          </w:p>
        </w:tc>
        <w:tc>
          <w:tcPr>
            <w:tcW w:w="1530" w:type="dxa"/>
            <w:tcBorders>
              <w:bottom w:val="single" w:sz="6" w:space="0" w:color="auto"/>
            </w:tcBorders>
            <w:shd w:val="clear" w:color="auto" w:fill="auto"/>
          </w:tcPr>
          <w:p w14:paraId="742919A1" w14:textId="77777777" w:rsidR="00BF3DF9" w:rsidRPr="00463667" w:rsidRDefault="00BF3DF9" w:rsidP="00C56CA6">
            <w:pPr>
              <w:pStyle w:val="TableText"/>
              <w:jc w:val="center"/>
            </w:pPr>
            <w:r w:rsidRPr="00463667">
              <w:t>G</w:t>
            </w:r>
          </w:p>
        </w:tc>
        <w:tc>
          <w:tcPr>
            <w:tcW w:w="2430" w:type="dxa"/>
            <w:tcBorders>
              <w:bottom w:val="single" w:sz="6" w:space="0" w:color="auto"/>
            </w:tcBorders>
            <w:shd w:val="clear" w:color="auto" w:fill="auto"/>
            <w:vAlign w:val="bottom"/>
          </w:tcPr>
          <w:p w14:paraId="67C91D09" w14:textId="77777777" w:rsidR="00BF3DF9" w:rsidRPr="00463667" w:rsidRDefault="00BF3DF9" w:rsidP="00C56CA6">
            <w:pPr>
              <w:pStyle w:val="TableText"/>
              <w:jc w:val="center"/>
            </w:pPr>
            <w:r w:rsidRPr="00463667">
              <w:t>1,775.00</w:t>
            </w:r>
          </w:p>
        </w:tc>
      </w:tr>
      <w:tr w:rsidR="00BF3DF9" w:rsidRPr="00463667" w14:paraId="258A5868" w14:textId="77777777" w:rsidTr="00C56CA6">
        <w:tc>
          <w:tcPr>
            <w:tcW w:w="1800" w:type="dxa"/>
            <w:tcBorders>
              <w:top w:val="single" w:sz="6" w:space="0" w:color="auto"/>
            </w:tcBorders>
            <w:shd w:val="clear" w:color="auto" w:fill="D9D9D9" w:themeFill="background1" w:themeFillShade="D9"/>
          </w:tcPr>
          <w:p w14:paraId="2B0A0B90" w14:textId="77777777" w:rsidR="00BF3DF9" w:rsidRPr="00463667" w:rsidRDefault="00BF3DF9" w:rsidP="00C56CA6">
            <w:pPr>
              <w:pStyle w:val="TableText"/>
            </w:pPr>
            <w:r w:rsidRPr="00463667">
              <w:t>Cardiovascular—A</w:t>
            </w:r>
          </w:p>
        </w:tc>
        <w:tc>
          <w:tcPr>
            <w:tcW w:w="1530" w:type="dxa"/>
            <w:tcBorders>
              <w:top w:val="single" w:sz="6" w:space="0" w:color="auto"/>
            </w:tcBorders>
            <w:shd w:val="clear" w:color="auto" w:fill="D9D9D9" w:themeFill="background1" w:themeFillShade="D9"/>
          </w:tcPr>
          <w:p w14:paraId="3B6A5121" w14:textId="77777777" w:rsidR="00BF3DF9" w:rsidRPr="00463667" w:rsidRDefault="00BF3DF9" w:rsidP="00C56CA6">
            <w:pPr>
              <w:pStyle w:val="TableText"/>
              <w:jc w:val="center"/>
            </w:pPr>
            <w:r w:rsidRPr="00463667">
              <w:t>1</w:t>
            </w:r>
          </w:p>
        </w:tc>
        <w:tc>
          <w:tcPr>
            <w:tcW w:w="1530" w:type="dxa"/>
            <w:tcBorders>
              <w:top w:val="single" w:sz="6" w:space="0" w:color="auto"/>
            </w:tcBorders>
            <w:shd w:val="clear" w:color="auto" w:fill="D9D9D9" w:themeFill="background1" w:themeFillShade="D9"/>
          </w:tcPr>
          <w:p w14:paraId="78B73334" w14:textId="77777777" w:rsidR="00BF3DF9" w:rsidRPr="00463667" w:rsidRDefault="00BF3DF9" w:rsidP="00C56CA6">
            <w:pPr>
              <w:pStyle w:val="TableText"/>
              <w:jc w:val="center"/>
            </w:pPr>
            <w:r w:rsidRPr="00463667">
              <w:t>1</w:t>
            </w:r>
          </w:p>
        </w:tc>
        <w:tc>
          <w:tcPr>
            <w:tcW w:w="1530" w:type="dxa"/>
            <w:tcBorders>
              <w:top w:val="single" w:sz="6" w:space="0" w:color="auto"/>
            </w:tcBorders>
            <w:shd w:val="clear" w:color="auto" w:fill="D9D9D9" w:themeFill="background1" w:themeFillShade="D9"/>
          </w:tcPr>
          <w:p w14:paraId="27345864" w14:textId="77777777" w:rsidR="00BF3DF9" w:rsidRPr="00463667" w:rsidRDefault="00BF3DF9" w:rsidP="00C56CA6">
            <w:pPr>
              <w:pStyle w:val="TableText"/>
              <w:jc w:val="center"/>
            </w:pPr>
            <w:r w:rsidRPr="00463667">
              <w:t>A</w:t>
            </w:r>
          </w:p>
        </w:tc>
        <w:tc>
          <w:tcPr>
            <w:tcW w:w="2430" w:type="dxa"/>
            <w:tcBorders>
              <w:top w:val="single" w:sz="6" w:space="0" w:color="auto"/>
            </w:tcBorders>
            <w:shd w:val="clear" w:color="auto" w:fill="D9D9D9" w:themeFill="background1" w:themeFillShade="D9"/>
            <w:vAlign w:val="bottom"/>
          </w:tcPr>
          <w:p w14:paraId="1E2FA99B" w14:textId="77777777" w:rsidR="00BF3DF9" w:rsidRPr="00463667" w:rsidRDefault="00BF3DF9" w:rsidP="00C56CA6">
            <w:pPr>
              <w:pStyle w:val="TableText"/>
              <w:jc w:val="center"/>
            </w:pPr>
            <w:r w:rsidRPr="00463667">
              <w:t>7,700</w:t>
            </w:r>
            <w:r w:rsidRPr="00463667">
              <w:rPr>
                <w:rFonts w:cs="Arial"/>
              </w:rPr>
              <w:t>.00</w:t>
            </w:r>
          </w:p>
        </w:tc>
      </w:tr>
      <w:tr w:rsidR="00BF3DF9" w:rsidRPr="00463667" w14:paraId="6560237F" w14:textId="77777777" w:rsidTr="00C56CA6">
        <w:tc>
          <w:tcPr>
            <w:tcW w:w="1800" w:type="dxa"/>
            <w:shd w:val="clear" w:color="auto" w:fill="FFFFFF" w:themeFill="background1"/>
          </w:tcPr>
          <w:p w14:paraId="476E50FE" w14:textId="77777777" w:rsidR="00BF3DF9" w:rsidRPr="00463667" w:rsidRDefault="00BF3DF9" w:rsidP="00C56CA6">
            <w:pPr>
              <w:pStyle w:val="TableText"/>
            </w:pPr>
            <w:r w:rsidRPr="00463667">
              <w:t>Cardiovascular—A</w:t>
            </w:r>
          </w:p>
        </w:tc>
        <w:tc>
          <w:tcPr>
            <w:tcW w:w="1530" w:type="dxa"/>
            <w:shd w:val="clear" w:color="auto" w:fill="FFFFFF" w:themeFill="background1"/>
          </w:tcPr>
          <w:p w14:paraId="6E25F77D" w14:textId="77777777" w:rsidR="00BF3DF9" w:rsidRPr="00463667" w:rsidRDefault="00BF3DF9" w:rsidP="00C56CA6">
            <w:pPr>
              <w:pStyle w:val="TableText"/>
              <w:jc w:val="center"/>
            </w:pPr>
            <w:r w:rsidRPr="00463667">
              <w:t>1</w:t>
            </w:r>
          </w:p>
        </w:tc>
        <w:tc>
          <w:tcPr>
            <w:tcW w:w="1530" w:type="dxa"/>
            <w:shd w:val="clear" w:color="auto" w:fill="FFFFFF" w:themeFill="background1"/>
          </w:tcPr>
          <w:p w14:paraId="419460BC" w14:textId="77777777" w:rsidR="00BF3DF9" w:rsidRPr="00463667" w:rsidRDefault="00BF3DF9" w:rsidP="00C56CA6">
            <w:pPr>
              <w:pStyle w:val="TableText"/>
              <w:jc w:val="center"/>
            </w:pPr>
            <w:r w:rsidRPr="00463667">
              <w:t>1</w:t>
            </w:r>
          </w:p>
        </w:tc>
        <w:tc>
          <w:tcPr>
            <w:tcW w:w="1530" w:type="dxa"/>
            <w:shd w:val="clear" w:color="auto" w:fill="FFFFFF" w:themeFill="background1"/>
          </w:tcPr>
          <w:p w14:paraId="744FDC8B" w14:textId="77777777" w:rsidR="00BF3DF9" w:rsidRPr="00463667" w:rsidRDefault="00BF3DF9" w:rsidP="00C56CA6">
            <w:pPr>
              <w:pStyle w:val="TableText"/>
              <w:jc w:val="center"/>
            </w:pPr>
            <w:r w:rsidRPr="00463667">
              <w:t>B</w:t>
            </w:r>
          </w:p>
        </w:tc>
        <w:tc>
          <w:tcPr>
            <w:tcW w:w="2430" w:type="dxa"/>
            <w:shd w:val="clear" w:color="auto" w:fill="FFFFFF" w:themeFill="background1"/>
            <w:vAlign w:val="bottom"/>
          </w:tcPr>
          <w:p w14:paraId="36CCAEF1" w14:textId="77777777" w:rsidR="00BF3DF9" w:rsidRPr="00463667" w:rsidRDefault="00BF3DF9" w:rsidP="00C56CA6">
            <w:pPr>
              <w:pStyle w:val="TableText"/>
              <w:jc w:val="center"/>
            </w:pPr>
            <w:r w:rsidRPr="00463667">
              <w:t>5,500.00</w:t>
            </w:r>
          </w:p>
        </w:tc>
      </w:tr>
      <w:tr w:rsidR="00BF3DF9" w:rsidRPr="00463667" w14:paraId="0559A2A0" w14:textId="77777777" w:rsidTr="00C56CA6">
        <w:tc>
          <w:tcPr>
            <w:tcW w:w="1800" w:type="dxa"/>
            <w:shd w:val="clear" w:color="auto" w:fill="D9D9D9" w:themeFill="background1" w:themeFillShade="D9"/>
          </w:tcPr>
          <w:p w14:paraId="343EB812" w14:textId="77777777" w:rsidR="00BF3DF9" w:rsidRPr="00463667" w:rsidRDefault="00BF3DF9" w:rsidP="00C56CA6">
            <w:pPr>
              <w:pStyle w:val="TableText"/>
            </w:pPr>
            <w:r w:rsidRPr="00463667">
              <w:t>Cardiovascular—A</w:t>
            </w:r>
          </w:p>
        </w:tc>
        <w:tc>
          <w:tcPr>
            <w:tcW w:w="1530" w:type="dxa"/>
            <w:shd w:val="clear" w:color="auto" w:fill="D9D9D9" w:themeFill="background1" w:themeFillShade="D9"/>
          </w:tcPr>
          <w:p w14:paraId="65286AD2" w14:textId="77777777" w:rsidR="00BF3DF9" w:rsidRPr="00463667" w:rsidRDefault="00BF3DF9" w:rsidP="00C56CA6">
            <w:pPr>
              <w:pStyle w:val="TableText"/>
              <w:jc w:val="center"/>
            </w:pPr>
            <w:r w:rsidRPr="00463667">
              <w:t>1</w:t>
            </w:r>
          </w:p>
        </w:tc>
        <w:tc>
          <w:tcPr>
            <w:tcW w:w="1530" w:type="dxa"/>
            <w:shd w:val="clear" w:color="auto" w:fill="D9D9D9" w:themeFill="background1" w:themeFillShade="D9"/>
          </w:tcPr>
          <w:p w14:paraId="5A96E3C9" w14:textId="77777777" w:rsidR="00BF3DF9" w:rsidRPr="00463667" w:rsidRDefault="00BF3DF9" w:rsidP="00C56CA6">
            <w:pPr>
              <w:pStyle w:val="TableText"/>
              <w:jc w:val="center"/>
            </w:pPr>
            <w:r w:rsidRPr="00463667">
              <w:t>1</w:t>
            </w:r>
          </w:p>
        </w:tc>
        <w:tc>
          <w:tcPr>
            <w:tcW w:w="1530" w:type="dxa"/>
            <w:shd w:val="clear" w:color="auto" w:fill="D9D9D9" w:themeFill="background1" w:themeFillShade="D9"/>
          </w:tcPr>
          <w:p w14:paraId="69AD8CA1" w14:textId="77777777" w:rsidR="00BF3DF9" w:rsidRPr="00463667" w:rsidRDefault="00BF3DF9" w:rsidP="00C56CA6">
            <w:pPr>
              <w:pStyle w:val="TableText"/>
              <w:jc w:val="center"/>
            </w:pPr>
            <w:r w:rsidRPr="00463667">
              <w:t>C</w:t>
            </w:r>
          </w:p>
        </w:tc>
        <w:tc>
          <w:tcPr>
            <w:tcW w:w="2430" w:type="dxa"/>
            <w:shd w:val="clear" w:color="auto" w:fill="D9D9D9" w:themeFill="background1" w:themeFillShade="D9"/>
            <w:vAlign w:val="bottom"/>
          </w:tcPr>
          <w:p w14:paraId="41F8EAEF" w14:textId="77777777" w:rsidR="00BF3DF9" w:rsidRPr="00463667" w:rsidRDefault="00BF3DF9" w:rsidP="00C56CA6">
            <w:pPr>
              <w:pStyle w:val="TableText"/>
              <w:jc w:val="center"/>
            </w:pPr>
            <w:r w:rsidRPr="00463667">
              <w:t>4,900.00</w:t>
            </w:r>
          </w:p>
        </w:tc>
      </w:tr>
      <w:tr w:rsidR="00BF3DF9" w:rsidRPr="00463667" w14:paraId="4D547026" w14:textId="77777777" w:rsidTr="00C56CA6">
        <w:tc>
          <w:tcPr>
            <w:tcW w:w="1800" w:type="dxa"/>
            <w:shd w:val="clear" w:color="auto" w:fill="FFFFFF" w:themeFill="background1"/>
          </w:tcPr>
          <w:p w14:paraId="5AC098C2" w14:textId="77777777" w:rsidR="00BF3DF9" w:rsidRPr="00463667" w:rsidRDefault="00BF3DF9" w:rsidP="00C56CA6">
            <w:pPr>
              <w:pStyle w:val="TableText"/>
            </w:pPr>
            <w:r w:rsidRPr="00463667">
              <w:t>Cardiovascular—A</w:t>
            </w:r>
          </w:p>
        </w:tc>
        <w:tc>
          <w:tcPr>
            <w:tcW w:w="1530" w:type="dxa"/>
            <w:shd w:val="clear" w:color="auto" w:fill="FFFFFF" w:themeFill="background1"/>
          </w:tcPr>
          <w:p w14:paraId="29B13301" w14:textId="77777777" w:rsidR="00BF3DF9" w:rsidRPr="00463667" w:rsidRDefault="00BF3DF9" w:rsidP="00C56CA6">
            <w:pPr>
              <w:pStyle w:val="TableText"/>
              <w:jc w:val="center"/>
            </w:pPr>
            <w:r w:rsidRPr="00463667">
              <w:t>1</w:t>
            </w:r>
          </w:p>
        </w:tc>
        <w:tc>
          <w:tcPr>
            <w:tcW w:w="1530" w:type="dxa"/>
            <w:shd w:val="clear" w:color="auto" w:fill="FFFFFF" w:themeFill="background1"/>
          </w:tcPr>
          <w:p w14:paraId="0DFE6FC1" w14:textId="77777777" w:rsidR="00BF3DF9" w:rsidRPr="00463667" w:rsidRDefault="00BF3DF9" w:rsidP="00C56CA6">
            <w:pPr>
              <w:pStyle w:val="TableText"/>
              <w:jc w:val="center"/>
            </w:pPr>
            <w:r w:rsidRPr="00463667">
              <w:t>1</w:t>
            </w:r>
          </w:p>
        </w:tc>
        <w:tc>
          <w:tcPr>
            <w:tcW w:w="1530" w:type="dxa"/>
            <w:shd w:val="clear" w:color="auto" w:fill="FFFFFF" w:themeFill="background1"/>
          </w:tcPr>
          <w:p w14:paraId="7511F00A" w14:textId="77777777" w:rsidR="00BF3DF9" w:rsidRPr="00463667" w:rsidRDefault="00BF3DF9" w:rsidP="00C56CA6">
            <w:pPr>
              <w:pStyle w:val="TableText"/>
              <w:jc w:val="center"/>
            </w:pPr>
            <w:r w:rsidRPr="00463667">
              <w:t>D</w:t>
            </w:r>
          </w:p>
        </w:tc>
        <w:tc>
          <w:tcPr>
            <w:tcW w:w="2430" w:type="dxa"/>
            <w:shd w:val="clear" w:color="auto" w:fill="FFFFFF" w:themeFill="background1"/>
            <w:vAlign w:val="bottom"/>
          </w:tcPr>
          <w:p w14:paraId="4C32A0ED" w14:textId="77777777" w:rsidR="00BF3DF9" w:rsidRPr="00463667" w:rsidRDefault="00BF3DF9" w:rsidP="00C56CA6">
            <w:pPr>
              <w:pStyle w:val="TableText"/>
              <w:jc w:val="center"/>
            </w:pPr>
            <w:r w:rsidRPr="00463667">
              <w:t>4,450.00</w:t>
            </w:r>
          </w:p>
        </w:tc>
      </w:tr>
      <w:tr w:rsidR="00BF3DF9" w:rsidRPr="00463667" w14:paraId="162C3844" w14:textId="77777777" w:rsidTr="00C56CA6">
        <w:tc>
          <w:tcPr>
            <w:tcW w:w="1800" w:type="dxa"/>
            <w:shd w:val="clear" w:color="auto" w:fill="D9D9D9" w:themeFill="background1" w:themeFillShade="D9"/>
          </w:tcPr>
          <w:p w14:paraId="3B5F49A8" w14:textId="77777777" w:rsidR="00BF3DF9" w:rsidRPr="00463667" w:rsidRDefault="00BF3DF9" w:rsidP="00C56CA6">
            <w:pPr>
              <w:pStyle w:val="TableText"/>
            </w:pPr>
            <w:r w:rsidRPr="00463667">
              <w:t>Cardiovascular—A</w:t>
            </w:r>
          </w:p>
        </w:tc>
        <w:tc>
          <w:tcPr>
            <w:tcW w:w="1530" w:type="dxa"/>
            <w:shd w:val="clear" w:color="auto" w:fill="D9D9D9" w:themeFill="background1" w:themeFillShade="D9"/>
          </w:tcPr>
          <w:p w14:paraId="5199826E" w14:textId="77777777" w:rsidR="00BF3DF9" w:rsidRPr="00463667" w:rsidRDefault="00BF3DF9" w:rsidP="00C56CA6">
            <w:pPr>
              <w:pStyle w:val="TableText"/>
              <w:jc w:val="center"/>
            </w:pPr>
            <w:r w:rsidRPr="00463667">
              <w:t>1</w:t>
            </w:r>
          </w:p>
        </w:tc>
        <w:tc>
          <w:tcPr>
            <w:tcW w:w="1530" w:type="dxa"/>
            <w:shd w:val="clear" w:color="auto" w:fill="D9D9D9" w:themeFill="background1" w:themeFillShade="D9"/>
          </w:tcPr>
          <w:p w14:paraId="092D8BFB" w14:textId="77777777" w:rsidR="00BF3DF9" w:rsidRPr="00463667" w:rsidRDefault="00BF3DF9" w:rsidP="00C56CA6">
            <w:pPr>
              <w:pStyle w:val="TableText"/>
              <w:jc w:val="center"/>
            </w:pPr>
            <w:r w:rsidRPr="00463667">
              <w:t>1</w:t>
            </w:r>
          </w:p>
        </w:tc>
        <w:tc>
          <w:tcPr>
            <w:tcW w:w="1530" w:type="dxa"/>
            <w:shd w:val="clear" w:color="auto" w:fill="D9D9D9" w:themeFill="background1" w:themeFillShade="D9"/>
          </w:tcPr>
          <w:p w14:paraId="335FE3BE" w14:textId="77777777" w:rsidR="00BF3DF9" w:rsidRPr="00463667" w:rsidRDefault="00BF3DF9" w:rsidP="00C56CA6">
            <w:pPr>
              <w:pStyle w:val="TableText"/>
              <w:jc w:val="center"/>
            </w:pPr>
            <w:r w:rsidRPr="00463667">
              <w:t>E</w:t>
            </w:r>
          </w:p>
        </w:tc>
        <w:tc>
          <w:tcPr>
            <w:tcW w:w="2430" w:type="dxa"/>
            <w:shd w:val="clear" w:color="auto" w:fill="D9D9D9" w:themeFill="background1" w:themeFillShade="D9"/>
            <w:vAlign w:val="bottom"/>
          </w:tcPr>
          <w:p w14:paraId="00B0B569" w14:textId="77777777" w:rsidR="00BF3DF9" w:rsidRPr="00463667" w:rsidRDefault="00BF3DF9" w:rsidP="00C56CA6">
            <w:pPr>
              <w:pStyle w:val="TableText"/>
              <w:jc w:val="center"/>
            </w:pPr>
            <w:r w:rsidRPr="00463667">
              <w:t>4,000.00</w:t>
            </w:r>
          </w:p>
        </w:tc>
      </w:tr>
      <w:tr w:rsidR="00BF3DF9" w:rsidRPr="00463667" w14:paraId="799BD2C4" w14:textId="77777777" w:rsidTr="00C56CA6">
        <w:tc>
          <w:tcPr>
            <w:tcW w:w="1800" w:type="dxa"/>
            <w:tcBorders>
              <w:bottom w:val="single" w:sz="4" w:space="0" w:color="auto"/>
            </w:tcBorders>
            <w:shd w:val="clear" w:color="auto" w:fill="FFFFFF" w:themeFill="background1"/>
          </w:tcPr>
          <w:p w14:paraId="3977483F" w14:textId="77777777" w:rsidR="00BF3DF9" w:rsidRPr="00463667" w:rsidRDefault="00BF3DF9" w:rsidP="00C56CA6">
            <w:pPr>
              <w:pStyle w:val="TableText"/>
            </w:pPr>
            <w:r w:rsidRPr="00463667">
              <w:t>Cardiovascular—A</w:t>
            </w:r>
          </w:p>
        </w:tc>
        <w:tc>
          <w:tcPr>
            <w:tcW w:w="1530" w:type="dxa"/>
            <w:tcBorders>
              <w:bottom w:val="single" w:sz="4" w:space="0" w:color="auto"/>
            </w:tcBorders>
            <w:shd w:val="clear" w:color="auto" w:fill="FFFFFF" w:themeFill="background1"/>
          </w:tcPr>
          <w:p w14:paraId="301B5910" w14:textId="77777777" w:rsidR="00BF3DF9" w:rsidRPr="00463667" w:rsidRDefault="00BF3DF9" w:rsidP="00C56CA6">
            <w:pPr>
              <w:pStyle w:val="TableText"/>
              <w:jc w:val="center"/>
            </w:pPr>
            <w:r w:rsidRPr="00463667">
              <w:t>1</w:t>
            </w:r>
          </w:p>
        </w:tc>
        <w:tc>
          <w:tcPr>
            <w:tcW w:w="1530" w:type="dxa"/>
            <w:tcBorders>
              <w:bottom w:val="single" w:sz="4" w:space="0" w:color="auto"/>
            </w:tcBorders>
            <w:shd w:val="clear" w:color="auto" w:fill="FFFFFF" w:themeFill="background1"/>
          </w:tcPr>
          <w:p w14:paraId="24349793" w14:textId="77777777" w:rsidR="00BF3DF9" w:rsidRPr="00463667" w:rsidRDefault="00BF3DF9" w:rsidP="00C56CA6">
            <w:pPr>
              <w:pStyle w:val="TableText"/>
              <w:jc w:val="center"/>
            </w:pPr>
            <w:r w:rsidRPr="00463667">
              <w:t>1</w:t>
            </w:r>
          </w:p>
        </w:tc>
        <w:tc>
          <w:tcPr>
            <w:tcW w:w="1530" w:type="dxa"/>
            <w:tcBorders>
              <w:bottom w:val="single" w:sz="4" w:space="0" w:color="auto"/>
            </w:tcBorders>
            <w:shd w:val="clear" w:color="auto" w:fill="FFFFFF" w:themeFill="background1"/>
          </w:tcPr>
          <w:p w14:paraId="10A7B74D" w14:textId="77777777" w:rsidR="00BF3DF9" w:rsidRPr="00463667" w:rsidRDefault="00BF3DF9" w:rsidP="00C56CA6">
            <w:pPr>
              <w:pStyle w:val="TableText"/>
              <w:jc w:val="center"/>
            </w:pPr>
            <w:r w:rsidRPr="00463667">
              <w:t>F</w:t>
            </w:r>
          </w:p>
        </w:tc>
        <w:tc>
          <w:tcPr>
            <w:tcW w:w="2430" w:type="dxa"/>
            <w:tcBorders>
              <w:bottom w:val="single" w:sz="4" w:space="0" w:color="auto"/>
            </w:tcBorders>
            <w:shd w:val="clear" w:color="auto" w:fill="FFFFFF" w:themeFill="background1"/>
            <w:vAlign w:val="bottom"/>
          </w:tcPr>
          <w:p w14:paraId="0D2FB0BC" w14:textId="77777777" w:rsidR="00BF3DF9" w:rsidRPr="00463667" w:rsidRDefault="00BF3DF9" w:rsidP="00C56CA6">
            <w:pPr>
              <w:pStyle w:val="TableText"/>
              <w:jc w:val="center"/>
            </w:pPr>
            <w:r w:rsidRPr="00463667">
              <w:t>3,700.00</w:t>
            </w:r>
          </w:p>
        </w:tc>
      </w:tr>
      <w:tr w:rsidR="00BF3DF9" w:rsidRPr="00463667" w14:paraId="03C89B27" w14:textId="77777777" w:rsidTr="00C56CA6">
        <w:tc>
          <w:tcPr>
            <w:tcW w:w="1800" w:type="dxa"/>
            <w:tcBorders>
              <w:bottom w:val="single" w:sz="6" w:space="0" w:color="auto"/>
            </w:tcBorders>
            <w:shd w:val="clear" w:color="auto" w:fill="D9D9D9" w:themeFill="background1" w:themeFillShade="D9"/>
          </w:tcPr>
          <w:p w14:paraId="69F1AB6D" w14:textId="77777777" w:rsidR="00BF3DF9" w:rsidRPr="00463667" w:rsidRDefault="00BF3DF9" w:rsidP="00C56CA6">
            <w:pPr>
              <w:pStyle w:val="TableText"/>
            </w:pPr>
            <w:r w:rsidRPr="00463667">
              <w:t>Cardiovascular—A</w:t>
            </w:r>
          </w:p>
        </w:tc>
        <w:tc>
          <w:tcPr>
            <w:tcW w:w="1530" w:type="dxa"/>
            <w:tcBorders>
              <w:bottom w:val="single" w:sz="6" w:space="0" w:color="auto"/>
            </w:tcBorders>
            <w:shd w:val="clear" w:color="auto" w:fill="D9D9D9" w:themeFill="background1" w:themeFillShade="D9"/>
          </w:tcPr>
          <w:p w14:paraId="774A691C" w14:textId="77777777" w:rsidR="00BF3DF9" w:rsidRPr="00463667" w:rsidRDefault="00BF3DF9" w:rsidP="00C56CA6">
            <w:pPr>
              <w:pStyle w:val="TableText"/>
              <w:jc w:val="center"/>
            </w:pPr>
            <w:r w:rsidRPr="00463667">
              <w:t>1</w:t>
            </w:r>
          </w:p>
        </w:tc>
        <w:tc>
          <w:tcPr>
            <w:tcW w:w="1530" w:type="dxa"/>
            <w:tcBorders>
              <w:bottom w:val="single" w:sz="6" w:space="0" w:color="auto"/>
            </w:tcBorders>
            <w:shd w:val="clear" w:color="auto" w:fill="D9D9D9" w:themeFill="background1" w:themeFillShade="D9"/>
          </w:tcPr>
          <w:p w14:paraId="7CAF4251" w14:textId="77777777" w:rsidR="00BF3DF9" w:rsidRPr="00463667" w:rsidRDefault="00BF3DF9" w:rsidP="00C56CA6">
            <w:pPr>
              <w:pStyle w:val="TableText"/>
              <w:jc w:val="center"/>
            </w:pPr>
            <w:r w:rsidRPr="00463667">
              <w:t>1</w:t>
            </w:r>
          </w:p>
        </w:tc>
        <w:tc>
          <w:tcPr>
            <w:tcW w:w="1530" w:type="dxa"/>
            <w:tcBorders>
              <w:bottom w:val="single" w:sz="6" w:space="0" w:color="auto"/>
            </w:tcBorders>
            <w:shd w:val="clear" w:color="auto" w:fill="D9D9D9" w:themeFill="background1" w:themeFillShade="D9"/>
          </w:tcPr>
          <w:p w14:paraId="6A901409" w14:textId="77777777" w:rsidR="00BF3DF9" w:rsidRPr="00463667" w:rsidRDefault="00BF3DF9" w:rsidP="00C56CA6">
            <w:pPr>
              <w:pStyle w:val="TableText"/>
              <w:jc w:val="center"/>
            </w:pPr>
            <w:r w:rsidRPr="00463667">
              <w:t>G</w:t>
            </w:r>
          </w:p>
        </w:tc>
        <w:tc>
          <w:tcPr>
            <w:tcW w:w="2430" w:type="dxa"/>
            <w:tcBorders>
              <w:bottom w:val="single" w:sz="6" w:space="0" w:color="auto"/>
            </w:tcBorders>
            <w:shd w:val="clear" w:color="auto" w:fill="D9D9D9" w:themeFill="background1" w:themeFillShade="D9"/>
            <w:vAlign w:val="bottom"/>
          </w:tcPr>
          <w:p w14:paraId="345D8BCA" w14:textId="77777777" w:rsidR="00BF3DF9" w:rsidRPr="00463667" w:rsidRDefault="00BF3DF9" w:rsidP="00C56CA6">
            <w:pPr>
              <w:pStyle w:val="TableText"/>
              <w:jc w:val="center"/>
            </w:pPr>
            <w:r w:rsidRPr="00463667">
              <w:t>3,400.00</w:t>
            </w:r>
          </w:p>
        </w:tc>
      </w:tr>
    </w:tbl>
    <w:p w14:paraId="41F4E7AE" w14:textId="77777777" w:rsidR="00BF3DF9" w:rsidRDefault="00BF3DF9" w:rsidP="00BF3DF9">
      <w:pPr>
        <w:pStyle w:val="Note"/>
      </w:pPr>
      <w:r w:rsidRPr="00463667">
        <w:rPr>
          <w:b/>
          <w:bCs/>
        </w:rPr>
        <w:t xml:space="preserve">Note: </w:t>
      </w:r>
      <w:r w:rsidRPr="00463667">
        <w:t>Standard prices are examples only and may not be the prices assigned to Cardiovascular—A.</w:t>
      </w:r>
    </w:p>
    <w:bookmarkStart w:id="13" w:name="_Toc400546198"/>
    <w:p w14:paraId="32770267" w14:textId="39B5E788" w:rsidR="00BF3DF9" w:rsidRPr="00463667" w:rsidRDefault="00EF7C1A" w:rsidP="00740D50">
      <w:pPr>
        <w:pStyle w:val="SubHead"/>
      </w:pPr>
      <w:r>
        <w:rPr>
          <w:i/>
        </w:rPr>
        <w:fldChar w:fldCharType="begin"/>
      </w:r>
      <w:r>
        <w:rPr>
          <w:i/>
        </w:rPr>
        <w:instrText xml:space="preserve"> HYPERLINK  \l "TOC" </w:instrText>
      </w:r>
      <w:r>
        <w:rPr>
          <w:i/>
        </w:rPr>
        <w:fldChar w:fldCharType="separate"/>
      </w:r>
      <w:r w:rsidR="00BF3DF9" w:rsidRPr="00EF7C1A">
        <w:rPr>
          <w:i/>
        </w:rPr>
        <w:t xml:space="preserve">Calculating Total Standard Cost: </w:t>
      </w:r>
      <w:r w:rsidR="00BF3DF9" w:rsidRPr="00EF7C1A">
        <w:t>E&amp;M</w:t>
      </w:r>
      <w:bookmarkEnd w:id="13"/>
      <w:r w:rsidR="00BF3DF9" w:rsidRPr="00EF7C1A">
        <w:t xml:space="preserve"> </w:t>
      </w:r>
      <w:r>
        <w:rPr>
          <w:i/>
        </w:rPr>
        <w:fldChar w:fldCharType="end"/>
      </w:r>
    </w:p>
    <w:tbl>
      <w:tblPr>
        <w:tblW w:w="0" w:type="auto"/>
        <w:tblInd w:w="-90" w:type="dxa"/>
        <w:tblLayout w:type="fixed"/>
        <w:tblLook w:val="0000" w:firstRow="0" w:lastRow="0" w:firstColumn="0" w:lastColumn="0" w:noHBand="0" w:noVBand="0"/>
      </w:tblPr>
      <w:tblGrid>
        <w:gridCol w:w="1368"/>
        <w:gridCol w:w="66"/>
        <w:gridCol w:w="2790"/>
        <w:gridCol w:w="2070"/>
        <w:gridCol w:w="2430"/>
        <w:gridCol w:w="1086"/>
      </w:tblGrid>
      <w:tr w:rsidR="00BF3DF9" w:rsidRPr="00463667" w14:paraId="62896F5E" w14:textId="77777777" w:rsidTr="00AF2143">
        <w:tc>
          <w:tcPr>
            <w:tcW w:w="1368" w:type="dxa"/>
          </w:tcPr>
          <w:p w14:paraId="1AA3EC2F" w14:textId="77777777" w:rsidR="00BF3DF9" w:rsidRPr="00463667" w:rsidRDefault="00BF3DF9" w:rsidP="00C56CA6">
            <w:pPr>
              <w:pStyle w:val="MarginSubhead"/>
              <w:jc w:val="right"/>
              <w:rPr>
                <w:i/>
                <w:iCs/>
              </w:rPr>
            </w:pPr>
            <w:r w:rsidRPr="00463667">
              <w:rPr>
                <w:i/>
                <w:iCs/>
              </w:rPr>
              <w:t>Step 1</w:t>
            </w:r>
          </w:p>
        </w:tc>
        <w:tc>
          <w:tcPr>
            <w:tcW w:w="8442" w:type="dxa"/>
            <w:gridSpan w:val="5"/>
          </w:tcPr>
          <w:p w14:paraId="1DA8747C" w14:textId="77777777" w:rsidR="00BF3DF9" w:rsidRPr="00463667" w:rsidRDefault="00BF3DF9" w:rsidP="00C56CA6">
            <w:pPr>
              <w:pStyle w:val="Body"/>
            </w:pPr>
            <w:r w:rsidRPr="00463667">
              <w:t>Identify all E&amp;M services that occurred during the treatment period. The valid E&amp;M codes used to select these services are listed in Table SPT-EM.</w:t>
            </w:r>
          </w:p>
        </w:tc>
      </w:tr>
      <w:tr w:rsidR="00BF3DF9" w:rsidRPr="00463667" w14:paraId="576AF1EC" w14:textId="77777777" w:rsidTr="00AF2143">
        <w:trPr>
          <w:trHeight w:val="162"/>
        </w:trPr>
        <w:tc>
          <w:tcPr>
            <w:tcW w:w="1368" w:type="dxa"/>
          </w:tcPr>
          <w:p w14:paraId="4D825D70" w14:textId="77777777" w:rsidR="00BF3DF9" w:rsidRPr="00463667" w:rsidRDefault="00BF3DF9" w:rsidP="00C56CA6">
            <w:pPr>
              <w:pStyle w:val="MarginSubhead"/>
              <w:jc w:val="right"/>
              <w:rPr>
                <w:i/>
                <w:iCs/>
              </w:rPr>
            </w:pPr>
            <w:r w:rsidRPr="00463667">
              <w:rPr>
                <w:i/>
                <w:iCs/>
              </w:rPr>
              <w:t>Step 2</w:t>
            </w:r>
          </w:p>
        </w:tc>
        <w:tc>
          <w:tcPr>
            <w:tcW w:w="8442" w:type="dxa"/>
            <w:gridSpan w:val="5"/>
          </w:tcPr>
          <w:p w14:paraId="1D4767EF" w14:textId="77777777" w:rsidR="00BF3DF9" w:rsidRPr="00463667" w:rsidRDefault="00BF3DF9" w:rsidP="00C56CA6">
            <w:pPr>
              <w:pStyle w:val="Body"/>
            </w:pPr>
            <w:r w:rsidRPr="00463667">
              <w:t xml:space="preserve">Match each E&amp;M service to the CPT codes in Table SPT-EM and assign the standard price to the E&amp;M service. </w:t>
            </w:r>
          </w:p>
        </w:tc>
      </w:tr>
      <w:tr w:rsidR="00BF3DF9" w:rsidRPr="00463667" w14:paraId="621E0733" w14:textId="77777777" w:rsidTr="00AF2143">
        <w:tc>
          <w:tcPr>
            <w:tcW w:w="1368" w:type="dxa"/>
          </w:tcPr>
          <w:p w14:paraId="3CCFCA1E" w14:textId="77777777" w:rsidR="00BF3DF9" w:rsidRPr="00463667" w:rsidRDefault="00BF3DF9" w:rsidP="00C56CA6">
            <w:pPr>
              <w:pStyle w:val="MarginSubhead"/>
              <w:jc w:val="right"/>
              <w:rPr>
                <w:i/>
                <w:iCs/>
              </w:rPr>
            </w:pPr>
            <w:r w:rsidRPr="00463667">
              <w:rPr>
                <w:i/>
                <w:iCs/>
              </w:rPr>
              <w:t>Step 3</w:t>
            </w:r>
          </w:p>
        </w:tc>
        <w:tc>
          <w:tcPr>
            <w:tcW w:w="8442" w:type="dxa"/>
            <w:gridSpan w:val="5"/>
          </w:tcPr>
          <w:p w14:paraId="0A89C382" w14:textId="77777777" w:rsidR="00BF3DF9" w:rsidRPr="00463667" w:rsidRDefault="00BF3DF9" w:rsidP="00C56CA6">
            <w:pPr>
              <w:pStyle w:val="Body"/>
            </w:pPr>
            <w:r w:rsidRPr="00463667">
              <w:t xml:space="preserve">Multiply the standard price by the number of units associated with the E&amp;M service. Most services have one unit. </w:t>
            </w:r>
          </w:p>
        </w:tc>
      </w:tr>
      <w:tr w:rsidR="00BF3DF9" w:rsidRPr="00463667" w14:paraId="1A8A3C2C" w14:textId="77777777" w:rsidTr="00AF2143">
        <w:trPr>
          <w:trHeight w:val="162"/>
        </w:trPr>
        <w:tc>
          <w:tcPr>
            <w:tcW w:w="1368" w:type="dxa"/>
          </w:tcPr>
          <w:p w14:paraId="3507197A" w14:textId="77777777" w:rsidR="00BF3DF9" w:rsidRPr="00463667" w:rsidRDefault="00BF3DF9" w:rsidP="00C56CA6">
            <w:pPr>
              <w:pStyle w:val="MarginSubhead"/>
              <w:jc w:val="right"/>
              <w:rPr>
                <w:i/>
                <w:iCs/>
              </w:rPr>
            </w:pPr>
            <w:r w:rsidRPr="00463667">
              <w:rPr>
                <w:i/>
                <w:iCs/>
              </w:rPr>
              <w:t>Step 4</w:t>
            </w:r>
          </w:p>
        </w:tc>
        <w:tc>
          <w:tcPr>
            <w:tcW w:w="8442" w:type="dxa"/>
            <w:gridSpan w:val="5"/>
          </w:tcPr>
          <w:p w14:paraId="6C693103" w14:textId="77777777" w:rsidR="00BF3DF9" w:rsidRPr="00463667" w:rsidRDefault="00BF3DF9" w:rsidP="00C56CA6">
            <w:pPr>
              <w:pStyle w:val="Body"/>
            </w:pPr>
            <w:r w:rsidRPr="00463667">
              <w:t>Sum the standard prices across the E&amp;M services to calculate the total cost. Include all units of service on a claim line. Sum E&amp;M services labeled as inpatient separate from those labeled as outpatient services.</w:t>
            </w:r>
          </w:p>
        </w:tc>
      </w:tr>
      <w:tr w:rsidR="00BF3DF9" w:rsidRPr="00463667" w14:paraId="2986D9EA" w14:textId="77777777" w:rsidTr="00AF2143">
        <w:trPr>
          <w:trHeight w:val="162"/>
        </w:trPr>
        <w:tc>
          <w:tcPr>
            <w:tcW w:w="1368" w:type="dxa"/>
          </w:tcPr>
          <w:p w14:paraId="44333608" w14:textId="77777777" w:rsidR="00BF3DF9" w:rsidRPr="00463667" w:rsidRDefault="00BF3DF9" w:rsidP="00C56CA6">
            <w:pPr>
              <w:pStyle w:val="MarginSubhead"/>
              <w:jc w:val="right"/>
              <w:rPr>
                <w:iCs/>
                <w:u w:val="single"/>
              </w:rPr>
            </w:pPr>
            <w:r w:rsidRPr="00463667">
              <w:rPr>
                <w:u w:val="single"/>
              </w:rPr>
              <w:t>Example</w:t>
            </w:r>
          </w:p>
        </w:tc>
        <w:tc>
          <w:tcPr>
            <w:tcW w:w="8442" w:type="dxa"/>
            <w:gridSpan w:val="5"/>
          </w:tcPr>
          <w:p w14:paraId="7BACA6C5" w14:textId="77777777" w:rsidR="00BF3DF9" w:rsidRPr="00463667" w:rsidRDefault="00BF3DF9" w:rsidP="00C56CA6">
            <w:pPr>
              <w:pStyle w:val="Body"/>
              <w:spacing w:after="120"/>
            </w:pPr>
            <w:r w:rsidRPr="00463667">
              <w:t>Calculate E&amp;M cost using Sample Table SPT-EM—Outpatient Services for two eligible members, one with outpatient procedure codes and one with inpatient procedure codes during the treatment period.</w:t>
            </w:r>
          </w:p>
        </w:tc>
      </w:tr>
      <w:tr w:rsidR="00BF3DF9" w:rsidRPr="00463667" w14:paraId="3C8CC1FE" w14:textId="77777777" w:rsidTr="00AF21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gridBefore w:val="2"/>
          <w:gridAfter w:val="1"/>
          <w:wBefore w:w="1434" w:type="dxa"/>
          <w:wAfter w:w="1086" w:type="dxa"/>
        </w:trPr>
        <w:tc>
          <w:tcPr>
            <w:tcW w:w="2790" w:type="dxa"/>
            <w:tcBorders>
              <w:right w:val="single" w:sz="6" w:space="0" w:color="FFFFFF"/>
            </w:tcBorders>
            <w:shd w:val="clear" w:color="auto" w:fill="000000"/>
          </w:tcPr>
          <w:p w14:paraId="3562B3B6" w14:textId="77777777" w:rsidR="00BF3DF9" w:rsidRPr="00463667" w:rsidRDefault="00BF3DF9" w:rsidP="00C56CA6">
            <w:pPr>
              <w:pStyle w:val="TableHead"/>
              <w:rPr>
                <w:color w:val="auto"/>
              </w:rPr>
            </w:pPr>
            <w:r w:rsidRPr="00463667">
              <w:rPr>
                <w:color w:val="auto"/>
              </w:rPr>
              <w:t>Member E&amp;M Outpatient Visits</w:t>
            </w:r>
          </w:p>
        </w:tc>
        <w:tc>
          <w:tcPr>
            <w:tcW w:w="2070" w:type="dxa"/>
            <w:tcBorders>
              <w:left w:val="single" w:sz="6" w:space="0" w:color="FFFFFF"/>
              <w:right w:val="single" w:sz="6" w:space="0" w:color="FFFFFF"/>
            </w:tcBorders>
            <w:shd w:val="clear" w:color="auto" w:fill="000000"/>
          </w:tcPr>
          <w:p w14:paraId="26950E75" w14:textId="77777777" w:rsidR="00BF3DF9" w:rsidRPr="00463667" w:rsidRDefault="00BF3DF9" w:rsidP="00C56CA6">
            <w:pPr>
              <w:pStyle w:val="TableHead"/>
              <w:rPr>
                <w:color w:val="auto"/>
              </w:rPr>
            </w:pPr>
            <w:r w:rsidRPr="00463667">
              <w:rPr>
                <w:color w:val="auto"/>
              </w:rPr>
              <w:t>Units of Service</w:t>
            </w:r>
          </w:p>
        </w:tc>
        <w:tc>
          <w:tcPr>
            <w:tcW w:w="2430" w:type="dxa"/>
            <w:tcBorders>
              <w:left w:val="single" w:sz="6" w:space="0" w:color="FFFFFF"/>
            </w:tcBorders>
            <w:shd w:val="clear" w:color="auto" w:fill="000000"/>
          </w:tcPr>
          <w:p w14:paraId="3F5860F7" w14:textId="77777777" w:rsidR="00BF3DF9" w:rsidRPr="00463667" w:rsidRDefault="00BF3DF9" w:rsidP="00C56CA6">
            <w:pPr>
              <w:pStyle w:val="TableHead"/>
              <w:rPr>
                <w:color w:val="auto"/>
              </w:rPr>
            </w:pPr>
            <w:r w:rsidRPr="00463667">
              <w:rPr>
                <w:color w:val="auto"/>
              </w:rPr>
              <w:t>Standard Price ($)</w:t>
            </w:r>
          </w:p>
        </w:tc>
      </w:tr>
      <w:tr w:rsidR="00BF3DF9" w:rsidRPr="00463667" w14:paraId="61D273BD" w14:textId="77777777" w:rsidTr="00AF21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gridBefore w:val="2"/>
          <w:gridAfter w:val="1"/>
          <w:wBefore w:w="1434" w:type="dxa"/>
          <w:wAfter w:w="1086" w:type="dxa"/>
        </w:trPr>
        <w:tc>
          <w:tcPr>
            <w:tcW w:w="2790" w:type="dxa"/>
            <w:shd w:val="clear" w:color="auto" w:fill="auto"/>
          </w:tcPr>
          <w:p w14:paraId="7EFAF414" w14:textId="77777777" w:rsidR="00BF3DF9" w:rsidRPr="00463667" w:rsidRDefault="00BF3DF9" w:rsidP="00C56CA6">
            <w:pPr>
              <w:pStyle w:val="TableText"/>
              <w:jc w:val="center"/>
            </w:pPr>
            <w:r w:rsidRPr="00463667">
              <w:t>99201</w:t>
            </w:r>
          </w:p>
        </w:tc>
        <w:tc>
          <w:tcPr>
            <w:tcW w:w="2070" w:type="dxa"/>
          </w:tcPr>
          <w:p w14:paraId="7C72960D" w14:textId="77777777" w:rsidR="00BF3DF9" w:rsidRPr="00463667" w:rsidRDefault="00BF3DF9" w:rsidP="00C56CA6">
            <w:pPr>
              <w:pStyle w:val="TableText"/>
              <w:jc w:val="center"/>
            </w:pPr>
            <w:r w:rsidRPr="00463667">
              <w:t>1</w:t>
            </w:r>
          </w:p>
        </w:tc>
        <w:tc>
          <w:tcPr>
            <w:tcW w:w="2430" w:type="dxa"/>
            <w:shd w:val="clear" w:color="auto" w:fill="auto"/>
          </w:tcPr>
          <w:p w14:paraId="52F37B6A" w14:textId="77777777" w:rsidR="00BF3DF9" w:rsidRPr="00463667" w:rsidRDefault="00BF3DF9" w:rsidP="00C56CA6">
            <w:pPr>
              <w:pStyle w:val="TableText"/>
              <w:jc w:val="center"/>
            </w:pPr>
            <w:r w:rsidRPr="00463667">
              <w:t>37.50</w:t>
            </w:r>
          </w:p>
        </w:tc>
      </w:tr>
      <w:tr w:rsidR="00BF3DF9" w:rsidRPr="00463667" w14:paraId="7C4CFAAF" w14:textId="77777777" w:rsidTr="00AF21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gridBefore w:val="2"/>
          <w:gridAfter w:val="1"/>
          <w:wBefore w:w="1434" w:type="dxa"/>
          <w:wAfter w:w="1086" w:type="dxa"/>
        </w:trPr>
        <w:tc>
          <w:tcPr>
            <w:tcW w:w="2790" w:type="dxa"/>
            <w:shd w:val="clear" w:color="auto" w:fill="auto"/>
          </w:tcPr>
          <w:p w14:paraId="61AEF885" w14:textId="77777777" w:rsidR="00BF3DF9" w:rsidRPr="00463667" w:rsidRDefault="00BF3DF9" w:rsidP="00C56CA6">
            <w:pPr>
              <w:pStyle w:val="TableText"/>
              <w:jc w:val="center"/>
            </w:pPr>
            <w:r w:rsidRPr="00463667">
              <w:t>99201</w:t>
            </w:r>
          </w:p>
        </w:tc>
        <w:tc>
          <w:tcPr>
            <w:tcW w:w="2070" w:type="dxa"/>
          </w:tcPr>
          <w:p w14:paraId="1080DE83" w14:textId="77777777" w:rsidR="00BF3DF9" w:rsidRPr="00463667" w:rsidRDefault="00BF3DF9" w:rsidP="00C56CA6">
            <w:pPr>
              <w:pStyle w:val="TableText"/>
              <w:jc w:val="center"/>
            </w:pPr>
            <w:r w:rsidRPr="00463667">
              <w:t>1</w:t>
            </w:r>
          </w:p>
        </w:tc>
        <w:tc>
          <w:tcPr>
            <w:tcW w:w="2430" w:type="dxa"/>
            <w:shd w:val="clear" w:color="auto" w:fill="auto"/>
          </w:tcPr>
          <w:p w14:paraId="3AE4F30D" w14:textId="77777777" w:rsidR="00BF3DF9" w:rsidRPr="00463667" w:rsidRDefault="00BF3DF9" w:rsidP="00C56CA6">
            <w:pPr>
              <w:pStyle w:val="TableText"/>
              <w:jc w:val="center"/>
            </w:pPr>
            <w:r w:rsidRPr="00463667">
              <w:t>37.50</w:t>
            </w:r>
          </w:p>
        </w:tc>
      </w:tr>
      <w:tr w:rsidR="00BF3DF9" w:rsidRPr="00463667" w14:paraId="1C15BC8A" w14:textId="77777777" w:rsidTr="00AF21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gridBefore w:val="2"/>
          <w:gridAfter w:val="1"/>
          <w:wBefore w:w="1434" w:type="dxa"/>
          <w:wAfter w:w="1086" w:type="dxa"/>
        </w:trPr>
        <w:tc>
          <w:tcPr>
            <w:tcW w:w="2790" w:type="dxa"/>
            <w:shd w:val="clear" w:color="auto" w:fill="auto"/>
          </w:tcPr>
          <w:p w14:paraId="3039F7EC" w14:textId="77777777" w:rsidR="00BF3DF9" w:rsidRPr="00463667" w:rsidRDefault="00BF3DF9" w:rsidP="00C56CA6">
            <w:pPr>
              <w:pStyle w:val="TableText"/>
              <w:jc w:val="center"/>
            </w:pPr>
            <w:r w:rsidRPr="00463667">
              <w:t>99363</w:t>
            </w:r>
          </w:p>
        </w:tc>
        <w:tc>
          <w:tcPr>
            <w:tcW w:w="2070" w:type="dxa"/>
          </w:tcPr>
          <w:p w14:paraId="3AE8E563" w14:textId="77777777" w:rsidR="00BF3DF9" w:rsidRPr="00463667" w:rsidRDefault="00BF3DF9" w:rsidP="00C56CA6">
            <w:pPr>
              <w:pStyle w:val="TableText"/>
              <w:jc w:val="center"/>
            </w:pPr>
            <w:r w:rsidRPr="00463667">
              <w:t>3</w:t>
            </w:r>
          </w:p>
        </w:tc>
        <w:tc>
          <w:tcPr>
            <w:tcW w:w="2430" w:type="dxa"/>
            <w:shd w:val="clear" w:color="auto" w:fill="auto"/>
          </w:tcPr>
          <w:p w14:paraId="13B4D9D7" w14:textId="77777777" w:rsidR="00BF3DF9" w:rsidRPr="00463667" w:rsidRDefault="00BF3DF9" w:rsidP="00C56CA6">
            <w:pPr>
              <w:pStyle w:val="TableText"/>
              <w:jc w:val="center"/>
            </w:pPr>
            <w:r w:rsidRPr="00463667">
              <w:t>123.50</w:t>
            </w:r>
          </w:p>
        </w:tc>
      </w:tr>
      <w:tr w:rsidR="00BF3DF9" w:rsidRPr="00463667" w14:paraId="65C47B8F" w14:textId="77777777" w:rsidTr="00AF21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gridBefore w:val="2"/>
          <w:gridAfter w:val="1"/>
          <w:wBefore w:w="1434" w:type="dxa"/>
          <w:wAfter w:w="1086" w:type="dxa"/>
        </w:trPr>
        <w:tc>
          <w:tcPr>
            <w:tcW w:w="4860" w:type="dxa"/>
            <w:gridSpan w:val="2"/>
            <w:shd w:val="clear" w:color="auto" w:fill="D9D9D9"/>
          </w:tcPr>
          <w:p w14:paraId="08EEACCA" w14:textId="77777777" w:rsidR="00BF3DF9" w:rsidRPr="00463667" w:rsidRDefault="00BF3DF9" w:rsidP="00C56CA6">
            <w:pPr>
              <w:pStyle w:val="TableText"/>
              <w:spacing w:before="30" w:after="30"/>
              <w:jc w:val="right"/>
              <w:rPr>
                <w:b/>
                <w:i/>
              </w:rPr>
            </w:pPr>
            <w:r w:rsidRPr="00463667">
              <w:rPr>
                <w:b/>
                <w:i/>
              </w:rPr>
              <w:t>Total</w:t>
            </w:r>
          </w:p>
        </w:tc>
        <w:tc>
          <w:tcPr>
            <w:tcW w:w="2430" w:type="dxa"/>
            <w:shd w:val="clear" w:color="auto" w:fill="D9D9D9"/>
          </w:tcPr>
          <w:p w14:paraId="47676CC4" w14:textId="77777777" w:rsidR="00BF3DF9" w:rsidRPr="00463667" w:rsidRDefault="00BF3DF9" w:rsidP="00C56CA6">
            <w:pPr>
              <w:pStyle w:val="TableText"/>
              <w:jc w:val="center"/>
            </w:pPr>
            <w:r w:rsidRPr="00463667">
              <w:t>445.50</w:t>
            </w:r>
          </w:p>
        </w:tc>
      </w:tr>
    </w:tbl>
    <w:p w14:paraId="603FAEC8" w14:textId="77777777" w:rsidR="00740D50" w:rsidRDefault="00740D50">
      <w:pPr>
        <w:sectPr w:rsidR="00740D50" w:rsidSect="00C56CA6">
          <w:pgSz w:w="12240" w:h="15840" w:code="1"/>
          <w:pgMar w:top="1080" w:right="1080" w:bottom="1080" w:left="1440" w:header="720" w:footer="720" w:gutter="0"/>
          <w:cols w:space="720"/>
        </w:sectPr>
      </w:pPr>
    </w:p>
    <w:tbl>
      <w:tblPr>
        <w:tblW w:w="0" w:type="auto"/>
        <w:tblInd w:w="-90" w:type="dxa"/>
        <w:tblLayout w:type="fixed"/>
        <w:tblLook w:val="0000" w:firstRow="0" w:lastRow="0" w:firstColumn="0" w:lastColumn="0" w:noHBand="0" w:noVBand="0"/>
      </w:tblPr>
      <w:tblGrid>
        <w:gridCol w:w="1344"/>
        <w:gridCol w:w="90"/>
        <w:gridCol w:w="2790"/>
        <w:gridCol w:w="2070"/>
        <w:gridCol w:w="2430"/>
        <w:gridCol w:w="1062"/>
      </w:tblGrid>
      <w:tr w:rsidR="00BF3DF9" w:rsidRPr="00463667" w14:paraId="69745E74" w14:textId="77777777" w:rsidTr="00AF2143">
        <w:trPr>
          <w:trHeight w:val="162"/>
        </w:trPr>
        <w:tc>
          <w:tcPr>
            <w:tcW w:w="1344" w:type="dxa"/>
          </w:tcPr>
          <w:p w14:paraId="3DC50D6B" w14:textId="77777777" w:rsidR="00BF3DF9" w:rsidRPr="00463667" w:rsidRDefault="00BF3DF9" w:rsidP="00C56CA6">
            <w:pPr>
              <w:pStyle w:val="Body"/>
              <w:spacing w:before="120" w:after="120"/>
              <w:rPr>
                <w:b/>
                <w:iCs/>
                <w:u w:val="single"/>
              </w:rPr>
            </w:pPr>
          </w:p>
        </w:tc>
        <w:tc>
          <w:tcPr>
            <w:tcW w:w="8442" w:type="dxa"/>
            <w:gridSpan w:val="5"/>
          </w:tcPr>
          <w:p w14:paraId="4BA08DFF" w14:textId="77777777" w:rsidR="00BF3DF9" w:rsidRPr="00463667" w:rsidRDefault="00BF3DF9" w:rsidP="00740D50">
            <w:pPr>
              <w:pStyle w:val="Body"/>
              <w:spacing w:before="0" w:after="120"/>
            </w:pPr>
            <w:r w:rsidRPr="00463667">
              <w:t xml:space="preserve">In this example, the member’s total E&amp;M </w:t>
            </w:r>
            <w:r w:rsidRPr="00463667">
              <w:rPr>
                <w:i/>
              </w:rPr>
              <w:t>outpatient</w:t>
            </w:r>
            <w:r w:rsidRPr="00463667">
              <w:t xml:space="preserve"> cost is $445.50 ($37.50 + $37.50 + ($123.50*3). Sample Table SPT-EM</w:t>
            </w:r>
            <w:r w:rsidRPr="00463667">
              <w:rPr>
                <w:i/>
              </w:rPr>
              <w:t xml:space="preserve"> </w:t>
            </w:r>
            <w:r w:rsidRPr="00463667">
              <w:t>provides standard unit price information.</w:t>
            </w:r>
          </w:p>
        </w:tc>
      </w:tr>
      <w:tr w:rsidR="00BF3DF9" w:rsidRPr="00463667" w14:paraId="1DFFF09F" w14:textId="77777777" w:rsidTr="00AF21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gridBefore w:val="2"/>
          <w:gridAfter w:val="1"/>
          <w:wBefore w:w="1434" w:type="dxa"/>
          <w:wAfter w:w="1062" w:type="dxa"/>
        </w:trPr>
        <w:tc>
          <w:tcPr>
            <w:tcW w:w="2790" w:type="dxa"/>
            <w:tcBorders>
              <w:right w:val="single" w:sz="6" w:space="0" w:color="FFFFFF"/>
            </w:tcBorders>
            <w:shd w:val="clear" w:color="auto" w:fill="000000"/>
          </w:tcPr>
          <w:p w14:paraId="30587AC8" w14:textId="77777777" w:rsidR="00BF3DF9" w:rsidRPr="00463667" w:rsidRDefault="00BF3DF9" w:rsidP="00C56CA6">
            <w:pPr>
              <w:pStyle w:val="TableHead"/>
              <w:rPr>
                <w:color w:val="auto"/>
              </w:rPr>
            </w:pPr>
            <w:r w:rsidRPr="00463667">
              <w:rPr>
                <w:color w:val="auto"/>
              </w:rPr>
              <w:t>Member E&amp;M Inpatient Visits</w:t>
            </w:r>
          </w:p>
        </w:tc>
        <w:tc>
          <w:tcPr>
            <w:tcW w:w="2070" w:type="dxa"/>
            <w:tcBorders>
              <w:left w:val="single" w:sz="6" w:space="0" w:color="FFFFFF"/>
              <w:right w:val="single" w:sz="6" w:space="0" w:color="FFFFFF"/>
            </w:tcBorders>
            <w:shd w:val="clear" w:color="auto" w:fill="000000"/>
          </w:tcPr>
          <w:p w14:paraId="4D6B210C" w14:textId="77777777" w:rsidR="00BF3DF9" w:rsidRPr="00463667" w:rsidRDefault="00BF3DF9" w:rsidP="00C56CA6">
            <w:pPr>
              <w:pStyle w:val="TableHead"/>
              <w:rPr>
                <w:color w:val="auto"/>
              </w:rPr>
            </w:pPr>
            <w:r w:rsidRPr="00463667">
              <w:rPr>
                <w:color w:val="auto"/>
              </w:rPr>
              <w:t>Units of Service</w:t>
            </w:r>
          </w:p>
        </w:tc>
        <w:tc>
          <w:tcPr>
            <w:tcW w:w="2430" w:type="dxa"/>
            <w:tcBorders>
              <w:left w:val="single" w:sz="6" w:space="0" w:color="FFFFFF"/>
            </w:tcBorders>
            <w:shd w:val="clear" w:color="auto" w:fill="000000"/>
          </w:tcPr>
          <w:p w14:paraId="21DFB3C2" w14:textId="77777777" w:rsidR="00BF3DF9" w:rsidRPr="00463667" w:rsidRDefault="00BF3DF9" w:rsidP="00C56CA6">
            <w:pPr>
              <w:pStyle w:val="TableHead"/>
              <w:rPr>
                <w:color w:val="auto"/>
              </w:rPr>
            </w:pPr>
            <w:r w:rsidRPr="00463667">
              <w:rPr>
                <w:color w:val="auto"/>
              </w:rPr>
              <w:t>Standard Price ($)</w:t>
            </w:r>
          </w:p>
        </w:tc>
      </w:tr>
      <w:tr w:rsidR="00BF3DF9" w:rsidRPr="00463667" w14:paraId="5534217D" w14:textId="77777777" w:rsidTr="00AF21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gridBefore w:val="2"/>
          <w:gridAfter w:val="1"/>
          <w:wBefore w:w="1434" w:type="dxa"/>
          <w:wAfter w:w="1062" w:type="dxa"/>
          <w:trHeight w:val="280"/>
        </w:trPr>
        <w:tc>
          <w:tcPr>
            <w:tcW w:w="2790" w:type="dxa"/>
            <w:shd w:val="clear" w:color="auto" w:fill="auto"/>
          </w:tcPr>
          <w:p w14:paraId="7EBEC0C0" w14:textId="77777777" w:rsidR="00BF3DF9" w:rsidRPr="00463667" w:rsidRDefault="00BF3DF9" w:rsidP="00C56CA6">
            <w:pPr>
              <w:pStyle w:val="TableText"/>
              <w:jc w:val="center"/>
            </w:pPr>
            <w:r w:rsidRPr="00463667">
              <w:t>99433</w:t>
            </w:r>
          </w:p>
        </w:tc>
        <w:tc>
          <w:tcPr>
            <w:tcW w:w="2070" w:type="dxa"/>
          </w:tcPr>
          <w:p w14:paraId="76F58068" w14:textId="77777777" w:rsidR="00BF3DF9" w:rsidRPr="00463667" w:rsidRDefault="00BF3DF9" w:rsidP="00C56CA6">
            <w:pPr>
              <w:pStyle w:val="TableText"/>
              <w:jc w:val="center"/>
            </w:pPr>
            <w:r w:rsidRPr="00463667">
              <w:t>1</w:t>
            </w:r>
          </w:p>
        </w:tc>
        <w:tc>
          <w:tcPr>
            <w:tcW w:w="2430" w:type="dxa"/>
            <w:shd w:val="clear" w:color="auto" w:fill="auto"/>
          </w:tcPr>
          <w:p w14:paraId="434BFCF5" w14:textId="77777777" w:rsidR="00BF3DF9" w:rsidRPr="00463667" w:rsidRDefault="00BF3DF9" w:rsidP="00C56CA6">
            <w:pPr>
              <w:pStyle w:val="TableText"/>
              <w:jc w:val="center"/>
            </w:pPr>
            <w:r w:rsidRPr="00463667">
              <w:t>33.50</w:t>
            </w:r>
          </w:p>
        </w:tc>
      </w:tr>
      <w:tr w:rsidR="00BF3DF9" w:rsidRPr="00463667" w14:paraId="096EEBEC" w14:textId="77777777" w:rsidTr="00AF21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gridBefore w:val="2"/>
          <w:gridAfter w:val="1"/>
          <w:wBefore w:w="1434" w:type="dxa"/>
          <w:wAfter w:w="1062" w:type="dxa"/>
          <w:trHeight w:val="280"/>
        </w:trPr>
        <w:tc>
          <w:tcPr>
            <w:tcW w:w="2790" w:type="dxa"/>
            <w:shd w:val="clear" w:color="auto" w:fill="auto"/>
          </w:tcPr>
          <w:p w14:paraId="4BF5941F" w14:textId="77777777" w:rsidR="00BF3DF9" w:rsidRPr="00463667" w:rsidRDefault="00BF3DF9" w:rsidP="00C56CA6">
            <w:pPr>
              <w:pStyle w:val="TableText"/>
              <w:jc w:val="center"/>
            </w:pPr>
            <w:r w:rsidRPr="00463667">
              <w:t>99436</w:t>
            </w:r>
          </w:p>
        </w:tc>
        <w:tc>
          <w:tcPr>
            <w:tcW w:w="2070" w:type="dxa"/>
          </w:tcPr>
          <w:p w14:paraId="27404FB1" w14:textId="77777777" w:rsidR="00BF3DF9" w:rsidRPr="00463667" w:rsidRDefault="00BF3DF9" w:rsidP="00C56CA6">
            <w:pPr>
              <w:pStyle w:val="TableText"/>
              <w:jc w:val="center"/>
            </w:pPr>
            <w:r w:rsidRPr="00463667">
              <w:t>1</w:t>
            </w:r>
          </w:p>
        </w:tc>
        <w:tc>
          <w:tcPr>
            <w:tcW w:w="2430" w:type="dxa"/>
            <w:shd w:val="clear" w:color="auto" w:fill="auto"/>
          </w:tcPr>
          <w:p w14:paraId="693DF863" w14:textId="77777777" w:rsidR="00BF3DF9" w:rsidRPr="00463667" w:rsidRDefault="00BF3DF9" w:rsidP="00C56CA6">
            <w:pPr>
              <w:pStyle w:val="TableText"/>
              <w:jc w:val="center"/>
            </w:pPr>
            <w:r w:rsidRPr="00463667">
              <w:t>80.50</w:t>
            </w:r>
          </w:p>
        </w:tc>
      </w:tr>
      <w:tr w:rsidR="00BF3DF9" w:rsidRPr="00463667" w14:paraId="11C1AF9B" w14:textId="77777777" w:rsidTr="00AF21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gridBefore w:val="2"/>
          <w:gridAfter w:val="1"/>
          <w:wBefore w:w="1434" w:type="dxa"/>
          <w:wAfter w:w="1062" w:type="dxa"/>
          <w:trHeight w:val="280"/>
        </w:trPr>
        <w:tc>
          <w:tcPr>
            <w:tcW w:w="2790" w:type="dxa"/>
            <w:shd w:val="clear" w:color="auto" w:fill="auto"/>
          </w:tcPr>
          <w:p w14:paraId="7F5D7D2B" w14:textId="77777777" w:rsidR="00BF3DF9" w:rsidRPr="00463667" w:rsidRDefault="00BF3DF9" w:rsidP="00C56CA6">
            <w:pPr>
              <w:pStyle w:val="TableText"/>
              <w:jc w:val="center"/>
            </w:pPr>
            <w:r w:rsidRPr="00463667">
              <w:t>99440</w:t>
            </w:r>
          </w:p>
        </w:tc>
        <w:tc>
          <w:tcPr>
            <w:tcW w:w="2070" w:type="dxa"/>
          </w:tcPr>
          <w:p w14:paraId="4097E2EA" w14:textId="77777777" w:rsidR="00BF3DF9" w:rsidRPr="00463667" w:rsidRDefault="00BF3DF9" w:rsidP="00C56CA6">
            <w:pPr>
              <w:pStyle w:val="TableText"/>
              <w:jc w:val="center"/>
            </w:pPr>
            <w:r w:rsidRPr="00463667">
              <w:t>1</w:t>
            </w:r>
          </w:p>
        </w:tc>
        <w:tc>
          <w:tcPr>
            <w:tcW w:w="2430" w:type="dxa"/>
            <w:shd w:val="clear" w:color="auto" w:fill="auto"/>
          </w:tcPr>
          <w:p w14:paraId="1DE9146F" w14:textId="77777777" w:rsidR="00BF3DF9" w:rsidRPr="00463667" w:rsidRDefault="00BF3DF9" w:rsidP="00C56CA6">
            <w:pPr>
              <w:pStyle w:val="TableText"/>
              <w:jc w:val="center"/>
            </w:pPr>
            <w:r w:rsidRPr="00463667">
              <w:t>157.50</w:t>
            </w:r>
          </w:p>
        </w:tc>
      </w:tr>
      <w:tr w:rsidR="00BF3DF9" w:rsidRPr="00463667" w14:paraId="0ED38F9D" w14:textId="77777777" w:rsidTr="00AF21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gridBefore w:val="2"/>
          <w:gridAfter w:val="1"/>
          <w:wBefore w:w="1434" w:type="dxa"/>
          <w:wAfter w:w="1062" w:type="dxa"/>
          <w:trHeight w:val="280"/>
        </w:trPr>
        <w:tc>
          <w:tcPr>
            <w:tcW w:w="4860" w:type="dxa"/>
            <w:gridSpan w:val="2"/>
            <w:shd w:val="clear" w:color="auto" w:fill="D9D9D9"/>
          </w:tcPr>
          <w:p w14:paraId="4E7A9983" w14:textId="77777777" w:rsidR="00BF3DF9" w:rsidRPr="00463667" w:rsidRDefault="00BF3DF9" w:rsidP="00C56CA6">
            <w:pPr>
              <w:pStyle w:val="TableText"/>
              <w:jc w:val="right"/>
              <w:rPr>
                <w:b/>
                <w:i/>
              </w:rPr>
            </w:pPr>
            <w:r w:rsidRPr="00463667">
              <w:rPr>
                <w:b/>
                <w:i/>
              </w:rPr>
              <w:t>Total</w:t>
            </w:r>
          </w:p>
        </w:tc>
        <w:tc>
          <w:tcPr>
            <w:tcW w:w="2430" w:type="dxa"/>
            <w:shd w:val="clear" w:color="auto" w:fill="D9D9D9"/>
          </w:tcPr>
          <w:p w14:paraId="50600603" w14:textId="77777777" w:rsidR="00BF3DF9" w:rsidRPr="00463667" w:rsidRDefault="00BF3DF9" w:rsidP="00C56CA6">
            <w:pPr>
              <w:pStyle w:val="TableText"/>
              <w:jc w:val="center"/>
            </w:pPr>
            <w:r w:rsidRPr="00463667">
              <w:t>271.50</w:t>
            </w:r>
          </w:p>
        </w:tc>
      </w:tr>
      <w:tr w:rsidR="00BF3DF9" w:rsidRPr="00463667" w14:paraId="60C90A36" w14:textId="77777777" w:rsidTr="00AF2143">
        <w:trPr>
          <w:trHeight w:val="162"/>
        </w:trPr>
        <w:tc>
          <w:tcPr>
            <w:tcW w:w="1344" w:type="dxa"/>
          </w:tcPr>
          <w:p w14:paraId="65392A70" w14:textId="77777777" w:rsidR="00BF3DF9" w:rsidRPr="00463667" w:rsidRDefault="00BF3DF9" w:rsidP="00C56CA6">
            <w:pPr>
              <w:pStyle w:val="Body"/>
              <w:spacing w:before="240"/>
              <w:rPr>
                <w:b/>
                <w:iCs/>
                <w:u w:val="single"/>
              </w:rPr>
            </w:pPr>
          </w:p>
        </w:tc>
        <w:tc>
          <w:tcPr>
            <w:tcW w:w="8442" w:type="dxa"/>
            <w:gridSpan w:val="5"/>
          </w:tcPr>
          <w:p w14:paraId="5D1DF190" w14:textId="77777777" w:rsidR="00BF3DF9" w:rsidRPr="00463667" w:rsidRDefault="00BF3DF9" w:rsidP="00C56CA6">
            <w:pPr>
              <w:pStyle w:val="Body"/>
              <w:spacing w:before="240"/>
            </w:pPr>
            <w:r w:rsidRPr="00463667">
              <w:t xml:space="preserve">In this example, the member’s total E&amp;M </w:t>
            </w:r>
            <w:r w:rsidRPr="00463667">
              <w:rPr>
                <w:i/>
              </w:rPr>
              <w:t>inpatient</w:t>
            </w:r>
            <w:r w:rsidRPr="00463667">
              <w:t xml:space="preserve"> cost is $271.50 ($33.50 + $80.50 + 157.50). Sample Table SPT-EM</w:t>
            </w:r>
            <w:r w:rsidRPr="00463667">
              <w:rPr>
                <w:i/>
              </w:rPr>
              <w:t xml:space="preserve"> </w:t>
            </w:r>
            <w:r w:rsidRPr="00463667">
              <w:t>provides standard unit price information.</w:t>
            </w:r>
          </w:p>
        </w:tc>
      </w:tr>
    </w:tbl>
    <w:p w14:paraId="1B999ED9" w14:textId="77777777" w:rsidR="00BF3DF9" w:rsidRPr="00463667" w:rsidRDefault="00BF3DF9" w:rsidP="00BF3DF9">
      <w:pPr>
        <w:pStyle w:val="Heading3"/>
      </w:pPr>
      <w:r w:rsidRPr="00463667">
        <w:rPr>
          <w:i/>
        </w:rPr>
        <w:t xml:space="preserve">Sample Table: </w:t>
      </w:r>
      <w:r w:rsidRPr="00463667">
        <w:t>SPT-EM—E&amp;M Outpatient Services</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8"/>
        <w:gridCol w:w="2610"/>
        <w:gridCol w:w="2070"/>
      </w:tblGrid>
      <w:tr w:rsidR="00BF3DF9" w:rsidRPr="00463667" w14:paraId="03AC842E" w14:textId="77777777" w:rsidTr="00974E25">
        <w:tc>
          <w:tcPr>
            <w:tcW w:w="1988" w:type="dxa"/>
            <w:tcBorders>
              <w:left w:val="single" w:sz="6" w:space="0" w:color="auto"/>
              <w:right w:val="single" w:sz="6" w:space="0" w:color="FFFFFF"/>
            </w:tcBorders>
            <w:shd w:val="clear" w:color="auto" w:fill="000000"/>
            <w:vAlign w:val="bottom"/>
          </w:tcPr>
          <w:p w14:paraId="6F6FAD84" w14:textId="77777777" w:rsidR="00BF3DF9" w:rsidRPr="00463667" w:rsidRDefault="00BF3DF9" w:rsidP="00C56CA6">
            <w:pPr>
              <w:pStyle w:val="TableHead"/>
              <w:rPr>
                <w:color w:val="auto"/>
              </w:rPr>
            </w:pPr>
            <w:r w:rsidRPr="00463667">
              <w:rPr>
                <w:color w:val="auto"/>
              </w:rPr>
              <w:t>CPT</w:t>
            </w:r>
          </w:p>
        </w:tc>
        <w:tc>
          <w:tcPr>
            <w:tcW w:w="2610" w:type="dxa"/>
            <w:tcBorders>
              <w:left w:val="single" w:sz="6" w:space="0" w:color="FFFFFF"/>
              <w:right w:val="single" w:sz="6" w:space="0" w:color="FFFFFF"/>
            </w:tcBorders>
            <w:shd w:val="clear" w:color="auto" w:fill="000000"/>
            <w:vAlign w:val="bottom"/>
          </w:tcPr>
          <w:p w14:paraId="2A60941F" w14:textId="77777777" w:rsidR="00BF3DF9" w:rsidRPr="00463667" w:rsidRDefault="00BF3DF9" w:rsidP="00C56CA6">
            <w:pPr>
              <w:pStyle w:val="TableHead"/>
              <w:rPr>
                <w:color w:val="auto"/>
              </w:rPr>
            </w:pPr>
            <w:r w:rsidRPr="00463667">
              <w:rPr>
                <w:color w:val="auto"/>
              </w:rPr>
              <w:t>Description</w:t>
            </w:r>
          </w:p>
        </w:tc>
        <w:tc>
          <w:tcPr>
            <w:tcW w:w="2070" w:type="dxa"/>
            <w:tcBorders>
              <w:left w:val="single" w:sz="6" w:space="0" w:color="FFFFFF"/>
            </w:tcBorders>
            <w:shd w:val="clear" w:color="auto" w:fill="000000"/>
            <w:vAlign w:val="bottom"/>
          </w:tcPr>
          <w:p w14:paraId="561F23C8" w14:textId="77777777" w:rsidR="00BF3DF9" w:rsidRPr="00463667" w:rsidRDefault="00BF3DF9" w:rsidP="00C56CA6">
            <w:pPr>
              <w:pStyle w:val="TableHead"/>
              <w:rPr>
                <w:color w:val="auto"/>
              </w:rPr>
            </w:pPr>
            <w:r w:rsidRPr="00463667">
              <w:rPr>
                <w:color w:val="auto"/>
              </w:rPr>
              <w:t>Standard Unit Price ($)</w:t>
            </w:r>
          </w:p>
        </w:tc>
      </w:tr>
      <w:tr w:rsidR="00BF3DF9" w:rsidRPr="00463667" w14:paraId="0C46ED30" w14:textId="77777777" w:rsidTr="00974E25">
        <w:tc>
          <w:tcPr>
            <w:tcW w:w="1988" w:type="dxa"/>
            <w:tcBorders>
              <w:left w:val="single" w:sz="6" w:space="0" w:color="auto"/>
            </w:tcBorders>
          </w:tcPr>
          <w:p w14:paraId="0C5787FF" w14:textId="77777777" w:rsidR="00BF3DF9" w:rsidRPr="00463667" w:rsidRDefault="00BF3DF9" w:rsidP="00C56CA6">
            <w:pPr>
              <w:pStyle w:val="TableText"/>
              <w:jc w:val="center"/>
            </w:pPr>
            <w:r w:rsidRPr="00463667">
              <w:t>99201</w:t>
            </w:r>
          </w:p>
        </w:tc>
        <w:tc>
          <w:tcPr>
            <w:tcW w:w="2610" w:type="dxa"/>
            <w:vAlign w:val="bottom"/>
          </w:tcPr>
          <w:p w14:paraId="1508E65B" w14:textId="77777777" w:rsidR="00BF3DF9" w:rsidRPr="00463667" w:rsidRDefault="00BF3DF9" w:rsidP="00C56CA6">
            <w:pPr>
              <w:pStyle w:val="TableText"/>
            </w:pPr>
            <w:r w:rsidRPr="00463667">
              <w:t>Office/outpatient visit, new</w:t>
            </w:r>
          </w:p>
        </w:tc>
        <w:tc>
          <w:tcPr>
            <w:tcW w:w="2070" w:type="dxa"/>
          </w:tcPr>
          <w:p w14:paraId="1179E4B0" w14:textId="77777777" w:rsidR="00BF3DF9" w:rsidRPr="00463667" w:rsidRDefault="00BF3DF9" w:rsidP="00C56CA6">
            <w:pPr>
              <w:pStyle w:val="TableText"/>
              <w:ind w:right="702"/>
              <w:jc w:val="right"/>
            </w:pPr>
            <w:r w:rsidRPr="00463667">
              <w:t>37.50</w:t>
            </w:r>
          </w:p>
        </w:tc>
      </w:tr>
      <w:tr w:rsidR="00BF3DF9" w:rsidRPr="00463667" w14:paraId="3DF3A9A6" w14:textId="77777777" w:rsidTr="00974E25">
        <w:tc>
          <w:tcPr>
            <w:tcW w:w="1988" w:type="dxa"/>
            <w:tcBorders>
              <w:left w:val="single" w:sz="6" w:space="0" w:color="auto"/>
            </w:tcBorders>
            <w:shd w:val="clear" w:color="auto" w:fill="D9D9D9"/>
          </w:tcPr>
          <w:p w14:paraId="1805F539" w14:textId="77777777" w:rsidR="00BF3DF9" w:rsidRPr="00463667" w:rsidRDefault="00BF3DF9" w:rsidP="00C56CA6">
            <w:pPr>
              <w:pStyle w:val="TableText"/>
              <w:jc w:val="center"/>
            </w:pPr>
            <w:r w:rsidRPr="00463667">
              <w:t>99202</w:t>
            </w:r>
          </w:p>
        </w:tc>
        <w:tc>
          <w:tcPr>
            <w:tcW w:w="2610" w:type="dxa"/>
            <w:shd w:val="clear" w:color="auto" w:fill="D9D9D9"/>
            <w:vAlign w:val="bottom"/>
          </w:tcPr>
          <w:p w14:paraId="379D5AAF" w14:textId="77777777" w:rsidR="00BF3DF9" w:rsidRPr="00463667" w:rsidRDefault="00BF3DF9" w:rsidP="00C56CA6">
            <w:pPr>
              <w:pStyle w:val="TableText"/>
            </w:pPr>
            <w:r w:rsidRPr="00463667">
              <w:t>Office/outpatient visit, new</w:t>
            </w:r>
          </w:p>
        </w:tc>
        <w:tc>
          <w:tcPr>
            <w:tcW w:w="2070" w:type="dxa"/>
            <w:shd w:val="clear" w:color="auto" w:fill="D9D9D9"/>
          </w:tcPr>
          <w:p w14:paraId="2AACB049" w14:textId="77777777" w:rsidR="00BF3DF9" w:rsidRPr="00463667" w:rsidRDefault="00BF3DF9" w:rsidP="00C56CA6">
            <w:pPr>
              <w:pStyle w:val="TableText"/>
              <w:ind w:right="702"/>
              <w:jc w:val="right"/>
            </w:pPr>
            <w:r w:rsidRPr="00463667">
              <w:t>67.00</w:t>
            </w:r>
          </w:p>
        </w:tc>
      </w:tr>
      <w:tr w:rsidR="00BF3DF9" w:rsidRPr="00463667" w14:paraId="17AEDC86" w14:textId="77777777" w:rsidTr="00974E25">
        <w:tc>
          <w:tcPr>
            <w:tcW w:w="1988" w:type="dxa"/>
            <w:tcBorders>
              <w:left w:val="single" w:sz="6" w:space="0" w:color="auto"/>
            </w:tcBorders>
            <w:shd w:val="clear" w:color="auto" w:fill="auto"/>
          </w:tcPr>
          <w:p w14:paraId="47C029EF" w14:textId="77777777" w:rsidR="00BF3DF9" w:rsidRPr="00463667" w:rsidRDefault="00BF3DF9" w:rsidP="00C56CA6">
            <w:pPr>
              <w:pStyle w:val="TableText"/>
              <w:jc w:val="center"/>
            </w:pPr>
            <w:r w:rsidRPr="00463667">
              <w:t>99203</w:t>
            </w:r>
          </w:p>
        </w:tc>
        <w:tc>
          <w:tcPr>
            <w:tcW w:w="2610" w:type="dxa"/>
            <w:shd w:val="clear" w:color="auto" w:fill="auto"/>
            <w:vAlign w:val="bottom"/>
          </w:tcPr>
          <w:p w14:paraId="32158D7E" w14:textId="77777777" w:rsidR="00BF3DF9" w:rsidRPr="00463667" w:rsidRDefault="00BF3DF9" w:rsidP="00C56CA6">
            <w:pPr>
              <w:pStyle w:val="TableText"/>
            </w:pPr>
            <w:r w:rsidRPr="00463667">
              <w:t>Office/outpatient visit, new</w:t>
            </w:r>
          </w:p>
        </w:tc>
        <w:tc>
          <w:tcPr>
            <w:tcW w:w="2070" w:type="dxa"/>
            <w:shd w:val="clear" w:color="auto" w:fill="auto"/>
          </w:tcPr>
          <w:p w14:paraId="7FE1E22D" w14:textId="77777777" w:rsidR="00BF3DF9" w:rsidRPr="00463667" w:rsidRDefault="00BF3DF9" w:rsidP="00C56CA6">
            <w:pPr>
              <w:pStyle w:val="TableText"/>
              <w:ind w:right="702"/>
              <w:jc w:val="right"/>
            </w:pPr>
            <w:r w:rsidRPr="00463667">
              <w:t>99.25</w:t>
            </w:r>
          </w:p>
        </w:tc>
      </w:tr>
      <w:tr w:rsidR="00BF3DF9" w:rsidRPr="00463667" w14:paraId="3EA06B5E" w14:textId="77777777" w:rsidTr="00974E25">
        <w:tc>
          <w:tcPr>
            <w:tcW w:w="1988" w:type="dxa"/>
            <w:tcBorders>
              <w:left w:val="single" w:sz="6" w:space="0" w:color="auto"/>
            </w:tcBorders>
            <w:shd w:val="clear" w:color="auto" w:fill="D9D9D9"/>
          </w:tcPr>
          <w:p w14:paraId="2A4EC40B" w14:textId="77777777" w:rsidR="00BF3DF9" w:rsidRPr="00463667" w:rsidRDefault="00BF3DF9" w:rsidP="00C56CA6">
            <w:pPr>
              <w:pStyle w:val="TableText"/>
              <w:jc w:val="center"/>
            </w:pPr>
            <w:r w:rsidRPr="00463667">
              <w:t>99204</w:t>
            </w:r>
          </w:p>
        </w:tc>
        <w:tc>
          <w:tcPr>
            <w:tcW w:w="2610" w:type="dxa"/>
            <w:shd w:val="clear" w:color="auto" w:fill="D9D9D9"/>
            <w:vAlign w:val="bottom"/>
          </w:tcPr>
          <w:p w14:paraId="2AC398CA" w14:textId="77777777" w:rsidR="00BF3DF9" w:rsidRPr="00463667" w:rsidRDefault="00BF3DF9" w:rsidP="00C56CA6">
            <w:pPr>
              <w:pStyle w:val="TableText"/>
            </w:pPr>
            <w:r w:rsidRPr="00463667">
              <w:t>Office/outpatient visit, new</w:t>
            </w:r>
          </w:p>
        </w:tc>
        <w:tc>
          <w:tcPr>
            <w:tcW w:w="2070" w:type="dxa"/>
            <w:shd w:val="clear" w:color="auto" w:fill="D9D9D9"/>
          </w:tcPr>
          <w:p w14:paraId="2CC9391A" w14:textId="77777777" w:rsidR="00BF3DF9" w:rsidRPr="00463667" w:rsidRDefault="00BF3DF9" w:rsidP="00C56CA6">
            <w:pPr>
              <w:pStyle w:val="TableText"/>
              <w:ind w:right="702"/>
              <w:jc w:val="right"/>
            </w:pPr>
            <w:r w:rsidRPr="00463667">
              <w:t>140.25</w:t>
            </w:r>
          </w:p>
        </w:tc>
      </w:tr>
      <w:tr w:rsidR="00BF3DF9" w:rsidRPr="00463667" w14:paraId="40F88063" w14:textId="77777777" w:rsidTr="00974E25">
        <w:tc>
          <w:tcPr>
            <w:tcW w:w="1988" w:type="dxa"/>
            <w:tcBorders>
              <w:left w:val="single" w:sz="6" w:space="0" w:color="auto"/>
            </w:tcBorders>
            <w:shd w:val="clear" w:color="auto" w:fill="auto"/>
          </w:tcPr>
          <w:p w14:paraId="2B43D595" w14:textId="77777777" w:rsidR="00BF3DF9" w:rsidRPr="00463667" w:rsidRDefault="00BF3DF9" w:rsidP="00C56CA6">
            <w:pPr>
              <w:pStyle w:val="TableText"/>
              <w:jc w:val="center"/>
            </w:pPr>
            <w:r w:rsidRPr="00463667">
              <w:t>99205</w:t>
            </w:r>
          </w:p>
        </w:tc>
        <w:tc>
          <w:tcPr>
            <w:tcW w:w="2610" w:type="dxa"/>
            <w:shd w:val="clear" w:color="auto" w:fill="auto"/>
            <w:vAlign w:val="bottom"/>
          </w:tcPr>
          <w:p w14:paraId="64658633" w14:textId="77777777" w:rsidR="00BF3DF9" w:rsidRPr="00463667" w:rsidRDefault="00BF3DF9" w:rsidP="00C56CA6">
            <w:pPr>
              <w:pStyle w:val="TableText"/>
            </w:pPr>
            <w:r w:rsidRPr="00463667">
              <w:t>Office/outpatient visit, new</w:t>
            </w:r>
          </w:p>
        </w:tc>
        <w:tc>
          <w:tcPr>
            <w:tcW w:w="2070" w:type="dxa"/>
            <w:shd w:val="clear" w:color="auto" w:fill="auto"/>
          </w:tcPr>
          <w:p w14:paraId="25DA40E6" w14:textId="77777777" w:rsidR="00BF3DF9" w:rsidRPr="00463667" w:rsidRDefault="00BF3DF9" w:rsidP="00C56CA6">
            <w:pPr>
              <w:pStyle w:val="TableText"/>
              <w:ind w:right="702"/>
              <w:jc w:val="right"/>
            </w:pPr>
            <w:r w:rsidRPr="00463667">
              <w:t>178.00</w:t>
            </w:r>
          </w:p>
        </w:tc>
      </w:tr>
      <w:tr w:rsidR="00BF3DF9" w:rsidRPr="00463667" w14:paraId="2443AC65" w14:textId="77777777" w:rsidTr="00974E25">
        <w:tc>
          <w:tcPr>
            <w:tcW w:w="1988" w:type="dxa"/>
            <w:tcBorders>
              <w:left w:val="single" w:sz="6" w:space="0" w:color="auto"/>
            </w:tcBorders>
            <w:shd w:val="clear" w:color="auto" w:fill="D9D9D9"/>
          </w:tcPr>
          <w:p w14:paraId="18621EB9" w14:textId="77777777" w:rsidR="00BF3DF9" w:rsidRPr="00463667" w:rsidRDefault="00BF3DF9" w:rsidP="00C56CA6">
            <w:pPr>
              <w:pStyle w:val="TableText"/>
              <w:jc w:val="center"/>
            </w:pPr>
            <w:r w:rsidRPr="00463667">
              <w:t>99289</w:t>
            </w:r>
          </w:p>
        </w:tc>
        <w:tc>
          <w:tcPr>
            <w:tcW w:w="2610" w:type="dxa"/>
            <w:shd w:val="clear" w:color="auto" w:fill="D9D9D9"/>
            <w:vAlign w:val="bottom"/>
          </w:tcPr>
          <w:p w14:paraId="074160FF" w14:textId="77777777" w:rsidR="00BF3DF9" w:rsidRPr="00463667" w:rsidRDefault="00BF3DF9" w:rsidP="00C56CA6">
            <w:pPr>
              <w:pStyle w:val="TableText"/>
            </w:pPr>
            <w:r w:rsidRPr="00463667">
              <w:t>Clinical care services</w:t>
            </w:r>
          </w:p>
        </w:tc>
        <w:tc>
          <w:tcPr>
            <w:tcW w:w="2070" w:type="dxa"/>
            <w:shd w:val="clear" w:color="auto" w:fill="D9D9D9"/>
          </w:tcPr>
          <w:p w14:paraId="7232DC8B" w14:textId="77777777" w:rsidR="00BF3DF9" w:rsidRPr="00463667" w:rsidRDefault="00BF3DF9" w:rsidP="00C56CA6">
            <w:pPr>
              <w:pStyle w:val="TableText"/>
              <w:ind w:right="702"/>
              <w:jc w:val="right"/>
            </w:pPr>
            <w:r w:rsidRPr="00463667">
              <w:t>85.00</w:t>
            </w:r>
          </w:p>
        </w:tc>
      </w:tr>
      <w:tr w:rsidR="00BF3DF9" w:rsidRPr="00463667" w14:paraId="31C8A8D7" w14:textId="77777777" w:rsidTr="00974E25">
        <w:tc>
          <w:tcPr>
            <w:tcW w:w="1988" w:type="dxa"/>
            <w:tcBorders>
              <w:left w:val="single" w:sz="6" w:space="0" w:color="auto"/>
            </w:tcBorders>
            <w:shd w:val="clear" w:color="auto" w:fill="auto"/>
          </w:tcPr>
          <w:p w14:paraId="533967BF" w14:textId="77777777" w:rsidR="00BF3DF9" w:rsidRPr="00463667" w:rsidRDefault="00BF3DF9" w:rsidP="00C56CA6">
            <w:pPr>
              <w:pStyle w:val="TableText"/>
              <w:jc w:val="center"/>
            </w:pPr>
            <w:r w:rsidRPr="00463667">
              <w:t>99363</w:t>
            </w:r>
          </w:p>
        </w:tc>
        <w:tc>
          <w:tcPr>
            <w:tcW w:w="2610" w:type="dxa"/>
            <w:shd w:val="clear" w:color="auto" w:fill="auto"/>
            <w:vAlign w:val="bottom"/>
          </w:tcPr>
          <w:p w14:paraId="5C4DE80C" w14:textId="77777777" w:rsidR="00BF3DF9" w:rsidRPr="00463667" w:rsidRDefault="00BF3DF9" w:rsidP="00C56CA6">
            <w:pPr>
              <w:pStyle w:val="TableText"/>
            </w:pPr>
            <w:r w:rsidRPr="00463667">
              <w:t>Anticoag mgmt, init</w:t>
            </w:r>
          </w:p>
        </w:tc>
        <w:tc>
          <w:tcPr>
            <w:tcW w:w="2070" w:type="dxa"/>
            <w:shd w:val="clear" w:color="auto" w:fill="auto"/>
          </w:tcPr>
          <w:p w14:paraId="33CBF026" w14:textId="77777777" w:rsidR="00BF3DF9" w:rsidRPr="00463667" w:rsidRDefault="00BF3DF9" w:rsidP="00C56CA6">
            <w:pPr>
              <w:pStyle w:val="TableText"/>
              <w:ind w:right="702"/>
              <w:jc w:val="right"/>
            </w:pPr>
            <w:r w:rsidRPr="00463667">
              <w:t>123.50</w:t>
            </w:r>
          </w:p>
        </w:tc>
      </w:tr>
    </w:tbl>
    <w:p w14:paraId="7A01FB12" w14:textId="77777777" w:rsidR="00BF3DF9" w:rsidRPr="00463667" w:rsidRDefault="00BF3DF9" w:rsidP="00BF3DF9">
      <w:pPr>
        <w:pStyle w:val="Note"/>
      </w:pPr>
      <w:r w:rsidRPr="00463667">
        <w:rPr>
          <w:b/>
          <w:bCs/>
        </w:rPr>
        <w:t xml:space="preserve">Note: </w:t>
      </w:r>
      <w:r w:rsidRPr="00463667">
        <w:t>Standard prices are examples only and may not be the prices assigned to these CPT codes.</w:t>
      </w:r>
    </w:p>
    <w:p w14:paraId="48277987" w14:textId="77777777" w:rsidR="00BF3DF9" w:rsidRPr="00463667" w:rsidRDefault="00BF3DF9" w:rsidP="00740D50">
      <w:pPr>
        <w:pStyle w:val="Heading3"/>
      </w:pPr>
      <w:r w:rsidRPr="00463667">
        <w:rPr>
          <w:i/>
        </w:rPr>
        <w:t xml:space="preserve">Sample Table: </w:t>
      </w:r>
      <w:r w:rsidRPr="00463667">
        <w:t>SPT-EM—E&amp;M Inpatient Services</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8"/>
        <w:gridCol w:w="2610"/>
        <w:gridCol w:w="2070"/>
      </w:tblGrid>
      <w:tr w:rsidR="00BF3DF9" w:rsidRPr="00463667" w14:paraId="00B035D5" w14:textId="77777777" w:rsidTr="00974E25">
        <w:tc>
          <w:tcPr>
            <w:tcW w:w="1988" w:type="dxa"/>
            <w:tcBorders>
              <w:left w:val="single" w:sz="6" w:space="0" w:color="auto"/>
              <w:right w:val="single" w:sz="6" w:space="0" w:color="FFFFFF"/>
            </w:tcBorders>
            <w:shd w:val="clear" w:color="auto" w:fill="000000"/>
            <w:vAlign w:val="bottom"/>
          </w:tcPr>
          <w:p w14:paraId="2D6E1306" w14:textId="77777777" w:rsidR="00BF3DF9" w:rsidRPr="00463667" w:rsidRDefault="00BF3DF9" w:rsidP="00C56CA6">
            <w:pPr>
              <w:pStyle w:val="TableHead"/>
              <w:rPr>
                <w:color w:val="auto"/>
              </w:rPr>
            </w:pPr>
            <w:r w:rsidRPr="00463667">
              <w:rPr>
                <w:color w:val="auto"/>
              </w:rPr>
              <w:t>CPT</w:t>
            </w:r>
          </w:p>
        </w:tc>
        <w:tc>
          <w:tcPr>
            <w:tcW w:w="2610" w:type="dxa"/>
            <w:tcBorders>
              <w:left w:val="single" w:sz="6" w:space="0" w:color="FFFFFF"/>
              <w:right w:val="single" w:sz="6" w:space="0" w:color="FFFFFF"/>
            </w:tcBorders>
            <w:shd w:val="clear" w:color="auto" w:fill="000000"/>
            <w:vAlign w:val="bottom"/>
          </w:tcPr>
          <w:p w14:paraId="72DCA4FE" w14:textId="77777777" w:rsidR="00BF3DF9" w:rsidRPr="00463667" w:rsidRDefault="00BF3DF9" w:rsidP="00C56CA6">
            <w:pPr>
              <w:pStyle w:val="TableHead"/>
              <w:rPr>
                <w:color w:val="auto"/>
              </w:rPr>
            </w:pPr>
            <w:r w:rsidRPr="00463667">
              <w:rPr>
                <w:color w:val="auto"/>
              </w:rPr>
              <w:t>Description</w:t>
            </w:r>
          </w:p>
        </w:tc>
        <w:tc>
          <w:tcPr>
            <w:tcW w:w="2070" w:type="dxa"/>
            <w:tcBorders>
              <w:left w:val="single" w:sz="6" w:space="0" w:color="FFFFFF"/>
            </w:tcBorders>
            <w:shd w:val="clear" w:color="auto" w:fill="000000"/>
            <w:vAlign w:val="bottom"/>
          </w:tcPr>
          <w:p w14:paraId="15B29FFC" w14:textId="77777777" w:rsidR="00BF3DF9" w:rsidRPr="00463667" w:rsidRDefault="00BF3DF9" w:rsidP="00C56CA6">
            <w:pPr>
              <w:pStyle w:val="TableHead"/>
              <w:rPr>
                <w:color w:val="auto"/>
              </w:rPr>
            </w:pPr>
            <w:r w:rsidRPr="00463667">
              <w:rPr>
                <w:color w:val="auto"/>
              </w:rPr>
              <w:t>Standard Unit Price ($)</w:t>
            </w:r>
          </w:p>
        </w:tc>
      </w:tr>
      <w:tr w:rsidR="00BF3DF9" w:rsidRPr="00463667" w14:paraId="79D6201D" w14:textId="77777777" w:rsidTr="00974E25">
        <w:trPr>
          <w:trHeight w:val="305"/>
        </w:trPr>
        <w:tc>
          <w:tcPr>
            <w:tcW w:w="1988" w:type="dxa"/>
            <w:tcBorders>
              <w:left w:val="single" w:sz="6" w:space="0" w:color="auto"/>
            </w:tcBorders>
            <w:shd w:val="clear" w:color="auto" w:fill="auto"/>
            <w:vAlign w:val="bottom"/>
          </w:tcPr>
          <w:p w14:paraId="030DD119" w14:textId="77777777" w:rsidR="00BF3DF9" w:rsidRPr="00463667" w:rsidRDefault="00BF3DF9" w:rsidP="00C56CA6">
            <w:pPr>
              <w:pStyle w:val="TableText"/>
              <w:jc w:val="center"/>
            </w:pPr>
            <w:r w:rsidRPr="00463667">
              <w:t>99315</w:t>
            </w:r>
          </w:p>
        </w:tc>
        <w:tc>
          <w:tcPr>
            <w:tcW w:w="2610" w:type="dxa"/>
            <w:shd w:val="clear" w:color="auto" w:fill="auto"/>
            <w:vAlign w:val="bottom"/>
          </w:tcPr>
          <w:p w14:paraId="441B5FB5" w14:textId="77777777" w:rsidR="00BF3DF9" w:rsidRPr="00463667" w:rsidRDefault="00BF3DF9" w:rsidP="00C56CA6">
            <w:pPr>
              <w:pStyle w:val="TableText"/>
            </w:pPr>
            <w:r w:rsidRPr="00463667">
              <w:t>Nursing fac discharge day</w:t>
            </w:r>
          </w:p>
        </w:tc>
        <w:tc>
          <w:tcPr>
            <w:tcW w:w="2070" w:type="dxa"/>
            <w:shd w:val="clear" w:color="auto" w:fill="auto"/>
            <w:vAlign w:val="bottom"/>
          </w:tcPr>
          <w:p w14:paraId="69338DDC" w14:textId="77777777" w:rsidR="00BF3DF9" w:rsidRPr="00463667" w:rsidRDefault="00BF3DF9" w:rsidP="00C56CA6">
            <w:pPr>
              <w:pStyle w:val="TableText"/>
              <w:ind w:right="702"/>
              <w:jc w:val="right"/>
            </w:pPr>
            <w:r w:rsidRPr="00463667">
              <w:t>66.50</w:t>
            </w:r>
          </w:p>
        </w:tc>
      </w:tr>
      <w:tr w:rsidR="00BF3DF9" w:rsidRPr="00463667" w14:paraId="079DBAF5" w14:textId="77777777" w:rsidTr="00974E25">
        <w:tc>
          <w:tcPr>
            <w:tcW w:w="1988" w:type="dxa"/>
            <w:tcBorders>
              <w:left w:val="single" w:sz="6" w:space="0" w:color="auto"/>
            </w:tcBorders>
            <w:shd w:val="clear" w:color="auto" w:fill="D9D9D9"/>
            <w:vAlign w:val="bottom"/>
          </w:tcPr>
          <w:p w14:paraId="269AE7A8" w14:textId="77777777" w:rsidR="00BF3DF9" w:rsidRPr="00463667" w:rsidRDefault="00BF3DF9" w:rsidP="00C56CA6">
            <w:pPr>
              <w:pStyle w:val="TableText"/>
              <w:jc w:val="center"/>
            </w:pPr>
            <w:r w:rsidRPr="00463667">
              <w:t>99316</w:t>
            </w:r>
          </w:p>
        </w:tc>
        <w:tc>
          <w:tcPr>
            <w:tcW w:w="2610" w:type="dxa"/>
            <w:shd w:val="clear" w:color="auto" w:fill="D9D9D9"/>
            <w:vAlign w:val="bottom"/>
          </w:tcPr>
          <w:p w14:paraId="1FB5D9E5" w14:textId="77777777" w:rsidR="00BF3DF9" w:rsidRPr="00463667" w:rsidRDefault="00BF3DF9" w:rsidP="00C56CA6">
            <w:pPr>
              <w:pStyle w:val="TableText"/>
            </w:pPr>
            <w:r w:rsidRPr="00463667">
              <w:t>Nursing fac discharge day</w:t>
            </w:r>
          </w:p>
        </w:tc>
        <w:tc>
          <w:tcPr>
            <w:tcW w:w="2070" w:type="dxa"/>
            <w:shd w:val="clear" w:color="auto" w:fill="D9D9D9"/>
            <w:vAlign w:val="bottom"/>
          </w:tcPr>
          <w:p w14:paraId="1E74F312" w14:textId="77777777" w:rsidR="00BF3DF9" w:rsidRPr="00463667" w:rsidRDefault="00BF3DF9" w:rsidP="00C56CA6">
            <w:pPr>
              <w:pStyle w:val="TableText"/>
              <w:ind w:right="702"/>
              <w:jc w:val="right"/>
            </w:pPr>
            <w:r w:rsidRPr="00463667">
              <w:t>86.50</w:t>
            </w:r>
          </w:p>
        </w:tc>
      </w:tr>
      <w:tr w:rsidR="00BF3DF9" w:rsidRPr="00463667" w14:paraId="1C07A59A" w14:textId="77777777" w:rsidTr="00974E25">
        <w:tc>
          <w:tcPr>
            <w:tcW w:w="1988" w:type="dxa"/>
            <w:tcBorders>
              <w:left w:val="single" w:sz="6" w:space="0" w:color="auto"/>
            </w:tcBorders>
            <w:shd w:val="clear" w:color="auto" w:fill="auto"/>
            <w:vAlign w:val="bottom"/>
          </w:tcPr>
          <w:p w14:paraId="4919EC12" w14:textId="77777777" w:rsidR="00BF3DF9" w:rsidRPr="00463667" w:rsidRDefault="00BF3DF9" w:rsidP="00C56CA6">
            <w:pPr>
              <w:pStyle w:val="TableText"/>
              <w:jc w:val="center"/>
            </w:pPr>
            <w:r w:rsidRPr="00463667">
              <w:t>99318</w:t>
            </w:r>
          </w:p>
        </w:tc>
        <w:tc>
          <w:tcPr>
            <w:tcW w:w="2610" w:type="dxa"/>
            <w:shd w:val="clear" w:color="auto" w:fill="auto"/>
            <w:vAlign w:val="bottom"/>
          </w:tcPr>
          <w:p w14:paraId="028248AF" w14:textId="77777777" w:rsidR="00BF3DF9" w:rsidRPr="00463667" w:rsidRDefault="00BF3DF9" w:rsidP="00C56CA6">
            <w:pPr>
              <w:pStyle w:val="TableText"/>
            </w:pPr>
            <w:r w:rsidRPr="00463667">
              <w:t>Annual nursing fac assessmnt</w:t>
            </w:r>
          </w:p>
        </w:tc>
        <w:tc>
          <w:tcPr>
            <w:tcW w:w="2070" w:type="dxa"/>
            <w:shd w:val="clear" w:color="auto" w:fill="auto"/>
            <w:vAlign w:val="bottom"/>
          </w:tcPr>
          <w:p w14:paraId="5B2B0264" w14:textId="77777777" w:rsidR="00BF3DF9" w:rsidRPr="00463667" w:rsidRDefault="00BF3DF9" w:rsidP="00C56CA6">
            <w:pPr>
              <w:pStyle w:val="TableText"/>
              <w:ind w:right="702"/>
              <w:jc w:val="right"/>
            </w:pPr>
            <w:r w:rsidRPr="00463667">
              <w:t>93.50</w:t>
            </w:r>
          </w:p>
        </w:tc>
      </w:tr>
      <w:tr w:rsidR="00BF3DF9" w:rsidRPr="00463667" w14:paraId="0C9CD855" w14:textId="77777777" w:rsidTr="00974E25">
        <w:tc>
          <w:tcPr>
            <w:tcW w:w="1988" w:type="dxa"/>
            <w:tcBorders>
              <w:left w:val="single" w:sz="6" w:space="0" w:color="auto"/>
            </w:tcBorders>
            <w:shd w:val="clear" w:color="auto" w:fill="D9D9D9"/>
            <w:vAlign w:val="bottom"/>
          </w:tcPr>
          <w:p w14:paraId="6C68C54E" w14:textId="77777777" w:rsidR="00BF3DF9" w:rsidRPr="00463667" w:rsidRDefault="00BF3DF9" w:rsidP="00C56CA6">
            <w:pPr>
              <w:pStyle w:val="TableText"/>
              <w:jc w:val="center"/>
            </w:pPr>
            <w:r w:rsidRPr="00463667">
              <w:t>99324</w:t>
            </w:r>
          </w:p>
        </w:tc>
        <w:tc>
          <w:tcPr>
            <w:tcW w:w="2610" w:type="dxa"/>
            <w:shd w:val="clear" w:color="auto" w:fill="D9D9D9"/>
            <w:vAlign w:val="bottom"/>
          </w:tcPr>
          <w:p w14:paraId="0A6642AA" w14:textId="77777777" w:rsidR="00BF3DF9" w:rsidRPr="00463667" w:rsidRDefault="00BF3DF9" w:rsidP="00C56CA6">
            <w:pPr>
              <w:pStyle w:val="TableText"/>
            </w:pPr>
            <w:r w:rsidRPr="00463667">
              <w:t>Domicil/r-home visit new pat</w:t>
            </w:r>
          </w:p>
        </w:tc>
        <w:tc>
          <w:tcPr>
            <w:tcW w:w="2070" w:type="dxa"/>
            <w:shd w:val="clear" w:color="auto" w:fill="D9D9D9"/>
            <w:vAlign w:val="bottom"/>
          </w:tcPr>
          <w:p w14:paraId="10183B05" w14:textId="77777777" w:rsidR="00BF3DF9" w:rsidRPr="00463667" w:rsidRDefault="00BF3DF9" w:rsidP="00C56CA6">
            <w:pPr>
              <w:pStyle w:val="TableText"/>
              <w:ind w:right="702"/>
              <w:jc w:val="right"/>
            </w:pPr>
            <w:r w:rsidRPr="00463667">
              <w:t>62.50</w:t>
            </w:r>
          </w:p>
        </w:tc>
      </w:tr>
      <w:tr w:rsidR="00BF3DF9" w:rsidRPr="00463667" w14:paraId="10C556DB" w14:textId="77777777" w:rsidTr="00974E25">
        <w:tc>
          <w:tcPr>
            <w:tcW w:w="1988" w:type="dxa"/>
            <w:tcBorders>
              <w:left w:val="single" w:sz="6" w:space="0" w:color="auto"/>
            </w:tcBorders>
            <w:shd w:val="clear" w:color="auto" w:fill="auto"/>
          </w:tcPr>
          <w:p w14:paraId="7823DA1D" w14:textId="77777777" w:rsidR="00BF3DF9" w:rsidRPr="00463667" w:rsidDel="0014726E" w:rsidRDefault="00BF3DF9" w:rsidP="00C56CA6">
            <w:pPr>
              <w:pStyle w:val="TableText"/>
              <w:jc w:val="center"/>
            </w:pPr>
            <w:r w:rsidRPr="00463667">
              <w:t>99433</w:t>
            </w:r>
          </w:p>
        </w:tc>
        <w:tc>
          <w:tcPr>
            <w:tcW w:w="2610" w:type="dxa"/>
            <w:shd w:val="clear" w:color="auto" w:fill="auto"/>
            <w:vAlign w:val="bottom"/>
          </w:tcPr>
          <w:p w14:paraId="1273954E" w14:textId="77777777" w:rsidR="00BF3DF9" w:rsidRPr="00463667" w:rsidRDefault="00BF3DF9" w:rsidP="00C56CA6">
            <w:pPr>
              <w:pStyle w:val="TableText"/>
            </w:pPr>
            <w:r w:rsidRPr="00463667">
              <w:t>Normal newborn care/hospital</w:t>
            </w:r>
          </w:p>
        </w:tc>
        <w:tc>
          <w:tcPr>
            <w:tcW w:w="2070" w:type="dxa"/>
            <w:shd w:val="clear" w:color="auto" w:fill="auto"/>
          </w:tcPr>
          <w:p w14:paraId="77339418" w14:textId="77777777" w:rsidR="00BF3DF9" w:rsidRPr="00463667" w:rsidRDefault="00BF3DF9" w:rsidP="00C56CA6">
            <w:pPr>
              <w:pStyle w:val="TableText"/>
              <w:ind w:right="702"/>
              <w:jc w:val="right"/>
            </w:pPr>
            <w:r w:rsidRPr="00463667">
              <w:t>33.50</w:t>
            </w:r>
          </w:p>
        </w:tc>
      </w:tr>
      <w:tr w:rsidR="00BF3DF9" w:rsidRPr="00463667" w14:paraId="5B125AA0" w14:textId="77777777" w:rsidTr="00974E25">
        <w:tc>
          <w:tcPr>
            <w:tcW w:w="1988" w:type="dxa"/>
            <w:tcBorders>
              <w:left w:val="single" w:sz="6" w:space="0" w:color="auto"/>
            </w:tcBorders>
            <w:shd w:val="clear" w:color="auto" w:fill="D9D9D9"/>
          </w:tcPr>
          <w:p w14:paraId="7DA1C607" w14:textId="77777777" w:rsidR="00BF3DF9" w:rsidRPr="00463667" w:rsidDel="0014726E" w:rsidRDefault="00BF3DF9" w:rsidP="00C56CA6">
            <w:pPr>
              <w:pStyle w:val="TableText"/>
              <w:jc w:val="center"/>
            </w:pPr>
            <w:r w:rsidRPr="00463667">
              <w:t>99436</w:t>
            </w:r>
          </w:p>
        </w:tc>
        <w:tc>
          <w:tcPr>
            <w:tcW w:w="2610" w:type="dxa"/>
            <w:shd w:val="clear" w:color="auto" w:fill="D9D9D9"/>
            <w:vAlign w:val="bottom"/>
          </w:tcPr>
          <w:p w14:paraId="4236FCC5" w14:textId="77777777" w:rsidR="00BF3DF9" w:rsidRPr="00463667" w:rsidRDefault="00BF3DF9" w:rsidP="00C56CA6">
            <w:pPr>
              <w:pStyle w:val="TableText"/>
            </w:pPr>
            <w:r w:rsidRPr="00463667">
              <w:t>Attendance, birth</w:t>
            </w:r>
          </w:p>
        </w:tc>
        <w:tc>
          <w:tcPr>
            <w:tcW w:w="2070" w:type="dxa"/>
            <w:shd w:val="clear" w:color="auto" w:fill="D9D9D9"/>
          </w:tcPr>
          <w:p w14:paraId="528BDFB7" w14:textId="77777777" w:rsidR="00BF3DF9" w:rsidRPr="00463667" w:rsidRDefault="00BF3DF9" w:rsidP="00C56CA6">
            <w:pPr>
              <w:pStyle w:val="TableText"/>
              <w:ind w:right="702"/>
              <w:jc w:val="right"/>
            </w:pPr>
            <w:r w:rsidRPr="00463667">
              <w:t>80.50</w:t>
            </w:r>
          </w:p>
        </w:tc>
      </w:tr>
      <w:tr w:rsidR="00BF3DF9" w:rsidRPr="00463667" w14:paraId="54247EE1" w14:textId="77777777" w:rsidTr="00974E25">
        <w:tc>
          <w:tcPr>
            <w:tcW w:w="1988" w:type="dxa"/>
            <w:tcBorders>
              <w:left w:val="single" w:sz="6" w:space="0" w:color="auto"/>
            </w:tcBorders>
            <w:shd w:val="clear" w:color="auto" w:fill="auto"/>
          </w:tcPr>
          <w:p w14:paraId="6A2BA296" w14:textId="77777777" w:rsidR="00BF3DF9" w:rsidRPr="00463667" w:rsidDel="0014726E" w:rsidRDefault="00BF3DF9" w:rsidP="00C56CA6">
            <w:pPr>
              <w:pStyle w:val="TableText"/>
              <w:jc w:val="center"/>
            </w:pPr>
            <w:r w:rsidRPr="00463667">
              <w:t>99440</w:t>
            </w:r>
          </w:p>
        </w:tc>
        <w:tc>
          <w:tcPr>
            <w:tcW w:w="2610" w:type="dxa"/>
            <w:shd w:val="clear" w:color="auto" w:fill="auto"/>
            <w:vAlign w:val="bottom"/>
          </w:tcPr>
          <w:p w14:paraId="27093500" w14:textId="77777777" w:rsidR="00BF3DF9" w:rsidRPr="00463667" w:rsidRDefault="00BF3DF9" w:rsidP="00C56CA6">
            <w:pPr>
              <w:pStyle w:val="TableText"/>
            </w:pPr>
            <w:r w:rsidRPr="00463667">
              <w:t>Newborn resuscitation</w:t>
            </w:r>
          </w:p>
        </w:tc>
        <w:tc>
          <w:tcPr>
            <w:tcW w:w="2070" w:type="dxa"/>
            <w:shd w:val="clear" w:color="auto" w:fill="auto"/>
          </w:tcPr>
          <w:p w14:paraId="2743190B" w14:textId="77777777" w:rsidR="00BF3DF9" w:rsidRPr="00463667" w:rsidRDefault="00BF3DF9" w:rsidP="00C56CA6">
            <w:pPr>
              <w:pStyle w:val="TableText"/>
              <w:ind w:right="702"/>
              <w:jc w:val="right"/>
            </w:pPr>
            <w:r w:rsidRPr="00463667">
              <w:t>157.50</w:t>
            </w:r>
          </w:p>
        </w:tc>
      </w:tr>
    </w:tbl>
    <w:p w14:paraId="17246D4F" w14:textId="77777777" w:rsidR="00BF3DF9" w:rsidRPr="00463667" w:rsidRDefault="00BF3DF9" w:rsidP="00BF3DF9">
      <w:pPr>
        <w:pStyle w:val="Body"/>
      </w:pPr>
      <w:r w:rsidRPr="00463667">
        <w:t xml:space="preserve">Services provided </w:t>
      </w:r>
      <w:r w:rsidRPr="00463667">
        <w:rPr>
          <w:i/>
        </w:rPr>
        <w:t>in an inpatient setting</w:t>
      </w:r>
      <w:r w:rsidRPr="00463667">
        <w:t xml:space="preserve"> are under the Excel workbook tab labeled “Std Price—IP E&amp;M.” </w:t>
      </w:r>
    </w:p>
    <w:p w14:paraId="6B8234EE" w14:textId="77777777" w:rsidR="00BF3DF9" w:rsidRPr="00463667" w:rsidRDefault="00BF3DF9" w:rsidP="00BF3DF9">
      <w:pPr>
        <w:pStyle w:val="Body"/>
        <w:spacing w:before="120"/>
      </w:pPr>
      <w:r w:rsidRPr="00463667">
        <w:t xml:space="preserve">Services provided </w:t>
      </w:r>
      <w:r w:rsidRPr="00463667">
        <w:rPr>
          <w:i/>
        </w:rPr>
        <w:t>in an outpatient setting</w:t>
      </w:r>
      <w:r w:rsidRPr="00463667">
        <w:t xml:space="preserve"> are under the Excel workbook tab labeled “Std Price—OP E&amp;M.” </w:t>
      </w:r>
    </w:p>
    <w:p w14:paraId="41B4133F" w14:textId="77777777" w:rsidR="00740D50" w:rsidRPr="00463667" w:rsidRDefault="00740D50" w:rsidP="00740D50">
      <w:pPr>
        <w:pStyle w:val="Body"/>
        <w:widowControl w:val="0"/>
        <w:spacing w:before="2640"/>
      </w:pPr>
      <w:bookmarkStart w:id="14" w:name="_Toc400546199"/>
      <w:r w:rsidRPr="00463667">
        <w:t>____________</w:t>
      </w:r>
    </w:p>
    <w:p w14:paraId="34533D57" w14:textId="77777777" w:rsidR="00740D50" w:rsidRPr="00463667" w:rsidRDefault="00740D50" w:rsidP="00740D50">
      <w:pPr>
        <w:pStyle w:val="Body"/>
        <w:spacing w:before="60"/>
        <w:rPr>
          <w:sz w:val="18"/>
          <w:szCs w:val="18"/>
        </w:rPr>
        <w:sectPr w:rsidR="00740D50" w:rsidRPr="00463667" w:rsidSect="00C56CA6">
          <w:pgSz w:w="12240" w:h="15840" w:code="1"/>
          <w:pgMar w:top="1080" w:right="1080" w:bottom="1080" w:left="1440" w:header="720" w:footer="720" w:gutter="0"/>
          <w:cols w:space="720"/>
        </w:sectPr>
      </w:pPr>
      <w:r w:rsidRPr="00463667">
        <w:rPr>
          <w:sz w:val="18"/>
          <w:szCs w:val="18"/>
        </w:rPr>
        <w:t xml:space="preserve">Current Procedural Terminology © </w:t>
      </w:r>
      <w:r>
        <w:rPr>
          <w:sz w:val="18"/>
          <w:szCs w:val="18"/>
        </w:rPr>
        <w:t>2015</w:t>
      </w:r>
      <w:r w:rsidRPr="00463667">
        <w:rPr>
          <w:sz w:val="18"/>
          <w:szCs w:val="18"/>
        </w:rPr>
        <w:t xml:space="preserve"> American Medical Association. All rights reserved.</w:t>
      </w:r>
    </w:p>
    <w:p w14:paraId="7D35885E" w14:textId="1BEDB8EC" w:rsidR="00BF3DF9" w:rsidRPr="00463667" w:rsidRDefault="00E451F8" w:rsidP="00740D50">
      <w:pPr>
        <w:pStyle w:val="SubHead"/>
        <w:spacing w:before="0"/>
      </w:pPr>
      <w:hyperlink w:anchor="TOC" w:history="1">
        <w:r w:rsidR="00BF3DF9" w:rsidRPr="00EF7C1A">
          <w:rPr>
            <w:i/>
          </w:rPr>
          <w:t xml:space="preserve">Calculating Total Standard Cost: </w:t>
        </w:r>
        <w:r w:rsidR="00BF3DF9" w:rsidRPr="00EF7C1A">
          <w:t>Surgery and Procedure</w:t>
        </w:r>
        <w:bookmarkEnd w:id="14"/>
      </w:hyperlink>
    </w:p>
    <w:tbl>
      <w:tblPr>
        <w:tblW w:w="9820" w:type="dxa"/>
        <w:tblInd w:w="28" w:type="dxa"/>
        <w:tblLayout w:type="fixed"/>
        <w:tblLook w:val="0000" w:firstRow="0" w:lastRow="0" w:firstColumn="0" w:lastColumn="0" w:noHBand="0" w:noVBand="0"/>
      </w:tblPr>
      <w:tblGrid>
        <w:gridCol w:w="10"/>
        <w:gridCol w:w="1160"/>
        <w:gridCol w:w="10"/>
        <w:gridCol w:w="8522"/>
        <w:gridCol w:w="118"/>
      </w:tblGrid>
      <w:tr w:rsidR="00BF3DF9" w:rsidRPr="00463667" w14:paraId="070ACDA7" w14:textId="77777777" w:rsidTr="00740D50">
        <w:trPr>
          <w:gridAfter w:val="1"/>
          <w:wAfter w:w="118" w:type="dxa"/>
        </w:trPr>
        <w:tc>
          <w:tcPr>
            <w:tcW w:w="1170" w:type="dxa"/>
            <w:gridSpan w:val="2"/>
          </w:tcPr>
          <w:p w14:paraId="09BD6C5F" w14:textId="77777777" w:rsidR="00BF3DF9" w:rsidRPr="00463667" w:rsidRDefault="00BF3DF9" w:rsidP="00C56CA6">
            <w:pPr>
              <w:pStyle w:val="MarginSubhead"/>
              <w:jc w:val="right"/>
              <w:rPr>
                <w:i/>
                <w:iCs/>
              </w:rPr>
            </w:pPr>
            <w:r w:rsidRPr="00463667">
              <w:rPr>
                <w:i/>
                <w:iCs/>
              </w:rPr>
              <w:t>Step 1</w:t>
            </w:r>
          </w:p>
        </w:tc>
        <w:tc>
          <w:tcPr>
            <w:tcW w:w="8532" w:type="dxa"/>
            <w:gridSpan w:val="2"/>
          </w:tcPr>
          <w:p w14:paraId="42F3337B" w14:textId="77777777" w:rsidR="00BF3DF9" w:rsidRPr="00463667" w:rsidRDefault="00BF3DF9" w:rsidP="00C56CA6">
            <w:pPr>
              <w:pStyle w:val="Body"/>
            </w:pPr>
            <w:r w:rsidRPr="00463667">
              <w:t xml:space="preserve">Identify all surgery and procedure services provided by physicians and other professional providers during the treatment period. The valid procedure codes for these services are listed in Table SPT-Surg-Proc. </w:t>
            </w:r>
          </w:p>
        </w:tc>
      </w:tr>
      <w:tr w:rsidR="00BF3DF9" w:rsidRPr="00463667" w14:paraId="53DBF38C" w14:textId="77777777" w:rsidTr="00740D50">
        <w:trPr>
          <w:gridAfter w:val="1"/>
          <w:wAfter w:w="118" w:type="dxa"/>
        </w:trPr>
        <w:tc>
          <w:tcPr>
            <w:tcW w:w="1170" w:type="dxa"/>
            <w:gridSpan w:val="2"/>
          </w:tcPr>
          <w:p w14:paraId="44803C96" w14:textId="77777777" w:rsidR="00BF3DF9" w:rsidRPr="00463667" w:rsidRDefault="00BF3DF9" w:rsidP="00C56CA6">
            <w:pPr>
              <w:pStyle w:val="MarginSubhead"/>
              <w:jc w:val="right"/>
              <w:rPr>
                <w:i/>
                <w:iCs/>
              </w:rPr>
            </w:pPr>
            <w:r w:rsidRPr="00463667">
              <w:rPr>
                <w:i/>
                <w:iCs/>
              </w:rPr>
              <w:t>Step 2</w:t>
            </w:r>
          </w:p>
        </w:tc>
        <w:tc>
          <w:tcPr>
            <w:tcW w:w="8532" w:type="dxa"/>
            <w:gridSpan w:val="2"/>
          </w:tcPr>
          <w:p w14:paraId="06A113D2" w14:textId="77777777" w:rsidR="00BF3DF9" w:rsidRPr="00463667" w:rsidRDefault="00BF3DF9" w:rsidP="00C56CA6">
            <w:pPr>
              <w:pStyle w:val="Body"/>
            </w:pPr>
            <w:r w:rsidRPr="00463667">
              <w:t xml:space="preserve">Identify modifier codes. Procedure modifiers are sometimes used to define a service in more detail. The standard price for procedure modifiers varies, so these modifiers are combined with the procedure code to match to the appropriate row in the SPT. Use only the applicable modifiers contained in the SPTs. If a specific modifier is not included in the SPT, it is considered a no applicable modifier. </w:t>
            </w:r>
          </w:p>
          <w:p w14:paraId="6C822425" w14:textId="77777777" w:rsidR="00BF3DF9" w:rsidRPr="00463667" w:rsidRDefault="00BF3DF9" w:rsidP="00C56CA6">
            <w:pPr>
              <w:pStyle w:val="Body"/>
            </w:pPr>
            <w:r w:rsidRPr="00463667">
              <w:t xml:space="preserve">If a procedure code is billed with a no applicable modifier, set the modifier to blank. If the procedure code has no modifiers or if there are no applicable modifiers for a specific procedure code, price the procedure code with a blank modifier. </w:t>
            </w:r>
          </w:p>
          <w:p w14:paraId="57B19CDF" w14:textId="77777777" w:rsidR="00BF3DF9" w:rsidRPr="00463667" w:rsidRDefault="00BF3DF9" w:rsidP="00C56CA6">
            <w:pPr>
              <w:pStyle w:val="Body"/>
            </w:pPr>
            <w:r w:rsidRPr="00463667">
              <w:t>Surgery and Procedure CPT codes that have a proprietary modifier indicating an anesthesiology bill are not priced.</w:t>
            </w:r>
          </w:p>
        </w:tc>
      </w:tr>
      <w:tr w:rsidR="00BF3DF9" w:rsidRPr="00463667" w14:paraId="382BC0E2" w14:textId="77777777" w:rsidTr="00740D50">
        <w:trPr>
          <w:gridAfter w:val="1"/>
          <w:wAfter w:w="118" w:type="dxa"/>
        </w:trPr>
        <w:tc>
          <w:tcPr>
            <w:tcW w:w="1170" w:type="dxa"/>
            <w:gridSpan w:val="2"/>
          </w:tcPr>
          <w:p w14:paraId="381B2836" w14:textId="77777777" w:rsidR="00BF3DF9" w:rsidRPr="00463667" w:rsidRDefault="00BF3DF9" w:rsidP="00C56CA6">
            <w:pPr>
              <w:pStyle w:val="MarginSubhead"/>
              <w:jc w:val="right"/>
              <w:rPr>
                <w:i/>
                <w:iCs/>
              </w:rPr>
            </w:pPr>
            <w:r w:rsidRPr="00463667">
              <w:rPr>
                <w:i/>
                <w:iCs/>
              </w:rPr>
              <w:t>Step 3</w:t>
            </w:r>
          </w:p>
        </w:tc>
        <w:tc>
          <w:tcPr>
            <w:tcW w:w="8532" w:type="dxa"/>
            <w:gridSpan w:val="2"/>
          </w:tcPr>
          <w:p w14:paraId="04E27E1B" w14:textId="77777777" w:rsidR="00BF3DF9" w:rsidRPr="00463667" w:rsidRDefault="00BF3DF9" w:rsidP="00C56CA6">
            <w:pPr>
              <w:pStyle w:val="Body"/>
            </w:pPr>
            <w:r w:rsidRPr="00463667">
              <w:t>Identify surgeries or procedures provided during an acute or nonacute inpatient stay. In the SPT, services provided in an inpatient setting are under the Excel workbook tab labeled “Std Price—IP Surgery” and services provided in an outpatient setting are under the Excel workbook tab labeled “Std Price—OP Surgery.” Organizations can distinguish between services provided in an inpatient or outpatient setting in several ways:</w:t>
            </w:r>
          </w:p>
          <w:p w14:paraId="000C8729" w14:textId="77777777" w:rsidR="00BF3DF9" w:rsidRPr="00463667" w:rsidRDefault="00BF3DF9" w:rsidP="00C56CA6">
            <w:pPr>
              <w:pStyle w:val="Bullet"/>
            </w:pPr>
            <w:r w:rsidRPr="00463667">
              <w:t xml:space="preserve">Treat a surgery or procedure as outpatient unless it has a POS code of 21, 31, 39, 51 </w:t>
            </w:r>
            <w:r w:rsidRPr="00463667">
              <w:br/>
              <w:t>or 61.</w:t>
            </w:r>
          </w:p>
          <w:p w14:paraId="7BA9EFF4" w14:textId="77777777" w:rsidR="00BF3DF9" w:rsidRPr="00463667" w:rsidRDefault="00BF3DF9" w:rsidP="00C56CA6">
            <w:pPr>
              <w:pStyle w:val="Bullet"/>
            </w:pPr>
            <w:r w:rsidRPr="00463667">
              <w:t xml:space="preserve">If the POS code is not available, determine if the member was admitted overnight for the surgery or procedure. If so, treat the surgery or procedure as inpatient; if not, treat it as outpatient. </w:t>
            </w:r>
          </w:p>
          <w:p w14:paraId="41676F75" w14:textId="77777777" w:rsidR="00BF3DF9" w:rsidRPr="00463667" w:rsidRDefault="00BF3DF9" w:rsidP="00C56CA6">
            <w:pPr>
              <w:pStyle w:val="Bullet"/>
            </w:pPr>
            <w:r w:rsidRPr="00463667">
              <w:t>Treat a surgery as inpatient if it falls between the dates of an inpatient stay. If a surgery was used to classify an inpatient stay as surgical, price the surgery as inpatient.</w:t>
            </w:r>
          </w:p>
        </w:tc>
      </w:tr>
      <w:tr w:rsidR="00BF3DF9" w:rsidRPr="00463667" w14:paraId="2824C58C" w14:textId="77777777" w:rsidTr="00740D50">
        <w:trPr>
          <w:gridAfter w:val="1"/>
          <w:wAfter w:w="118" w:type="dxa"/>
        </w:trPr>
        <w:tc>
          <w:tcPr>
            <w:tcW w:w="1170" w:type="dxa"/>
            <w:gridSpan w:val="2"/>
          </w:tcPr>
          <w:p w14:paraId="01936EBB" w14:textId="77777777" w:rsidR="00BF3DF9" w:rsidRPr="00463667" w:rsidRDefault="00BF3DF9" w:rsidP="00C56CA6">
            <w:pPr>
              <w:pStyle w:val="MarginSubhead"/>
              <w:jc w:val="right"/>
              <w:rPr>
                <w:i/>
                <w:iCs/>
              </w:rPr>
            </w:pPr>
            <w:r w:rsidRPr="00463667">
              <w:rPr>
                <w:i/>
                <w:iCs/>
              </w:rPr>
              <w:t>Step 4</w:t>
            </w:r>
          </w:p>
        </w:tc>
        <w:tc>
          <w:tcPr>
            <w:tcW w:w="8532" w:type="dxa"/>
            <w:gridSpan w:val="2"/>
          </w:tcPr>
          <w:p w14:paraId="100B9A22" w14:textId="77777777" w:rsidR="00BF3DF9" w:rsidRPr="00463667" w:rsidRDefault="00BF3DF9" w:rsidP="00C56CA6">
            <w:pPr>
              <w:pStyle w:val="Body"/>
            </w:pPr>
            <w:r w:rsidRPr="00463667">
              <w:t>Download Table SPT-Surg-Proc for surgery and procedure services from the NCQA Web site (</w:t>
            </w:r>
            <w:hyperlink r:id="rId38" w:history="1">
              <w:r w:rsidRPr="00AF2143">
                <w:rPr>
                  <w:u w:val="single"/>
                </w:rPr>
                <w:t>www.ncqa.org</w:t>
              </w:r>
            </w:hyperlink>
            <w:r w:rsidRPr="00463667">
              <w:t>).</w:t>
            </w:r>
          </w:p>
        </w:tc>
      </w:tr>
      <w:tr w:rsidR="00BF3DF9" w:rsidRPr="00463667" w14:paraId="777570C5" w14:textId="77777777" w:rsidTr="00740D50">
        <w:trPr>
          <w:gridBefore w:val="1"/>
          <w:wBefore w:w="10" w:type="dxa"/>
        </w:trPr>
        <w:tc>
          <w:tcPr>
            <w:tcW w:w="1170" w:type="dxa"/>
            <w:gridSpan w:val="2"/>
          </w:tcPr>
          <w:p w14:paraId="2BDB53D8" w14:textId="77777777" w:rsidR="00BF3DF9" w:rsidRPr="00463667" w:rsidRDefault="00BF3DF9" w:rsidP="00740D50">
            <w:pPr>
              <w:pStyle w:val="MarginSubhead"/>
              <w:jc w:val="right"/>
              <w:rPr>
                <w:i/>
                <w:iCs/>
              </w:rPr>
            </w:pPr>
            <w:r w:rsidRPr="00463667">
              <w:rPr>
                <w:i/>
                <w:iCs/>
              </w:rPr>
              <w:t>Step 5</w:t>
            </w:r>
          </w:p>
        </w:tc>
        <w:tc>
          <w:tcPr>
            <w:tcW w:w="8640" w:type="dxa"/>
            <w:gridSpan w:val="2"/>
          </w:tcPr>
          <w:p w14:paraId="182C52E9" w14:textId="77777777" w:rsidR="00BF3DF9" w:rsidRPr="00463667" w:rsidRDefault="00BF3DF9" w:rsidP="00740D50">
            <w:pPr>
              <w:pStyle w:val="Body"/>
            </w:pPr>
            <w:r w:rsidRPr="00463667">
              <w:t>Match each procedure code, applicable modifier and POS to obtain the assigned standard price for the service.</w:t>
            </w:r>
          </w:p>
        </w:tc>
      </w:tr>
      <w:tr w:rsidR="00BF3DF9" w:rsidRPr="00463667" w14:paraId="674D1BA2" w14:textId="77777777" w:rsidTr="00740D50">
        <w:trPr>
          <w:gridBefore w:val="1"/>
          <w:wBefore w:w="10" w:type="dxa"/>
        </w:trPr>
        <w:tc>
          <w:tcPr>
            <w:tcW w:w="1170" w:type="dxa"/>
            <w:gridSpan w:val="2"/>
          </w:tcPr>
          <w:p w14:paraId="6F743FFE" w14:textId="77777777" w:rsidR="00BF3DF9" w:rsidRPr="00463667" w:rsidRDefault="00BF3DF9" w:rsidP="00C56CA6">
            <w:pPr>
              <w:pStyle w:val="MarginSubhead"/>
              <w:jc w:val="right"/>
              <w:rPr>
                <w:i/>
                <w:iCs/>
              </w:rPr>
            </w:pPr>
            <w:r w:rsidRPr="00463667">
              <w:rPr>
                <w:i/>
                <w:iCs/>
              </w:rPr>
              <w:t>Step 6</w:t>
            </w:r>
          </w:p>
        </w:tc>
        <w:tc>
          <w:tcPr>
            <w:tcW w:w="8640" w:type="dxa"/>
            <w:gridSpan w:val="2"/>
          </w:tcPr>
          <w:p w14:paraId="59C7F69F" w14:textId="77777777" w:rsidR="00BF3DF9" w:rsidRPr="00463667" w:rsidRDefault="00BF3DF9" w:rsidP="00C56CA6">
            <w:pPr>
              <w:pStyle w:val="Body"/>
            </w:pPr>
            <w:r w:rsidRPr="00463667">
              <w:t>Multiply the standard price by the number of units associated with the service. Most services have one unit.</w:t>
            </w:r>
          </w:p>
        </w:tc>
      </w:tr>
      <w:tr w:rsidR="00BF3DF9" w:rsidRPr="00463667" w14:paraId="1577D101" w14:textId="77777777" w:rsidTr="00740D50">
        <w:trPr>
          <w:gridBefore w:val="1"/>
          <w:wBefore w:w="10" w:type="dxa"/>
        </w:trPr>
        <w:tc>
          <w:tcPr>
            <w:tcW w:w="1170" w:type="dxa"/>
            <w:gridSpan w:val="2"/>
          </w:tcPr>
          <w:p w14:paraId="142A08F2" w14:textId="77777777" w:rsidR="00BF3DF9" w:rsidRPr="00463667" w:rsidRDefault="00BF3DF9" w:rsidP="00C56CA6">
            <w:pPr>
              <w:pStyle w:val="MarginSubhead"/>
              <w:jc w:val="right"/>
              <w:rPr>
                <w:i/>
                <w:iCs/>
              </w:rPr>
            </w:pPr>
            <w:r w:rsidRPr="00463667">
              <w:rPr>
                <w:i/>
                <w:iCs/>
              </w:rPr>
              <w:t>Step 7</w:t>
            </w:r>
          </w:p>
        </w:tc>
        <w:tc>
          <w:tcPr>
            <w:tcW w:w="8640" w:type="dxa"/>
            <w:gridSpan w:val="2"/>
          </w:tcPr>
          <w:p w14:paraId="2BA5DF64" w14:textId="77777777" w:rsidR="00BF3DF9" w:rsidRPr="00463667" w:rsidRDefault="00BF3DF9" w:rsidP="00C56CA6">
            <w:pPr>
              <w:pStyle w:val="Body"/>
            </w:pPr>
            <w:r w:rsidRPr="00463667">
              <w:t>Sum the standard prices across the surgery and procedure services to calculate the total cost. Sum inpatient and outpatient costs separately.</w:t>
            </w:r>
          </w:p>
        </w:tc>
      </w:tr>
      <w:tr w:rsidR="00BF3DF9" w:rsidRPr="00463667" w14:paraId="7E20EB56" w14:textId="77777777" w:rsidTr="00740D50">
        <w:trPr>
          <w:gridBefore w:val="1"/>
          <w:wBefore w:w="10" w:type="dxa"/>
        </w:trPr>
        <w:tc>
          <w:tcPr>
            <w:tcW w:w="1170" w:type="dxa"/>
            <w:gridSpan w:val="2"/>
          </w:tcPr>
          <w:p w14:paraId="3099C664" w14:textId="77777777" w:rsidR="00BF3DF9" w:rsidRPr="00463667" w:rsidRDefault="00BF3DF9" w:rsidP="00C56CA6">
            <w:pPr>
              <w:pStyle w:val="MarginSubhead"/>
              <w:spacing w:after="120"/>
              <w:ind w:left="0"/>
              <w:jc w:val="right"/>
              <w:rPr>
                <w:iCs/>
                <w:u w:val="single"/>
              </w:rPr>
            </w:pPr>
            <w:r w:rsidRPr="00463667">
              <w:rPr>
                <w:u w:val="single"/>
              </w:rPr>
              <w:t>Example</w:t>
            </w:r>
          </w:p>
        </w:tc>
        <w:tc>
          <w:tcPr>
            <w:tcW w:w="8640" w:type="dxa"/>
            <w:gridSpan w:val="2"/>
          </w:tcPr>
          <w:p w14:paraId="165CB88E" w14:textId="77777777" w:rsidR="00BF3DF9" w:rsidRPr="00463667" w:rsidRDefault="00BF3DF9" w:rsidP="00C56CA6">
            <w:pPr>
              <w:pStyle w:val="Body"/>
              <w:spacing w:after="120"/>
            </w:pPr>
            <w:r w:rsidRPr="00463667">
              <w:t>Calculate surgery and procedure cost. The tables below show examples of calculating cost based on CPT modifiers.</w:t>
            </w:r>
          </w:p>
        </w:tc>
      </w:tr>
    </w:tbl>
    <w:p w14:paraId="7A675445" w14:textId="77777777" w:rsidR="00740D50" w:rsidRPr="00463667" w:rsidRDefault="00740D50" w:rsidP="00740D50">
      <w:pPr>
        <w:pStyle w:val="Body"/>
        <w:spacing w:before="1680"/>
        <w:rPr>
          <w:sz w:val="18"/>
          <w:szCs w:val="18"/>
        </w:rPr>
      </w:pPr>
      <w:r w:rsidRPr="00463667">
        <w:rPr>
          <w:sz w:val="18"/>
          <w:szCs w:val="18"/>
        </w:rPr>
        <w:t>____________</w:t>
      </w:r>
    </w:p>
    <w:p w14:paraId="58E423BE" w14:textId="6918CD08" w:rsidR="00740D50" w:rsidRDefault="00740D50" w:rsidP="00740D50">
      <w:pPr>
        <w:spacing w:before="80"/>
      </w:pPr>
      <w:r w:rsidRPr="00463667">
        <w:rPr>
          <w:sz w:val="18"/>
          <w:szCs w:val="18"/>
        </w:rPr>
        <w:t xml:space="preserve">Current Procedural Terminology © </w:t>
      </w:r>
      <w:r>
        <w:rPr>
          <w:sz w:val="18"/>
          <w:szCs w:val="18"/>
        </w:rPr>
        <w:t>2015</w:t>
      </w:r>
      <w:r w:rsidRPr="00463667">
        <w:rPr>
          <w:sz w:val="18"/>
          <w:szCs w:val="18"/>
        </w:rPr>
        <w:t xml:space="preserve"> American Medical Association. All rights reserved.</w:t>
      </w:r>
    </w:p>
    <w:tbl>
      <w:tblPr>
        <w:tblW w:w="9730" w:type="dxa"/>
        <w:tblInd w:w="-10" w:type="dxa"/>
        <w:tblLayout w:type="fixed"/>
        <w:tblCellMar>
          <w:left w:w="0" w:type="dxa"/>
          <w:right w:w="0" w:type="dxa"/>
        </w:tblCellMar>
        <w:tblLook w:val="0000" w:firstRow="0" w:lastRow="0" w:firstColumn="0" w:lastColumn="0" w:noHBand="0" w:noVBand="0"/>
      </w:tblPr>
      <w:tblGrid>
        <w:gridCol w:w="1360"/>
        <w:gridCol w:w="1260"/>
        <w:gridCol w:w="1440"/>
        <w:gridCol w:w="1020"/>
        <w:gridCol w:w="930"/>
        <w:gridCol w:w="930"/>
        <w:gridCol w:w="1395"/>
        <w:gridCol w:w="1395"/>
      </w:tblGrid>
      <w:tr w:rsidR="00BF3DF9" w:rsidRPr="00463667" w14:paraId="69AA28A6" w14:textId="77777777" w:rsidTr="00740D50">
        <w:tc>
          <w:tcPr>
            <w:tcW w:w="1360" w:type="dxa"/>
            <w:vMerge w:val="restart"/>
            <w:tcBorders>
              <w:top w:val="single" w:sz="6" w:space="0" w:color="auto"/>
              <w:left w:val="single" w:sz="8" w:space="0" w:color="auto"/>
              <w:right w:val="single" w:sz="6" w:space="0" w:color="FFFFFF" w:themeColor="background1"/>
            </w:tcBorders>
            <w:shd w:val="clear" w:color="auto" w:fill="000000" w:themeFill="text1"/>
            <w:tcMar>
              <w:top w:w="0" w:type="dxa"/>
              <w:left w:w="108" w:type="dxa"/>
              <w:bottom w:w="0" w:type="dxa"/>
              <w:right w:w="108" w:type="dxa"/>
            </w:tcMar>
            <w:vAlign w:val="bottom"/>
          </w:tcPr>
          <w:p w14:paraId="4FF13495" w14:textId="77777777" w:rsidR="00BF3DF9" w:rsidRPr="00463667" w:rsidRDefault="00BF3DF9" w:rsidP="00C56CA6">
            <w:pPr>
              <w:pStyle w:val="TableHead"/>
            </w:pPr>
            <w:r w:rsidRPr="00463667">
              <w:lastRenderedPageBreak/>
              <w:t>Example Organization</w:t>
            </w:r>
          </w:p>
        </w:tc>
        <w:tc>
          <w:tcPr>
            <w:tcW w:w="2700" w:type="dxa"/>
            <w:gridSpan w:val="2"/>
            <w:tcBorders>
              <w:top w:val="single" w:sz="4" w:space="0" w:color="auto"/>
              <w:left w:val="single" w:sz="6" w:space="0" w:color="FFFFFF" w:themeColor="background1"/>
              <w:bottom w:val="single" w:sz="4" w:space="0" w:color="FFFFFF" w:themeColor="background1"/>
              <w:right w:val="single" w:sz="12" w:space="0" w:color="FFFFFF" w:themeColor="background1"/>
            </w:tcBorders>
            <w:shd w:val="clear" w:color="auto" w:fill="000000" w:themeFill="text1"/>
            <w:tcMar>
              <w:top w:w="0" w:type="dxa"/>
              <w:left w:w="108" w:type="dxa"/>
              <w:bottom w:w="0" w:type="dxa"/>
              <w:right w:w="108" w:type="dxa"/>
            </w:tcMar>
            <w:vAlign w:val="bottom"/>
          </w:tcPr>
          <w:p w14:paraId="737B1929" w14:textId="0EF1AC5F" w:rsidR="00BF3DF9" w:rsidRPr="00463667" w:rsidRDefault="00F3111D" w:rsidP="00C56CA6">
            <w:pPr>
              <w:pStyle w:val="TableHead"/>
            </w:pPr>
            <w:r w:rsidRPr="00463667">
              <w:t>MODIFIERS</w:t>
            </w:r>
          </w:p>
        </w:tc>
        <w:tc>
          <w:tcPr>
            <w:tcW w:w="2880" w:type="dxa"/>
            <w:gridSpan w:val="3"/>
            <w:tcBorders>
              <w:top w:val="single" w:sz="4" w:space="0" w:color="auto"/>
              <w:left w:val="single" w:sz="12" w:space="0" w:color="FFFFFF" w:themeColor="background1"/>
              <w:bottom w:val="single" w:sz="4" w:space="0" w:color="FFFFFF" w:themeColor="background1"/>
              <w:right w:val="single" w:sz="12" w:space="0" w:color="FFFFFF" w:themeColor="background1"/>
            </w:tcBorders>
            <w:shd w:val="clear" w:color="auto" w:fill="000000" w:themeFill="text1"/>
            <w:tcMar>
              <w:top w:w="0" w:type="dxa"/>
              <w:left w:w="108" w:type="dxa"/>
              <w:bottom w:w="0" w:type="dxa"/>
              <w:right w:w="108" w:type="dxa"/>
            </w:tcMar>
            <w:vAlign w:val="bottom"/>
          </w:tcPr>
          <w:p w14:paraId="54811C59" w14:textId="7236D7CA" w:rsidR="00BF3DF9" w:rsidRPr="00463667" w:rsidRDefault="00F3111D" w:rsidP="00C56CA6">
            <w:pPr>
              <w:pStyle w:val="TableHead"/>
            </w:pPr>
            <w:r w:rsidRPr="00463667">
              <w:t>CLAIMS DATA</w:t>
            </w:r>
          </w:p>
        </w:tc>
        <w:tc>
          <w:tcPr>
            <w:tcW w:w="2790" w:type="dxa"/>
            <w:gridSpan w:val="2"/>
            <w:tcBorders>
              <w:top w:val="single" w:sz="4" w:space="0" w:color="auto"/>
              <w:left w:val="single" w:sz="12" w:space="0" w:color="FFFFFF" w:themeColor="background1"/>
              <w:bottom w:val="single" w:sz="4" w:space="0" w:color="FFFFFF" w:themeColor="background1"/>
              <w:right w:val="single" w:sz="8" w:space="0" w:color="auto"/>
            </w:tcBorders>
            <w:shd w:val="clear" w:color="auto" w:fill="000000" w:themeFill="text1"/>
            <w:tcMar>
              <w:top w:w="0" w:type="dxa"/>
              <w:left w:w="108" w:type="dxa"/>
              <w:bottom w:w="0" w:type="dxa"/>
              <w:right w:w="108" w:type="dxa"/>
            </w:tcMar>
            <w:vAlign w:val="bottom"/>
          </w:tcPr>
          <w:p w14:paraId="7829763E" w14:textId="796A463B" w:rsidR="00BF3DF9" w:rsidRPr="00463667" w:rsidRDefault="00F3111D" w:rsidP="00C56CA6">
            <w:pPr>
              <w:pStyle w:val="TableHead"/>
            </w:pPr>
            <w:r w:rsidRPr="00463667">
              <w:t>RRU PRICING</w:t>
            </w:r>
          </w:p>
        </w:tc>
      </w:tr>
      <w:tr w:rsidR="00BF3DF9" w:rsidRPr="00463667" w14:paraId="0A41C445" w14:textId="77777777" w:rsidTr="00740D50">
        <w:tc>
          <w:tcPr>
            <w:tcW w:w="1360" w:type="dxa"/>
            <w:vMerge/>
            <w:tcBorders>
              <w:top w:val="single" w:sz="4" w:space="0" w:color="FFFFFF" w:themeColor="background1"/>
              <w:left w:val="single" w:sz="8" w:space="0" w:color="auto"/>
              <w:bottom w:val="single" w:sz="4" w:space="0" w:color="auto"/>
              <w:right w:val="single" w:sz="6" w:space="0" w:color="FFFFFF" w:themeColor="background1"/>
            </w:tcBorders>
            <w:shd w:val="clear" w:color="auto" w:fill="000000" w:themeFill="text1"/>
            <w:tcMar>
              <w:top w:w="0" w:type="dxa"/>
              <w:left w:w="108" w:type="dxa"/>
              <w:bottom w:w="0" w:type="dxa"/>
              <w:right w:w="108" w:type="dxa"/>
            </w:tcMar>
            <w:vAlign w:val="bottom"/>
          </w:tcPr>
          <w:p w14:paraId="3FE65986" w14:textId="77777777" w:rsidR="00BF3DF9" w:rsidRPr="00463667" w:rsidRDefault="00BF3DF9" w:rsidP="00C56CA6">
            <w:pPr>
              <w:pStyle w:val="TableHead"/>
            </w:pPr>
          </w:p>
        </w:tc>
        <w:tc>
          <w:tcPr>
            <w:tcW w:w="1260" w:type="dxa"/>
            <w:tcBorders>
              <w:top w:val="single" w:sz="4" w:space="0" w:color="FFFFFF" w:themeColor="background1"/>
              <w:left w:val="single" w:sz="6" w:space="0" w:color="FFFFFF" w:themeColor="background1"/>
              <w:bottom w:val="single" w:sz="4" w:space="0" w:color="auto"/>
              <w:right w:val="single" w:sz="6" w:space="0" w:color="FFFFFF" w:themeColor="background1"/>
            </w:tcBorders>
            <w:shd w:val="clear" w:color="auto" w:fill="000000" w:themeFill="text1"/>
            <w:tcMar>
              <w:top w:w="0" w:type="dxa"/>
              <w:left w:w="108" w:type="dxa"/>
              <w:bottom w:w="0" w:type="dxa"/>
              <w:right w:w="108" w:type="dxa"/>
            </w:tcMar>
            <w:vAlign w:val="bottom"/>
          </w:tcPr>
          <w:p w14:paraId="03052EC5" w14:textId="77777777" w:rsidR="00BF3DF9" w:rsidRPr="00463667" w:rsidRDefault="00BF3DF9" w:rsidP="00C56CA6">
            <w:pPr>
              <w:pStyle w:val="TableHead"/>
            </w:pPr>
            <w:r w:rsidRPr="00463667">
              <w:t>Total</w:t>
            </w:r>
          </w:p>
        </w:tc>
        <w:tc>
          <w:tcPr>
            <w:tcW w:w="1440" w:type="dxa"/>
            <w:tcBorders>
              <w:top w:val="single" w:sz="4" w:space="0" w:color="FFFFFF" w:themeColor="background1"/>
              <w:left w:val="single" w:sz="6" w:space="0" w:color="FFFFFF" w:themeColor="background1"/>
              <w:bottom w:val="single" w:sz="4" w:space="0" w:color="auto"/>
              <w:right w:val="single" w:sz="12" w:space="0" w:color="FFFFFF" w:themeColor="background1"/>
            </w:tcBorders>
            <w:shd w:val="clear" w:color="auto" w:fill="000000" w:themeFill="text1"/>
            <w:tcMar>
              <w:top w:w="0" w:type="dxa"/>
              <w:left w:w="108" w:type="dxa"/>
              <w:bottom w:w="0" w:type="dxa"/>
              <w:right w:w="108" w:type="dxa"/>
            </w:tcMar>
            <w:vAlign w:val="bottom"/>
          </w:tcPr>
          <w:p w14:paraId="78DFDACF" w14:textId="77777777" w:rsidR="00BF3DF9" w:rsidRPr="00463667" w:rsidRDefault="00BF3DF9" w:rsidP="00C56CA6">
            <w:pPr>
              <w:pStyle w:val="TableHead"/>
            </w:pPr>
            <w:r w:rsidRPr="00463667">
              <w:t>Applicable Modifiers of Interest</w:t>
            </w:r>
          </w:p>
        </w:tc>
        <w:tc>
          <w:tcPr>
            <w:tcW w:w="1020" w:type="dxa"/>
            <w:tcBorders>
              <w:top w:val="single" w:sz="4" w:space="0" w:color="FFFFFF" w:themeColor="background1"/>
              <w:left w:val="single" w:sz="12" w:space="0" w:color="FFFFFF" w:themeColor="background1"/>
              <w:bottom w:val="single" w:sz="4" w:space="0" w:color="auto"/>
              <w:right w:val="single" w:sz="6" w:space="0" w:color="FFFFFF" w:themeColor="background1"/>
            </w:tcBorders>
            <w:shd w:val="clear" w:color="auto" w:fill="000000" w:themeFill="text1"/>
            <w:tcMar>
              <w:top w:w="0" w:type="dxa"/>
              <w:left w:w="108" w:type="dxa"/>
              <w:bottom w:w="0" w:type="dxa"/>
              <w:right w:w="108" w:type="dxa"/>
            </w:tcMar>
            <w:vAlign w:val="bottom"/>
          </w:tcPr>
          <w:p w14:paraId="3EDA2D97" w14:textId="77777777" w:rsidR="00BF3DF9" w:rsidRPr="00463667" w:rsidRDefault="00BF3DF9" w:rsidP="00C56CA6">
            <w:pPr>
              <w:pStyle w:val="TableHead"/>
            </w:pPr>
            <w:r w:rsidRPr="00463667">
              <w:t>CPT/ HCPCS</w:t>
            </w:r>
          </w:p>
        </w:tc>
        <w:tc>
          <w:tcPr>
            <w:tcW w:w="930" w:type="dxa"/>
            <w:tcBorders>
              <w:top w:val="single" w:sz="4" w:space="0" w:color="FFFFFF" w:themeColor="background1"/>
              <w:left w:val="single" w:sz="6" w:space="0" w:color="FFFFFF" w:themeColor="background1"/>
              <w:bottom w:val="single" w:sz="4" w:space="0" w:color="auto"/>
              <w:right w:val="single" w:sz="6" w:space="0" w:color="FFFFFF" w:themeColor="background1"/>
            </w:tcBorders>
            <w:shd w:val="clear" w:color="auto" w:fill="000000" w:themeFill="text1"/>
            <w:tcMar>
              <w:top w:w="0" w:type="dxa"/>
              <w:left w:w="108" w:type="dxa"/>
              <w:bottom w:w="0" w:type="dxa"/>
              <w:right w:w="108" w:type="dxa"/>
            </w:tcMar>
            <w:vAlign w:val="bottom"/>
          </w:tcPr>
          <w:p w14:paraId="5313C41C" w14:textId="77777777" w:rsidR="00BF3DF9" w:rsidRPr="00463667" w:rsidRDefault="00BF3DF9" w:rsidP="00C56CA6">
            <w:pPr>
              <w:pStyle w:val="TableHead"/>
            </w:pPr>
            <w:r w:rsidRPr="00463667">
              <w:t>Modifier 1</w:t>
            </w:r>
          </w:p>
        </w:tc>
        <w:tc>
          <w:tcPr>
            <w:tcW w:w="930" w:type="dxa"/>
            <w:tcBorders>
              <w:top w:val="single" w:sz="4" w:space="0" w:color="FFFFFF" w:themeColor="background1"/>
              <w:left w:val="single" w:sz="6" w:space="0" w:color="FFFFFF" w:themeColor="background1"/>
              <w:bottom w:val="single" w:sz="4" w:space="0" w:color="auto"/>
              <w:right w:val="single" w:sz="12" w:space="0" w:color="FFFFFF" w:themeColor="background1"/>
            </w:tcBorders>
            <w:shd w:val="clear" w:color="auto" w:fill="000000" w:themeFill="text1"/>
            <w:tcMar>
              <w:top w:w="0" w:type="dxa"/>
              <w:left w:w="108" w:type="dxa"/>
              <w:bottom w:w="0" w:type="dxa"/>
              <w:right w:w="108" w:type="dxa"/>
            </w:tcMar>
            <w:vAlign w:val="bottom"/>
          </w:tcPr>
          <w:p w14:paraId="3857403D" w14:textId="77777777" w:rsidR="00BF3DF9" w:rsidRPr="00463667" w:rsidRDefault="00BF3DF9" w:rsidP="00C56CA6">
            <w:pPr>
              <w:pStyle w:val="TableHead"/>
            </w:pPr>
            <w:r w:rsidRPr="00463667">
              <w:t>Modifier 2</w:t>
            </w:r>
          </w:p>
        </w:tc>
        <w:tc>
          <w:tcPr>
            <w:tcW w:w="1395" w:type="dxa"/>
            <w:tcBorders>
              <w:top w:val="single" w:sz="4" w:space="0" w:color="FFFFFF" w:themeColor="background1"/>
              <w:left w:val="single" w:sz="12" w:space="0" w:color="FFFFFF" w:themeColor="background1"/>
              <w:bottom w:val="single" w:sz="4" w:space="0" w:color="auto"/>
              <w:right w:val="single" w:sz="6" w:space="0" w:color="FFFFFF" w:themeColor="background1"/>
            </w:tcBorders>
            <w:shd w:val="clear" w:color="auto" w:fill="000000" w:themeFill="text1"/>
            <w:tcMar>
              <w:top w:w="0" w:type="dxa"/>
              <w:left w:w="108" w:type="dxa"/>
              <w:bottom w:w="0" w:type="dxa"/>
              <w:right w:w="108" w:type="dxa"/>
            </w:tcMar>
            <w:vAlign w:val="bottom"/>
          </w:tcPr>
          <w:p w14:paraId="06482461" w14:textId="77777777" w:rsidR="00BF3DF9" w:rsidRPr="00463667" w:rsidRDefault="00BF3DF9" w:rsidP="00C56CA6">
            <w:pPr>
              <w:pStyle w:val="TableHead"/>
            </w:pPr>
            <w:r w:rsidRPr="00463667">
              <w:t>Codes to Be Priced</w:t>
            </w:r>
          </w:p>
        </w:tc>
        <w:tc>
          <w:tcPr>
            <w:tcW w:w="1395" w:type="dxa"/>
            <w:tcBorders>
              <w:top w:val="single" w:sz="4" w:space="0" w:color="FFFFFF" w:themeColor="background1"/>
              <w:left w:val="single" w:sz="6" w:space="0" w:color="FFFFFF" w:themeColor="background1"/>
              <w:bottom w:val="single" w:sz="4" w:space="0" w:color="auto"/>
              <w:right w:val="single" w:sz="8" w:space="0" w:color="auto"/>
            </w:tcBorders>
            <w:shd w:val="clear" w:color="auto" w:fill="000000" w:themeFill="text1"/>
            <w:tcMar>
              <w:top w:w="0" w:type="dxa"/>
              <w:left w:w="108" w:type="dxa"/>
              <w:bottom w:w="0" w:type="dxa"/>
              <w:right w:w="108" w:type="dxa"/>
            </w:tcMar>
            <w:vAlign w:val="bottom"/>
          </w:tcPr>
          <w:p w14:paraId="18A843E7" w14:textId="77777777" w:rsidR="00BF3DF9" w:rsidRPr="00463667" w:rsidRDefault="00BF3DF9" w:rsidP="00C56CA6">
            <w:pPr>
              <w:pStyle w:val="TableHead"/>
            </w:pPr>
            <w:r w:rsidRPr="00463667">
              <w:t>Standard Price ($)</w:t>
            </w:r>
          </w:p>
        </w:tc>
      </w:tr>
      <w:tr w:rsidR="00BF3DF9" w:rsidRPr="00463667" w14:paraId="4CA5A6D8" w14:textId="77777777" w:rsidTr="00740D50">
        <w:tc>
          <w:tcPr>
            <w:tcW w:w="136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8134C42" w14:textId="77777777" w:rsidR="00BF3DF9" w:rsidRPr="00463667" w:rsidRDefault="00BF3DF9" w:rsidP="00C56CA6">
            <w:pPr>
              <w:pStyle w:val="TableText"/>
              <w:spacing w:before="30" w:after="30"/>
              <w:jc w:val="center"/>
            </w:pPr>
            <w:r w:rsidRPr="00463667">
              <w:t>A</w:t>
            </w:r>
          </w:p>
        </w:tc>
        <w:tc>
          <w:tcPr>
            <w:tcW w:w="126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37613481" w14:textId="77777777" w:rsidR="00BF3DF9" w:rsidRPr="00463667" w:rsidRDefault="00BF3DF9" w:rsidP="00C56CA6">
            <w:pPr>
              <w:pStyle w:val="TableText"/>
              <w:spacing w:before="30" w:after="30"/>
              <w:jc w:val="center"/>
            </w:pPr>
            <w:r w:rsidRPr="00463667">
              <w:t>0</w:t>
            </w:r>
          </w:p>
        </w:tc>
        <w:tc>
          <w:tcPr>
            <w:tcW w:w="1440" w:type="dxa"/>
            <w:tcBorders>
              <w:top w:val="single" w:sz="4" w:space="0" w:color="auto"/>
              <w:left w:val="nil"/>
              <w:bottom w:val="single" w:sz="8" w:space="0" w:color="auto"/>
              <w:right w:val="single" w:sz="12" w:space="0" w:color="auto"/>
            </w:tcBorders>
            <w:tcMar>
              <w:top w:w="0" w:type="dxa"/>
              <w:left w:w="108" w:type="dxa"/>
              <w:bottom w:w="0" w:type="dxa"/>
              <w:right w:w="108" w:type="dxa"/>
            </w:tcMar>
          </w:tcPr>
          <w:p w14:paraId="2727F901" w14:textId="77777777" w:rsidR="00BF3DF9" w:rsidRPr="00463667" w:rsidRDefault="00BF3DF9" w:rsidP="00C56CA6">
            <w:pPr>
              <w:pStyle w:val="TableText"/>
              <w:spacing w:before="30" w:after="30"/>
              <w:jc w:val="center"/>
            </w:pPr>
            <w:r w:rsidRPr="00463667">
              <w:t>0</w:t>
            </w:r>
          </w:p>
        </w:tc>
        <w:tc>
          <w:tcPr>
            <w:tcW w:w="1020" w:type="dxa"/>
            <w:tcBorders>
              <w:top w:val="single" w:sz="4" w:space="0" w:color="auto"/>
              <w:left w:val="single" w:sz="12" w:space="0" w:color="auto"/>
              <w:bottom w:val="single" w:sz="8" w:space="0" w:color="auto"/>
              <w:right w:val="single" w:sz="8" w:space="0" w:color="auto"/>
            </w:tcBorders>
            <w:tcMar>
              <w:top w:w="0" w:type="dxa"/>
              <w:left w:w="108" w:type="dxa"/>
              <w:bottom w:w="0" w:type="dxa"/>
              <w:right w:w="108" w:type="dxa"/>
            </w:tcMar>
          </w:tcPr>
          <w:p w14:paraId="4388616C" w14:textId="77777777" w:rsidR="00BF3DF9" w:rsidRPr="00463667" w:rsidRDefault="00BF3DF9" w:rsidP="00C56CA6">
            <w:pPr>
              <w:pStyle w:val="TableText"/>
              <w:spacing w:before="30" w:after="30"/>
              <w:jc w:val="center"/>
            </w:pPr>
            <w:r w:rsidRPr="00463667">
              <w:t>27598</w:t>
            </w:r>
          </w:p>
        </w:tc>
        <w:tc>
          <w:tcPr>
            <w:tcW w:w="9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20E3FB4" w14:textId="77777777" w:rsidR="00BF3DF9" w:rsidRPr="00463667" w:rsidRDefault="00BF3DF9" w:rsidP="00C56CA6">
            <w:pPr>
              <w:pStyle w:val="TableText"/>
              <w:spacing w:before="30" w:after="30"/>
              <w:jc w:val="center"/>
            </w:pPr>
          </w:p>
        </w:tc>
        <w:tc>
          <w:tcPr>
            <w:tcW w:w="930" w:type="dxa"/>
            <w:tcBorders>
              <w:top w:val="single" w:sz="4" w:space="0" w:color="auto"/>
              <w:left w:val="nil"/>
              <w:bottom w:val="single" w:sz="8" w:space="0" w:color="auto"/>
              <w:right w:val="single" w:sz="12" w:space="0" w:color="auto"/>
            </w:tcBorders>
            <w:tcMar>
              <w:top w:w="0" w:type="dxa"/>
              <w:left w:w="108" w:type="dxa"/>
              <w:bottom w:w="0" w:type="dxa"/>
              <w:right w:w="108" w:type="dxa"/>
            </w:tcMar>
          </w:tcPr>
          <w:p w14:paraId="57AEC391" w14:textId="77777777" w:rsidR="00BF3DF9" w:rsidRPr="00463667" w:rsidRDefault="00BF3DF9" w:rsidP="00C56CA6">
            <w:pPr>
              <w:pStyle w:val="TableText"/>
              <w:spacing w:before="30" w:after="30"/>
              <w:jc w:val="center"/>
            </w:pPr>
          </w:p>
        </w:tc>
        <w:tc>
          <w:tcPr>
            <w:tcW w:w="1395" w:type="dxa"/>
            <w:tcBorders>
              <w:top w:val="single" w:sz="4" w:space="0" w:color="auto"/>
              <w:left w:val="single" w:sz="12" w:space="0" w:color="auto"/>
              <w:bottom w:val="single" w:sz="8" w:space="0" w:color="auto"/>
              <w:right w:val="single" w:sz="8" w:space="0" w:color="auto"/>
            </w:tcBorders>
            <w:tcMar>
              <w:top w:w="0" w:type="dxa"/>
              <w:left w:w="108" w:type="dxa"/>
              <w:bottom w:w="0" w:type="dxa"/>
              <w:right w:w="108" w:type="dxa"/>
            </w:tcMar>
          </w:tcPr>
          <w:p w14:paraId="66917015" w14:textId="77777777" w:rsidR="00BF3DF9" w:rsidRPr="00463667" w:rsidRDefault="00BF3DF9" w:rsidP="00C56CA6">
            <w:pPr>
              <w:pStyle w:val="TableText"/>
              <w:spacing w:before="30" w:after="30"/>
              <w:ind w:left="252"/>
            </w:pPr>
            <w:r w:rsidRPr="00463667">
              <w:t>27598</w:t>
            </w:r>
          </w:p>
        </w:tc>
        <w:tc>
          <w:tcPr>
            <w:tcW w:w="1395"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485D0BC" w14:textId="77777777" w:rsidR="00BF3DF9" w:rsidRPr="00463667" w:rsidRDefault="00BF3DF9" w:rsidP="00C56CA6">
            <w:pPr>
              <w:pStyle w:val="TableText"/>
              <w:spacing w:before="30" w:after="30"/>
              <w:jc w:val="center"/>
            </w:pPr>
            <w:r w:rsidRPr="00463667">
              <w:t>1,056</w:t>
            </w:r>
          </w:p>
        </w:tc>
      </w:tr>
      <w:tr w:rsidR="00BF3DF9" w:rsidRPr="00463667" w14:paraId="0E9C292A" w14:textId="77777777" w:rsidTr="00740D50">
        <w:tc>
          <w:tcPr>
            <w:tcW w:w="1360" w:type="dxa"/>
            <w:tcBorders>
              <w:top w:val="nil"/>
              <w:left w:val="single" w:sz="8" w:space="0" w:color="auto"/>
              <w:bottom w:val="single" w:sz="6" w:space="0" w:color="auto"/>
              <w:right w:val="single" w:sz="8" w:space="0" w:color="auto"/>
            </w:tcBorders>
            <w:shd w:val="clear" w:color="auto" w:fill="D9D9D9"/>
            <w:tcMar>
              <w:top w:w="0" w:type="dxa"/>
              <w:left w:w="108" w:type="dxa"/>
              <w:bottom w:w="0" w:type="dxa"/>
              <w:right w:w="108" w:type="dxa"/>
            </w:tcMar>
          </w:tcPr>
          <w:p w14:paraId="09FE91B3" w14:textId="77777777" w:rsidR="00BF3DF9" w:rsidRPr="00463667" w:rsidRDefault="00BF3DF9" w:rsidP="00C56CA6">
            <w:pPr>
              <w:pStyle w:val="TableText"/>
              <w:spacing w:before="30" w:after="30"/>
              <w:jc w:val="center"/>
            </w:pPr>
            <w:r w:rsidRPr="00463667">
              <w:t>B</w:t>
            </w:r>
          </w:p>
        </w:tc>
        <w:tc>
          <w:tcPr>
            <w:tcW w:w="1260" w:type="dxa"/>
            <w:tcBorders>
              <w:top w:val="nil"/>
              <w:left w:val="nil"/>
              <w:bottom w:val="single" w:sz="6" w:space="0" w:color="auto"/>
              <w:right w:val="single" w:sz="8" w:space="0" w:color="auto"/>
            </w:tcBorders>
            <w:shd w:val="clear" w:color="auto" w:fill="D9D9D9"/>
            <w:tcMar>
              <w:top w:w="0" w:type="dxa"/>
              <w:left w:w="108" w:type="dxa"/>
              <w:bottom w:w="0" w:type="dxa"/>
              <w:right w:w="108" w:type="dxa"/>
            </w:tcMar>
          </w:tcPr>
          <w:p w14:paraId="062842B8" w14:textId="77777777" w:rsidR="00BF3DF9" w:rsidRPr="00463667" w:rsidRDefault="00BF3DF9" w:rsidP="00C56CA6">
            <w:pPr>
              <w:pStyle w:val="TableText"/>
              <w:spacing w:before="30" w:after="30"/>
              <w:jc w:val="center"/>
            </w:pPr>
            <w:r w:rsidRPr="00463667">
              <w:t>1</w:t>
            </w:r>
          </w:p>
        </w:tc>
        <w:tc>
          <w:tcPr>
            <w:tcW w:w="1440" w:type="dxa"/>
            <w:tcBorders>
              <w:top w:val="nil"/>
              <w:left w:val="nil"/>
              <w:bottom w:val="single" w:sz="6" w:space="0" w:color="auto"/>
              <w:right w:val="single" w:sz="12" w:space="0" w:color="auto"/>
            </w:tcBorders>
            <w:shd w:val="clear" w:color="auto" w:fill="D9D9D9"/>
            <w:tcMar>
              <w:top w:w="0" w:type="dxa"/>
              <w:left w:w="108" w:type="dxa"/>
              <w:bottom w:w="0" w:type="dxa"/>
              <w:right w:w="108" w:type="dxa"/>
            </w:tcMar>
          </w:tcPr>
          <w:p w14:paraId="51943348" w14:textId="77777777" w:rsidR="00BF3DF9" w:rsidRPr="00463667" w:rsidRDefault="00BF3DF9" w:rsidP="00C56CA6">
            <w:pPr>
              <w:pStyle w:val="TableText"/>
              <w:spacing w:before="30" w:after="30"/>
              <w:jc w:val="center"/>
            </w:pPr>
            <w:r w:rsidRPr="00463667">
              <w:t>1</w:t>
            </w:r>
          </w:p>
        </w:tc>
        <w:tc>
          <w:tcPr>
            <w:tcW w:w="1020" w:type="dxa"/>
            <w:tcBorders>
              <w:top w:val="single" w:sz="8" w:space="0" w:color="auto"/>
              <w:left w:val="single" w:sz="12" w:space="0" w:color="auto"/>
              <w:bottom w:val="single" w:sz="6" w:space="0" w:color="auto"/>
              <w:right w:val="single" w:sz="8" w:space="0" w:color="auto"/>
            </w:tcBorders>
            <w:shd w:val="clear" w:color="auto" w:fill="D9D9D9"/>
            <w:tcMar>
              <w:top w:w="0" w:type="dxa"/>
              <w:left w:w="108" w:type="dxa"/>
              <w:bottom w:w="0" w:type="dxa"/>
              <w:right w:w="108" w:type="dxa"/>
            </w:tcMar>
          </w:tcPr>
          <w:p w14:paraId="3D8031F7" w14:textId="77777777" w:rsidR="00BF3DF9" w:rsidRPr="00463667" w:rsidRDefault="00BF3DF9" w:rsidP="00C56CA6">
            <w:pPr>
              <w:pStyle w:val="TableText"/>
              <w:spacing w:before="30" w:after="30"/>
              <w:jc w:val="center"/>
            </w:pPr>
            <w:r w:rsidRPr="00463667">
              <w:t>27598</w:t>
            </w:r>
          </w:p>
        </w:tc>
        <w:tc>
          <w:tcPr>
            <w:tcW w:w="930" w:type="dxa"/>
            <w:tcBorders>
              <w:top w:val="nil"/>
              <w:left w:val="nil"/>
              <w:bottom w:val="single" w:sz="6" w:space="0" w:color="auto"/>
              <w:right w:val="single" w:sz="8" w:space="0" w:color="auto"/>
            </w:tcBorders>
            <w:shd w:val="clear" w:color="auto" w:fill="D9D9D9"/>
            <w:tcMar>
              <w:top w:w="0" w:type="dxa"/>
              <w:left w:w="108" w:type="dxa"/>
              <w:bottom w:w="0" w:type="dxa"/>
              <w:right w:w="108" w:type="dxa"/>
            </w:tcMar>
          </w:tcPr>
          <w:p w14:paraId="7A099E47" w14:textId="77777777" w:rsidR="00BF3DF9" w:rsidRPr="00463667" w:rsidRDefault="00BF3DF9" w:rsidP="00C56CA6">
            <w:pPr>
              <w:pStyle w:val="TableText"/>
              <w:spacing w:before="30" w:after="30"/>
              <w:jc w:val="center"/>
            </w:pPr>
            <w:r w:rsidRPr="00463667">
              <w:t>.50</w:t>
            </w:r>
          </w:p>
        </w:tc>
        <w:tc>
          <w:tcPr>
            <w:tcW w:w="930" w:type="dxa"/>
            <w:tcBorders>
              <w:top w:val="nil"/>
              <w:left w:val="nil"/>
              <w:bottom w:val="single" w:sz="6" w:space="0" w:color="auto"/>
              <w:right w:val="single" w:sz="12" w:space="0" w:color="auto"/>
            </w:tcBorders>
            <w:shd w:val="clear" w:color="auto" w:fill="D9D9D9"/>
            <w:tcMar>
              <w:top w:w="0" w:type="dxa"/>
              <w:left w:w="108" w:type="dxa"/>
              <w:bottom w:w="0" w:type="dxa"/>
              <w:right w:w="108" w:type="dxa"/>
            </w:tcMar>
          </w:tcPr>
          <w:p w14:paraId="5E0A09EB" w14:textId="77777777" w:rsidR="00BF3DF9" w:rsidRPr="00463667" w:rsidRDefault="00BF3DF9" w:rsidP="00C56CA6">
            <w:pPr>
              <w:pStyle w:val="TableText"/>
              <w:spacing w:before="30" w:after="30"/>
              <w:jc w:val="center"/>
            </w:pPr>
          </w:p>
        </w:tc>
        <w:tc>
          <w:tcPr>
            <w:tcW w:w="1395" w:type="dxa"/>
            <w:tcBorders>
              <w:top w:val="single" w:sz="8" w:space="0" w:color="auto"/>
              <w:left w:val="single" w:sz="12" w:space="0" w:color="auto"/>
              <w:bottom w:val="single" w:sz="6" w:space="0" w:color="auto"/>
              <w:right w:val="single" w:sz="8" w:space="0" w:color="auto"/>
            </w:tcBorders>
            <w:shd w:val="clear" w:color="auto" w:fill="D9D9D9"/>
            <w:tcMar>
              <w:top w:w="0" w:type="dxa"/>
              <w:left w:w="108" w:type="dxa"/>
              <w:bottom w:w="0" w:type="dxa"/>
              <w:right w:w="108" w:type="dxa"/>
            </w:tcMar>
          </w:tcPr>
          <w:p w14:paraId="422B6D97" w14:textId="77777777" w:rsidR="00BF3DF9" w:rsidRPr="00463667" w:rsidRDefault="00BF3DF9" w:rsidP="00C56CA6">
            <w:pPr>
              <w:pStyle w:val="TableText"/>
              <w:spacing w:before="30" w:after="30"/>
              <w:ind w:left="252"/>
            </w:pPr>
            <w:r w:rsidRPr="00463667">
              <w:t>27598.50</w:t>
            </w:r>
          </w:p>
        </w:tc>
        <w:tc>
          <w:tcPr>
            <w:tcW w:w="1395" w:type="dxa"/>
            <w:tcBorders>
              <w:top w:val="nil"/>
              <w:left w:val="nil"/>
              <w:bottom w:val="single" w:sz="6" w:space="0" w:color="auto"/>
              <w:right w:val="single" w:sz="8" w:space="0" w:color="auto"/>
            </w:tcBorders>
            <w:shd w:val="clear" w:color="auto" w:fill="D9D9D9"/>
            <w:tcMar>
              <w:top w:w="0" w:type="dxa"/>
              <w:left w:w="108" w:type="dxa"/>
              <w:bottom w:w="0" w:type="dxa"/>
              <w:right w:w="108" w:type="dxa"/>
            </w:tcMar>
          </w:tcPr>
          <w:p w14:paraId="1717FEF1" w14:textId="77777777" w:rsidR="00BF3DF9" w:rsidRPr="00463667" w:rsidRDefault="00BF3DF9" w:rsidP="00C56CA6">
            <w:pPr>
              <w:pStyle w:val="TableText"/>
              <w:spacing w:before="30" w:after="30"/>
              <w:jc w:val="center"/>
            </w:pPr>
            <w:r w:rsidRPr="00463667">
              <w:t>1,584</w:t>
            </w:r>
          </w:p>
        </w:tc>
      </w:tr>
      <w:tr w:rsidR="00BF3DF9" w:rsidRPr="00463667" w14:paraId="3BF6DD83" w14:textId="77777777" w:rsidTr="00740D50">
        <w:tc>
          <w:tcPr>
            <w:tcW w:w="136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tcPr>
          <w:p w14:paraId="17E3D9EC" w14:textId="77777777" w:rsidR="00BF3DF9" w:rsidRPr="00463667" w:rsidRDefault="00BF3DF9" w:rsidP="00C56CA6">
            <w:pPr>
              <w:pStyle w:val="TableText"/>
              <w:spacing w:before="30" w:after="30"/>
              <w:jc w:val="center"/>
            </w:pPr>
            <w:r w:rsidRPr="00463667">
              <w:t>C</w:t>
            </w:r>
          </w:p>
        </w:tc>
        <w:tc>
          <w:tcPr>
            <w:tcW w:w="1260" w:type="dxa"/>
            <w:tcBorders>
              <w:top w:val="single" w:sz="6" w:space="0" w:color="auto"/>
              <w:left w:val="nil"/>
              <w:bottom w:val="single" w:sz="8" w:space="0" w:color="auto"/>
              <w:right w:val="single" w:sz="8" w:space="0" w:color="auto"/>
            </w:tcBorders>
            <w:tcMar>
              <w:top w:w="0" w:type="dxa"/>
              <w:left w:w="108" w:type="dxa"/>
              <w:bottom w:w="0" w:type="dxa"/>
              <w:right w:w="108" w:type="dxa"/>
            </w:tcMar>
          </w:tcPr>
          <w:p w14:paraId="1B2BE5EA" w14:textId="77777777" w:rsidR="00BF3DF9" w:rsidRPr="00463667" w:rsidRDefault="00BF3DF9" w:rsidP="00C56CA6">
            <w:pPr>
              <w:pStyle w:val="TableText"/>
              <w:spacing w:before="30" w:after="30"/>
              <w:jc w:val="center"/>
            </w:pPr>
            <w:r w:rsidRPr="00463667">
              <w:t>1</w:t>
            </w:r>
          </w:p>
        </w:tc>
        <w:tc>
          <w:tcPr>
            <w:tcW w:w="1440" w:type="dxa"/>
            <w:tcBorders>
              <w:top w:val="single" w:sz="6" w:space="0" w:color="auto"/>
              <w:left w:val="nil"/>
              <w:bottom w:val="single" w:sz="8" w:space="0" w:color="auto"/>
              <w:right w:val="single" w:sz="12" w:space="0" w:color="auto"/>
            </w:tcBorders>
            <w:tcMar>
              <w:top w:w="0" w:type="dxa"/>
              <w:left w:w="108" w:type="dxa"/>
              <w:bottom w:w="0" w:type="dxa"/>
              <w:right w:w="108" w:type="dxa"/>
            </w:tcMar>
          </w:tcPr>
          <w:p w14:paraId="7E1FF7CE" w14:textId="77777777" w:rsidR="00BF3DF9" w:rsidRPr="00463667" w:rsidRDefault="00BF3DF9" w:rsidP="00C56CA6">
            <w:pPr>
              <w:pStyle w:val="TableText"/>
              <w:spacing w:before="30" w:after="30"/>
              <w:jc w:val="center"/>
            </w:pPr>
            <w:r w:rsidRPr="00463667">
              <w:t>0</w:t>
            </w:r>
          </w:p>
        </w:tc>
        <w:tc>
          <w:tcPr>
            <w:tcW w:w="1020" w:type="dxa"/>
            <w:tcBorders>
              <w:top w:val="single" w:sz="6" w:space="0" w:color="auto"/>
              <w:left w:val="single" w:sz="12" w:space="0" w:color="auto"/>
              <w:bottom w:val="single" w:sz="8" w:space="0" w:color="auto"/>
              <w:right w:val="single" w:sz="8" w:space="0" w:color="auto"/>
            </w:tcBorders>
            <w:tcMar>
              <w:top w:w="0" w:type="dxa"/>
              <w:left w:w="108" w:type="dxa"/>
              <w:bottom w:w="0" w:type="dxa"/>
              <w:right w:w="108" w:type="dxa"/>
            </w:tcMar>
          </w:tcPr>
          <w:p w14:paraId="2B7283B6" w14:textId="77777777" w:rsidR="00BF3DF9" w:rsidRPr="00463667" w:rsidRDefault="00BF3DF9" w:rsidP="00C56CA6">
            <w:pPr>
              <w:pStyle w:val="TableText"/>
              <w:spacing w:before="30" w:after="30"/>
              <w:jc w:val="center"/>
            </w:pPr>
            <w:r w:rsidRPr="00463667">
              <w:t>27598</w:t>
            </w:r>
          </w:p>
        </w:tc>
        <w:tc>
          <w:tcPr>
            <w:tcW w:w="930" w:type="dxa"/>
            <w:tcBorders>
              <w:top w:val="single" w:sz="6" w:space="0" w:color="auto"/>
              <w:left w:val="nil"/>
              <w:bottom w:val="single" w:sz="8" w:space="0" w:color="auto"/>
              <w:right w:val="single" w:sz="8" w:space="0" w:color="auto"/>
            </w:tcBorders>
            <w:tcMar>
              <w:top w:w="0" w:type="dxa"/>
              <w:left w:w="108" w:type="dxa"/>
              <w:bottom w:w="0" w:type="dxa"/>
              <w:right w:w="108" w:type="dxa"/>
            </w:tcMar>
          </w:tcPr>
          <w:p w14:paraId="6333A9EB" w14:textId="77777777" w:rsidR="00BF3DF9" w:rsidRPr="00463667" w:rsidRDefault="00BF3DF9" w:rsidP="00C56CA6">
            <w:pPr>
              <w:pStyle w:val="TableText"/>
              <w:spacing w:before="30" w:after="30"/>
              <w:jc w:val="center"/>
            </w:pPr>
            <w:r w:rsidRPr="00463667">
              <w:t>.RT</w:t>
            </w:r>
          </w:p>
        </w:tc>
        <w:tc>
          <w:tcPr>
            <w:tcW w:w="930" w:type="dxa"/>
            <w:tcBorders>
              <w:top w:val="single" w:sz="6" w:space="0" w:color="auto"/>
              <w:left w:val="nil"/>
              <w:bottom w:val="single" w:sz="8" w:space="0" w:color="auto"/>
              <w:right w:val="single" w:sz="12" w:space="0" w:color="auto"/>
            </w:tcBorders>
            <w:tcMar>
              <w:top w:w="0" w:type="dxa"/>
              <w:left w:w="108" w:type="dxa"/>
              <w:bottom w:w="0" w:type="dxa"/>
              <w:right w:w="108" w:type="dxa"/>
            </w:tcMar>
          </w:tcPr>
          <w:p w14:paraId="500A7D2E" w14:textId="77777777" w:rsidR="00BF3DF9" w:rsidRPr="00463667" w:rsidRDefault="00BF3DF9" w:rsidP="00C56CA6">
            <w:pPr>
              <w:pStyle w:val="TableText"/>
              <w:spacing w:before="30" w:after="30"/>
              <w:jc w:val="center"/>
            </w:pPr>
          </w:p>
        </w:tc>
        <w:tc>
          <w:tcPr>
            <w:tcW w:w="1395" w:type="dxa"/>
            <w:tcBorders>
              <w:top w:val="single" w:sz="6" w:space="0" w:color="auto"/>
              <w:left w:val="single" w:sz="12" w:space="0" w:color="auto"/>
              <w:bottom w:val="single" w:sz="8" w:space="0" w:color="auto"/>
              <w:right w:val="single" w:sz="8" w:space="0" w:color="auto"/>
            </w:tcBorders>
            <w:tcMar>
              <w:top w:w="0" w:type="dxa"/>
              <w:left w:w="108" w:type="dxa"/>
              <w:bottom w:w="0" w:type="dxa"/>
              <w:right w:w="108" w:type="dxa"/>
            </w:tcMar>
          </w:tcPr>
          <w:p w14:paraId="3D711B43" w14:textId="77777777" w:rsidR="00BF3DF9" w:rsidRPr="00463667" w:rsidRDefault="00BF3DF9" w:rsidP="00C56CA6">
            <w:pPr>
              <w:pStyle w:val="TableText"/>
              <w:spacing w:before="30" w:after="30"/>
              <w:ind w:left="252"/>
            </w:pPr>
            <w:r w:rsidRPr="00463667">
              <w:t>27598</w:t>
            </w:r>
          </w:p>
        </w:tc>
        <w:tc>
          <w:tcPr>
            <w:tcW w:w="1395" w:type="dxa"/>
            <w:tcBorders>
              <w:top w:val="single" w:sz="6" w:space="0" w:color="auto"/>
              <w:left w:val="nil"/>
              <w:bottom w:val="single" w:sz="8" w:space="0" w:color="auto"/>
              <w:right w:val="single" w:sz="8" w:space="0" w:color="auto"/>
            </w:tcBorders>
            <w:tcMar>
              <w:top w:w="0" w:type="dxa"/>
              <w:left w:w="108" w:type="dxa"/>
              <w:bottom w:w="0" w:type="dxa"/>
              <w:right w:w="108" w:type="dxa"/>
            </w:tcMar>
          </w:tcPr>
          <w:p w14:paraId="372FB31B" w14:textId="77777777" w:rsidR="00BF3DF9" w:rsidRPr="00463667" w:rsidRDefault="00BF3DF9" w:rsidP="00C56CA6">
            <w:pPr>
              <w:pStyle w:val="TableText"/>
              <w:spacing w:before="30" w:after="30"/>
              <w:jc w:val="center"/>
            </w:pPr>
            <w:r w:rsidRPr="00463667">
              <w:t>1,056</w:t>
            </w:r>
          </w:p>
        </w:tc>
      </w:tr>
      <w:tr w:rsidR="00BF3DF9" w:rsidRPr="00463667" w14:paraId="57475FFA" w14:textId="77777777" w:rsidTr="00740D50">
        <w:tc>
          <w:tcPr>
            <w:tcW w:w="1360" w:type="dxa"/>
            <w:tcBorders>
              <w:top w:val="nil"/>
              <w:left w:val="single" w:sz="8" w:space="0" w:color="auto"/>
              <w:bottom w:val="single" w:sz="6" w:space="0" w:color="auto"/>
              <w:right w:val="single" w:sz="8" w:space="0" w:color="auto"/>
            </w:tcBorders>
            <w:shd w:val="clear" w:color="auto" w:fill="D9D9D9"/>
            <w:tcMar>
              <w:top w:w="0" w:type="dxa"/>
              <w:left w:w="108" w:type="dxa"/>
              <w:bottom w:w="0" w:type="dxa"/>
              <w:right w:w="108" w:type="dxa"/>
            </w:tcMar>
            <w:vAlign w:val="center"/>
          </w:tcPr>
          <w:p w14:paraId="089CC81B" w14:textId="77777777" w:rsidR="00BF3DF9" w:rsidRPr="00463667" w:rsidRDefault="00BF3DF9" w:rsidP="00C56CA6">
            <w:pPr>
              <w:pStyle w:val="TableText"/>
              <w:spacing w:before="30" w:after="30"/>
              <w:jc w:val="center"/>
            </w:pPr>
            <w:r w:rsidRPr="00463667">
              <w:t>D</w:t>
            </w:r>
          </w:p>
        </w:tc>
        <w:tc>
          <w:tcPr>
            <w:tcW w:w="1260" w:type="dxa"/>
            <w:tcBorders>
              <w:top w:val="nil"/>
              <w:left w:val="nil"/>
              <w:bottom w:val="single" w:sz="6" w:space="0" w:color="auto"/>
              <w:right w:val="single" w:sz="8" w:space="0" w:color="auto"/>
            </w:tcBorders>
            <w:shd w:val="clear" w:color="auto" w:fill="D9D9D9"/>
            <w:tcMar>
              <w:top w:w="0" w:type="dxa"/>
              <w:left w:w="108" w:type="dxa"/>
              <w:bottom w:w="0" w:type="dxa"/>
              <w:right w:w="108" w:type="dxa"/>
            </w:tcMar>
            <w:vAlign w:val="center"/>
          </w:tcPr>
          <w:p w14:paraId="01B55B4D" w14:textId="77777777" w:rsidR="00BF3DF9" w:rsidRPr="00463667" w:rsidRDefault="00BF3DF9" w:rsidP="00C56CA6">
            <w:pPr>
              <w:pStyle w:val="TableText"/>
              <w:spacing w:before="30" w:after="30"/>
              <w:jc w:val="center"/>
            </w:pPr>
            <w:r w:rsidRPr="00463667">
              <w:t>2</w:t>
            </w:r>
          </w:p>
        </w:tc>
        <w:tc>
          <w:tcPr>
            <w:tcW w:w="1440" w:type="dxa"/>
            <w:tcBorders>
              <w:top w:val="nil"/>
              <w:left w:val="nil"/>
              <w:bottom w:val="single" w:sz="6" w:space="0" w:color="auto"/>
              <w:right w:val="single" w:sz="12" w:space="0" w:color="auto"/>
            </w:tcBorders>
            <w:shd w:val="clear" w:color="auto" w:fill="D9D9D9"/>
            <w:tcMar>
              <w:top w:w="0" w:type="dxa"/>
              <w:left w:w="108" w:type="dxa"/>
              <w:bottom w:w="0" w:type="dxa"/>
              <w:right w:w="108" w:type="dxa"/>
            </w:tcMar>
            <w:vAlign w:val="center"/>
          </w:tcPr>
          <w:p w14:paraId="257C41E3" w14:textId="77777777" w:rsidR="00BF3DF9" w:rsidRPr="00463667" w:rsidRDefault="00BF3DF9" w:rsidP="00C56CA6">
            <w:pPr>
              <w:pStyle w:val="TableText"/>
              <w:spacing w:before="30" w:after="30"/>
              <w:jc w:val="center"/>
            </w:pPr>
            <w:r w:rsidRPr="00463667">
              <w:t>2</w:t>
            </w:r>
          </w:p>
        </w:tc>
        <w:tc>
          <w:tcPr>
            <w:tcW w:w="1020" w:type="dxa"/>
            <w:tcBorders>
              <w:top w:val="single" w:sz="8" w:space="0" w:color="auto"/>
              <w:left w:val="single" w:sz="12" w:space="0" w:color="auto"/>
              <w:bottom w:val="single" w:sz="6" w:space="0" w:color="auto"/>
              <w:right w:val="single" w:sz="8" w:space="0" w:color="auto"/>
            </w:tcBorders>
            <w:shd w:val="clear" w:color="auto" w:fill="D9D9D9"/>
            <w:tcMar>
              <w:top w:w="0" w:type="dxa"/>
              <w:left w:w="108" w:type="dxa"/>
              <w:bottom w:w="0" w:type="dxa"/>
              <w:right w:w="108" w:type="dxa"/>
            </w:tcMar>
            <w:vAlign w:val="center"/>
          </w:tcPr>
          <w:p w14:paraId="2AF85BB0" w14:textId="77777777" w:rsidR="00BF3DF9" w:rsidRPr="00463667" w:rsidRDefault="00BF3DF9" w:rsidP="00C56CA6">
            <w:pPr>
              <w:pStyle w:val="TableText"/>
              <w:spacing w:before="30" w:after="30"/>
              <w:jc w:val="center"/>
            </w:pPr>
            <w:r w:rsidRPr="00463667">
              <w:t>27598</w:t>
            </w:r>
          </w:p>
        </w:tc>
        <w:tc>
          <w:tcPr>
            <w:tcW w:w="930" w:type="dxa"/>
            <w:tcBorders>
              <w:top w:val="nil"/>
              <w:left w:val="nil"/>
              <w:bottom w:val="single" w:sz="6" w:space="0" w:color="auto"/>
              <w:right w:val="single" w:sz="8" w:space="0" w:color="auto"/>
            </w:tcBorders>
            <w:shd w:val="clear" w:color="auto" w:fill="D9D9D9"/>
            <w:tcMar>
              <w:top w:w="0" w:type="dxa"/>
              <w:left w:w="108" w:type="dxa"/>
              <w:bottom w:w="0" w:type="dxa"/>
              <w:right w:w="108" w:type="dxa"/>
            </w:tcMar>
            <w:vAlign w:val="center"/>
          </w:tcPr>
          <w:p w14:paraId="14E23E97" w14:textId="77777777" w:rsidR="00BF3DF9" w:rsidRPr="00463667" w:rsidRDefault="00BF3DF9" w:rsidP="00C56CA6">
            <w:pPr>
              <w:pStyle w:val="TableText"/>
              <w:spacing w:before="30" w:after="30"/>
              <w:jc w:val="center"/>
            </w:pPr>
            <w:r w:rsidRPr="00463667">
              <w:t>.50</w:t>
            </w:r>
          </w:p>
        </w:tc>
        <w:tc>
          <w:tcPr>
            <w:tcW w:w="930" w:type="dxa"/>
            <w:tcBorders>
              <w:top w:val="nil"/>
              <w:left w:val="nil"/>
              <w:bottom w:val="single" w:sz="6" w:space="0" w:color="auto"/>
              <w:right w:val="single" w:sz="12" w:space="0" w:color="auto"/>
            </w:tcBorders>
            <w:shd w:val="clear" w:color="auto" w:fill="D9D9D9"/>
            <w:tcMar>
              <w:top w:w="0" w:type="dxa"/>
              <w:left w:w="108" w:type="dxa"/>
              <w:bottom w:w="0" w:type="dxa"/>
              <w:right w:w="108" w:type="dxa"/>
            </w:tcMar>
            <w:vAlign w:val="center"/>
          </w:tcPr>
          <w:p w14:paraId="4687DD8E" w14:textId="77777777" w:rsidR="00BF3DF9" w:rsidRPr="00463667" w:rsidRDefault="00BF3DF9" w:rsidP="00C56CA6">
            <w:pPr>
              <w:pStyle w:val="TableText"/>
              <w:spacing w:before="30" w:after="30"/>
              <w:jc w:val="center"/>
            </w:pPr>
            <w:r w:rsidRPr="00463667">
              <w:t>.62</w:t>
            </w:r>
          </w:p>
        </w:tc>
        <w:tc>
          <w:tcPr>
            <w:tcW w:w="1395" w:type="dxa"/>
            <w:tcBorders>
              <w:top w:val="single" w:sz="8" w:space="0" w:color="auto"/>
              <w:left w:val="single" w:sz="12" w:space="0" w:color="auto"/>
              <w:bottom w:val="single" w:sz="6" w:space="0" w:color="auto"/>
              <w:right w:val="single" w:sz="8" w:space="0" w:color="auto"/>
            </w:tcBorders>
            <w:shd w:val="clear" w:color="auto" w:fill="D9D9D9"/>
            <w:tcMar>
              <w:top w:w="0" w:type="dxa"/>
              <w:left w:w="108" w:type="dxa"/>
              <w:bottom w:w="0" w:type="dxa"/>
              <w:right w:w="108" w:type="dxa"/>
            </w:tcMar>
          </w:tcPr>
          <w:p w14:paraId="654B5AFD" w14:textId="77777777" w:rsidR="00BF3DF9" w:rsidRPr="00463667" w:rsidRDefault="00BF3DF9" w:rsidP="00C56CA6">
            <w:pPr>
              <w:pStyle w:val="TableText"/>
              <w:spacing w:before="30" w:after="30"/>
              <w:ind w:left="252"/>
            </w:pPr>
            <w:r w:rsidRPr="00463667">
              <w:t>27598.50, 27598.62</w:t>
            </w:r>
          </w:p>
        </w:tc>
        <w:tc>
          <w:tcPr>
            <w:tcW w:w="1395" w:type="dxa"/>
            <w:tcBorders>
              <w:top w:val="nil"/>
              <w:left w:val="nil"/>
              <w:bottom w:val="single" w:sz="6" w:space="0" w:color="auto"/>
              <w:right w:val="single" w:sz="8" w:space="0" w:color="auto"/>
            </w:tcBorders>
            <w:shd w:val="clear" w:color="auto" w:fill="D9D9D9"/>
            <w:tcMar>
              <w:top w:w="0" w:type="dxa"/>
              <w:left w:w="108" w:type="dxa"/>
              <w:bottom w:w="0" w:type="dxa"/>
              <w:right w:w="108" w:type="dxa"/>
            </w:tcMar>
          </w:tcPr>
          <w:p w14:paraId="16EE83EA" w14:textId="77777777" w:rsidR="00BF3DF9" w:rsidRPr="00463667" w:rsidRDefault="00BF3DF9" w:rsidP="00C56CA6">
            <w:pPr>
              <w:pStyle w:val="TableText"/>
              <w:spacing w:before="30" w:after="30"/>
              <w:jc w:val="center"/>
            </w:pPr>
            <w:r w:rsidRPr="00463667">
              <w:t>1,584</w:t>
            </w:r>
            <w:r w:rsidRPr="00463667">
              <w:br/>
              <w:t>1,320</w:t>
            </w:r>
          </w:p>
        </w:tc>
      </w:tr>
      <w:tr w:rsidR="00BF3DF9" w:rsidRPr="00463667" w14:paraId="3FB82D27" w14:textId="77777777" w:rsidTr="00740D50">
        <w:tc>
          <w:tcPr>
            <w:tcW w:w="136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tcPr>
          <w:p w14:paraId="6839EDF5" w14:textId="77777777" w:rsidR="00BF3DF9" w:rsidRPr="00463667" w:rsidRDefault="00BF3DF9" w:rsidP="00C56CA6">
            <w:pPr>
              <w:pStyle w:val="TableText"/>
              <w:spacing w:before="30" w:after="30"/>
              <w:jc w:val="center"/>
            </w:pPr>
            <w:r w:rsidRPr="00463667">
              <w:t>E</w:t>
            </w:r>
          </w:p>
        </w:tc>
        <w:tc>
          <w:tcPr>
            <w:tcW w:w="1260" w:type="dxa"/>
            <w:tcBorders>
              <w:top w:val="single" w:sz="6" w:space="0" w:color="auto"/>
              <w:left w:val="nil"/>
              <w:bottom w:val="single" w:sz="8" w:space="0" w:color="auto"/>
              <w:right w:val="single" w:sz="8" w:space="0" w:color="auto"/>
            </w:tcBorders>
            <w:tcMar>
              <w:top w:w="0" w:type="dxa"/>
              <w:left w:w="108" w:type="dxa"/>
              <w:bottom w:w="0" w:type="dxa"/>
              <w:right w:w="108" w:type="dxa"/>
            </w:tcMar>
          </w:tcPr>
          <w:p w14:paraId="116ABEAD" w14:textId="77777777" w:rsidR="00BF3DF9" w:rsidRPr="00463667" w:rsidRDefault="00BF3DF9" w:rsidP="00C56CA6">
            <w:pPr>
              <w:pStyle w:val="TableText"/>
              <w:spacing w:before="30" w:after="30"/>
              <w:jc w:val="center"/>
            </w:pPr>
            <w:r w:rsidRPr="00463667">
              <w:t>2</w:t>
            </w:r>
          </w:p>
        </w:tc>
        <w:tc>
          <w:tcPr>
            <w:tcW w:w="1440" w:type="dxa"/>
            <w:tcBorders>
              <w:top w:val="single" w:sz="6" w:space="0" w:color="auto"/>
              <w:left w:val="nil"/>
              <w:bottom w:val="single" w:sz="8" w:space="0" w:color="auto"/>
              <w:right w:val="single" w:sz="12" w:space="0" w:color="auto"/>
            </w:tcBorders>
            <w:tcMar>
              <w:top w:w="0" w:type="dxa"/>
              <w:left w:w="108" w:type="dxa"/>
              <w:bottom w:w="0" w:type="dxa"/>
              <w:right w:w="108" w:type="dxa"/>
            </w:tcMar>
          </w:tcPr>
          <w:p w14:paraId="4721B130" w14:textId="77777777" w:rsidR="00BF3DF9" w:rsidRPr="00463667" w:rsidRDefault="00BF3DF9" w:rsidP="00C56CA6">
            <w:pPr>
              <w:pStyle w:val="TableText"/>
              <w:spacing w:before="30" w:after="30"/>
              <w:jc w:val="center"/>
            </w:pPr>
            <w:r w:rsidRPr="00463667">
              <w:t>1</w:t>
            </w:r>
          </w:p>
        </w:tc>
        <w:tc>
          <w:tcPr>
            <w:tcW w:w="1020" w:type="dxa"/>
            <w:tcBorders>
              <w:top w:val="single" w:sz="6" w:space="0" w:color="auto"/>
              <w:left w:val="single" w:sz="12" w:space="0" w:color="auto"/>
              <w:bottom w:val="single" w:sz="8" w:space="0" w:color="auto"/>
              <w:right w:val="single" w:sz="8" w:space="0" w:color="auto"/>
            </w:tcBorders>
            <w:tcMar>
              <w:top w:w="0" w:type="dxa"/>
              <w:left w:w="108" w:type="dxa"/>
              <w:bottom w:w="0" w:type="dxa"/>
              <w:right w:w="108" w:type="dxa"/>
            </w:tcMar>
          </w:tcPr>
          <w:p w14:paraId="72975D12" w14:textId="77777777" w:rsidR="00BF3DF9" w:rsidRPr="00463667" w:rsidRDefault="00BF3DF9" w:rsidP="00C56CA6">
            <w:pPr>
              <w:pStyle w:val="TableText"/>
              <w:spacing w:before="30" w:after="30"/>
              <w:jc w:val="center"/>
            </w:pPr>
            <w:r w:rsidRPr="00463667">
              <w:t>27598</w:t>
            </w:r>
          </w:p>
        </w:tc>
        <w:tc>
          <w:tcPr>
            <w:tcW w:w="930" w:type="dxa"/>
            <w:tcBorders>
              <w:top w:val="single" w:sz="6" w:space="0" w:color="auto"/>
              <w:left w:val="nil"/>
              <w:bottom w:val="single" w:sz="8" w:space="0" w:color="auto"/>
              <w:right w:val="single" w:sz="8" w:space="0" w:color="auto"/>
            </w:tcBorders>
            <w:tcMar>
              <w:top w:w="0" w:type="dxa"/>
              <w:left w:w="108" w:type="dxa"/>
              <w:bottom w:w="0" w:type="dxa"/>
              <w:right w:w="108" w:type="dxa"/>
            </w:tcMar>
          </w:tcPr>
          <w:p w14:paraId="33DA6530" w14:textId="77777777" w:rsidR="00BF3DF9" w:rsidRPr="00463667" w:rsidRDefault="00BF3DF9" w:rsidP="00C56CA6">
            <w:pPr>
              <w:pStyle w:val="TableText"/>
              <w:spacing w:before="30" w:after="30"/>
              <w:jc w:val="center"/>
            </w:pPr>
            <w:r w:rsidRPr="00463667">
              <w:t>.62</w:t>
            </w:r>
          </w:p>
        </w:tc>
        <w:tc>
          <w:tcPr>
            <w:tcW w:w="930" w:type="dxa"/>
            <w:tcBorders>
              <w:top w:val="single" w:sz="6" w:space="0" w:color="auto"/>
              <w:left w:val="nil"/>
              <w:bottom w:val="single" w:sz="8" w:space="0" w:color="auto"/>
              <w:right w:val="single" w:sz="12" w:space="0" w:color="auto"/>
            </w:tcBorders>
            <w:tcMar>
              <w:top w:w="0" w:type="dxa"/>
              <w:left w:w="108" w:type="dxa"/>
              <w:bottom w:w="0" w:type="dxa"/>
              <w:right w:w="108" w:type="dxa"/>
            </w:tcMar>
          </w:tcPr>
          <w:p w14:paraId="5C68C0C5" w14:textId="77777777" w:rsidR="00BF3DF9" w:rsidRPr="00463667" w:rsidRDefault="00BF3DF9" w:rsidP="00C56CA6">
            <w:pPr>
              <w:pStyle w:val="TableText"/>
              <w:spacing w:before="30" w:after="30"/>
              <w:jc w:val="center"/>
            </w:pPr>
            <w:r w:rsidRPr="00463667">
              <w:t>.RT</w:t>
            </w:r>
          </w:p>
        </w:tc>
        <w:tc>
          <w:tcPr>
            <w:tcW w:w="1395" w:type="dxa"/>
            <w:tcBorders>
              <w:top w:val="single" w:sz="6" w:space="0" w:color="auto"/>
              <w:left w:val="single" w:sz="12" w:space="0" w:color="auto"/>
              <w:bottom w:val="single" w:sz="8" w:space="0" w:color="auto"/>
              <w:right w:val="single" w:sz="8" w:space="0" w:color="auto"/>
            </w:tcBorders>
            <w:tcMar>
              <w:top w:w="0" w:type="dxa"/>
              <w:left w:w="108" w:type="dxa"/>
              <w:bottom w:w="0" w:type="dxa"/>
              <w:right w:w="108" w:type="dxa"/>
            </w:tcMar>
          </w:tcPr>
          <w:p w14:paraId="39B839B5" w14:textId="77777777" w:rsidR="00BF3DF9" w:rsidRPr="00463667" w:rsidRDefault="00BF3DF9" w:rsidP="00C56CA6">
            <w:pPr>
              <w:pStyle w:val="TableText"/>
              <w:spacing w:before="30" w:after="30"/>
              <w:ind w:left="252"/>
            </w:pPr>
            <w:r w:rsidRPr="00463667">
              <w:t>27598.62</w:t>
            </w:r>
          </w:p>
        </w:tc>
        <w:tc>
          <w:tcPr>
            <w:tcW w:w="1395" w:type="dxa"/>
            <w:tcBorders>
              <w:top w:val="single" w:sz="6" w:space="0" w:color="auto"/>
              <w:left w:val="nil"/>
              <w:bottom w:val="single" w:sz="8" w:space="0" w:color="auto"/>
              <w:right w:val="single" w:sz="8" w:space="0" w:color="auto"/>
            </w:tcBorders>
            <w:tcMar>
              <w:top w:w="0" w:type="dxa"/>
              <w:left w:w="108" w:type="dxa"/>
              <w:bottom w:w="0" w:type="dxa"/>
              <w:right w:w="108" w:type="dxa"/>
            </w:tcMar>
          </w:tcPr>
          <w:p w14:paraId="6B8A9D0F" w14:textId="77777777" w:rsidR="00BF3DF9" w:rsidRPr="00463667" w:rsidRDefault="00BF3DF9" w:rsidP="00C56CA6">
            <w:pPr>
              <w:pStyle w:val="TableText"/>
              <w:spacing w:before="30" w:after="30"/>
              <w:jc w:val="center"/>
            </w:pPr>
            <w:r w:rsidRPr="00463667">
              <w:t>1,320</w:t>
            </w:r>
          </w:p>
        </w:tc>
      </w:tr>
      <w:tr w:rsidR="00BF3DF9" w:rsidRPr="00463667" w14:paraId="1992B39E" w14:textId="77777777" w:rsidTr="00740D50">
        <w:tc>
          <w:tcPr>
            <w:tcW w:w="1360" w:type="dxa"/>
            <w:tcBorders>
              <w:top w:val="nil"/>
              <w:left w:val="single" w:sz="8" w:space="0" w:color="auto"/>
              <w:bottom w:val="single" w:sz="6" w:space="0" w:color="auto"/>
              <w:right w:val="single" w:sz="8" w:space="0" w:color="auto"/>
            </w:tcBorders>
            <w:shd w:val="clear" w:color="auto" w:fill="D9D9D9"/>
            <w:tcMar>
              <w:top w:w="0" w:type="dxa"/>
              <w:left w:w="108" w:type="dxa"/>
              <w:bottom w:w="0" w:type="dxa"/>
              <w:right w:w="108" w:type="dxa"/>
            </w:tcMar>
          </w:tcPr>
          <w:p w14:paraId="17A90FCE" w14:textId="77777777" w:rsidR="00BF3DF9" w:rsidRPr="00463667" w:rsidRDefault="00BF3DF9" w:rsidP="00C56CA6">
            <w:pPr>
              <w:pStyle w:val="TableText"/>
              <w:spacing w:before="30" w:after="30"/>
              <w:jc w:val="center"/>
            </w:pPr>
            <w:r w:rsidRPr="00463667">
              <w:t>F</w:t>
            </w:r>
          </w:p>
        </w:tc>
        <w:tc>
          <w:tcPr>
            <w:tcW w:w="1260" w:type="dxa"/>
            <w:tcBorders>
              <w:top w:val="nil"/>
              <w:left w:val="nil"/>
              <w:bottom w:val="single" w:sz="6" w:space="0" w:color="auto"/>
              <w:right w:val="single" w:sz="8" w:space="0" w:color="auto"/>
            </w:tcBorders>
            <w:shd w:val="clear" w:color="auto" w:fill="D9D9D9"/>
            <w:tcMar>
              <w:top w:w="0" w:type="dxa"/>
              <w:left w:w="108" w:type="dxa"/>
              <w:bottom w:w="0" w:type="dxa"/>
              <w:right w:w="108" w:type="dxa"/>
            </w:tcMar>
          </w:tcPr>
          <w:p w14:paraId="4BD0151F" w14:textId="77777777" w:rsidR="00BF3DF9" w:rsidRPr="00463667" w:rsidRDefault="00BF3DF9" w:rsidP="00C56CA6">
            <w:pPr>
              <w:pStyle w:val="TableText"/>
              <w:spacing w:before="30" w:after="30"/>
              <w:jc w:val="center"/>
            </w:pPr>
            <w:r w:rsidRPr="00463667">
              <w:t>2</w:t>
            </w:r>
          </w:p>
        </w:tc>
        <w:tc>
          <w:tcPr>
            <w:tcW w:w="1440" w:type="dxa"/>
            <w:tcBorders>
              <w:top w:val="nil"/>
              <w:left w:val="nil"/>
              <w:bottom w:val="single" w:sz="6" w:space="0" w:color="auto"/>
              <w:right w:val="single" w:sz="12" w:space="0" w:color="auto"/>
            </w:tcBorders>
            <w:shd w:val="clear" w:color="auto" w:fill="D9D9D9"/>
            <w:tcMar>
              <w:top w:w="0" w:type="dxa"/>
              <w:left w:w="108" w:type="dxa"/>
              <w:bottom w:w="0" w:type="dxa"/>
              <w:right w:w="108" w:type="dxa"/>
            </w:tcMar>
          </w:tcPr>
          <w:p w14:paraId="08C72473" w14:textId="77777777" w:rsidR="00BF3DF9" w:rsidRPr="00463667" w:rsidRDefault="00BF3DF9" w:rsidP="00C56CA6">
            <w:pPr>
              <w:pStyle w:val="TableText"/>
              <w:spacing w:before="30" w:after="30"/>
              <w:jc w:val="center"/>
            </w:pPr>
            <w:r w:rsidRPr="00463667">
              <w:t>0</w:t>
            </w:r>
          </w:p>
        </w:tc>
        <w:tc>
          <w:tcPr>
            <w:tcW w:w="1020" w:type="dxa"/>
            <w:tcBorders>
              <w:top w:val="single" w:sz="8" w:space="0" w:color="auto"/>
              <w:left w:val="single" w:sz="12" w:space="0" w:color="auto"/>
              <w:bottom w:val="single" w:sz="6" w:space="0" w:color="auto"/>
              <w:right w:val="single" w:sz="8" w:space="0" w:color="auto"/>
            </w:tcBorders>
            <w:shd w:val="clear" w:color="auto" w:fill="D9D9D9"/>
            <w:tcMar>
              <w:top w:w="0" w:type="dxa"/>
              <w:left w:w="108" w:type="dxa"/>
              <w:bottom w:w="0" w:type="dxa"/>
              <w:right w:w="108" w:type="dxa"/>
            </w:tcMar>
          </w:tcPr>
          <w:p w14:paraId="5ACE0F9D" w14:textId="77777777" w:rsidR="00BF3DF9" w:rsidRPr="00463667" w:rsidRDefault="00BF3DF9" w:rsidP="00C56CA6">
            <w:pPr>
              <w:pStyle w:val="TableText"/>
              <w:spacing w:before="30" w:after="30"/>
              <w:jc w:val="center"/>
            </w:pPr>
            <w:r w:rsidRPr="00463667">
              <w:t>27598</w:t>
            </w:r>
          </w:p>
        </w:tc>
        <w:tc>
          <w:tcPr>
            <w:tcW w:w="930" w:type="dxa"/>
            <w:tcBorders>
              <w:top w:val="nil"/>
              <w:left w:val="nil"/>
              <w:bottom w:val="single" w:sz="6" w:space="0" w:color="auto"/>
              <w:right w:val="single" w:sz="8" w:space="0" w:color="auto"/>
            </w:tcBorders>
            <w:shd w:val="clear" w:color="auto" w:fill="D9D9D9"/>
            <w:tcMar>
              <w:top w:w="0" w:type="dxa"/>
              <w:left w:w="108" w:type="dxa"/>
              <w:bottom w:w="0" w:type="dxa"/>
              <w:right w:w="108" w:type="dxa"/>
            </w:tcMar>
          </w:tcPr>
          <w:p w14:paraId="2E39F0F3" w14:textId="77777777" w:rsidR="00BF3DF9" w:rsidRPr="00463667" w:rsidRDefault="00BF3DF9" w:rsidP="00C56CA6">
            <w:pPr>
              <w:pStyle w:val="TableText"/>
              <w:spacing w:before="30" w:after="30"/>
              <w:jc w:val="center"/>
            </w:pPr>
            <w:r w:rsidRPr="00463667">
              <w:t>.RT</w:t>
            </w:r>
          </w:p>
        </w:tc>
        <w:tc>
          <w:tcPr>
            <w:tcW w:w="930" w:type="dxa"/>
            <w:tcBorders>
              <w:top w:val="nil"/>
              <w:left w:val="nil"/>
              <w:bottom w:val="single" w:sz="6" w:space="0" w:color="auto"/>
              <w:right w:val="single" w:sz="12" w:space="0" w:color="auto"/>
            </w:tcBorders>
            <w:shd w:val="clear" w:color="auto" w:fill="D9D9D9"/>
            <w:tcMar>
              <w:top w:w="0" w:type="dxa"/>
              <w:left w:w="108" w:type="dxa"/>
              <w:bottom w:w="0" w:type="dxa"/>
              <w:right w:w="108" w:type="dxa"/>
            </w:tcMar>
          </w:tcPr>
          <w:p w14:paraId="7FDD57DD" w14:textId="77777777" w:rsidR="00BF3DF9" w:rsidRPr="00463667" w:rsidRDefault="00BF3DF9" w:rsidP="00C56CA6">
            <w:pPr>
              <w:pStyle w:val="TableText"/>
              <w:spacing w:before="30" w:after="30"/>
              <w:jc w:val="center"/>
            </w:pPr>
            <w:r w:rsidRPr="00463667">
              <w:t>.T5</w:t>
            </w:r>
          </w:p>
        </w:tc>
        <w:tc>
          <w:tcPr>
            <w:tcW w:w="1395" w:type="dxa"/>
            <w:tcBorders>
              <w:top w:val="single" w:sz="8" w:space="0" w:color="auto"/>
              <w:left w:val="single" w:sz="12" w:space="0" w:color="auto"/>
              <w:bottom w:val="single" w:sz="6" w:space="0" w:color="auto"/>
              <w:right w:val="single" w:sz="8" w:space="0" w:color="auto"/>
            </w:tcBorders>
            <w:shd w:val="clear" w:color="auto" w:fill="D9D9D9"/>
            <w:tcMar>
              <w:top w:w="0" w:type="dxa"/>
              <w:left w:w="108" w:type="dxa"/>
              <w:bottom w:w="0" w:type="dxa"/>
              <w:right w:w="108" w:type="dxa"/>
            </w:tcMar>
          </w:tcPr>
          <w:p w14:paraId="6980C553" w14:textId="77777777" w:rsidR="00BF3DF9" w:rsidRPr="00463667" w:rsidRDefault="00BF3DF9" w:rsidP="00C56CA6">
            <w:pPr>
              <w:pStyle w:val="TableText"/>
              <w:spacing w:before="30" w:after="30"/>
              <w:ind w:left="252"/>
            </w:pPr>
            <w:r w:rsidRPr="00463667">
              <w:t>27598</w:t>
            </w:r>
          </w:p>
        </w:tc>
        <w:tc>
          <w:tcPr>
            <w:tcW w:w="1395" w:type="dxa"/>
            <w:tcBorders>
              <w:top w:val="nil"/>
              <w:left w:val="nil"/>
              <w:bottom w:val="single" w:sz="6" w:space="0" w:color="auto"/>
              <w:right w:val="single" w:sz="8" w:space="0" w:color="auto"/>
            </w:tcBorders>
            <w:shd w:val="clear" w:color="auto" w:fill="D9D9D9"/>
            <w:tcMar>
              <w:top w:w="0" w:type="dxa"/>
              <w:left w:w="108" w:type="dxa"/>
              <w:bottom w:w="0" w:type="dxa"/>
              <w:right w:w="108" w:type="dxa"/>
            </w:tcMar>
          </w:tcPr>
          <w:p w14:paraId="0C1EEDBA" w14:textId="77777777" w:rsidR="00BF3DF9" w:rsidRPr="00463667" w:rsidRDefault="00BF3DF9" w:rsidP="00C56CA6">
            <w:pPr>
              <w:pStyle w:val="TableText"/>
              <w:spacing w:before="30" w:after="30"/>
              <w:jc w:val="center"/>
            </w:pPr>
            <w:r w:rsidRPr="00463667">
              <w:t>1,056</w:t>
            </w:r>
          </w:p>
        </w:tc>
      </w:tr>
    </w:tbl>
    <w:p w14:paraId="2C016CF9" w14:textId="4B03596E" w:rsidR="00BF3DF9" w:rsidRPr="00DE45E9" w:rsidRDefault="00BF3DF9" w:rsidP="00DE45E9">
      <w:pPr>
        <w:pStyle w:val="SubHead20"/>
        <w:rPr>
          <w:i/>
        </w:rPr>
      </w:pPr>
      <w:bookmarkStart w:id="15" w:name="_Toc400546200"/>
      <w:r w:rsidRPr="00DE45E9">
        <w:rPr>
          <w:i/>
        </w:rPr>
        <w:t>Note</w:t>
      </w:r>
      <w:bookmarkEnd w:id="15"/>
    </w:p>
    <w:p w14:paraId="4DBE4541" w14:textId="77777777" w:rsidR="00BF3DF9" w:rsidRPr="00463667" w:rsidRDefault="00BF3DF9" w:rsidP="00BF3DF9">
      <w:pPr>
        <w:pStyle w:val="ProcessBullet"/>
        <w:rPr>
          <w:i/>
          <w:szCs w:val="20"/>
        </w:rPr>
      </w:pPr>
      <w:r w:rsidRPr="00463667">
        <w:rPr>
          <w:i/>
          <w:szCs w:val="20"/>
        </w:rPr>
        <w:t>Surgeries must be classified correctly as inpatient or outpatient because the overhead charges for inpatient surgeries are included in the Inpatient Facility Cost category. The overhead for outpatient surgeries is included in the total cost of the surgery. If the health care facility bills the plan for overhead charges using codes in the SPT-Surg-Proc table, do not count those costs in this category.</w:t>
      </w:r>
    </w:p>
    <w:p w14:paraId="17739C51" w14:textId="77777777" w:rsidR="00BF3DF9" w:rsidRPr="00463667" w:rsidRDefault="00BF3DF9" w:rsidP="00BF3DF9">
      <w:pPr>
        <w:pStyle w:val="ProcessBullet"/>
        <w:spacing w:after="120"/>
        <w:rPr>
          <w:i/>
          <w:szCs w:val="20"/>
        </w:rPr>
      </w:pPr>
      <w:r w:rsidRPr="00463667">
        <w:rPr>
          <w:i/>
          <w:szCs w:val="20"/>
        </w:rPr>
        <w:t>Do not include services provided by anesthesiologists. If an anesthesiologist submits a claim or encounter with codes included in Table SPT-Surg-Proc, do not include the claim or encounter for these services in the total cost.</w:t>
      </w:r>
    </w:p>
    <w:p w14:paraId="494090C3" w14:textId="77777777" w:rsidR="00BF3DF9" w:rsidRPr="00463667" w:rsidRDefault="00BF3DF9" w:rsidP="00BF3DF9">
      <w:pPr>
        <w:pStyle w:val="Heading3"/>
      </w:pPr>
      <w:r w:rsidRPr="00463667">
        <w:rPr>
          <w:i/>
        </w:rPr>
        <w:t>Sample Table</w:t>
      </w:r>
      <w:r w:rsidRPr="00463667">
        <w:t>: SPT-Surg-Proc—Surgery and Procedure Services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530"/>
      </w:tblGrid>
      <w:tr w:rsidR="00BF3DF9" w:rsidRPr="00463667" w14:paraId="2545C18E" w14:textId="77777777" w:rsidTr="00C56CA6">
        <w:tc>
          <w:tcPr>
            <w:tcW w:w="1440" w:type="dxa"/>
            <w:tcBorders>
              <w:right w:val="single" w:sz="6" w:space="0" w:color="FFFFFF"/>
            </w:tcBorders>
            <w:shd w:val="clear" w:color="auto" w:fill="000000"/>
          </w:tcPr>
          <w:p w14:paraId="4CFE71AA" w14:textId="77777777" w:rsidR="00BF3DF9" w:rsidRPr="00463667" w:rsidRDefault="00BF3DF9" w:rsidP="00C56CA6">
            <w:pPr>
              <w:pStyle w:val="TableHead"/>
              <w:spacing w:before="30" w:after="30"/>
              <w:rPr>
                <w:color w:val="auto"/>
              </w:rPr>
            </w:pPr>
            <w:r w:rsidRPr="00463667">
              <w:rPr>
                <w:color w:val="auto"/>
              </w:rPr>
              <w:t>CPT</w:t>
            </w:r>
          </w:p>
        </w:tc>
        <w:tc>
          <w:tcPr>
            <w:tcW w:w="1440" w:type="dxa"/>
            <w:tcBorders>
              <w:left w:val="single" w:sz="6" w:space="0" w:color="FFFFFF"/>
              <w:right w:val="single" w:sz="6" w:space="0" w:color="FFFFFF"/>
            </w:tcBorders>
            <w:shd w:val="clear" w:color="auto" w:fill="000000"/>
          </w:tcPr>
          <w:p w14:paraId="585B6504" w14:textId="77777777" w:rsidR="00BF3DF9" w:rsidRPr="00463667" w:rsidRDefault="00BF3DF9" w:rsidP="00C56CA6">
            <w:pPr>
              <w:pStyle w:val="TableHead"/>
              <w:spacing w:before="30" w:after="30"/>
              <w:rPr>
                <w:color w:val="auto"/>
              </w:rPr>
            </w:pPr>
            <w:r w:rsidRPr="00463667">
              <w:rPr>
                <w:color w:val="auto"/>
              </w:rPr>
              <w:t>Modifier</w:t>
            </w:r>
          </w:p>
        </w:tc>
        <w:tc>
          <w:tcPr>
            <w:tcW w:w="1530" w:type="dxa"/>
            <w:tcBorders>
              <w:left w:val="single" w:sz="6" w:space="0" w:color="FFFFFF"/>
            </w:tcBorders>
            <w:shd w:val="clear" w:color="auto" w:fill="000000"/>
          </w:tcPr>
          <w:p w14:paraId="453F37A0" w14:textId="77777777" w:rsidR="00BF3DF9" w:rsidRPr="00463667" w:rsidRDefault="00BF3DF9" w:rsidP="00C56CA6">
            <w:pPr>
              <w:pStyle w:val="TableHead"/>
              <w:spacing w:before="30" w:after="30"/>
              <w:rPr>
                <w:color w:val="auto"/>
              </w:rPr>
            </w:pPr>
            <w:r w:rsidRPr="00463667">
              <w:rPr>
                <w:color w:val="auto"/>
              </w:rPr>
              <w:t>Price ($)</w:t>
            </w:r>
          </w:p>
        </w:tc>
      </w:tr>
      <w:tr w:rsidR="00BF3DF9" w:rsidRPr="00463667" w14:paraId="04811EB1" w14:textId="77777777" w:rsidTr="00C56CA6">
        <w:tc>
          <w:tcPr>
            <w:tcW w:w="1440" w:type="dxa"/>
            <w:vAlign w:val="bottom"/>
          </w:tcPr>
          <w:p w14:paraId="001F228E" w14:textId="77777777" w:rsidR="00BF3DF9" w:rsidRPr="00463667" w:rsidRDefault="00BF3DF9" w:rsidP="00C56CA6">
            <w:pPr>
              <w:pStyle w:val="TableText"/>
              <w:spacing w:before="30" w:after="30"/>
              <w:jc w:val="center"/>
            </w:pPr>
            <w:r w:rsidRPr="00463667">
              <w:t>27598</w:t>
            </w:r>
          </w:p>
        </w:tc>
        <w:tc>
          <w:tcPr>
            <w:tcW w:w="1440" w:type="dxa"/>
            <w:vAlign w:val="bottom"/>
          </w:tcPr>
          <w:p w14:paraId="457D5D61" w14:textId="77777777" w:rsidR="00BF3DF9" w:rsidRPr="00463667" w:rsidRDefault="00BF3DF9" w:rsidP="00C56CA6">
            <w:pPr>
              <w:pStyle w:val="TableText"/>
              <w:spacing w:before="30" w:after="30"/>
              <w:jc w:val="center"/>
            </w:pPr>
          </w:p>
        </w:tc>
        <w:tc>
          <w:tcPr>
            <w:tcW w:w="1530" w:type="dxa"/>
            <w:vAlign w:val="bottom"/>
          </w:tcPr>
          <w:p w14:paraId="75742A21" w14:textId="77777777" w:rsidR="00BF3DF9" w:rsidRPr="00463667" w:rsidRDefault="00BF3DF9" w:rsidP="00C56CA6">
            <w:pPr>
              <w:pStyle w:val="TableText"/>
              <w:spacing w:before="30" w:after="30"/>
              <w:ind w:right="432"/>
              <w:jc w:val="right"/>
            </w:pPr>
            <w:r w:rsidRPr="00463667">
              <w:t>1,056</w:t>
            </w:r>
          </w:p>
        </w:tc>
      </w:tr>
      <w:tr w:rsidR="00BF3DF9" w:rsidRPr="00463667" w14:paraId="121E2ECE" w14:textId="77777777" w:rsidTr="00C56CA6">
        <w:tc>
          <w:tcPr>
            <w:tcW w:w="1440" w:type="dxa"/>
            <w:shd w:val="clear" w:color="auto" w:fill="D9D9D9" w:themeFill="background1" w:themeFillShade="D9"/>
            <w:vAlign w:val="bottom"/>
          </w:tcPr>
          <w:p w14:paraId="68831296" w14:textId="77777777" w:rsidR="00BF3DF9" w:rsidRPr="00463667" w:rsidRDefault="00BF3DF9" w:rsidP="00C56CA6">
            <w:pPr>
              <w:pStyle w:val="TableText"/>
              <w:spacing w:before="30" w:after="30"/>
              <w:jc w:val="center"/>
            </w:pPr>
            <w:r w:rsidRPr="00463667">
              <w:t>27598</w:t>
            </w:r>
          </w:p>
        </w:tc>
        <w:tc>
          <w:tcPr>
            <w:tcW w:w="1440" w:type="dxa"/>
            <w:shd w:val="clear" w:color="auto" w:fill="D9D9D9" w:themeFill="background1" w:themeFillShade="D9"/>
            <w:vAlign w:val="bottom"/>
          </w:tcPr>
          <w:p w14:paraId="076CFDBB" w14:textId="77777777" w:rsidR="00BF3DF9" w:rsidRPr="00463667" w:rsidRDefault="00BF3DF9" w:rsidP="00C56CA6">
            <w:pPr>
              <w:pStyle w:val="TableText"/>
              <w:spacing w:before="30" w:after="30"/>
              <w:jc w:val="center"/>
            </w:pPr>
            <w:r w:rsidRPr="00463667">
              <w:t>50</w:t>
            </w:r>
          </w:p>
        </w:tc>
        <w:tc>
          <w:tcPr>
            <w:tcW w:w="1530" w:type="dxa"/>
            <w:shd w:val="clear" w:color="auto" w:fill="D9D9D9" w:themeFill="background1" w:themeFillShade="D9"/>
            <w:vAlign w:val="bottom"/>
          </w:tcPr>
          <w:p w14:paraId="7B4E9E5C" w14:textId="77777777" w:rsidR="00BF3DF9" w:rsidRPr="00463667" w:rsidRDefault="00BF3DF9" w:rsidP="00C56CA6">
            <w:pPr>
              <w:pStyle w:val="TableText"/>
              <w:spacing w:before="30" w:after="30"/>
              <w:ind w:right="432"/>
              <w:jc w:val="right"/>
            </w:pPr>
            <w:r w:rsidRPr="00463667">
              <w:t>1,584</w:t>
            </w:r>
          </w:p>
        </w:tc>
      </w:tr>
      <w:tr w:rsidR="00BF3DF9" w:rsidRPr="00463667" w14:paraId="0B394F44" w14:textId="77777777" w:rsidTr="00C56CA6">
        <w:tc>
          <w:tcPr>
            <w:tcW w:w="1440" w:type="dxa"/>
            <w:vAlign w:val="bottom"/>
          </w:tcPr>
          <w:p w14:paraId="2AF64039" w14:textId="77777777" w:rsidR="00BF3DF9" w:rsidRPr="00463667" w:rsidRDefault="00BF3DF9" w:rsidP="00C56CA6">
            <w:pPr>
              <w:pStyle w:val="TableText"/>
              <w:spacing w:before="30" w:after="30"/>
              <w:jc w:val="center"/>
            </w:pPr>
            <w:r w:rsidRPr="00463667">
              <w:t>27598</w:t>
            </w:r>
          </w:p>
        </w:tc>
        <w:tc>
          <w:tcPr>
            <w:tcW w:w="1440" w:type="dxa"/>
            <w:vAlign w:val="bottom"/>
          </w:tcPr>
          <w:p w14:paraId="440A84B4" w14:textId="77777777" w:rsidR="00BF3DF9" w:rsidRPr="00463667" w:rsidRDefault="00BF3DF9" w:rsidP="00C56CA6">
            <w:pPr>
              <w:pStyle w:val="TableText"/>
              <w:spacing w:before="30" w:after="30"/>
              <w:jc w:val="center"/>
            </w:pPr>
            <w:r w:rsidRPr="00463667">
              <w:t>51</w:t>
            </w:r>
          </w:p>
        </w:tc>
        <w:tc>
          <w:tcPr>
            <w:tcW w:w="1530" w:type="dxa"/>
            <w:vAlign w:val="bottom"/>
          </w:tcPr>
          <w:p w14:paraId="6291B77E" w14:textId="77777777" w:rsidR="00BF3DF9" w:rsidRPr="00463667" w:rsidRDefault="00BF3DF9" w:rsidP="00C56CA6">
            <w:pPr>
              <w:pStyle w:val="TableText"/>
              <w:spacing w:before="30" w:after="30"/>
              <w:ind w:right="432"/>
              <w:jc w:val="right"/>
            </w:pPr>
            <w:r w:rsidRPr="00463667">
              <w:t>528</w:t>
            </w:r>
          </w:p>
        </w:tc>
      </w:tr>
      <w:tr w:rsidR="00BF3DF9" w:rsidRPr="00463667" w14:paraId="2DD7D859" w14:textId="77777777" w:rsidTr="00C56CA6">
        <w:tc>
          <w:tcPr>
            <w:tcW w:w="1440" w:type="dxa"/>
            <w:shd w:val="clear" w:color="auto" w:fill="D9D9D9"/>
            <w:vAlign w:val="bottom"/>
          </w:tcPr>
          <w:p w14:paraId="30A2AC29" w14:textId="77777777" w:rsidR="00BF3DF9" w:rsidRPr="00463667" w:rsidRDefault="00BF3DF9" w:rsidP="00C56CA6">
            <w:pPr>
              <w:pStyle w:val="TableText"/>
              <w:spacing w:before="30" w:after="30"/>
              <w:jc w:val="center"/>
            </w:pPr>
            <w:r w:rsidRPr="00463667">
              <w:t>27598</w:t>
            </w:r>
          </w:p>
        </w:tc>
        <w:tc>
          <w:tcPr>
            <w:tcW w:w="1440" w:type="dxa"/>
            <w:shd w:val="clear" w:color="auto" w:fill="D9D9D9"/>
            <w:vAlign w:val="bottom"/>
          </w:tcPr>
          <w:p w14:paraId="6BB36D2B" w14:textId="77777777" w:rsidR="00BF3DF9" w:rsidRPr="00463667" w:rsidRDefault="00BF3DF9" w:rsidP="00C56CA6">
            <w:pPr>
              <w:pStyle w:val="TableText"/>
              <w:spacing w:before="30" w:after="30"/>
              <w:jc w:val="center"/>
            </w:pPr>
            <w:r w:rsidRPr="00463667">
              <w:t>52</w:t>
            </w:r>
          </w:p>
        </w:tc>
        <w:tc>
          <w:tcPr>
            <w:tcW w:w="1530" w:type="dxa"/>
            <w:shd w:val="clear" w:color="auto" w:fill="D9D9D9"/>
            <w:vAlign w:val="bottom"/>
          </w:tcPr>
          <w:p w14:paraId="5D700760" w14:textId="77777777" w:rsidR="00BF3DF9" w:rsidRPr="00463667" w:rsidRDefault="00BF3DF9" w:rsidP="00C56CA6">
            <w:pPr>
              <w:pStyle w:val="TableText"/>
              <w:spacing w:before="30" w:after="30"/>
              <w:ind w:right="432"/>
              <w:jc w:val="right"/>
            </w:pPr>
            <w:r w:rsidRPr="00463667">
              <w:t>792</w:t>
            </w:r>
          </w:p>
        </w:tc>
      </w:tr>
      <w:tr w:rsidR="00BF3DF9" w:rsidRPr="00463667" w14:paraId="18B3C005" w14:textId="77777777" w:rsidTr="00C56CA6">
        <w:tc>
          <w:tcPr>
            <w:tcW w:w="1440" w:type="dxa"/>
            <w:vAlign w:val="bottom"/>
          </w:tcPr>
          <w:p w14:paraId="4C93AC71" w14:textId="77777777" w:rsidR="00BF3DF9" w:rsidRPr="00463667" w:rsidRDefault="00BF3DF9" w:rsidP="00C56CA6">
            <w:pPr>
              <w:pStyle w:val="TableText"/>
              <w:spacing w:before="30" w:after="30"/>
              <w:jc w:val="center"/>
            </w:pPr>
            <w:r w:rsidRPr="00463667">
              <w:t>27598</w:t>
            </w:r>
          </w:p>
        </w:tc>
        <w:tc>
          <w:tcPr>
            <w:tcW w:w="1440" w:type="dxa"/>
            <w:vAlign w:val="bottom"/>
          </w:tcPr>
          <w:p w14:paraId="584B4A49" w14:textId="77777777" w:rsidR="00BF3DF9" w:rsidRPr="00463667" w:rsidRDefault="00BF3DF9" w:rsidP="00C56CA6">
            <w:pPr>
              <w:pStyle w:val="TableText"/>
              <w:spacing w:before="30" w:after="30"/>
              <w:jc w:val="center"/>
            </w:pPr>
            <w:r w:rsidRPr="00463667">
              <w:t>54</w:t>
            </w:r>
          </w:p>
        </w:tc>
        <w:tc>
          <w:tcPr>
            <w:tcW w:w="1530" w:type="dxa"/>
            <w:vAlign w:val="bottom"/>
          </w:tcPr>
          <w:p w14:paraId="5B6DA730" w14:textId="77777777" w:rsidR="00BF3DF9" w:rsidRPr="00463667" w:rsidRDefault="00BF3DF9" w:rsidP="00C56CA6">
            <w:pPr>
              <w:pStyle w:val="TableText"/>
              <w:spacing w:before="30" w:after="30"/>
              <w:ind w:right="432"/>
              <w:jc w:val="right"/>
            </w:pPr>
            <w:r w:rsidRPr="00463667">
              <w:t>728</w:t>
            </w:r>
          </w:p>
        </w:tc>
      </w:tr>
      <w:tr w:rsidR="00BF3DF9" w:rsidRPr="00463667" w14:paraId="0B700DA3" w14:textId="77777777" w:rsidTr="00C56CA6">
        <w:tc>
          <w:tcPr>
            <w:tcW w:w="1440" w:type="dxa"/>
            <w:shd w:val="clear" w:color="auto" w:fill="D9D9D9"/>
            <w:vAlign w:val="bottom"/>
          </w:tcPr>
          <w:p w14:paraId="42DA42A7" w14:textId="77777777" w:rsidR="00BF3DF9" w:rsidRPr="00463667" w:rsidRDefault="00BF3DF9" w:rsidP="00C56CA6">
            <w:pPr>
              <w:pStyle w:val="TableText"/>
              <w:spacing w:before="30" w:after="30"/>
              <w:jc w:val="center"/>
            </w:pPr>
            <w:r w:rsidRPr="00463667">
              <w:t>27598</w:t>
            </w:r>
          </w:p>
        </w:tc>
        <w:tc>
          <w:tcPr>
            <w:tcW w:w="1440" w:type="dxa"/>
            <w:shd w:val="clear" w:color="auto" w:fill="D9D9D9"/>
            <w:vAlign w:val="bottom"/>
          </w:tcPr>
          <w:p w14:paraId="4A3BDB68" w14:textId="77777777" w:rsidR="00BF3DF9" w:rsidRPr="00463667" w:rsidRDefault="00BF3DF9" w:rsidP="00C56CA6">
            <w:pPr>
              <w:pStyle w:val="TableText"/>
              <w:spacing w:before="30" w:after="30"/>
              <w:jc w:val="center"/>
            </w:pPr>
            <w:r w:rsidRPr="00463667">
              <w:t>55</w:t>
            </w:r>
          </w:p>
        </w:tc>
        <w:tc>
          <w:tcPr>
            <w:tcW w:w="1530" w:type="dxa"/>
            <w:shd w:val="clear" w:color="auto" w:fill="D9D9D9"/>
            <w:vAlign w:val="bottom"/>
          </w:tcPr>
          <w:p w14:paraId="755CFD58" w14:textId="77777777" w:rsidR="00BF3DF9" w:rsidRPr="00463667" w:rsidRDefault="00BF3DF9" w:rsidP="00C56CA6">
            <w:pPr>
              <w:pStyle w:val="TableText"/>
              <w:spacing w:before="30" w:after="30"/>
              <w:ind w:right="432"/>
              <w:jc w:val="right"/>
            </w:pPr>
            <w:r w:rsidRPr="00463667">
              <w:t>222</w:t>
            </w:r>
          </w:p>
        </w:tc>
      </w:tr>
      <w:tr w:rsidR="00BF3DF9" w:rsidRPr="00463667" w14:paraId="730450FF" w14:textId="77777777" w:rsidTr="00C56CA6">
        <w:tc>
          <w:tcPr>
            <w:tcW w:w="1440" w:type="dxa"/>
            <w:vAlign w:val="bottom"/>
          </w:tcPr>
          <w:p w14:paraId="64C7D2A5" w14:textId="77777777" w:rsidR="00BF3DF9" w:rsidRPr="00463667" w:rsidRDefault="00BF3DF9" w:rsidP="00C56CA6">
            <w:pPr>
              <w:pStyle w:val="TableText"/>
              <w:spacing w:before="30" w:after="30"/>
              <w:jc w:val="center"/>
            </w:pPr>
            <w:r w:rsidRPr="00463667">
              <w:t>27598</w:t>
            </w:r>
          </w:p>
        </w:tc>
        <w:tc>
          <w:tcPr>
            <w:tcW w:w="1440" w:type="dxa"/>
            <w:vAlign w:val="bottom"/>
          </w:tcPr>
          <w:p w14:paraId="60E8F921" w14:textId="77777777" w:rsidR="00BF3DF9" w:rsidRPr="00463667" w:rsidRDefault="00BF3DF9" w:rsidP="00C56CA6">
            <w:pPr>
              <w:pStyle w:val="TableText"/>
              <w:spacing w:before="30" w:after="30"/>
              <w:jc w:val="center"/>
            </w:pPr>
            <w:r w:rsidRPr="00463667">
              <w:t>56</w:t>
            </w:r>
          </w:p>
        </w:tc>
        <w:tc>
          <w:tcPr>
            <w:tcW w:w="1530" w:type="dxa"/>
            <w:vAlign w:val="bottom"/>
          </w:tcPr>
          <w:p w14:paraId="64AA441F" w14:textId="77777777" w:rsidR="00BF3DF9" w:rsidRPr="00463667" w:rsidRDefault="00BF3DF9" w:rsidP="00C56CA6">
            <w:pPr>
              <w:pStyle w:val="TableText"/>
              <w:spacing w:before="30" w:after="30"/>
              <w:ind w:right="432"/>
              <w:jc w:val="right"/>
            </w:pPr>
            <w:r w:rsidRPr="00463667">
              <w:t>106</w:t>
            </w:r>
          </w:p>
        </w:tc>
      </w:tr>
      <w:tr w:rsidR="00BF3DF9" w:rsidRPr="00463667" w14:paraId="5A87930B" w14:textId="77777777" w:rsidTr="00C56CA6">
        <w:tc>
          <w:tcPr>
            <w:tcW w:w="1440" w:type="dxa"/>
            <w:shd w:val="clear" w:color="auto" w:fill="D9D9D9"/>
            <w:vAlign w:val="bottom"/>
          </w:tcPr>
          <w:p w14:paraId="07A42A85" w14:textId="77777777" w:rsidR="00BF3DF9" w:rsidRPr="00463667" w:rsidRDefault="00BF3DF9" w:rsidP="00C56CA6">
            <w:pPr>
              <w:pStyle w:val="TableText"/>
              <w:spacing w:before="30" w:after="30"/>
              <w:jc w:val="center"/>
            </w:pPr>
            <w:r w:rsidRPr="00463667">
              <w:t>27598</w:t>
            </w:r>
          </w:p>
        </w:tc>
        <w:tc>
          <w:tcPr>
            <w:tcW w:w="1440" w:type="dxa"/>
            <w:shd w:val="clear" w:color="auto" w:fill="D9D9D9"/>
            <w:vAlign w:val="bottom"/>
          </w:tcPr>
          <w:p w14:paraId="3FFFE8BD" w14:textId="77777777" w:rsidR="00BF3DF9" w:rsidRPr="00463667" w:rsidRDefault="00BF3DF9" w:rsidP="00C56CA6">
            <w:pPr>
              <w:pStyle w:val="TableText"/>
              <w:spacing w:before="30" w:after="30"/>
              <w:jc w:val="center"/>
            </w:pPr>
            <w:r w:rsidRPr="00463667">
              <w:t>62</w:t>
            </w:r>
          </w:p>
        </w:tc>
        <w:tc>
          <w:tcPr>
            <w:tcW w:w="1530" w:type="dxa"/>
            <w:shd w:val="clear" w:color="auto" w:fill="D9D9D9"/>
            <w:vAlign w:val="bottom"/>
          </w:tcPr>
          <w:p w14:paraId="57906BE2" w14:textId="77777777" w:rsidR="00BF3DF9" w:rsidRPr="00463667" w:rsidRDefault="00BF3DF9" w:rsidP="00C56CA6">
            <w:pPr>
              <w:pStyle w:val="TableText"/>
              <w:spacing w:before="30" w:after="30"/>
              <w:ind w:right="432"/>
              <w:jc w:val="right"/>
            </w:pPr>
            <w:r w:rsidRPr="00463667">
              <w:t>1,320</w:t>
            </w:r>
          </w:p>
        </w:tc>
      </w:tr>
      <w:tr w:rsidR="00BF3DF9" w:rsidRPr="00463667" w14:paraId="2CB5C144" w14:textId="77777777" w:rsidTr="00C56CA6">
        <w:tc>
          <w:tcPr>
            <w:tcW w:w="1440" w:type="dxa"/>
            <w:vAlign w:val="bottom"/>
          </w:tcPr>
          <w:p w14:paraId="1E20F3F3" w14:textId="77777777" w:rsidR="00BF3DF9" w:rsidRPr="00463667" w:rsidRDefault="00BF3DF9" w:rsidP="00C56CA6">
            <w:pPr>
              <w:pStyle w:val="TableText"/>
              <w:spacing w:before="30" w:after="30"/>
              <w:jc w:val="center"/>
            </w:pPr>
            <w:r w:rsidRPr="00463667">
              <w:t>27598</w:t>
            </w:r>
          </w:p>
        </w:tc>
        <w:tc>
          <w:tcPr>
            <w:tcW w:w="1440" w:type="dxa"/>
            <w:vAlign w:val="bottom"/>
          </w:tcPr>
          <w:p w14:paraId="713B7AC8" w14:textId="77777777" w:rsidR="00BF3DF9" w:rsidRPr="00463667" w:rsidRDefault="00BF3DF9" w:rsidP="00C56CA6">
            <w:pPr>
              <w:pStyle w:val="TableText"/>
              <w:spacing w:before="30" w:after="30"/>
              <w:jc w:val="center"/>
            </w:pPr>
            <w:r w:rsidRPr="00463667">
              <w:t>78</w:t>
            </w:r>
          </w:p>
        </w:tc>
        <w:tc>
          <w:tcPr>
            <w:tcW w:w="1530" w:type="dxa"/>
            <w:vAlign w:val="bottom"/>
          </w:tcPr>
          <w:p w14:paraId="11E22BC4" w14:textId="77777777" w:rsidR="00BF3DF9" w:rsidRPr="00463667" w:rsidRDefault="00BF3DF9" w:rsidP="00C56CA6">
            <w:pPr>
              <w:pStyle w:val="TableText"/>
              <w:spacing w:before="30" w:after="30"/>
              <w:ind w:right="432"/>
              <w:jc w:val="right"/>
            </w:pPr>
            <w:r w:rsidRPr="00463667">
              <w:t>728</w:t>
            </w:r>
          </w:p>
        </w:tc>
      </w:tr>
      <w:tr w:rsidR="00BF3DF9" w:rsidRPr="00463667" w14:paraId="7A965C80" w14:textId="77777777" w:rsidTr="00C56CA6">
        <w:tc>
          <w:tcPr>
            <w:tcW w:w="1440" w:type="dxa"/>
            <w:shd w:val="clear" w:color="auto" w:fill="D9D9D9"/>
            <w:vAlign w:val="bottom"/>
          </w:tcPr>
          <w:p w14:paraId="53C416FB" w14:textId="77777777" w:rsidR="00BF3DF9" w:rsidRPr="00463667" w:rsidRDefault="00BF3DF9" w:rsidP="00C56CA6">
            <w:pPr>
              <w:pStyle w:val="TableText"/>
              <w:spacing w:before="30" w:after="30"/>
              <w:jc w:val="center"/>
            </w:pPr>
            <w:r w:rsidRPr="00463667">
              <w:t>27598</w:t>
            </w:r>
          </w:p>
        </w:tc>
        <w:tc>
          <w:tcPr>
            <w:tcW w:w="1440" w:type="dxa"/>
            <w:shd w:val="clear" w:color="auto" w:fill="D9D9D9"/>
            <w:vAlign w:val="bottom"/>
          </w:tcPr>
          <w:p w14:paraId="24B28DC0" w14:textId="77777777" w:rsidR="00BF3DF9" w:rsidRPr="00463667" w:rsidRDefault="00BF3DF9" w:rsidP="00C56CA6">
            <w:pPr>
              <w:pStyle w:val="TableText"/>
              <w:spacing w:before="30" w:after="30"/>
              <w:jc w:val="center"/>
            </w:pPr>
            <w:r w:rsidRPr="00463667">
              <w:t>80</w:t>
            </w:r>
          </w:p>
        </w:tc>
        <w:tc>
          <w:tcPr>
            <w:tcW w:w="1530" w:type="dxa"/>
            <w:shd w:val="clear" w:color="auto" w:fill="D9D9D9"/>
            <w:vAlign w:val="bottom"/>
          </w:tcPr>
          <w:p w14:paraId="70F4CE2C" w14:textId="77777777" w:rsidR="00BF3DF9" w:rsidRPr="00463667" w:rsidRDefault="00BF3DF9" w:rsidP="00C56CA6">
            <w:pPr>
              <w:pStyle w:val="TableText"/>
              <w:spacing w:before="30" w:after="30"/>
              <w:ind w:right="432"/>
              <w:jc w:val="right"/>
            </w:pPr>
            <w:r w:rsidRPr="00463667">
              <w:t>169</w:t>
            </w:r>
          </w:p>
        </w:tc>
      </w:tr>
      <w:tr w:rsidR="00BF3DF9" w:rsidRPr="00463667" w14:paraId="6EC8A2C4" w14:textId="77777777" w:rsidTr="00C56CA6">
        <w:tc>
          <w:tcPr>
            <w:tcW w:w="1440" w:type="dxa"/>
            <w:vAlign w:val="bottom"/>
          </w:tcPr>
          <w:p w14:paraId="756797B4" w14:textId="77777777" w:rsidR="00BF3DF9" w:rsidRPr="00463667" w:rsidRDefault="00BF3DF9" w:rsidP="00C56CA6">
            <w:pPr>
              <w:pStyle w:val="TableText"/>
              <w:spacing w:before="30" w:after="30"/>
              <w:jc w:val="center"/>
            </w:pPr>
            <w:r w:rsidRPr="00463667">
              <w:t>27598</w:t>
            </w:r>
          </w:p>
        </w:tc>
        <w:tc>
          <w:tcPr>
            <w:tcW w:w="1440" w:type="dxa"/>
            <w:vAlign w:val="bottom"/>
          </w:tcPr>
          <w:p w14:paraId="2233C250" w14:textId="77777777" w:rsidR="00BF3DF9" w:rsidRPr="00463667" w:rsidRDefault="00BF3DF9" w:rsidP="00C56CA6">
            <w:pPr>
              <w:pStyle w:val="TableText"/>
              <w:spacing w:before="30" w:after="30"/>
              <w:jc w:val="center"/>
            </w:pPr>
            <w:r w:rsidRPr="00463667">
              <w:t>81</w:t>
            </w:r>
          </w:p>
        </w:tc>
        <w:tc>
          <w:tcPr>
            <w:tcW w:w="1530" w:type="dxa"/>
            <w:vAlign w:val="bottom"/>
          </w:tcPr>
          <w:p w14:paraId="36B23C86" w14:textId="77777777" w:rsidR="00BF3DF9" w:rsidRPr="00463667" w:rsidRDefault="00BF3DF9" w:rsidP="00C56CA6">
            <w:pPr>
              <w:pStyle w:val="TableText"/>
              <w:spacing w:before="30" w:after="30"/>
              <w:ind w:right="432"/>
              <w:jc w:val="right"/>
            </w:pPr>
            <w:r w:rsidRPr="00463667">
              <w:t>169</w:t>
            </w:r>
          </w:p>
        </w:tc>
      </w:tr>
      <w:tr w:rsidR="00BF3DF9" w:rsidRPr="00463667" w14:paraId="197BD234" w14:textId="77777777" w:rsidTr="00C56CA6">
        <w:tc>
          <w:tcPr>
            <w:tcW w:w="1440" w:type="dxa"/>
            <w:shd w:val="clear" w:color="auto" w:fill="D9D9D9"/>
            <w:vAlign w:val="bottom"/>
          </w:tcPr>
          <w:p w14:paraId="22191AFD" w14:textId="77777777" w:rsidR="00BF3DF9" w:rsidRPr="00463667" w:rsidRDefault="00BF3DF9" w:rsidP="00C56CA6">
            <w:pPr>
              <w:pStyle w:val="TableText"/>
              <w:spacing w:before="30" w:after="30"/>
              <w:jc w:val="center"/>
            </w:pPr>
            <w:r w:rsidRPr="00463667">
              <w:t>27598</w:t>
            </w:r>
          </w:p>
        </w:tc>
        <w:tc>
          <w:tcPr>
            <w:tcW w:w="1440" w:type="dxa"/>
            <w:shd w:val="clear" w:color="auto" w:fill="D9D9D9"/>
            <w:vAlign w:val="bottom"/>
          </w:tcPr>
          <w:p w14:paraId="382D1109" w14:textId="77777777" w:rsidR="00BF3DF9" w:rsidRPr="00463667" w:rsidRDefault="00BF3DF9" w:rsidP="00C56CA6">
            <w:pPr>
              <w:pStyle w:val="TableText"/>
              <w:spacing w:before="30" w:after="30"/>
              <w:jc w:val="center"/>
            </w:pPr>
            <w:r w:rsidRPr="00463667">
              <w:t>82</w:t>
            </w:r>
          </w:p>
        </w:tc>
        <w:tc>
          <w:tcPr>
            <w:tcW w:w="1530" w:type="dxa"/>
            <w:shd w:val="clear" w:color="auto" w:fill="D9D9D9"/>
            <w:vAlign w:val="bottom"/>
          </w:tcPr>
          <w:p w14:paraId="33F357CB" w14:textId="77777777" w:rsidR="00BF3DF9" w:rsidRPr="00463667" w:rsidRDefault="00BF3DF9" w:rsidP="00C56CA6">
            <w:pPr>
              <w:pStyle w:val="TableText"/>
              <w:spacing w:before="30" w:after="30"/>
              <w:ind w:right="432"/>
              <w:jc w:val="right"/>
            </w:pPr>
            <w:r w:rsidRPr="00463667">
              <w:t>169</w:t>
            </w:r>
          </w:p>
        </w:tc>
      </w:tr>
    </w:tbl>
    <w:p w14:paraId="3E3BC4FF" w14:textId="77777777" w:rsidR="00BF3DF9" w:rsidRPr="00463667" w:rsidRDefault="00BF3DF9" w:rsidP="00BF3DF9">
      <w:pPr>
        <w:pStyle w:val="Note"/>
        <w:spacing w:after="60"/>
      </w:pPr>
      <w:r w:rsidRPr="00463667">
        <w:rPr>
          <w:b/>
          <w:bCs/>
        </w:rPr>
        <w:t xml:space="preserve">Note: </w:t>
      </w:r>
      <w:r w:rsidRPr="00463667">
        <w:rPr>
          <w:bCs/>
        </w:rPr>
        <w:t>S</w:t>
      </w:r>
      <w:r w:rsidRPr="00463667">
        <w:t>tandard prices are examples only and may not be the prices assigned to these CPT codes.</w:t>
      </w:r>
    </w:p>
    <w:p w14:paraId="160135A5" w14:textId="77777777" w:rsidR="00BF3DF9" w:rsidRPr="00463667" w:rsidRDefault="00BF3DF9" w:rsidP="00740D50">
      <w:pPr>
        <w:pStyle w:val="Body"/>
        <w:spacing w:before="2640"/>
        <w:rPr>
          <w:sz w:val="18"/>
          <w:szCs w:val="18"/>
        </w:rPr>
      </w:pPr>
      <w:r w:rsidRPr="00463667">
        <w:rPr>
          <w:sz w:val="18"/>
          <w:szCs w:val="18"/>
        </w:rPr>
        <w:t>____________</w:t>
      </w:r>
    </w:p>
    <w:p w14:paraId="4773A799" w14:textId="6184BF6F" w:rsidR="00BF3DF9" w:rsidRPr="00463667" w:rsidRDefault="00BF3DF9" w:rsidP="00974E25">
      <w:pPr>
        <w:pStyle w:val="Note"/>
        <w:spacing w:before="60"/>
        <w:rPr>
          <w:i w:val="0"/>
          <w:sz w:val="18"/>
          <w:szCs w:val="18"/>
        </w:rPr>
        <w:sectPr w:rsidR="00BF3DF9" w:rsidRPr="00463667" w:rsidSect="00C56CA6">
          <w:pgSz w:w="12240" w:h="15840" w:code="1"/>
          <w:pgMar w:top="1080" w:right="1080" w:bottom="1080" w:left="1440" w:header="720" w:footer="720" w:gutter="0"/>
          <w:cols w:space="720"/>
        </w:sectPr>
      </w:pPr>
      <w:r w:rsidRPr="00463667">
        <w:rPr>
          <w:i w:val="0"/>
          <w:sz w:val="18"/>
          <w:szCs w:val="18"/>
        </w:rPr>
        <w:t xml:space="preserve">Current Procedural Terminology © </w:t>
      </w:r>
      <w:r w:rsidR="0083581E">
        <w:rPr>
          <w:i w:val="0"/>
          <w:sz w:val="18"/>
          <w:szCs w:val="18"/>
        </w:rPr>
        <w:t>2015</w:t>
      </w:r>
      <w:r w:rsidRPr="00463667">
        <w:rPr>
          <w:i w:val="0"/>
          <w:sz w:val="18"/>
          <w:szCs w:val="18"/>
        </w:rPr>
        <w:t xml:space="preserve"> American Medical Association. All rights reserved.</w:t>
      </w:r>
    </w:p>
    <w:bookmarkStart w:id="16" w:name="_Toc400546201"/>
    <w:p w14:paraId="3AF17C50" w14:textId="17111D6F" w:rsidR="00BF3DF9" w:rsidRPr="00463667" w:rsidRDefault="00EF7C1A" w:rsidP="00BF3DF9">
      <w:pPr>
        <w:pStyle w:val="SubHead"/>
        <w:spacing w:before="0"/>
        <w:rPr>
          <w:i/>
        </w:rPr>
      </w:pPr>
      <w:r>
        <w:rPr>
          <w:i/>
        </w:rPr>
        <w:lastRenderedPageBreak/>
        <w:fldChar w:fldCharType="begin"/>
      </w:r>
      <w:r>
        <w:rPr>
          <w:i/>
        </w:rPr>
        <w:instrText xml:space="preserve"> HYPERLINK  \l "TOC" </w:instrText>
      </w:r>
      <w:r>
        <w:rPr>
          <w:i/>
        </w:rPr>
        <w:fldChar w:fldCharType="separate"/>
      </w:r>
      <w:r w:rsidR="00BF3DF9" w:rsidRPr="00EF7C1A">
        <w:rPr>
          <w:i/>
        </w:rPr>
        <w:t xml:space="preserve">Calculating Total Standard Cost: </w:t>
      </w:r>
      <w:r w:rsidR="00BF3DF9" w:rsidRPr="00EF7C1A">
        <w:t>Diagnostic Laboratory Services</w:t>
      </w:r>
      <w:bookmarkEnd w:id="16"/>
      <w:r w:rsidR="00BF3DF9" w:rsidRPr="00EF7C1A">
        <w:t xml:space="preserve"> </w:t>
      </w:r>
      <w:r>
        <w:rPr>
          <w:i/>
        </w:rPr>
        <w:fldChar w:fldCharType="end"/>
      </w:r>
    </w:p>
    <w:tbl>
      <w:tblPr>
        <w:tblW w:w="0" w:type="auto"/>
        <w:tblInd w:w="18" w:type="dxa"/>
        <w:tblLayout w:type="fixed"/>
        <w:tblLook w:val="0000" w:firstRow="0" w:lastRow="0" w:firstColumn="0" w:lastColumn="0" w:noHBand="0" w:noVBand="0"/>
      </w:tblPr>
      <w:tblGrid>
        <w:gridCol w:w="990"/>
        <w:gridCol w:w="8712"/>
      </w:tblGrid>
      <w:tr w:rsidR="00BF3DF9" w:rsidRPr="00463667" w14:paraId="30A6327A" w14:textId="77777777" w:rsidTr="00C56CA6">
        <w:trPr>
          <w:trHeight w:val="162"/>
        </w:trPr>
        <w:tc>
          <w:tcPr>
            <w:tcW w:w="990" w:type="dxa"/>
          </w:tcPr>
          <w:p w14:paraId="5D3AD9D5" w14:textId="77777777" w:rsidR="00BF3DF9" w:rsidRPr="00463667" w:rsidRDefault="00BF3DF9" w:rsidP="00C56CA6">
            <w:pPr>
              <w:pStyle w:val="MarginSubhead"/>
              <w:ind w:left="0"/>
              <w:jc w:val="right"/>
              <w:rPr>
                <w:i/>
                <w:iCs/>
              </w:rPr>
            </w:pPr>
            <w:r w:rsidRPr="00463667">
              <w:rPr>
                <w:i/>
                <w:iCs/>
              </w:rPr>
              <w:t>Step 1</w:t>
            </w:r>
          </w:p>
        </w:tc>
        <w:tc>
          <w:tcPr>
            <w:tcW w:w="8712" w:type="dxa"/>
          </w:tcPr>
          <w:p w14:paraId="35C3B93D" w14:textId="77777777" w:rsidR="00BF3DF9" w:rsidRPr="00463667" w:rsidRDefault="00BF3DF9" w:rsidP="00C56CA6">
            <w:pPr>
              <w:pStyle w:val="Body"/>
            </w:pPr>
            <w:r w:rsidRPr="00463667">
              <w:t>Identify all laboratory services during the treatment period. The valid procedure and revenue codes for these services are listed in Table SPT-LAB.</w:t>
            </w:r>
          </w:p>
        </w:tc>
      </w:tr>
      <w:tr w:rsidR="00BF3DF9" w:rsidRPr="00463667" w14:paraId="40923FAE" w14:textId="77777777" w:rsidTr="00C56CA6">
        <w:trPr>
          <w:trHeight w:val="162"/>
        </w:trPr>
        <w:tc>
          <w:tcPr>
            <w:tcW w:w="990" w:type="dxa"/>
          </w:tcPr>
          <w:p w14:paraId="72EB3993" w14:textId="77777777" w:rsidR="00BF3DF9" w:rsidRPr="00463667" w:rsidRDefault="00BF3DF9" w:rsidP="00C56CA6">
            <w:pPr>
              <w:pStyle w:val="MarginSubhead"/>
              <w:ind w:left="0"/>
              <w:jc w:val="right"/>
              <w:rPr>
                <w:i/>
                <w:iCs/>
              </w:rPr>
            </w:pPr>
            <w:r w:rsidRPr="00463667">
              <w:rPr>
                <w:i/>
                <w:iCs/>
              </w:rPr>
              <w:t>Step 2</w:t>
            </w:r>
          </w:p>
        </w:tc>
        <w:tc>
          <w:tcPr>
            <w:tcW w:w="8712" w:type="dxa"/>
          </w:tcPr>
          <w:p w14:paraId="450CB2A4" w14:textId="77777777" w:rsidR="00BF3DF9" w:rsidRPr="00463667" w:rsidRDefault="00BF3DF9" w:rsidP="00C56CA6">
            <w:pPr>
              <w:pStyle w:val="Body"/>
              <w:rPr>
                <w:rFonts w:cs="Arial"/>
              </w:rPr>
            </w:pPr>
            <w:r w:rsidRPr="00463667">
              <w:rPr>
                <w:rFonts w:cs="Arial"/>
              </w:rPr>
              <w:t xml:space="preserve">Identify codes to price. CPT procedure codes are the preferred codes for pricing laboratory services. If a CPT code is present for a service, price the service using the available CPT code and procedure modifier (if applicable) using Table SPT-LAB. If a CPT code is not present for a service, price the service using the available revenue code. </w:t>
            </w:r>
          </w:p>
          <w:p w14:paraId="132E0955" w14:textId="77777777" w:rsidR="00BF3DF9" w:rsidRPr="00463667" w:rsidRDefault="00BF3DF9" w:rsidP="00C56CA6">
            <w:pPr>
              <w:pStyle w:val="Body"/>
              <w:rPr>
                <w:rFonts w:cs="Arial"/>
              </w:rPr>
            </w:pPr>
            <w:r w:rsidRPr="00463667">
              <w:rPr>
                <w:rFonts w:cs="Arial"/>
              </w:rPr>
              <w:t xml:space="preserve">Identify modifier codes when a CPT code is present. Procedure modifiers are sometimes used to define a service in more detail. In Table SPT-LAB, the standard price for the same CPT code can include multiple rows, reflecting the combinations of CPT codes and modifiers. </w:t>
            </w:r>
          </w:p>
          <w:p w14:paraId="6828CDDB" w14:textId="77777777" w:rsidR="00BF3DF9" w:rsidRPr="00463667" w:rsidRDefault="00BF3DF9" w:rsidP="00C56CA6">
            <w:pPr>
              <w:pStyle w:val="Body"/>
              <w:rPr>
                <w:rFonts w:cs="Arial"/>
              </w:rPr>
            </w:pPr>
            <w:r w:rsidRPr="00463667">
              <w:rPr>
                <w:rFonts w:cs="Arial"/>
              </w:rPr>
              <w:t>For laboratory services, Table SPT-Lab recognizes the following applicable modifiers:</w:t>
            </w:r>
          </w:p>
          <w:p w14:paraId="006E2B72" w14:textId="77777777" w:rsidR="00BF3DF9" w:rsidRPr="00463667" w:rsidRDefault="00BF3DF9" w:rsidP="00C56CA6">
            <w:pPr>
              <w:pStyle w:val="Bullet"/>
              <w:rPr>
                <w:rFonts w:cs="Arial"/>
              </w:rPr>
            </w:pPr>
            <w:r w:rsidRPr="00463667">
              <w:rPr>
                <w:rFonts w:cs="Arial"/>
              </w:rPr>
              <w:t>2</w:t>
            </w:r>
            <w:r w:rsidRPr="00463667">
              <w:t>6 = Professional Component.</w:t>
            </w:r>
          </w:p>
          <w:p w14:paraId="1D856293" w14:textId="77777777" w:rsidR="00BF3DF9" w:rsidRPr="00463667" w:rsidRDefault="00BF3DF9" w:rsidP="00C56CA6">
            <w:pPr>
              <w:pStyle w:val="Bullet"/>
              <w:rPr>
                <w:rFonts w:cs="Arial"/>
              </w:rPr>
            </w:pPr>
            <w:r w:rsidRPr="00463667">
              <w:t>TC = Technical Compon</w:t>
            </w:r>
            <w:r w:rsidRPr="00463667">
              <w:rPr>
                <w:rFonts w:cs="Arial"/>
              </w:rPr>
              <w:t>ent.</w:t>
            </w:r>
          </w:p>
          <w:p w14:paraId="212350AF" w14:textId="77777777" w:rsidR="00BF3DF9" w:rsidRPr="00463667" w:rsidRDefault="00BF3DF9" w:rsidP="00C56CA6">
            <w:pPr>
              <w:pStyle w:val="Body"/>
              <w:rPr>
                <w:rFonts w:cs="Arial"/>
              </w:rPr>
            </w:pPr>
            <w:r w:rsidRPr="00463667">
              <w:rPr>
                <w:rFonts w:cs="Arial"/>
                <w:i/>
              </w:rPr>
              <w:t>If a laboratory service is billed with a blank modifier,</w:t>
            </w:r>
            <w:r w:rsidRPr="00463667">
              <w:rPr>
                <w:rFonts w:cs="Arial"/>
              </w:rPr>
              <w:t xml:space="preserve"> match the procedure code and blank modifier on the service to the appropriate row in Table SPT-LAB. </w:t>
            </w:r>
          </w:p>
          <w:p w14:paraId="62DB2027" w14:textId="77777777" w:rsidR="00BF3DF9" w:rsidRPr="00463667" w:rsidRDefault="00BF3DF9" w:rsidP="00C56CA6">
            <w:pPr>
              <w:pStyle w:val="Body"/>
              <w:rPr>
                <w:rFonts w:cs="Arial"/>
              </w:rPr>
            </w:pPr>
            <w:r w:rsidRPr="00463667">
              <w:rPr>
                <w:rFonts w:cs="Arial"/>
                <w:i/>
              </w:rPr>
              <w:t>If a laboratory service is billed with an applicable modifier,</w:t>
            </w:r>
            <w:r w:rsidRPr="00463667">
              <w:rPr>
                <w:rFonts w:cs="Arial"/>
              </w:rPr>
              <w:t xml:space="preserve"> match the procedure code and modifier on the service to the appropriate row in Table SPT-LAB. </w:t>
            </w:r>
          </w:p>
          <w:p w14:paraId="0B6D60CF" w14:textId="77777777" w:rsidR="00BF3DF9" w:rsidRPr="00463667" w:rsidRDefault="00BF3DF9" w:rsidP="00C56CA6">
            <w:pPr>
              <w:pStyle w:val="Body"/>
              <w:rPr>
                <w:rFonts w:cs="Arial"/>
              </w:rPr>
            </w:pPr>
            <w:r w:rsidRPr="00463667">
              <w:rPr>
                <w:rFonts w:cs="Arial"/>
                <w:i/>
              </w:rPr>
              <w:t xml:space="preserve">If a laboratory service is billed with a no applicable modifier, </w:t>
            </w:r>
            <w:r w:rsidRPr="00463667">
              <w:rPr>
                <w:rFonts w:cs="Arial"/>
              </w:rPr>
              <w:t xml:space="preserve">set the procedure modifier to blank and match the procedure code and blank modifier on the service to the appropriate row in Table SPT-LAB. </w:t>
            </w:r>
          </w:p>
          <w:p w14:paraId="7E279EE4" w14:textId="77777777" w:rsidR="00BF3DF9" w:rsidRPr="00463667" w:rsidRDefault="00BF3DF9" w:rsidP="00C56CA6">
            <w:pPr>
              <w:pStyle w:val="Body"/>
              <w:rPr>
                <w:rFonts w:cs="Arial"/>
              </w:rPr>
            </w:pPr>
            <w:r w:rsidRPr="00463667">
              <w:rPr>
                <w:rFonts w:cs="Arial"/>
                <w:i/>
              </w:rPr>
              <w:t>If the procedure code has no modifiers</w:t>
            </w:r>
            <w:r w:rsidRPr="00463667">
              <w:rPr>
                <w:rFonts w:cs="Arial"/>
              </w:rPr>
              <w:t xml:space="preserve"> or if all modifiers for a specific procedure code are not applicable, price the procedure code with a blank modifier.</w:t>
            </w:r>
          </w:p>
          <w:p w14:paraId="51078BC9" w14:textId="77777777" w:rsidR="00BF3DF9" w:rsidRPr="00463667" w:rsidRDefault="00BF3DF9" w:rsidP="00C56CA6">
            <w:pPr>
              <w:pStyle w:val="Body"/>
              <w:rPr>
                <w:rFonts w:cs="Arial"/>
                <w:i/>
              </w:rPr>
            </w:pPr>
            <w:r w:rsidRPr="00463667">
              <w:rPr>
                <w:rFonts w:cs="Arial"/>
              </w:rPr>
              <w:t xml:space="preserve">Refer to the “Example” table in </w:t>
            </w:r>
            <w:r w:rsidRPr="00463667">
              <w:rPr>
                <w:rFonts w:cs="Arial"/>
                <w:i/>
              </w:rPr>
              <w:t xml:space="preserve">Calculating Total Standard Cost: Surgery and Procedure. </w:t>
            </w:r>
          </w:p>
          <w:p w14:paraId="298A7AB5" w14:textId="77777777" w:rsidR="00BF3DF9" w:rsidRPr="00463667" w:rsidRDefault="00BF3DF9" w:rsidP="00C56CA6">
            <w:pPr>
              <w:pStyle w:val="Body"/>
            </w:pPr>
            <w:r w:rsidRPr="00463667">
              <w:rPr>
                <w:rFonts w:cs="Arial"/>
              </w:rPr>
              <w:t>If the same service is billed by multiple providers, include and price all services. For example, if a physician and a facility bill for the same service, price both.</w:t>
            </w:r>
          </w:p>
        </w:tc>
      </w:tr>
      <w:tr w:rsidR="00BF3DF9" w:rsidRPr="00463667" w14:paraId="45F9A554" w14:textId="77777777" w:rsidTr="00C56CA6">
        <w:trPr>
          <w:trHeight w:val="162"/>
        </w:trPr>
        <w:tc>
          <w:tcPr>
            <w:tcW w:w="990" w:type="dxa"/>
          </w:tcPr>
          <w:p w14:paraId="45A1CC74" w14:textId="77777777" w:rsidR="00BF3DF9" w:rsidRPr="00463667" w:rsidRDefault="00BF3DF9" w:rsidP="00C56CA6">
            <w:pPr>
              <w:pStyle w:val="MarginSubhead"/>
              <w:ind w:left="0"/>
              <w:jc w:val="right"/>
              <w:rPr>
                <w:i/>
                <w:iCs/>
              </w:rPr>
            </w:pPr>
            <w:r w:rsidRPr="00463667">
              <w:rPr>
                <w:i/>
                <w:iCs/>
              </w:rPr>
              <w:t>Step 3</w:t>
            </w:r>
          </w:p>
        </w:tc>
        <w:tc>
          <w:tcPr>
            <w:tcW w:w="8712" w:type="dxa"/>
          </w:tcPr>
          <w:p w14:paraId="6B2D5A9A" w14:textId="77777777" w:rsidR="00BF3DF9" w:rsidRPr="00463667" w:rsidRDefault="00BF3DF9" w:rsidP="00C56CA6">
            <w:pPr>
              <w:pStyle w:val="Body"/>
            </w:pPr>
            <w:r w:rsidRPr="00463667">
              <w:t>Download Table SPT-LAB from the NCQA Web site (</w:t>
            </w:r>
            <w:hyperlink r:id="rId39" w:history="1">
              <w:r w:rsidRPr="00463667">
                <w:rPr>
                  <w:szCs w:val="20"/>
                </w:rPr>
                <w:t>www.ncqa.org</w:t>
              </w:r>
            </w:hyperlink>
            <w:r w:rsidRPr="00463667">
              <w:t>).</w:t>
            </w:r>
          </w:p>
        </w:tc>
      </w:tr>
      <w:tr w:rsidR="00BF3DF9" w:rsidRPr="00463667" w14:paraId="39E2FB6C" w14:textId="77777777" w:rsidTr="00C56CA6">
        <w:trPr>
          <w:trHeight w:val="162"/>
        </w:trPr>
        <w:tc>
          <w:tcPr>
            <w:tcW w:w="990" w:type="dxa"/>
          </w:tcPr>
          <w:p w14:paraId="15486A33" w14:textId="77777777" w:rsidR="00BF3DF9" w:rsidRPr="00463667" w:rsidRDefault="00BF3DF9" w:rsidP="00C56CA6">
            <w:pPr>
              <w:pStyle w:val="MarginSubhead"/>
              <w:ind w:left="0"/>
              <w:jc w:val="right"/>
              <w:rPr>
                <w:i/>
                <w:iCs/>
              </w:rPr>
            </w:pPr>
            <w:r w:rsidRPr="00463667">
              <w:rPr>
                <w:i/>
                <w:iCs/>
              </w:rPr>
              <w:t>Step 4</w:t>
            </w:r>
          </w:p>
        </w:tc>
        <w:tc>
          <w:tcPr>
            <w:tcW w:w="8712" w:type="dxa"/>
          </w:tcPr>
          <w:p w14:paraId="161EE279" w14:textId="77777777" w:rsidR="00BF3DF9" w:rsidRPr="00463667" w:rsidRDefault="00BF3DF9" w:rsidP="00C56CA6">
            <w:pPr>
              <w:pStyle w:val="Body"/>
              <w:rPr>
                <w:szCs w:val="20"/>
              </w:rPr>
            </w:pPr>
            <w:r w:rsidRPr="00463667">
              <w:rPr>
                <w:szCs w:val="20"/>
              </w:rPr>
              <w:t>Match each applicable procedure and applicable procedure modifier or revenue code to obtain the assigned standard price for the service.</w:t>
            </w:r>
          </w:p>
        </w:tc>
      </w:tr>
      <w:tr w:rsidR="00BF3DF9" w:rsidRPr="00463667" w14:paraId="5ED9C136" w14:textId="77777777" w:rsidTr="00C56CA6">
        <w:trPr>
          <w:trHeight w:val="162"/>
        </w:trPr>
        <w:tc>
          <w:tcPr>
            <w:tcW w:w="990" w:type="dxa"/>
          </w:tcPr>
          <w:p w14:paraId="53D4324E" w14:textId="77777777" w:rsidR="00BF3DF9" w:rsidRPr="00463667" w:rsidRDefault="00BF3DF9" w:rsidP="00C56CA6">
            <w:pPr>
              <w:pStyle w:val="MarginSubhead"/>
              <w:ind w:left="0"/>
              <w:jc w:val="right"/>
              <w:rPr>
                <w:i/>
                <w:iCs/>
              </w:rPr>
            </w:pPr>
            <w:r w:rsidRPr="00463667">
              <w:rPr>
                <w:i/>
                <w:iCs/>
              </w:rPr>
              <w:t>Step 5</w:t>
            </w:r>
          </w:p>
        </w:tc>
        <w:tc>
          <w:tcPr>
            <w:tcW w:w="8712" w:type="dxa"/>
          </w:tcPr>
          <w:p w14:paraId="0E9AAC89" w14:textId="77777777" w:rsidR="00BF3DF9" w:rsidRPr="00463667" w:rsidRDefault="00BF3DF9" w:rsidP="00C56CA6">
            <w:pPr>
              <w:pStyle w:val="Body"/>
              <w:rPr>
                <w:szCs w:val="20"/>
              </w:rPr>
            </w:pPr>
            <w:r w:rsidRPr="00463667">
              <w:rPr>
                <w:szCs w:val="20"/>
              </w:rPr>
              <w:t>Multiply the standard price by the number of units associated with the service. Most services have one unit.</w:t>
            </w:r>
          </w:p>
        </w:tc>
      </w:tr>
      <w:tr w:rsidR="00BF3DF9" w:rsidRPr="00463667" w14:paraId="7B29B2CC" w14:textId="77777777" w:rsidTr="00C56CA6">
        <w:trPr>
          <w:trHeight w:val="162"/>
        </w:trPr>
        <w:tc>
          <w:tcPr>
            <w:tcW w:w="990" w:type="dxa"/>
          </w:tcPr>
          <w:p w14:paraId="62D60C5B" w14:textId="77777777" w:rsidR="00BF3DF9" w:rsidRPr="00463667" w:rsidRDefault="00BF3DF9" w:rsidP="00C56CA6">
            <w:pPr>
              <w:pStyle w:val="MarginSubhead"/>
              <w:ind w:left="0"/>
              <w:jc w:val="right"/>
              <w:rPr>
                <w:i/>
                <w:iCs/>
              </w:rPr>
            </w:pPr>
            <w:r w:rsidRPr="00463667">
              <w:rPr>
                <w:i/>
                <w:iCs/>
              </w:rPr>
              <w:t>Step 6</w:t>
            </w:r>
          </w:p>
        </w:tc>
        <w:tc>
          <w:tcPr>
            <w:tcW w:w="8712" w:type="dxa"/>
          </w:tcPr>
          <w:p w14:paraId="48A4F3CC" w14:textId="77777777" w:rsidR="00BF3DF9" w:rsidRPr="00463667" w:rsidRDefault="00BF3DF9" w:rsidP="00C56CA6">
            <w:pPr>
              <w:pStyle w:val="Body"/>
              <w:rPr>
                <w:szCs w:val="20"/>
              </w:rPr>
            </w:pPr>
            <w:r w:rsidRPr="00463667">
              <w:rPr>
                <w:szCs w:val="20"/>
              </w:rPr>
              <w:t>Sum the standard prices across the laboratory services to calculate total cost.</w:t>
            </w:r>
          </w:p>
        </w:tc>
      </w:tr>
    </w:tbl>
    <w:p w14:paraId="09BD2636" w14:textId="77777777" w:rsidR="00BF3DF9" w:rsidRPr="00463667" w:rsidRDefault="00BF3DF9" w:rsidP="00BF3DF9">
      <w:pPr>
        <w:pStyle w:val="Body"/>
        <w:spacing w:before="160"/>
        <w:rPr>
          <w:szCs w:val="20"/>
        </w:rPr>
      </w:pPr>
      <w:r w:rsidRPr="00463667">
        <w:rPr>
          <w:b/>
          <w:i/>
          <w:szCs w:val="20"/>
        </w:rPr>
        <w:t xml:space="preserve">Note: </w:t>
      </w:r>
      <w:r w:rsidRPr="00463667">
        <w:rPr>
          <w:i/>
          <w:szCs w:val="20"/>
        </w:rPr>
        <w:t>Codes for laboratory services in Table SPT-LAB are separated into CPT and revenue codes.</w:t>
      </w:r>
    </w:p>
    <w:p w14:paraId="386FA0E3" w14:textId="77777777" w:rsidR="00BF3DF9" w:rsidRPr="00463667" w:rsidRDefault="00BF3DF9" w:rsidP="00BF3DF9">
      <w:pPr>
        <w:pStyle w:val="Body"/>
        <w:spacing w:before="1920"/>
        <w:rPr>
          <w:sz w:val="18"/>
          <w:szCs w:val="18"/>
        </w:rPr>
      </w:pPr>
      <w:r w:rsidRPr="00463667">
        <w:rPr>
          <w:sz w:val="18"/>
          <w:szCs w:val="18"/>
        </w:rPr>
        <w:t>___________</w:t>
      </w:r>
    </w:p>
    <w:p w14:paraId="2D7BF1F1" w14:textId="26F594C8" w:rsidR="00BF3DF9" w:rsidRPr="00463667" w:rsidRDefault="00BF3DF9" w:rsidP="00974E25">
      <w:pPr>
        <w:pStyle w:val="Body"/>
        <w:spacing w:before="60"/>
        <w:rPr>
          <w:sz w:val="18"/>
          <w:szCs w:val="18"/>
        </w:rPr>
        <w:sectPr w:rsidR="00BF3DF9" w:rsidRPr="00463667" w:rsidSect="00C56CA6">
          <w:pgSz w:w="12240" w:h="15840" w:code="1"/>
          <w:pgMar w:top="1080" w:right="1080" w:bottom="1080" w:left="1440" w:header="720" w:footer="720" w:gutter="0"/>
          <w:cols w:space="720"/>
        </w:sectPr>
      </w:pPr>
      <w:r w:rsidRPr="00463667">
        <w:rPr>
          <w:sz w:val="18"/>
          <w:szCs w:val="18"/>
        </w:rPr>
        <w:t xml:space="preserve">Current Procedural Terminology © </w:t>
      </w:r>
      <w:r w:rsidR="0083581E">
        <w:rPr>
          <w:sz w:val="18"/>
          <w:szCs w:val="18"/>
        </w:rPr>
        <w:t>2015</w:t>
      </w:r>
      <w:r w:rsidRPr="00463667">
        <w:rPr>
          <w:sz w:val="18"/>
          <w:szCs w:val="18"/>
        </w:rPr>
        <w:t xml:space="preserve"> American Medical Association. All rights reserved.</w:t>
      </w:r>
    </w:p>
    <w:bookmarkStart w:id="17" w:name="_Toc400546202"/>
    <w:p w14:paraId="06FD7D5A" w14:textId="7E5C7BED" w:rsidR="00BF3DF9" w:rsidRPr="00463667" w:rsidRDefault="00EF7C1A" w:rsidP="00BF3DF9">
      <w:pPr>
        <w:pStyle w:val="SubHead"/>
        <w:spacing w:before="0"/>
      </w:pPr>
      <w:r>
        <w:rPr>
          <w:i/>
        </w:rPr>
        <w:lastRenderedPageBreak/>
        <w:fldChar w:fldCharType="begin"/>
      </w:r>
      <w:r>
        <w:rPr>
          <w:i/>
        </w:rPr>
        <w:instrText xml:space="preserve"> HYPERLINK  \l "TOC" </w:instrText>
      </w:r>
      <w:r>
        <w:rPr>
          <w:i/>
        </w:rPr>
        <w:fldChar w:fldCharType="separate"/>
      </w:r>
      <w:r w:rsidR="00BF3DF9" w:rsidRPr="00EF7C1A">
        <w:rPr>
          <w:i/>
        </w:rPr>
        <w:t xml:space="preserve">Calculating Total Standard Cost: </w:t>
      </w:r>
      <w:r w:rsidR="00BF3DF9" w:rsidRPr="00EF7C1A">
        <w:t>Diagnostic Imaging Services</w:t>
      </w:r>
      <w:bookmarkEnd w:id="17"/>
      <w:r w:rsidR="00BF3DF9" w:rsidRPr="00EF7C1A">
        <w:t xml:space="preserve"> </w:t>
      </w:r>
      <w:r>
        <w:rPr>
          <w:i/>
        </w:rPr>
        <w:fldChar w:fldCharType="end"/>
      </w:r>
    </w:p>
    <w:tbl>
      <w:tblPr>
        <w:tblW w:w="0" w:type="auto"/>
        <w:tblInd w:w="18" w:type="dxa"/>
        <w:tblLayout w:type="fixed"/>
        <w:tblLook w:val="0000" w:firstRow="0" w:lastRow="0" w:firstColumn="0" w:lastColumn="0" w:noHBand="0" w:noVBand="0"/>
      </w:tblPr>
      <w:tblGrid>
        <w:gridCol w:w="1260"/>
        <w:gridCol w:w="8442"/>
      </w:tblGrid>
      <w:tr w:rsidR="00BF3DF9" w:rsidRPr="00463667" w14:paraId="20F57E7F" w14:textId="77777777" w:rsidTr="00C56CA6">
        <w:trPr>
          <w:trHeight w:val="162"/>
        </w:trPr>
        <w:tc>
          <w:tcPr>
            <w:tcW w:w="1260" w:type="dxa"/>
          </w:tcPr>
          <w:p w14:paraId="45BE8E28" w14:textId="77777777" w:rsidR="00BF3DF9" w:rsidRPr="00463667" w:rsidRDefault="00BF3DF9" w:rsidP="00C56CA6">
            <w:pPr>
              <w:pStyle w:val="MarginSubhead"/>
              <w:spacing w:before="160"/>
              <w:jc w:val="right"/>
              <w:rPr>
                <w:i/>
                <w:iCs/>
              </w:rPr>
            </w:pPr>
            <w:r w:rsidRPr="00463667">
              <w:rPr>
                <w:i/>
                <w:iCs/>
              </w:rPr>
              <w:t>Step 1</w:t>
            </w:r>
          </w:p>
        </w:tc>
        <w:tc>
          <w:tcPr>
            <w:tcW w:w="8442" w:type="dxa"/>
          </w:tcPr>
          <w:p w14:paraId="3A6071AB" w14:textId="5FAC1661" w:rsidR="00BF3DF9" w:rsidRPr="00463667" w:rsidRDefault="00BF3DF9" w:rsidP="00C56CA6">
            <w:pPr>
              <w:pStyle w:val="Body"/>
              <w:spacing w:before="160"/>
              <w:rPr>
                <w:strike/>
              </w:rPr>
            </w:pPr>
            <w:r w:rsidRPr="00463667">
              <w:rPr>
                <w:szCs w:val="20"/>
              </w:rPr>
              <w:t xml:space="preserve">Identify all imaging services during the treatment period. The valid procedure and revenue codes for these services are listed in Table </w:t>
            </w:r>
            <w:r w:rsidR="007B102D">
              <w:rPr>
                <w:szCs w:val="20"/>
              </w:rPr>
              <w:t>SPT-IMG</w:t>
            </w:r>
            <w:r w:rsidRPr="00463667">
              <w:rPr>
                <w:szCs w:val="20"/>
              </w:rPr>
              <w:t>.</w:t>
            </w:r>
          </w:p>
        </w:tc>
      </w:tr>
      <w:tr w:rsidR="00BF3DF9" w:rsidRPr="00463667" w14:paraId="20510CC4" w14:textId="77777777" w:rsidTr="00C56CA6">
        <w:trPr>
          <w:trHeight w:val="162"/>
        </w:trPr>
        <w:tc>
          <w:tcPr>
            <w:tcW w:w="1260" w:type="dxa"/>
          </w:tcPr>
          <w:p w14:paraId="05028BA8" w14:textId="77777777" w:rsidR="00BF3DF9" w:rsidRPr="00463667" w:rsidRDefault="00BF3DF9" w:rsidP="00C56CA6">
            <w:pPr>
              <w:pStyle w:val="MarginSubhead"/>
              <w:spacing w:before="160"/>
              <w:jc w:val="right"/>
              <w:rPr>
                <w:i/>
                <w:iCs/>
              </w:rPr>
            </w:pPr>
            <w:r w:rsidRPr="00463667">
              <w:rPr>
                <w:i/>
                <w:iCs/>
              </w:rPr>
              <w:t>Step 2</w:t>
            </w:r>
          </w:p>
        </w:tc>
        <w:tc>
          <w:tcPr>
            <w:tcW w:w="8442" w:type="dxa"/>
          </w:tcPr>
          <w:p w14:paraId="4DB46460" w14:textId="67E36DE3" w:rsidR="00BF3DF9" w:rsidRPr="00463667" w:rsidRDefault="00BF3DF9" w:rsidP="00C56CA6">
            <w:pPr>
              <w:pStyle w:val="Body"/>
            </w:pPr>
            <w:r w:rsidRPr="00463667">
              <w:t xml:space="preserve">Identify codes to price. CPT procedure codes are the preferred codes for pricing imaging services. If a CPT code is present for a service, price the service using the available CPT code and procedure modifier (if applicable) using Table </w:t>
            </w:r>
            <w:r w:rsidR="007B102D">
              <w:t>SPT-IMG</w:t>
            </w:r>
            <w:r w:rsidRPr="00463667">
              <w:t xml:space="preserve">. If a CPT code is not present for a service, price the service using the available revenue code. </w:t>
            </w:r>
          </w:p>
          <w:p w14:paraId="1C7BA77F" w14:textId="1AFB97D3" w:rsidR="00BF3DF9" w:rsidRPr="00463667" w:rsidRDefault="00BF3DF9" w:rsidP="00C56CA6">
            <w:pPr>
              <w:pStyle w:val="Body"/>
            </w:pPr>
            <w:r w:rsidRPr="00463667">
              <w:t xml:space="preserve">Identify modifier codes when a CPT code is present. Procedure modifiers are sometimes used to define a service in more detail. In Table </w:t>
            </w:r>
            <w:r w:rsidR="007B102D">
              <w:t>SPT-IMG</w:t>
            </w:r>
            <w:r w:rsidRPr="00463667">
              <w:t xml:space="preserve">, the standard price for the same CPT code can include multiple rows, reflecting the combinations of CPT codes and modifiers. </w:t>
            </w:r>
          </w:p>
          <w:p w14:paraId="4ED566D6" w14:textId="40FC44E1" w:rsidR="00BF3DF9" w:rsidRPr="00463667" w:rsidRDefault="00BF3DF9" w:rsidP="00C56CA6">
            <w:pPr>
              <w:pStyle w:val="Body"/>
            </w:pPr>
            <w:r w:rsidRPr="00463667">
              <w:t xml:space="preserve">For imaging services, Table </w:t>
            </w:r>
            <w:r w:rsidR="007B102D">
              <w:t>SPT-IMG</w:t>
            </w:r>
            <w:r w:rsidRPr="00463667">
              <w:t xml:space="preserve"> recognizes the following applicable modifiers:</w:t>
            </w:r>
          </w:p>
          <w:p w14:paraId="6BD70651" w14:textId="77777777" w:rsidR="00BF3DF9" w:rsidRPr="00463667" w:rsidRDefault="00BF3DF9" w:rsidP="00F3111D">
            <w:pPr>
              <w:pStyle w:val="Bullet"/>
              <w:spacing w:before="60"/>
            </w:pPr>
            <w:r w:rsidRPr="00463667">
              <w:t>26 = Professional Component.</w:t>
            </w:r>
          </w:p>
          <w:p w14:paraId="331A44D1" w14:textId="77777777" w:rsidR="00BF3DF9" w:rsidRPr="00463667" w:rsidRDefault="00BF3DF9" w:rsidP="00F3111D">
            <w:pPr>
              <w:pStyle w:val="Bullet"/>
              <w:spacing w:before="60"/>
            </w:pPr>
            <w:r w:rsidRPr="00463667">
              <w:t xml:space="preserve">TC = Technical Component. </w:t>
            </w:r>
          </w:p>
          <w:p w14:paraId="11CED547" w14:textId="28EB53AA" w:rsidR="00BF3DF9" w:rsidRPr="00463667" w:rsidRDefault="00BF3DF9" w:rsidP="00C56CA6">
            <w:pPr>
              <w:pStyle w:val="Body"/>
            </w:pPr>
            <w:r w:rsidRPr="00463667">
              <w:rPr>
                <w:i/>
              </w:rPr>
              <w:t>If an imaging service is billed with a blank modifier,</w:t>
            </w:r>
            <w:r w:rsidRPr="00463667">
              <w:t xml:space="preserve"> match the procedure code and blank modifier on the service to the appropriate row in Table </w:t>
            </w:r>
            <w:r w:rsidR="007B102D">
              <w:t>SPT-IMG</w:t>
            </w:r>
            <w:r w:rsidRPr="00463667">
              <w:t xml:space="preserve">. </w:t>
            </w:r>
          </w:p>
          <w:p w14:paraId="46D8C5FB" w14:textId="66F5781F" w:rsidR="00BF3DF9" w:rsidRPr="00463667" w:rsidRDefault="00BF3DF9" w:rsidP="00CF45D6">
            <w:pPr>
              <w:pStyle w:val="Body"/>
              <w:spacing w:before="120"/>
            </w:pPr>
            <w:r w:rsidRPr="00463667">
              <w:rPr>
                <w:i/>
              </w:rPr>
              <w:t>If an imaging service is billed with an applicable modifier,</w:t>
            </w:r>
            <w:r w:rsidRPr="00463667">
              <w:t xml:space="preserve"> match the procedure code and modifier on the service to the appropriate row in Table </w:t>
            </w:r>
            <w:r w:rsidR="007B102D">
              <w:t>SPT-IMG</w:t>
            </w:r>
            <w:r w:rsidRPr="00463667">
              <w:t xml:space="preserve">. </w:t>
            </w:r>
          </w:p>
          <w:p w14:paraId="05300913" w14:textId="720E3585" w:rsidR="00BF3DF9" w:rsidRPr="00463667" w:rsidRDefault="00BF3DF9" w:rsidP="00CF45D6">
            <w:pPr>
              <w:pStyle w:val="Body"/>
              <w:spacing w:before="120"/>
            </w:pPr>
            <w:r w:rsidRPr="00463667">
              <w:rPr>
                <w:i/>
              </w:rPr>
              <w:t>If an imaging service is billed with a no applicable modifier,</w:t>
            </w:r>
            <w:r w:rsidRPr="00463667">
              <w:t xml:space="preserve"> set the procedure modifier to blank and match the procedure code and blank modifier on the service to the appropriate row in Table </w:t>
            </w:r>
            <w:r w:rsidR="007B102D">
              <w:t>SPT-IMG</w:t>
            </w:r>
            <w:r w:rsidRPr="00463667">
              <w:t xml:space="preserve">. </w:t>
            </w:r>
          </w:p>
          <w:p w14:paraId="1ED8DE0B" w14:textId="77777777" w:rsidR="00BF3DF9" w:rsidRPr="00463667" w:rsidRDefault="00BF3DF9" w:rsidP="00CF45D6">
            <w:pPr>
              <w:pStyle w:val="Body"/>
              <w:spacing w:before="120"/>
            </w:pPr>
            <w:r w:rsidRPr="00463667">
              <w:rPr>
                <w:i/>
              </w:rPr>
              <w:t>If the procedure code has no modifiers</w:t>
            </w:r>
            <w:r w:rsidRPr="00463667">
              <w:t xml:space="preserve"> or if all modifiers for a specific procedure code are not applicable, price the procedure code with a blank modifier.</w:t>
            </w:r>
          </w:p>
          <w:p w14:paraId="00CB120F" w14:textId="77777777" w:rsidR="00BF3DF9" w:rsidRPr="00463667" w:rsidRDefault="00BF3DF9" w:rsidP="00C56CA6">
            <w:pPr>
              <w:pStyle w:val="Body"/>
              <w:rPr>
                <w:rFonts w:cs="Arial"/>
                <w:i/>
              </w:rPr>
            </w:pPr>
            <w:r w:rsidRPr="00463667">
              <w:rPr>
                <w:rFonts w:cs="Arial"/>
              </w:rPr>
              <w:t xml:space="preserve">Refer to the “Example” table in </w:t>
            </w:r>
            <w:r w:rsidRPr="00463667">
              <w:rPr>
                <w:rFonts w:cs="Arial"/>
                <w:i/>
              </w:rPr>
              <w:t xml:space="preserve">Calculating Total Standard Cost: Surgery and Procedure. </w:t>
            </w:r>
          </w:p>
          <w:p w14:paraId="0980768F" w14:textId="77777777" w:rsidR="00BF3DF9" w:rsidRPr="00463667" w:rsidRDefault="00BF3DF9" w:rsidP="00C56CA6">
            <w:pPr>
              <w:pStyle w:val="Body"/>
              <w:rPr>
                <w:strike/>
              </w:rPr>
            </w:pPr>
            <w:r w:rsidRPr="00463667">
              <w:t>If the same service is billed by multiple providers, include and price all services. For example, if a physician and a facility bill for the same service, price both.</w:t>
            </w:r>
          </w:p>
        </w:tc>
      </w:tr>
      <w:tr w:rsidR="00BF3DF9" w:rsidRPr="00463667" w14:paraId="4C6EA313" w14:textId="77777777" w:rsidTr="00C56CA6">
        <w:trPr>
          <w:trHeight w:val="162"/>
        </w:trPr>
        <w:tc>
          <w:tcPr>
            <w:tcW w:w="1260" w:type="dxa"/>
          </w:tcPr>
          <w:p w14:paraId="60637EC0" w14:textId="77777777" w:rsidR="00BF3DF9" w:rsidRPr="00463667" w:rsidRDefault="00BF3DF9" w:rsidP="00C56CA6">
            <w:pPr>
              <w:pStyle w:val="MarginSubhead"/>
              <w:spacing w:before="160"/>
              <w:jc w:val="right"/>
              <w:rPr>
                <w:i/>
                <w:iCs/>
              </w:rPr>
            </w:pPr>
            <w:r w:rsidRPr="00463667">
              <w:rPr>
                <w:i/>
                <w:iCs/>
              </w:rPr>
              <w:t>Step 3</w:t>
            </w:r>
          </w:p>
        </w:tc>
        <w:tc>
          <w:tcPr>
            <w:tcW w:w="8442" w:type="dxa"/>
          </w:tcPr>
          <w:p w14:paraId="64026F24" w14:textId="26281D9D" w:rsidR="00BF3DF9" w:rsidRPr="00463667" w:rsidRDefault="00BF3DF9" w:rsidP="00C56CA6">
            <w:pPr>
              <w:pStyle w:val="Body"/>
              <w:rPr>
                <w:strike/>
              </w:rPr>
            </w:pPr>
            <w:r w:rsidRPr="00463667">
              <w:t xml:space="preserve">Download Table </w:t>
            </w:r>
            <w:r w:rsidR="007B102D">
              <w:t>SPT-IMG</w:t>
            </w:r>
            <w:r w:rsidRPr="00463667">
              <w:t xml:space="preserve"> from the NCQA Web site (</w:t>
            </w:r>
            <w:hyperlink r:id="rId40" w:history="1">
              <w:r w:rsidRPr="00463667">
                <w:t>www.ncqa.org</w:t>
              </w:r>
            </w:hyperlink>
            <w:r w:rsidRPr="00463667">
              <w:t>).</w:t>
            </w:r>
          </w:p>
        </w:tc>
      </w:tr>
      <w:tr w:rsidR="00BF3DF9" w:rsidRPr="00463667" w14:paraId="724A6B9F" w14:textId="77777777" w:rsidTr="00C56CA6">
        <w:trPr>
          <w:trHeight w:val="162"/>
        </w:trPr>
        <w:tc>
          <w:tcPr>
            <w:tcW w:w="1260" w:type="dxa"/>
          </w:tcPr>
          <w:p w14:paraId="4B72F86D" w14:textId="77777777" w:rsidR="00BF3DF9" w:rsidRPr="00463667" w:rsidRDefault="00BF3DF9" w:rsidP="00C56CA6">
            <w:pPr>
              <w:pStyle w:val="MarginSubhead"/>
              <w:spacing w:before="160"/>
              <w:jc w:val="right"/>
              <w:rPr>
                <w:i/>
                <w:iCs/>
              </w:rPr>
            </w:pPr>
            <w:r w:rsidRPr="00463667">
              <w:rPr>
                <w:i/>
                <w:iCs/>
              </w:rPr>
              <w:t>Step 4</w:t>
            </w:r>
          </w:p>
        </w:tc>
        <w:tc>
          <w:tcPr>
            <w:tcW w:w="8442" w:type="dxa"/>
          </w:tcPr>
          <w:p w14:paraId="14B1565A" w14:textId="77777777" w:rsidR="00BF3DF9" w:rsidRPr="00463667" w:rsidRDefault="00BF3DF9" w:rsidP="00C56CA6">
            <w:pPr>
              <w:pStyle w:val="Body"/>
              <w:rPr>
                <w:strike/>
              </w:rPr>
            </w:pPr>
            <w:r w:rsidRPr="00463667">
              <w:t>Match each applicable procedure or revenue code to obtain the assigned standard price for the service.</w:t>
            </w:r>
          </w:p>
        </w:tc>
      </w:tr>
      <w:tr w:rsidR="00BF3DF9" w:rsidRPr="00463667" w14:paraId="25D51B91" w14:textId="77777777" w:rsidTr="00C56CA6">
        <w:trPr>
          <w:trHeight w:val="162"/>
        </w:trPr>
        <w:tc>
          <w:tcPr>
            <w:tcW w:w="1260" w:type="dxa"/>
          </w:tcPr>
          <w:p w14:paraId="2C0FA40E" w14:textId="77777777" w:rsidR="00BF3DF9" w:rsidRPr="00463667" w:rsidRDefault="00BF3DF9" w:rsidP="00C56CA6">
            <w:pPr>
              <w:pStyle w:val="MarginSubhead"/>
              <w:spacing w:before="160"/>
              <w:jc w:val="right"/>
              <w:rPr>
                <w:i/>
                <w:iCs/>
              </w:rPr>
            </w:pPr>
            <w:r w:rsidRPr="00463667">
              <w:rPr>
                <w:i/>
                <w:iCs/>
              </w:rPr>
              <w:t>Step 5</w:t>
            </w:r>
          </w:p>
        </w:tc>
        <w:tc>
          <w:tcPr>
            <w:tcW w:w="8442" w:type="dxa"/>
          </w:tcPr>
          <w:p w14:paraId="6F157923" w14:textId="77777777" w:rsidR="00BF3DF9" w:rsidRPr="00463667" w:rsidRDefault="00BF3DF9" w:rsidP="00C56CA6">
            <w:pPr>
              <w:pStyle w:val="Body"/>
              <w:rPr>
                <w:strike/>
              </w:rPr>
            </w:pPr>
            <w:r w:rsidRPr="00463667">
              <w:t>Multiply the standard price by the number of units associated with the service. Most services have one unit.</w:t>
            </w:r>
          </w:p>
        </w:tc>
      </w:tr>
      <w:tr w:rsidR="00BF3DF9" w:rsidRPr="00463667" w14:paraId="1F42D939" w14:textId="77777777" w:rsidTr="00C56CA6">
        <w:trPr>
          <w:trHeight w:val="162"/>
        </w:trPr>
        <w:tc>
          <w:tcPr>
            <w:tcW w:w="1260" w:type="dxa"/>
          </w:tcPr>
          <w:p w14:paraId="7B8F5A38" w14:textId="77777777" w:rsidR="00BF3DF9" w:rsidRPr="00463667" w:rsidRDefault="00BF3DF9" w:rsidP="00C56CA6">
            <w:pPr>
              <w:pStyle w:val="MarginSubhead"/>
              <w:spacing w:before="160"/>
              <w:jc w:val="right"/>
              <w:rPr>
                <w:i/>
                <w:iCs/>
              </w:rPr>
            </w:pPr>
            <w:r w:rsidRPr="00463667">
              <w:rPr>
                <w:i/>
                <w:iCs/>
              </w:rPr>
              <w:t>Step 6</w:t>
            </w:r>
          </w:p>
        </w:tc>
        <w:tc>
          <w:tcPr>
            <w:tcW w:w="8442" w:type="dxa"/>
          </w:tcPr>
          <w:p w14:paraId="458520A9" w14:textId="77777777" w:rsidR="00BF3DF9" w:rsidRPr="00463667" w:rsidRDefault="00BF3DF9" w:rsidP="00C56CA6">
            <w:pPr>
              <w:pStyle w:val="Body"/>
            </w:pPr>
            <w:r w:rsidRPr="00463667">
              <w:t>Sum the standard prices across the imaging services to calculate total cost.</w:t>
            </w:r>
          </w:p>
        </w:tc>
      </w:tr>
    </w:tbl>
    <w:p w14:paraId="629433C6" w14:textId="6C04D1E5" w:rsidR="00BF3DF9" w:rsidRPr="00463667" w:rsidRDefault="00BF3DF9" w:rsidP="00BF3DF9">
      <w:pPr>
        <w:pStyle w:val="Body"/>
        <w:spacing w:before="160"/>
        <w:rPr>
          <w:szCs w:val="20"/>
        </w:rPr>
      </w:pPr>
      <w:r w:rsidRPr="00463667">
        <w:rPr>
          <w:b/>
          <w:i/>
          <w:szCs w:val="20"/>
        </w:rPr>
        <w:t xml:space="preserve">Note: </w:t>
      </w:r>
      <w:r w:rsidRPr="00463667">
        <w:rPr>
          <w:i/>
          <w:szCs w:val="20"/>
        </w:rPr>
        <w:t xml:space="preserve">Codes for imaging services in Table </w:t>
      </w:r>
      <w:r w:rsidR="007B102D">
        <w:rPr>
          <w:i/>
          <w:szCs w:val="20"/>
        </w:rPr>
        <w:t>SPT-IMG</w:t>
      </w:r>
      <w:r w:rsidRPr="00463667">
        <w:rPr>
          <w:i/>
          <w:szCs w:val="20"/>
        </w:rPr>
        <w:t xml:space="preserve"> are separated into CPT and revenue codes.</w:t>
      </w:r>
    </w:p>
    <w:p w14:paraId="6A932B7D" w14:textId="77777777" w:rsidR="00BF3DF9" w:rsidRPr="00463667" w:rsidRDefault="00BF3DF9" w:rsidP="00740D50">
      <w:pPr>
        <w:pStyle w:val="Body"/>
        <w:spacing w:before="2040"/>
        <w:rPr>
          <w:sz w:val="18"/>
          <w:szCs w:val="18"/>
        </w:rPr>
      </w:pPr>
      <w:r w:rsidRPr="00463667">
        <w:rPr>
          <w:sz w:val="18"/>
          <w:szCs w:val="18"/>
        </w:rPr>
        <w:t>___________</w:t>
      </w:r>
    </w:p>
    <w:p w14:paraId="2AF83E37" w14:textId="471A5A3C" w:rsidR="00BF3DF9" w:rsidRPr="00463667" w:rsidRDefault="00BF3DF9" w:rsidP="00974E25">
      <w:pPr>
        <w:pStyle w:val="Body"/>
        <w:spacing w:before="60"/>
        <w:rPr>
          <w:sz w:val="18"/>
          <w:szCs w:val="18"/>
        </w:rPr>
        <w:sectPr w:rsidR="00BF3DF9" w:rsidRPr="00463667" w:rsidSect="00C56CA6">
          <w:pgSz w:w="12240" w:h="15840" w:code="1"/>
          <w:pgMar w:top="1080" w:right="1080" w:bottom="1080" w:left="1440" w:header="720" w:footer="720" w:gutter="0"/>
          <w:cols w:space="720"/>
        </w:sectPr>
      </w:pPr>
      <w:r w:rsidRPr="00463667">
        <w:rPr>
          <w:sz w:val="18"/>
          <w:szCs w:val="18"/>
        </w:rPr>
        <w:t xml:space="preserve">Current Procedural Terminology © </w:t>
      </w:r>
      <w:r w:rsidR="0083581E">
        <w:rPr>
          <w:sz w:val="18"/>
          <w:szCs w:val="18"/>
        </w:rPr>
        <w:t>2015</w:t>
      </w:r>
      <w:r w:rsidRPr="00463667">
        <w:rPr>
          <w:sz w:val="18"/>
          <w:szCs w:val="18"/>
        </w:rPr>
        <w:t xml:space="preserve"> American Medical Association. All rights reserved.</w:t>
      </w:r>
    </w:p>
    <w:bookmarkStart w:id="18" w:name="_Toc400546203"/>
    <w:p w14:paraId="10779BBA" w14:textId="380AECA9" w:rsidR="00BF3DF9" w:rsidRPr="00463667" w:rsidRDefault="00EF7C1A" w:rsidP="00BF3DF9">
      <w:pPr>
        <w:pStyle w:val="SubHead"/>
        <w:spacing w:before="0"/>
      </w:pPr>
      <w:r>
        <w:rPr>
          <w:i/>
        </w:rPr>
        <w:lastRenderedPageBreak/>
        <w:fldChar w:fldCharType="begin"/>
      </w:r>
      <w:r>
        <w:rPr>
          <w:i/>
        </w:rPr>
        <w:instrText xml:space="preserve"> HYPERLINK  \l "TOC" </w:instrText>
      </w:r>
      <w:r>
        <w:rPr>
          <w:i/>
        </w:rPr>
        <w:fldChar w:fldCharType="separate"/>
      </w:r>
      <w:r w:rsidR="00BF3DF9" w:rsidRPr="00EF7C1A">
        <w:rPr>
          <w:i/>
        </w:rPr>
        <w:t xml:space="preserve">Calculating Total Standard Cost and Frequency: </w:t>
      </w:r>
      <w:r w:rsidR="00BF3DF9" w:rsidRPr="00EF7C1A">
        <w:t>Pharmacy Services</w:t>
      </w:r>
      <w:bookmarkEnd w:id="18"/>
      <w:r>
        <w:rPr>
          <w:i/>
        </w:rPr>
        <w:fldChar w:fldCharType="end"/>
      </w:r>
    </w:p>
    <w:tbl>
      <w:tblPr>
        <w:tblW w:w="0" w:type="auto"/>
        <w:tblLayout w:type="fixed"/>
        <w:tblLook w:val="0000" w:firstRow="0" w:lastRow="0" w:firstColumn="0" w:lastColumn="0" w:noHBand="0" w:noVBand="0"/>
      </w:tblPr>
      <w:tblGrid>
        <w:gridCol w:w="1260"/>
        <w:gridCol w:w="1094"/>
        <w:gridCol w:w="2464"/>
        <w:gridCol w:w="672"/>
        <w:gridCol w:w="1792"/>
        <w:gridCol w:w="2438"/>
        <w:gridCol w:w="27"/>
      </w:tblGrid>
      <w:tr w:rsidR="00BF3DF9" w:rsidRPr="00463667" w14:paraId="2B8C9B07" w14:textId="77777777" w:rsidTr="00C56CA6">
        <w:trPr>
          <w:gridAfter w:val="1"/>
          <w:wAfter w:w="27" w:type="dxa"/>
        </w:trPr>
        <w:tc>
          <w:tcPr>
            <w:tcW w:w="1260" w:type="dxa"/>
          </w:tcPr>
          <w:p w14:paraId="579DD695" w14:textId="77777777" w:rsidR="00BF3DF9" w:rsidRPr="00463667" w:rsidRDefault="00BF3DF9" w:rsidP="00C56CA6">
            <w:pPr>
              <w:pStyle w:val="MarginSubhead"/>
              <w:jc w:val="right"/>
              <w:rPr>
                <w:i/>
                <w:iCs/>
              </w:rPr>
            </w:pPr>
            <w:r w:rsidRPr="00463667">
              <w:rPr>
                <w:i/>
                <w:iCs/>
              </w:rPr>
              <w:t>Step 1</w:t>
            </w:r>
          </w:p>
        </w:tc>
        <w:tc>
          <w:tcPr>
            <w:tcW w:w="8460" w:type="dxa"/>
            <w:gridSpan w:val="5"/>
          </w:tcPr>
          <w:p w14:paraId="5D3DEBD1" w14:textId="77777777" w:rsidR="00BF3DF9" w:rsidRPr="00463667" w:rsidRDefault="00BF3DF9" w:rsidP="00C56CA6">
            <w:pPr>
              <w:pStyle w:val="Body"/>
            </w:pPr>
            <w:r w:rsidRPr="00463667">
              <w:t>Identify all ambulatory prescriptions dispensed (pharmacy services) during the treatment period.</w:t>
            </w:r>
          </w:p>
        </w:tc>
      </w:tr>
      <w:tr w:rsidR="00BF3DF9" w:rsidRPr="00463667" w14:paraId="72BD03C8" w14:textId="77777777" w:rsidTr="00C56CA6">
        <w:trPr>
          <w:gridAfter w:val="1"/>
          <w:wAfter w:w="27" w:type="dxa"/>
        </w:trPr>
        <w:tc>
          <w:tcPr>
            <w:tcW w:w="1260" w:type="dxa"/>
          </w:tcPr>
          <w:p w14:paraId="4C2416D0" w14:textId="77777777" w:rsidR="00BF3DF9" w:rsidRPr="00463667" w:rsidRDefault="00BF3DF9" w:rsidP="00C56CA6">
            <w:pPr>
              <w:pStyle w:val="MarginSubhead"/>
              <w:jc w:val="right"/>
              <w:rPr>
                <w:i/>
                <w:iCs/>
              </w:rPr>
            </w:pPr>
            <w:r w:rsidRPr="00463667">
              <w:rPr>
                <w:i/>
                <w:iCs/>
              </w:rPr>
              <w:t>Step 2</w:t>
            </w:r>
          </w:p>
        </w:tc>
        <w:tc>
          <w:tcPr>
            <w:tcW w:w="8460" w:type="dxa"/>
            <w:gridSpan w:val="5"/>
          </w:tcPr>
          <w:p w14:paraId="1F8BF70A" w14:textId="77777777" w:rsidR="00BF3DF9" w:rsidRPr="00463667" w:rsidRDefault="00BF3DF9" w:rsidP="00C56CA6">
            <w:pPr>
              <w:pStyle w:val="Body"/>
            </w:pPr>
            <w:r w:rsidRPr="00463667">
              <w:t xml:space="preserve">Identify the NDC code and the metric quantity for each prescription. If metric quantity is available, the organization must use it to determine standard price. If the metric quantity is not available, use the standard unit price per day. </w:t>
            </w:r>
          </w:p>
          <w:p w14:paraId="57910D6D" w14:textId="77777777" w:rsidR="00BF3DF9" w:rsidRPr="00463667" w:rsidRDefault="00BF3DF9" w:rsidP="00C56CA6">
            <w:pPr>
              <w:pStyle w:val="Body"/>
            </w:pPr>
            <w:r w:rsidRPr="00463667">
              <w:t>Organizations that use proprietary or regional codes must map them to standard NDC codes.</w:t>
            </w:r>
          </w:p>
        </w:tc>
      </w:tr>
      <w:tr w:rsidR="00BF3DF9" w:rsidRPr="00463667" w14:paraId="04E99E83" w14:textId="77777777" w:rsidTr="00C56CA6">
        <w:trPr>
          <w:gridAfter w:val="1"/>
          <w:wAfter w:w="27" w:type="dxa"/>
        </w:trPr>
        <w:tc>
          <w:tcPr>
            <w:tcW w:w="1260" w:type="dxa"/>
          </w:tcPr>
          <w:p w14:paraId="58471327" w14:textId="77777777" w:rsidR="00BF3DF9" w:rsidRPr="00463667" w:rsidRDefault="00BF3DF9" w:rsidP="00C56CA6">
            <w:pPr>
              <w:pStyle w:val="MarginSubhead"/>
              <w:jc w:val="right"/>
              <w:rPr>
                <w:i/>
                <w:iCs/>
              </w:rPr>
            </w:pPr>
            <w:r w:rsidRPr="00463667">
              <w:rPr>
                <w:i/>
                <w:iCs/>
              </w:rPr>
              <w:t>Step 3</w:t>
            </w:r>
          </w:p>
        </w:tc>
        <w:tc>
          <w:tcPr>
            <w:tcW w:w="8460" w:type="dxa"/>
            <w:gridSpan w:val="5"/>
          </w:tcPr>
          <w:p w14:paraId="39B6B6FB" w14:textId="77777777" w:rsidR="00BF3DF9" w:rsidRPr="00463667" w:rsidRDefault="00BF3DF9" w:rsidP="00C56CA6">
            <w:pPr>
              <w:pStyle w:val="Body"/>
            </w:pPr>
            <w:r w:rsidRPr="00463667">
              <w:t>Download Table SPT-Pharm from the NCQA Web site (</w:t>
            </w:r>
            <w:hyperlink r:id="rId41" w:history="1">
              <w:r w:rsidRPr="00463667">
                <w:t>www.ncqa.org</w:t>
              </w:r>
            </w:hyperlink>
            <w:r w:rsidRPr="00463667">
              <w:t>). The table contains:</w:t>
            </w:r>
          </w:p>
          <w:p w14:paraId="31967FAB" w14:textId="77777777" w:rsidR="00BF3DF9" w:rsidRPr="00463667" w:rsidRDefault="00BF3DF9" w:rsidP="00740D50">
            <w:pPr>
              <w:pStyle w:val="Bullet"/>
              <w:spacing w:before="60"/>
            </w:pPr>
            <w:r w:rsidRPr="00463667">
              <w:t>The NDC code.</w:t>
            </w:r>
          </w:p>
          <w:p w14:paraId="75AC9DB5" w14:textId="77777777" w:rsidR="00BF3DF9" w:rsidRPr="00463667" w:rsidRDefault="00BF3DF9" w:rsidP="00740D50">
            <w:pPr>
              <w:pStyle w:val="Bullet"/>
              <w:spacing w:before="60"/>
            </w:pPr>
            <w:r w:rsidRPr="00463667">
              <w:t>A standard unit price per metric quantity.</w:t>
            </w:r>
          </w:p>
          <w:p w14:paraId="7A2B19BE" w14:textId="77777777" w:rsidR="00BF3DF9" w:rsidRPr="00463667" w:rsidRDefault="00BF3DF9" w:rsidP="00740D50">
            <w:pPr>
              <w:pStyle w:val="Bullet"/>
              <w:spacing w:before="60"/>
            </w:pPr>
            <w:r w:rsidRPr="00463667">
              <w:t>A standard unit price per day.</w:t>
            </w:r>
          </w:p>
          <w:p w14:paraId="62878AED" w14:textId="77777777" w:rsidR="00BF3DF9" w:rsidRPr="00463667" w:rsidRDefault="00BF3DF9" w:rsidP="00740D50">
            <w:pPr>
              <w:pStyle w:val="Bullet"/>
              <w:spacing w:before="60"/>
            </w:pPr>
            <w:r w:rsidRPr="00463667">
              <w:t>Prescription category:</w:t>
            </w:r>
          </w:p>
        </w:tc>
      </w:tr>
      <w:tr w:rsidR="00BF3DF9" w:rsidRPr="00463667" w14:paraId="3F55C5B4" w14:textId="77777777" w:rsidTr="00C56CA6">
        <w:trPr>
          <w:gridAfter w:val="1"/>
          <w:wAfter w:w="27" w:type="dxa"/>
        </w:trPr>
        <w:tc>
          <w:tcPr>
            <w:tcW w:w="1260" w:type="dxa"/>
          </w:tcPr>
          <w:p w14:paraId="1172B719" w14:textId="77777777" w:rsidR="00BF3DF9" w:rsidRPr="00463667" w:rsidRDefault="00BF3DF9" w:rsidP="00C56CA6">
            <w:pPr>
              <w:pStyle w:val="MarginSubhead"/>
              <w:jc w:val="right"/>
              <w:rPr>
                <w:i/>
                <w:iCs/>
              </w:rPr>
            </w:pPr>
          </w:p>
        </w:tc>
        <w:tc>
          <w:tcPr>
            <w:tcW w:w="4230" w:type="dxa"/>
            <w:gridSpan w:val="3"/>
          </w:tcPr>
          <w:p w14:paraId="78E6F3B3" w14:textId="77777777" w:rsidR="00BF3DF9" w:rsidRPr="00463667" w:rsidRDefault="00BF3DF9" w:rsidP="00740D50">
            <w:pPr>
              <w:pStyle w:val="Dash"/>
              <w:spacing w:before="30"/>
            </w:pPr>
            <w:r w:rsidRPr="00463667">
              <w:t>Name brand only (N1).</w:t>
            </w:r>
          </w:p>
          <w:p w14:paraId="4F200E04" w14:textId="77777777" w:rsidR="00BF3DF9" w:rsidRPr="00463667" w:rsidRDefault="00BF3DF9" w:rsidP="00740D50">
            <w:pPr>
              <w:pStyle w:val="Dash"/>
              <w:spacing w:before="30"/>
            </w:pPr>
            <w:r w:rsidRPr="00463667">
              <w:t>Name brand—Generic exists (N2).</w:t>
            </w:r>
          </w:p>
        </w:tc>
        <w:tc>
          <w:tcPr>
            <w:tcW w:w="4230" w:type="dxa"/>
            <w:gridSpan w:val="2"/>
          </w:tcPr>
          <w:p w14:paraId="1BC69030" w14:textId="77777777" w:rsidR="00BF3DF9" w:rsidRPr="00463667" w:rsidRDefault="00BF3DF9" w:rsidP="00740D50">
            <w:pPr>
              <w:pStyle w:val="ProcessDash"/>
              <w:tabs>
                <w:tab w:val="clear" w:pos="216"/>
              </w:tabs>
              <w:spacing w:before="30"/>
              <w:ind w:left="202"/>
            </w:pPr>
            <w:r w:rsidRPr="00463667">
              <w:t>Generic only (G1).</w:t>
            </w:r>
          </w:p>
          <w:p w14:paraId="2B964806" w14:textId="77777777" w:rsidR="00BF3DF9" w:rsidRPr="00463667" w:rsidRDefault="00BF3DF9" w:rsidP="00740D50">
            <w:pPr>
              <w:pStyle w:val="ProcessDash"/>
              <w:tabs>
                <w:tab w:val="clear" w:pos="216"/>
              </w:tabs>
              <w:spacing w:before="30"/>
              <w:ind w:left="202"/>
            </w:pPr>
            <w:r w:rsidRPr="00463667">
              <w:t>Generic name—Name brand exists (G2).</w:t>
            </w:r>
          </w:p>
        </w:tc>
      </w:tr>
      <w:tr w:rsidR="00BF3DF9" w:rsidRPr="00463667" w14:paraId="41B62ED5" w14:textId="77777777" w:rsidTr="00C56CA6">
        <w:trPr>
          <w:gridAfter w:val="1"/>
          <w:wAfter w:w="27" w:type="dxa"/>
        </w:trPr>
        <w:tc>
          <w:tcPr>
            <w:tcW w:w="1260" w:type="dxa"/>
          </w:tcPr>
          <w:p w14:paraId="588E54B8" w14:textId="77777777" w:rsidR="00BF3DF9" w:rsidRPr="00463667" w:rsidRDefault="00BF3DF9" w:rsidP="00C56CA6">
            <w:pPr>
              <w:pStyle w:val="MarginSubhead"/>
              <w:jc w:val="right"/>
              <w:rPr>
                <w:i/>
                <w:iCs/>
              </w:rPr>
            </w:pPr>
            <w:r w:rsidRPr="00463667">
              <w:rPr>
                <w:i/>
                <w:iCs/>
              </w:rPr>
              <w:t>Step 4</w:t>
            </w:r>
          </w:p>
        </w:tc>
        <w:tc>
          <w:tcPr>
            <w:tcW w:w="8460" w:type="dxa"/>
            <w:gridSpan w:val="5"/>
          </w:tcPr>
          <w:p w14:paraId="6754F7E0" w14:textId="77777777" w:rsidR="00BF3DF9" w:rsidRPr="00463667" w:rsidRDefault="00BF3DF9" w:rsidP="00C56CA6">
            <w:pPr>
              <w:pStyle w:val="MarginSubhead"/>
              <w:ind w:left="0"/>
              <w:rPr>
                <w:b w:val="0"/>
              </w:rPr>
            </w:pPr>
            <w:r w:rsidRPr="00463667">
              <w:rPr>
                <w:b w:val="0"/>
              </w:rPr>
              <w:t>Match each NDC code to the appropriate row in Table SPT-Pharm.</w:t>
            </w:r>
          </w:p>
        </w:tc>
      </w:tr>
      <w:tr w:rsidR="00BF3DF9" w:rsidRPr="00463667" w14:paraId="140A620A" w14:textId="77777777" w:rsidTr="00C56CA6">
        <w:tc>
          <w:tcPr>
            <w:tcW w:w="1260" w:type="dxa"/>
          </w:tcPr>
          <w:p w14:paraId="052F6EC9" w14:textId="77777777" w:rsidR="00BF3DF9" w:rsidRPr="00463667" w:rsidRDefault="00BF3DF9" w:rsidP="00C56CA6">
            <w:pPr>
              <w:pStyle w:val="MarginSubhead"/>
              <w:spacing w:before="240"/>
              <w:jc w:val="right"/>
              <w:rPr>
                <w:i/>
                <w:iCs/>
              </w:rPr>
            </w:pPr>
            <w:r w:rsidRPr="00463667">
              <w:rPr>
                <w:i/>
                <w:iCs/>
              </w:rPr>
              <w:t>Step 5</w:t>
            </w:r>
          </w:p>
        </w:tc>
        <w:tc>
          <w:tcPr>
            <w:tcW w:w="8487" w:type="dxa"/>
            <w:gridSpan w:val="6"/>
          </w:tcPr>
          <w:p w14:paraId="07B9BA7D" w14:textId="77777777" w:rsidR="00BF3DF9" w:rsidRPr="00463667" w:rsidRDefault="00BF3DF9" w:rsidP="00C56CA6">
            <w:pPr>
              <w:pStyle w:val="Body"/>
              <w:spacing w:before="240"/>
            </w:pPr>
            <w:r w:rsidRPr="00463667">
              <w:t>For pharmacy prescription utilization, aggregate and report service frequencies by organization,</w:t>
            </w:r>
            <w:r w:rsidRPr="00463667" w:rsidDel="00980036">
              <w:t xml:space="preserve"> </w:t>
            </w:r>
            <w:r w:rsidRPr="00463667">
              <w:t>in each prescription category, at the total level.</w:t>
            </w:r>
          </w:p>
          <w:p w14:paraId="7B33F9FD" w14:textId="77777777" w:rsidR="00BF3DF9" w:rsidRPr="00463667" w:rsidRDefault="00BF3DF9" w:rsidP="00C56CA6">
            <w:pPr>
              <w:pStyle w:val="Body"/>
            </w:pPr>
            <w:r w:rsidRPr="00463667">
              <w:t xml:space="preserve">One prescription is an amount lasting 30 days or less. To calculate the number of prescriptions when the </w:t>
            </w:r>
            <w:proofErr w:type="spellStart"/>
            <w:r w:rsidRPr="00463667">
              <w:t>days</w:t>
            </w:r>
            <w:proofErr w:type="spellEnd"/>
            <w:r w:rsidRPr="00463667">
              <w:t xml:space="preserve"> supply is 30 days or more, divide the </w:t>
            </w:r>
            <w:proofErr w:type="spellStart"/>
            <w:r w:rsidRPr="00463667">
              <w:t>days</w:t>
            </w:r>
            <w:proofErr w:type="spellEnd"/>
            <w:r w:rsidRPr="00463667">
              <w:t xml:space="preserve"> supply by 30 and round down to convert.</w:t>
            </w:r>
          </w:p>
        </w:tc>
      </w:tr>
      <w:tr w:rsidR="00BF3DF9" w:rsidRPr="00463667" w14:paraId="72C3CB01" w14:textId="77777777" w:rsidTr="00C56CA6">
        <w:tc>
          <w:tcPr>
            <w:tcW w:w="1260" w:type="dxa"/>
          </w:tcPr>
          <w:p w14:paraId="6D5FC850" w14:textId="77777777" w:rsidR="00BF3DF9" w:rsidRPr="00463667" w:rsidRDefault="00BF3DF9" w:rsidP="00C56CA6">
            <w:pPr>
              <w:pStyle w:val="MarginSubhead"/>
              <w:jc w:val="right"/>
              <w:rPr>
                <w:i/>
                <w:iCs/>
              </w:rPr>
            </w:pPr>
            <w:r w:rsidRPr="00463667">
              <w:rPr>
                <w:i/>
                <w:iCs/>
              </w:rPr>
              <w:t>Step 6</w:t>
            </w:r>
          </w:p>
        </w:tc>
        <w:tc>
          <w:tcPr>
            <w:tcW w:w="8487" w:type="dxa"/>
            <w:gridSpan w:val="6"/>
          </w:tcPr>
          <w:p w14:paraId="0E948520" w14:textId="77777777" w:rsidR="00BF3DF9" w:rsidRPr="00463667" w:rsidRDefault="00BF3DF9" w:rsidP="00C56CA6">
            <w:pPr>
              <w:pStyle w:val="Body"/>
            </w:pPr>
            <w:r w:rsidRPr="00463667">
              <w:t>If the metric quantity is available, multiply the metric quantity dispensed by the standard price per metric quantity for each prescription.</w:t>
            </w:r>
          </w:p>
        </w:tc>
      </w:tr>
      <w:tr w:rsidR="00BF3DF9" w:rsidRPr="00463667" w14:paraId="6BC30E0F" w14:textId="77777777" w:rsidTr="00C56CA6">
        <w:tc>
          <w:tcPr>
            <w:tcW w:w="1260" w:type="dxa"/>
          </w:tcPr>
          <w:p w14:paraId="5C4FCFE9" w14:textId="77777777" w:rsidR="00BF3DF9" w:rsidRPr="00463667" w:rsidRDefault="00BF3DF9" w:rsidP="00C56CA6">
            <w:pPr>
              <w:pStyle w:val="MarginSubhead"/>
              <w:jc w:val="right"/>
              <w:rPr>
                <w:i/>
                <w:iCs/>
              </w:rPr>
            </w:pPr>
            <w:r w:rsidRPr="00463667">
              <w:rPr>
                <w:i/>
                <w:iCs/>
              </w:rPr>
              <w:t>Step 7</w:t>
            </w:r>
          </w:p>
        </w:tc>
        <w:tc>
          <w:tcPr>
            <w:tcW w:w="8487" w:type="dxa"/>
            <w:gridSpan w:val="6"/>
          </w:tcPr>
          <w:p w14:paraId="7CE802DF" w14:textId="77777777" w:rsidR="00BF3DF9" w:rsidRPr="00463667" w:rsidRDefault="00BF3DF9" w:rsidP="00C56CA6">
            <w:pPr>
              <w:pStyle w:val="Body"/>
            </w:pPr>
            <w:r w:rsidRPr="00463667">
              <w:t xml:space="preserve">If the metric quantity is unavailable, multiply the </w:t>
            </w:r>
            <w:proofErr w:type="spellStart"/>
            <w:r w:rsidRPr="00463667">
              <w:t>days</w:t>
            </w:r>
            <w:proofErr w:type="spellEnd"/>
            <w:r w:rsidRPr="00463667">
              <w:t xml:space="preserve"> supply dispensed by the standard unit price per day for each prescription.</w:t>
            </w:r>
          </w:p>
        </w:tc>
      </w:tr>
      <w:tr w:rsidR="00BF3DF9" w:rsidRPr="00463667" w14:paraId="07D7D2AD" w14:textId="77777777" w:rsidTr="00C56CA6">
        <w:tc>
          <w:tcPr>
            <w:tcW w:w="1260" w:type="dxa"/>
          </w:tcPr>
          <w:p w14:paraId="34FF48C4" w14:textId="77777777" w:rsidR="00BF3DF9" w:rsidRPr="00463667" w:rsidRDefault="00BF3DF9" w:rsidP="00C56CA6">
            <w:pPr>
              <w:pStyle w:val="MarginSubhead"/>
              <w:jc w:val="right"/>
              <w:rPr>
                <w:i/>
                <w:iCs/>
              </w:rPr>
            </w:pPr>
            <w:r w:rsidRPr="00463667">
              <w:rPr>
                <w:i/>
                <w:iCs/>
              </w:rPr>
              <w:t>Step 8</w:t>
            </w:r>
          </w:p>
        </w:tc>
        <w:tc>
          <w:tcPr>
            <w:tcW w:w="8487" w:type="dxa"/>
            <w:gridSpan w:val="6"/>
          </w:tcPr>
          <w:p w14:paraId="40974FA9" w14:textId="77777777" w:rsidR="00BF3DF9" w:rsidRPr="00463667" w:rsidRDefault="00BF3DF9" w:rsidP="00C56CA6">
            <w:pPr>
              <w:pStyle w:val="Body"/>
            </w:pPr>
            <w:r w:rsidRPr="00463667">
              <w:t xml:space="preserve">Sum the unit prices for all unique prescription dispensing events. </w:t>
            </w:r>
          </w:p>
        </w:tc>
      </w:tr>
      <w:tr w:rsidR="00BF3DF9" w:rsidRPr="00463667" w14:paraId="78923DE4" w14:textId="77777777" w:rsidTr="00C56CA6">
        <w:tc>
          <w:tcPr>
            <w:tcW w:w="1260" w:type="dxa"/>
          </w:tcPr>
          <w:p w14:paraId="7DB9E6E0" w14:textId="77777777" w:rsidR="00BF3DF9" w:rsidRPr="00463667" w:rsidRDefault="00BF3DF9" w:rsidP="00C56CA6">
            <w:pPr>
              <w:pStyle w:val="MarginSubhead"/>
              <w:jc w:val="right"/>
              <w:rPr>
                <w:iCs/>
                <w:u w:val="single"/>
              </w:rPr>
            </w:pPr>
            <w:r w:rsidRPr="00463667">
              <w:rPr>
                <w:u w:val="single"/>
              </w:rPr>
              <w:t>Example</w:t>
            </w:r>
          </w:p>
        </w:tc>
        <w:tc>
          <w:tcPr>
            <w:tcW w:w="8487" w:type="dxa"/>
            <w:gridSpan w:val="6"/>
          </w:tcPr>
          <w:p w14:paraId="5FDB09C6" w14:textId="77777777" w:rsidR="00BF3DF9" w:rsidRPr="00463667" w:rsidRDefault="00BF3DF9" w:rsidP="00C56CA6">
            <w:pPr>
              <w:pStyle w:val="Body"/>
              <w:spacing w:after="120"/>
            </w:pPr>
            <w:r w:rsidRPr="00463667">
              <w:t>Calculate total pharmacy cost with metric quantity</w:t>
            </w:r>
            <w:r w:rsidRPr="00463667">
              <w:rPr>
                <w:i/>
              </w:rPr>
              <w:t xml:space="preserve"> </w:t>
            </w:r>
            <w:r w:rsidRPr="00463667">
              <w:t>using Sample Table SPT—Pharm</w:t>
            </w:r>
            <w:r w:rsidRPr="00463667">
              <w:rPr>
                <w:i/>
              </w:rPr>
              <w:t xml:space="preserve"> </w:t>
            </w:r>
            <w:r w:rsidRPr="00463667">
              <w:t>for</w:t>
            </w:r>
            <w:r w:rsidRPr="00463667">
              <w:rPr>
                <w:i/>
              </w:rPr>
              <w:t xml:space="preserve"> </w:t>
            </w:r>
            <w:r w:rsidRPr="00463667">
              <w:t>an eligible member with prescriptions that have metric quantities.</w:t>
            </w:r>
          </w:p>
          <w:p w14:paraId="7112C812" w14:textId="77777777" w:rsidR="00BF3DF9" w:rsidRPr="00463667" w:rsidRDefault="00BF3DF9" w:rsidP="00C56CA6">
            <w:pPr>
              <w:pStyle w:val="Body"/>
              <w:spacing w:after="120"/>
            </w:pPr>
            <w:r w:rsidRPr="00463667">
              <w:t>In this example, the member’s total pharmacy cost is $1,330.00.</w:t>
            </w:r>
          </w:p>
        </w:tc>
      </w:tr>
      <w:tr w:rsidR="00BF3DF9" w:rsidRPr="00463667" w14:paraId="1164DEDE" w14:textId="77777777" w:rsidTr="00C56CA6">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jc w:val="center"/>
        </w:trPr>
        <w:tc>
          <w:tcPr>
            <w:tcW w:w="2354" w:type="dxa"/>
            <w:gridSpan w:val="2"/>
            <w:tcBorders>
              <w:right w:val="single" w:sz="6" w:space="0" w:color="FFFFFF"/>
            </w:tcBorders>
            <w:shd w:val="clear" w:color="auto" w:fill="000000"/>
            <w:vAlign w:val="bottom"/>
          </w:tcPr>
          <w:p w14:paraId="1D5D4EA3" w14:textId="77777777" w:rsidR="00BF3DF9" w:rsidRPr="00463667" w:rsidRDefault="00BF3DF9" w:rsidP="00C56CA6">
            <w:pPr>
              <w:pStyle w:val="TableHead"/>
              <w:rPr>
                <w:color w:val="auto"/>
              </w:rPr>
            </w:pPr>
            <w:r w:rsidRPr="00463667">
              <w:rPr>
                <w:color w:val="auto"/>
              </w:rPr>
              <w:t>Member Prescriptions</w:t>
            </w:r>
          </w:p>
        </w:tc>
        <w:tc>
          <w:tcPr>
            <w:tcW w:w="2464" w:type="dxa"/>
            <w:tcBorders>
              <w:left w:val="single" w:sz="6" w:space="0" w:color="FFFFFF"/>
              <w:right w:val="single" w:sz="6" w:space="0" w:color="FFFFFF"/>
            </w:tcBorders>
            <w:shd w:val="clear" w:color="auto" w:fill="000000"/>
            <w:vAlign w:val="bottom"/>
          </w:tcPr>
          <w:p w14:paraId="1F9E91F7" w14:textId="77777777" w:rsidR="00BF3DF9" w:rsidRPr="00463667" w:rsidRDefault="00BF3DF9" w:rsidP="00C56CA6">
            <w:pPr>
              <w:pStyle w:val="TableHead"/>
              <w:rPr>
                <w:color w:val="auto"/>
              </w:rPr>
            </w:pPr>
            <w:r w:rsidRPr="00463667">
              <w:rPr>
                <w:color w:val="auto"/>
              </w:rPr>
              <w:t>Metric Quantity Prescribed</w:t>
            </w:r>
          </w:p>
        </w:tc>
        <w:tc>
          <w:tcPr>
            <w:tcW w:w="2464" w:type="dxa"/>
            <w:gridSpan w:val="2"/>
            <w:tcBorders>
              <w:left w:val="single" w:sz="6" w:space="0" w:color="FFFFFF"/>
              <w:right w:val="single" w:sz="6" w:space="0" w:color="FFFFFF"/>
            </w:tcBorders>
            <w:shd w:val="clear" w:color="auto" w:fill="000000"/>
            <w:vAlign w:val="bottom"/>
          </w:tcPr>
          <w:p w14:paraId="215286E6" w14:textId="77777777" w:rsidR="00BF3DF9" w:rsidRPr="00463667" w:rsidRDefault="00BF3DF9" w:rsidP="00C56CA6">
            <w:pPr>
              <w:pStyle w:val="TableHead"/>
              <w:rPr>
                <w:color w:val="auto"/>
              </w:rPr>
            </w:pPr>
            <w:r w:rsidRPr="00463667">
              <w:rPr>
                <w:color w:val="auto"/>
              </w:rPr>
              <w:t>Standard Unit Price ($) per Metric Quantity</w:t>
            </w:r>
          </w:p>
        </w:tc>
        <w:tc>
          <w:tcPr>
            <w:tcW w:w="2465" w:type="dxa"/>
            <w:gridSpan w:val="2"/>
            <w:tcBorders>
              <w:left w:val="single" w:sz="6" w:space="0" w:color="FFFFFF"/>
            </w:tcBorders>
            <w:shd w:val="clear" w:color="auto" w:fill="000000"/>
            <w:vAlign w:val="bottom"/>
          </w:tcPr>
          <w:p w14:paraId="760DFB0B" w14:textId="77777777" w:rsidR="00BF3DF9" w:rsidRPr="00463667" w:rsidRDefault="00BF3DF9" w:rsidP="00C56CA6">
            <w:pPr>
              <w:pStyle w:val="TableHead"/>
              <w:rPr>
                <w:color w:val="auto"/>
              </w:rPr>
            </w:pPr>
            <w:r w:rsidRPr="00463667">
              <w:rPr>
                <w:color w:val="auto"/>
              </w:rPr>
              <w:t>Standard Cost ($)</w:t>
            </w:r>
          </w:p>
        </w:tc>
      </w:tr>
      <w:tr w:rsidR="00BF3DF9" w:rsidRPr="00463667" w14:paraId="5B788026" w14:textId="77777777" w:rsidTr="00C56CA6">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jc w:val="center"/>
        </w:trPr>
        <w:tc>
          <w:tcPr>
            <w:tcW w:w="2354" w:type="dxa"/>
            <w:gridSpan w:val="2"/>
            <w:shd w:val="clear" w:color="auto" w:fill="auto"/>
          </w:tcPr>
          <w:p w14:paraId="65C6A684" w14:textId="77777777" w:rsidR="00BF3DF9" w:rsidRPr="00463667" w:rsidRDefault="00BF3DF9" w:rsidP="00C56CA6">
            <w:pPr>
              <w:pStyle w:val="TableText"/>
              <w:jc w:val="center"/>
            </w:pPr>
            <w:r w:rsidRPr="00463667">
              <w:t>11111111111</w:t>
            </w:r>
          </w:p>
        </w:tc>
        <w:tc>
          <w:tcPr>
            <w:tcW w:w="2464" w:type="dxa"/>
            <w:shd w:val="clear" w:color="auto" w:fill="auto"/>
          </w:tcPr>
          <w:p w14:paraId="10EEF4D1" w14:textId="77777777" w:rsidR="00BF3DF9" w:rsidRPr="00463667" w:rsidRDefault="00BF3DF9" w:rsidP="00C56CA6">
            <w:pPr>
              <w:pStyle w:val="TableText"/>
              <w:ind w:right="1006"/>
              <w:jc w:val="right"/>
            </w:pPr>
            <w:r w:rsidRPr="00463667">
              <w:t>8</w:t>
            </w:r>
          </w:p>
        </w:tc>
        <w:tc>
          <w:tcPr>
            <w:tcW w:w="2464" w:type="dxa"/>
            <w:gridSpan w:val="2"/>
            <w:shd w:val="clear" w:color="auto" w:fill="auto"/>
          </w:tcPr>
          <w:p w14:paraId="3A32A7C1" w14:textId="77777777" w:rsidR="00BF3DF9" w:rsidRPr="00463667" w:rsidRDefault="00BF3DF9" w:rsidP="00C56CA6">
            <w:pPr>
              <w:pStyle w:val="TableText"/>
              <w:jc w:val="center"/>
            </w:pPr>
            <w:r w:rsidRPr="00463667">
              <w:t>10.00</w:t>
            </w:r>
          </w:p>
        </w:tc>
        <w:tc>
          <w:tcPr>
            <w:tcW w:w="2465" w:type="dxa"/>
            <w:gridSpan w:val="2"/>
            <w:shd w:val="clear" w:color="auto" w:fill="auto"/>
          </w:tcPr>
          <w:p w14:paraId="445A68EF" w14:textId="77777777" w:rsidR="00BF3DF9" w:rsidRPr="00463667" w:rsidRDefault="00BF3DF9" w:rsidP="00C56CA6">
            <w:pPr>
              <w:pStyle w:val="TableText"/>
              <w:ind w:right="895"/>
              <w:jc w:val="right"/>
            </w:pPr>
            <w:r w:rsidRPr="00463667">
              <w:t>80.00</w:t>
            </w:r>
          </w:p>
        </w:tc>
      </w:tr>
      <w:tr w:rsidR="00BF3DF9" w:rsidRPr="00463667" w14:paraId="0185FF8D" w14:textId="77777777" w:rsidTr="00C56CA6">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jc w:val="center"/>
        </w:trPr>
        <w:tc>
          <w:tcPr>
            <w:tcW w:w="2354" w:type="dxa"/>
            <w:gridSpan w:val="2"/>
            <w:shd w:val="clear" w:color="auto" w:fill="auto"/>
          </w:tcPr>
          <w:p w14:paraId="38D91E27" w14:textId="77777777" w:rsidR="00BF3DF9" w:rsidRPr="00463667" w:rsidRDefault="00BF3DF9" w:rsidP="00C56CA6">
            <w:pPr>
              <w:pStyle w:val="TableText"/>
              <w:jc w:val="center"/>
            </w:pPr>
            <w:r w:rsidRPr="00463667">
              <w:t>11111111111</w:t>
            </w:r>
          </w:p>
        </w:tc>
        <w:tc>
          <w:tcPr>
            <w:tcW w:w="2464" w:type="dxa"/>
            <w:shd w:val="clear" w:color="auto" w:fill="auto"/>
          </w:tcPr>
          <w:p w14:paraId="7C668AAB" w14:textId="77777777" w:rsidR="00BF3DF9" w:rsidRPr="00463667" w:rsidRDefault="00BF3DF9" w:rsidP="00C56CA6">
            <w:pPr>
              <w:pStyle w:val="TableText"/>
              <w:ind w:right="1006"/>
              <w:jc w:val="right"/>
            </w:pPr>
            <w:r w:rsidRPr="00463667">
              <w:t>12</w:t>
            </w:r>
          </w:p>
        </w:tc>
        <w:tc>
          <w:tcPr>
            <w:tcW w:w="2464" w:type="dxa"/>
            <w:gridSpan w:val="2"/>
            <w:shd w:val="clear" w:color="auto" w:fill="auto"/>
          </w:tcPr>
          <w:p w14:paraId="04E2AD6C" w14:textId="77777777" w:rsidR="00BF3DF9" w:rsidRPr="00463667" w:rsidRDefault="00BF3DF9" w:rsidP="00C56CA6">
            <w:pPr>
              <w:pStyle w:val="TableText"/>
              <w:jc w:val="center"/>
            </w:pPr>
            <w:r w:rsidRPr="00463667">
              <w:t>10.00</w:t>
            </w:r>
          </w:p>
        </w:tc>
        <w:tc>
          <w:tcPr>
            <w:tcW w:w="2465" w:type="dxa"/>
            <w:gridSpan w:val="2"/>
            <w:shd w:val="clear" w:color="auto" w:fill="auto"/>
          </w:tcPr>
          <w:p w14:paraId="0723BFE9" w14:textId="77777777" w:rsidR="00BF3DF9" w:rsidRPr="00463667" w:rsidRDefault="00BF3DF9" w:rsidP="00C56CA6">
            <w:pPr>
              <w:pStyle w:val="TableText"/>
              <w:ind w:right="895"/>
              <w:jc w:val="right"/>
            </w:pPr>
            <w:r w:rsidRPr="00463667">
              <w:t>120.00</w:t>
            </w:r>
          </w:p>
        </w:tc>
      </w:tr>
      <w:tr w:rsidR="00BF3DF9" w:rsidRPr="00463667" w14:paraId="002633D3" w14:textId="77777777" w:rsidTr="00C56CA6">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jc w:val="center"/>
        </w:trPr>
        <w:tc>
          <w:tcPr>
            <w:tcW w:w="2354" w:type="dxa"/>
            <w:gridSpan w:val="2"/>
            <w:shd w:val="clear" w:color="auto" w:fill="auto"/>
          </w:tcPr>
          <w:p w14:paraId="0CA976A7" w14:textId="77777777" w:rsidR="00BF3DF9" w:rsidRPr="00463667" w:rsidRDefault="00BF3DF9" w:rsidP="00C56CA6">
            <w:pPr>
              <w:pStyle w:val="TableText"/>
              <w:jc w:val="center"/>
            </w:pPr>
            <w:r w:rsidRPr="00463667">
              <w:t>22222222222</w:t>
            </w:r>
          </w:p>
        </w:tc>
        <w:tc>
          <w:tcPr>
            <w:tcW w:w="2464" w:type="dxa"/>
            <w:shd w:val="clear" w:color="auto" w:fill="auto"/>
          </w:tcPr>
          <w:p w14:paraId="5C39A182" w14:textId="77777777" w:rsidR="00BF3DF9" w:rsidRPr="00463667" w:rsidRDefault="00BF3DF9" w:rsidP="00C56CA6">
            <w:pPr>
              <w:pStyle w:val="TableText"/>
              <w:ind w:right="1006"/>
              <w:jc w:val="right"/>
            </w:pPr>
            <w:r w:rsidRPr="00463667">
              <w:t>10</w:t>
            </w:r>
          </w:p>
        </w:tc>
        <w:tc>
          <w:tcPr>
            <w:tcW w:w="2464" w:type="dxa"/>
            <w:gridSpan w:val="2"/>
            <w:shd w:val="clear" w:color="auto" w:fill="auto"/>
          </w:tcPr>
          <w:p w14:paraId="29F5F073" w14:textId="77777777" w:rsidR="00BF3DF9" w:rsidRPr="00463667" w:rsidRDefault="00BF3DF9" w:rsidP="00C56CA6">
            <w:pPr>
              <w:pStyle w:val="TableText"/>
              <w:jc w:val="center"/>
            </w:pPr>
            <w:r w:rsidRPr="00463667">
              <w:t>20.00</w:t>
            </w:r>
          </w:p>
        </w:tc>
        <w:tc>
          <w:tcPr>
            <w:tcW w:w="2465" w:type="dxa"/>
            <w:gridSpan w:val="2"/>
            <w:shd w:val="clear" w:color="auto" w:fill="auto"/>
          </w:tcPr>
          <w:p w14:paraId="5B164371" w14:textId="77777777" w:rsidR="00BF3DF9" w:rsidRPr="00463667" w:rsidRDefault="00BF3DF9" w:rsidP="00C56CA6">
            <w:pPr>
              <w:pStyle w:val="TableText"/>
              <w:ind w:right="895"/>
              <w:jc w:val="right"/>
            </w:pPr>
            <w:r w:rsidRPr="00463667">
              <w:t>200.00</w:t>
            </w:r>
          </w:p>
        </w:tc>
      </w:tr>
      <w:tr w:rsidR="00BF3DF9" w:rsidRPr="00463667" w14:paraId="00219AF3" w14:textId="77777777" w:rsidTr="00C56CA6">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jc w:val="center"/>
        </w:trPr>
        <w:tc>
          <w:tcPr>
            <w:tcW w:w="2354" w:type="dxa"/>
            <w:gridSpan w:val="2"/>
            <w:shd w:val="clear" w:color="auto" w:fill="auto"/>
          </w:tcPr>
          <w:p w14:paraId="549EDD19" w14:textId="77777777" w:rsidR="00BF3DF9" w:rsidRPr="00463667" w:rsidRDefault="00BF3DF9" w:rsidP="00C56CA6">
            <w:pPr>
              <w:pStyle w:val="TableText"/>
              <w:jc w:val="center"/>
            </w:pPr>
            <w:r w:rsidRPr="00463667">
              <w:t>66666666666</w:t>
            </w:r>
          </w:p>
        </w:tc>
        <w:tc>
          <w:tcPr>
            <w:tcW w:w="2464" w:type="dxa"/>
            <w:shd w:val="clear" w:color="auto" w:fill="auto"/>
          </w:tcPr>
          <w:p w14:paraId="6D94F1CE" w14:textId="77777777" w:rsidR="00BF3DF9" w:rsidRPr="00463667" w:rsidRDefault="00BF3DF9" w:rsidP="00C56CA6">
            <w:pPr>
              <w:pStyle w:val="TableText"/>
              <w:ind w:right="1006"/>
              <w:jc w:val="right"/>
            </w:pPr>
            <w:r w:rsidRPr="00463667">
              <w:t>8</w:t>
            </w:r>
          </w:p>
        </w:tc>
        <w:tc>
          <w:tcPr>
            <w:tcW w:w="2464" w:type="dxa"/>
            <w:gridSpan w:val="2"/>
            <w:shd w:val="clear" w:color="auto" w:fill="auto"/>
          </w:tcPr>
          <w:p w14:paraId="060D5F61" w14:textId="77777777" w:rsidR="00BF3DF9" w:rsidRPr="00463667" w:rsidRDefault="00BF3DF9" w:rsidP="00C56CA6">
            <w:pPr>
              <w:pStyle w:val="TableText"/>
              <w:jc w:val="center"/>
            </w:pPr>
            <w:r w:rsidRPr="00463667">
              <w:t>30.00</w:t>
            </w:r>
          </w:p>
        </w:tc>
        <w:tc>
          <w:tcPr>
            <w:tcW w:w="2465" w:type="dxa"/>
            <w:gridSpan w:val="2"/>
            <w:shd w:val="clear" w:color="auto" w:fill="auto"/>
          </w:tcPr>
          <w:p w14:paraId="4A10C34F" w14:textId="77777777" w:rsidR="00BF3DF9" w:rsidRPr="00463667" w:rsidRDefault="00BF3DF9" w:rsidP="00C56CA6">
            <w:pPr>
              <w:pStyle w:val="TableText"/>
              <w:ind w:right="895"/>
              <w:jc w:val="right"/>
            </w:pPr>
            <w:r w:rsidRPr="00463667">
              <w:t>240.00</w:t>
            </w:r>
          </w:p>
        </w:tc>
      </w:tr>
      <w:tr w:rsidR="00BF3DF9" w:rsidRPr="00463667" w14:paraId="3A00E38A" w14:textId="77777777" w:rsidTr="00C56CA6">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jc w:val="center"/>
        </w:trPr>
        <w:tc>
          <w:tcPr>
            <w:tcW w:w="2354" w:type="dxa"/>
            <w:gridSpan w:val="2"/>
            <w:shd w:val="clear" w:color="auto" w:fill="auto"/>
          </w:tcPr>
          <w:p w14:paraId="24420950" w14:textId="77777777" w:rsidR="00BF3DF9" w:rsidRPr="00463667" w:rsidRDefault="00BF3DF9" w:rsidP="00C56CA6">
            <w:pPr>
              <w:pStyle w:val="TableText"/>
              <w:jc w:val="center"/>
            </w:pPr>
            <w:r w:rsidRPr="00463667">
              <w:t>66666666666</w:t>
            </w:r>
          </w:p>
        </w:tc>
        <w:tc>
          <w:tcPr>
            <w:tcW w:w="2464" w:type="dxa"/>
            <w:shd w:val="clear" w:color="auto" w:fill="auto"/>
          </w:tcPr>
          <w:p w14:paraId="146BFBE9" w14:textId="77777777" w:rsidR="00BF3DF9" w:rsidRPr="00463667" w:rsidRDefault="00BF3DF9" w:rsidP="00C56CA6">
            <w:pPr>
              <w:pStyle w:val="TableText"/>
              <w:ind w:right="1006"/>
              <w:jc w:val="right"/>
            </w:pPr>
            <w:r w:rsidRPr="00463667">
              <w:t>8</w:t>
            </w:r>
          </w:p>
        </w:tc>
        <w:tc>
          <w:tcPr>
            <w:tcW w:w="2464" w:type="dxa"/>
            <w:gridSpan w:val="2"/>
            <w:shd w:val="clear" w:color="auto" w:fill="auto"/>
          </w:tcPr>
          <w:p w14:paraId="0DABE434" w14:textId="77777777" w:rsidR="00BF3DF9" w:rsidRPr="00463667" w:rsidRDefault="00BF3DF9" w:rsidP="00C56CA6">
            <w:pPr>
              <w:pStyle w:val="TableText"/>
              <w:jc w:val="center"/>
            </w:pPr>
            <w:r w:rsidRPr="00463667">
              <w:t>30.00</w:t>
            </w:r>
          </w:p>
        </w:tc>
        <w:tc>
          <w:tcPr>
            <w:tcW w:w="2465" w:type="dxa"/>
            <w:gridSpan w:val="2"/>
            <w:shd w:val="clear" w:color="auto" w:fill="auto"/>
          </w:tcPr>
          <w:p w14:paraId="165E481B" w14:textId="77777777" w:rsidR="00BF3DF9" w:rsidRPr="00463667" w:rsidRDefault="00BF3DF9" w:rsidP="00C56CA6">
            <w:pPr>
              <w:pStyle w:val="TableText"/>
              <w:ind w:right="895"/>
              <w:jc w:val="right"/>
            </w:pPr>
            <w:r w:rsidRPr="00463667">
              <w:t>240.00</w:t>
            </w:r>
          </w:p>
        </w:tc>
      </w:tr>
      <w:tr w:rsidR="00BF3DF9" w:rsidRPr="00463667" w14:paraId="52B65E01" w14:textId="77777777" w:rsidTr="00C56CA6">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jc w:val="center"/>
        </w:trPr>
        <w:tc>
          <w:tcPr>
            <w:tcW w:w="2354" w:type="dxa"/>
            <w:gridSpan w:val="2"/>
            <w:shd w:val="clear" w:color="auto" w:fill="auto"/>
          </w:tcPr>
          <w:p w14:paraId="4F25F3A8" w14:textId="77777777" w:rsidR="00BF3DF9" w:rsidRPr="00463667" w:rsidRDefault="00BF3DF9" w:rsidP="00C56CA6">
            <w:pPr>
              <w:pStyle w:val="TableText"/>
              <w:jc w:val="center"/>
            </w:pPr>
            <w:r w:rsidRPr="00463667">
              <w:t>66666666666</w:t>
            </w:r>
          </w:p>
        </w:tc>
        <w:tc>
          <w:tcPr>
            <w:tcW w:w="2464" w:type="dxa"/>
            <w:shd w:val="clear" w:color="auto" w:fill="auto"/>
          </w:tcPr>
          <w:p w14:paraId="7E015BA7" w14:textId="77777777" w:rsidR="00BF3DF9" w:rsidRPr="00463667" w:rsidRDefault="00BF3DF9" w:rsidP="00C56CA6">
            <w:pPr>
              <w:pStyle w:val="TableText"/>
              <w:ind w:right="1006"/>
              <w:jc w:val="right"/>
            </w:pPr>
            <w:r w:rsidRPr="00463667">
              <w:t>15</w:t>
            </w:r>
          </w:p>
        </w:tc>
        <w:tc>
          <w:tcPr>
            <w:tcW w:w="2464" w:type="dxa"/>
            <w:gridSpan w:val="2"/>
            <w:shd w:val="clear" w:color="auto" w:fill="auto"/>
          </w:tcPr>
          <w:p w14:paraId="15261DE4" w14:textId="77777777" w:rsidR="00BF3DF9" w:rsidRPr="00463667" w:rsidRDefault="00BF3DF9" w:rsidP="00C56CA6">
            <w:pPr>
              <w:pStyle w:val="TableText"/>
              <w:jc w:val="center"/>
            </w:pPr>
            <w:r w:rsidRPr="00463667">
              <w:t>30.00</w:t>
            </w:r>
          </w:p>
        </w:tc>
        <w:tc>
          <w:tcPr>
            <w:tcW w:w="2465" w:type="dxa"/>
            <w:gridSpan w:val="2"/>
            <w:shd w:val="clear" w:color="auto" w:fill="auto"/>
          </w:tcPr>
          <w:p w14:paraId="72556FFE" w14:textId="77777777" w:rsidR="00BF3DF9" w:rsidRPr="00463667" w:rsidRDefault="00BF3DF9" w:rsidP="00C56CA6">
            <w:pPr>
              <w:pStyle w:val="TableText"/>
              <w:ind w:right="895"/>
              <w:jc w:val="right"/>
            </w:pPr>
            <w:r w:rsidRPr="00463667">
              <w:t>450.00</w:t>
            </w:r>
          </w:p>
        </w:tc>
      </w:tr>
      <w:tr w:rsidR="00BF3DF9" w:rsidRPr="00463667" w14:paraId="60483F84" w14:textId="77777777" w:rsidTr="00C56CA6">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rPr>
          <w:jc w:val="center"/>
        </w:trPr>
        <w:tc>
          <w:tcPr>
            <w:tcW w:w="2354" w:type="dxa"/>
            <w:gridSpan w:val="2"/>
            <w:shd w:val="clear" w:color="auto" w:fill="D9D9D9"/>
          </w:tcPr>
          <w:p w14:paraId="39413A95" w14:textId="77777777" w:rsidR="00BF3DF9" w:rsidRPr="00463667" w:rsidRDefault="00BF3DF9" w:rsidP="00C56CA6">
            <w:pPr>
              <w:pStyle w:val="TableText"/>
              <w:jc w:val="right"/>
              <w:rPr>
                <w:b/>
                <w:i/>
              </w:rPr>
            </w:pPr>
            <w:r w:rsidRPr="00463667">
              <w:rPr>
                <w:b/>
                <w:i/>
              </w:rPr>
              <w:t>Total</w:t>
            </w:r>
          </w:p>
        </w:tc>
        <w:tc>
          <w:tcPr>
            <w:tcW w:w="2464" w:type="dxa"/>
            <w:shd w:val="clear" w:color="auto" w:fill="D9D9D9"/>
          </w:tcPr>
          <w:p w14:paraId="16714764" w14:textId="77777777" w:rsidR="00BF3DF9" w:rsidRPr="00463667" w:rsidRDefault="00BF3DF9" w:rsidP="00C56CA6">
            <w:pPr>
              <w:pStyle w:val="TableText"/>
              <w:jc w:val="center"/>
            </w:pPr>
            <w:r w:rsidRPr="00463667">
              <w:t>—</w:t>
            </w:r>
          </w:p>
        </w:tc>
        <w:tc>
          <w:tcPr>
            <w:tcW w:w="2464" w:type="dxa"/>
            <w:gridSpan w:val="2"/>
            <w:shd w:val="clear" w:color="auto" w:fill="D9D9D9"/>
          </w:tcPr>
          <w:p w14:paraId="12CC71F7" w14:textId="77777777" w:rsidR="00BF3DF9" w:rsidRPr="00463667" w:rsidRDefault="00BF3DF9" w:rsidP="00C56CA6">
            <w:pPr>
              <w:pStyle w:val="TableText"/>
              <w:jc w:val="center"/>
            </w:pPr>
            <w:r w:rsidRPr="00463667">
              <w:t>—</w:t>
            </w:r>
          </w:p>
        </w:tc>
        <w:tc>
          <w:tcPr>
            <w:tcW w:w="2465" w:type="dxa"/>
            <w:gridSpan w:val="2"/>
            <w:shd w:val="clear" w:color="auto" w:fill="D9D9D9"/>
          </w:tcPr>
          <w:p w14:paraId="483CD1C5" w14:textId="77777777" w:rsidR="00BF3DF9" w:rsidRPr="00463667" w:rsidRDefault="00BF3DF9" w:rsidP="00C56CA6">
            <w:pPr>
              <w:pStyle w:val="TableText"/>
              <w:ind w:right="895"/>
              <w:jc w:val="right"/>
            </w:pPr>
            <w:r w:rsidRPr="00463667">
              <w:t>1,330.00</w:t>
            </w:r>
          </w:p>
        </w:tc>
      </w:tr>
    </w:tbl>
    <w:p w14:paraId="4EB999B2" w14:textId="77777777" w:rsidR="00BF3DF9" w:rsidRPr="00463667" w:rsidRDefault="00BF3DF9" w:rsidP="00BF3DF9">
      <w:pPr>
        <w:pStyle w:val="Body"/>
        <w:sectPr w:rsidR="00BF3DF9" w:rsidRPr="00463667" w:rsidSect="00C56CA6">
          <w:pgSz w:w="12240" w:h="15840" w:code="1"/>
          <w:pgMar w:top="1080" w:right="1080" w:bottom="1080" w:left="1440" w:header="720" w:footer="720" w:gutter="0"/>
          <w:cols w:space="720"/>
        </w:sectPr>
      </w:pPr>
    </w:p>
    <w:tbl>
      <w:tblPr>
        <w:tblW w:w="9720" w:type="dxa"/>
        <w:tblInd w:w="56" w:type="dxa"/>
        <w:tblLayout w:type="fixed"/>
        <w:tblLook w:val="0000" w:firstRow="0" w:lastRow="0" w:firstColumn="0" w:lastColumn="0" w:noHBand="0" w:noVBand="0"/>
      </w:tblPr>
      <w:tblGrid>
        <w:gridCol w:w="1440"/>
        <w:gridCol w:w="900"/>
        <w:gridCol w:w="1890"/>
        <w:gridCol w:w="1771"/>
        <w:gridCol w:w="1919"/>
        <w:gridCol w:w="1744"/>
        <w:gridCol w:w="56"/>
      </w:tblGrid>
      <w:tr w:rsidR="00BF3DF9" w:rsidRPr="00463667" w14:paraId="310DE3D6" w14:textId="77777777" w:rsidTr="00C56CA6">
        <w:trPr>
          <w:gridAfter w:val="1"/>
          <w:wAfter w:w="56" w:type="dxa"/>
        </w:trPr>
        <w:tc>
          <w:tcPr>
            <w:tcW w:w="1440" w:type="dxa"/>
          </w:tcPr>
          <w:p w14:paraId="414A2D56" w14:textId="77777777" w:rsidR="00BF3DF9" w:rsidRPr="00463667" w:rsidRDefault="00BF3DF9" w:rsidP="00C56CA6">
            <w:pPr>
              <w:pStyle w:val="MarginSubhead"/>
              <w:spacing w:before="0"/>
              <w:ind w:left="0"/>
              <w:jc w:val="right"/>
              <w:rPr>
                <w:iCs/>
                <w:u w:val="single"/>
              </w:rPr>
            </w:pPr>
            <w:r w:rsidRPr="00463667">
              <w:rPr>
                <w:u w:val="single"/>
              </w:rPr>
              <w:lastRenderedPageBreak/>
              <w:t>Example</w:t>
            </w:r>
          </w:p>
        </w:tc>
        <w:tc>
          <w:tcPr>
            <w:tcW w:w="8224" w:type="dxa"/>
            <w:gridSpan w:val="5"/>
          </w:tcPr>
          <w:p w14:paraId="55BA16C1" w14:textId="77777777" w:rsidR="00BF3DF9" w:rsidRPr="00463667" w:rsidRDefault="00BF3DF9" w:rsidP="00C56CA6">
            <w:pPr>
              <w:pStyle w:val="Body"/>
              <w:spacing w:before="0" w:after="120"/>
            </w:pPr>
            <w:r w:rsidRPr="00463667">
              <w:t xml:space="preserve">Calculate total pharmacy cost without metric quantity using Sample Table SPT—Pharm for a member with the same prescriptions, but without metric quantity. </w:t>
            </w:r>
          </w:p>
          <w:p w14:paraId="5F07D423" w14:textId="77777777" w:rsidR="00BF3DF9" w:rsidRPr="00463667" w:rsidRDefault="00BF3DF9" w:rsidP="00C56CA6">
            <w:pPr>
              <w:pStyle w:val="Body"/>
            </w:pPr>
            <w:r w:rsidRPr="00463667">
              <w:t>In this example, the member’s total pharmacy cost is $1,336.00.</w:t>
            </w:r>
          </w:p>
          <w:p w14:paraId="4A621D61" w14:textId="77777777" w:rsidR="00BF3DF9" w:rsidRPr="00463667" w:rsidRDefault="00BF3DF9" w:rsidP="00F3111D">
            <w:pPr>
              <w:pStyle w:val="Body"/>
              <w:spacing w:before="0"/>
            </w:pPr>
          </w:p>
        </w:tc>
      </w:tr>
      <w:tr w:rsidR="00BF3DF9" w:rsidRPr="00463667" w14:paraId="7CC51568" w14:textId="77777777" w:rsidTr="00C56CA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c>
          <w:tcPr>
            <w:tcW w:w="2340" w:type="dxa"/>
            <w:gridSpan w:val="2"/>
            <w:tcBorders>
              <w:top w:val="nil"/>
              <w:left w:val="single" w:sz="6" w:space="0" w:color="auto"/>
              <w:bottom w:val="single" w:sz="6" w:space="0" w:color="auto"/>
              <w:right w:val="single" w:sz="4" w:space="0" w:color="FFFFFF" w:themeColor="background1"/>
            </w:tcBorders>
            <w:shd w:val="clear" w:color="auto" w:fill="000000" w:themeFill="text1"/>
            <w:vAlign w:val="bottom"/>
          </w:tcPr>
          <w:p w14:paraId="7CEA5B29" w14:textId="77777777" w:rsidR="00BF3DF9" w:rsidRPr="00463667" w:rsidRDefault="00BF3DF9" w:rsidP="00C56CA6">
            <w:pPr>
              <w:pStyle w:val="TableHead"/>
            </w:pPr>
            <w:r w:rsidRPr="00463667">
              <w:t>Member Prescriptions</w:t>
            </w:r>
          </w:p>
        </w:tc>
        <w:tc>
          <w:tcPr>
            <w:tcW w:w="1890" w:type="dxa"/>
            <w:tcBorders>
              <w:top w:val="nil"/>
              <w:left w:val="single" w:sz="4" w:space="0" w:color="FFFFFF" w:themeColor="background1"/>
              <w:bottom w:val="single" w:sz="6" w:space="0" w:color="auto"/>
              <w:right w:val="single" w:sz="4" w:space="0" w:color="FFFFFF" w:themeColor="background1"/>
            </w:tcBorders>
            <w:shd w:val="clear" w:color="auto" w:fill="000000" w:themeFill="text1"/>
            <w:vAlign w:val="bottom"/>
          </w:tcPr>
          <w:p w14:paraId="45B82C9B" w14:textId="77777777" w:rsidR="00BF3DF9" w:rsidRPr="00463667" w:rsidRDefault="00BF3DF9" w:rsidP="00C56CA6">
            <w:pPr>
              <w:pStyle w:val="TableHead"/>
            </w:pPr>
            <w:r w:rsidRPr="00463667">
              <w:t>Metric Quantity Prescribed</w:t>
            </w:r>
          </w:p>
        </w:tc>
        <w:tc>
          <w:tcPr>
            <w:tcW w:w="1771" w:type="dxa"/>
            <w:tcBorders>
              <w:top w:val="nil"/>
              <w:left w:val="single" w:sz="4" w:space="0" w:color="FFFFFF" w:themeColor="background1"/>
              <w:bottom w:val="single" w:sz="6" w:space="0" w:color="auto"/>
              <w:right w:val="single" w:sz="4" w:space="0" w:color="FFFFFF" w:themeColor="background1"/>
            </w:tcBorders>
            <w:shd w:val="clear" w:color="auto" w:fill="000000" w:themeFill="text1"/>
            <w:vAlign w:val="bottom"/>
          </w:tcPr>
          <w:p w14:paraId="459401C3" w14:textId="77777777" w:rsidR="00BF3DF9" w:rsidRPr="00463667" w:rsidDel="00677DE5" w:rsidRDefault="00BF3DF9" w:rsidP="00C56CA6">
            <w:pPr>
              <w:pStyle w:val="TableHead"/>
            </w:pPr>
            <w:proofErr w:type="spellStart"/>
            <w:r w:rsidRPr="00463667">
              <w:t>Days</w:t>
            </w:r>
            <w:proofErr w:type="spellEnd"/>
            <w:r w:rsidRPr="00463667">
              <w:t xml:space="preserve"> Supply</w:t>
            </w:r>
          </w:p>
        </w:tc>
        <w:tc>
          <w:tcPr>
            <w:tcW w:w="1919" w:type="dxa"/>
            <w:tcBorders>
              <w:top w:val="nil"/>
              <w:left w:val="single" w:sz="4" w:space="0" w:color="FFFFFF" w:themeColor="background1"/>
              <w:bottom w:val="single" w:sz="6" w:space="0" w:color="auto"/>
              <w:right w:val="single" w:sz="4" w:space="0" w:color="FFFFFF" w:themeColor="background1"/>
            </w:tcBorders>
            <w:shd w:val="clear" w:color="auto" w:fill="000000" w:themeFill="text1"/>
            <w:vAlign w:val="bottom"/>
          </w:tcPr>
          <w:p w14:paraId="5A146C4E" w14:textId="77777777" w:rsidR="00BF3DF9" w:rsidRPr="00463667" w:rsidRDefault="00BF3DF9" w:rsidP="00C56CA6">
            <w:pPr>
              <w:pStyle w:val="TableHead"/>
            </w:pPr>
            <w:r w:rsidRPr="00463667">
              <w:t xml:space="preserve">Standard Unit </w:t>
            </w:r>
            <w:r w:rsidRPr="00463667">
              <w:br/>
              <w:t>Price per Day ($)</w:t>
            </w:r>
          </w:p>
        </w:tc>
        <w:tc>
          <w:tcPr>
            <w:tcW w:w="1800" w:type="dxa"/>
            <w:gridSpan w:val="2"/>
            <w:tcBorders>
              <w:top w:val="nil"/>
              <w:left w:val="single" w:sz="4" w:space="0" w:color="FFFFFF" w:themeColor="background1"/>
              <w:bottom w:val="single" w:sz="6" w:space="0" w:color="auto"/>
              <w:right w:val="single" w:sz="6" w:space="0" w:color="auto"/>
            </w:tcBorders>
            <w:shd w:val="clear" w:color="auto" w:fill="000000" w:themeFill="text1"/>
            <w:vAlign w:val="bottom"/>
          </w:tcPr>
          <w:p w14:paraId="5C8BDDB3" w14:textId="77777777" w:rsidR="00BF3DF9" w:rsidRPr="00463667" w:rsidDel="00677DE5" w:rsidRDefault="00BF3DF9" w:rsidP="00C56CA6">
            <w:pPr>
              <w:pStyle w:val="TableHead"/>
            </w:pPr>
            <w:r w:rsidRPr="00463667">
              <w:t>Standard Cost ($)</w:t>
            </w:r>
          </w:p>
        </w:tc>
      </w:tr>
      <w:tr w:rsidR="00BF3DF9" w:rsidRPr="00463667" w14:paraId="76EA4351" w14:textId="77777777" w:rsidTr="00C56CA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c>
          <w:tcPr>
            <w:tcW w:w="2340" w:type="dxa"/>
            <w:gridSpan w:val="2"/>
            <w:tcBorders>
              <w:top w:val="nil"/>
            </w:tcBorders>
            <w:shd w:val="clear" w:color="auto" w:fill="auto"/>
          </w:tcPr>
          <w:p w14:paraId="2FD340E0" w14:textId="77777777" w:rsidR="00BF3DF9" w:rsidRPr="00463667" w:rsidRDefault="00BF3DF9" w:rsidP="00C56CA6">
            <w:pPr>
              <w:pStyle w:val="TableText"/>
              <w:spacing w:before="30" w:after="30"/>
              <w:jc w:val="center"/>
            </w:pPr>
            <w:r w:rsidRPr="00463667">
              <w:t>11111111111</w:t>
            </w:r>
          </w:p>
        </w:tc>
        <w:tc>
          <w:tcPr>
            <w:tcW w:w="1890" w:type="dxa"/>
            <w:tcBorders>
              <w:top w:val="nil"/>
            </w:tcBorders>
            <w:shd w:val="clear" w:color="auto" w:fill="auto"/>
          </w:tcPr>
          <w:p w14:paraId="566CA239" w14:textId="77777777" w:rsidR="00BF3DF9" w:rsidRPr="00463667" w:rsidRDefault="00BF3DF9" w:rsidP="00C56CA6">
            <w:pPr>
              <w:pStyle w:val="TableText"/>
              <w:spacing w:before="30" w:after="30"/>
              <w:jc w:val="center"/>
            </w:pPr>
            <w:r w:rsidRPr="00463667">
              <w:t>NA</w:t>
            </w:r>
          </w:p>
        </w:tc>
        <w:tc>
          <w:tcPr>
            <w:tcW w:w="1771" w:type="dxa"/>
            <w:tcBorders>
              <w:top w:val="nil"/>
            </w:tcBorders>
          </w:tcPr>
          <w:p w14:paraId="20983E2C" w14:textId="77777777" w:rsidR="00BF3DF9" w:rsidRPr="00463667" w:rsidRDefault="00BF3DF9" w:rsidP="00C56CA6">
            <w:pPr>
              <w:pStyle w:val="TableText"/>
              <w:spacing w:before="30" w:after="30"/>
              <w:ind w:right="720"/>
              <w:jc w:val="right"/>
            </w:pPr>
            <w:r w:rsidRPr="00463667">
              <w:t>10</w:t>
            </w:r>
          </w:p>
        </w:tc>
        <w:tc>
          <w:tcPr>
            <w:tcW w:w="1919" w:type="dxa"/>
            <w:tcBorders>
              <w:top w:val="nil"/>
            </w:tcBorders>
            <w:shd w:val="clear" w:color="auto" w:fill="auto"/>
          </w:tcPr>
          <w:p w14:paraId="0B95F32E" w14:textId="77777777" w:rsidR="00BF3DF9" w:rsidRPr="00463667" w:rsidRDefault="00BF3DF9" w:rsidP="00C56CA6">
            <w:pPr>
              <w:pStyle w:val="TableText"/>
              <w:spacing w:before="30" w:after="30"/>
              <w:ind w:right="720"/>
              <w:jc w:val="right"/>
            </w:pPr>
            <w:r w:rsidRPr="00463667">
              <w:t>8.00</w:t>
            </w:r>
          </w:p>
        </w:tc>
        <w:tc>
          <w:tcPr>
            <w:tcW w:w="1800" w:type="dxa"/>
            <w:gridSpan w:val="2"/>
            <w:tcBorders>
              <w:top w:val="nil"/>
            </w:tcBorders>
          </w:tcPr>
          <w:p w14:paraId="129EF358" w14:textId="77777777" w:rsidR="00BF3DF9" w:rsidRPr="00463667" w:rsidRDefault="00BF3DF9" w:rsidP="00C56CA6">
            <w:pPr>
              <w:pStyle w:val="TableText"/>
              <w:spacing w:before="30" w:after="30"/>
              <w:ind w:right="576"/>
              <w:jc w:val="right"/>
            </w:pPr>
            <w:r w:rsidRPr="00463667">
              <w:t>80.00</w:t>
            </w:r>
          </w:p>
        </w:tc>
      </w:tr>
      <w:tr w:rsidR="00BF3DF9" w:rsidRPr="00463667" w14:paraId="791F832D" w14:textId="77777777" w:rsidTr="00C56CA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c>
          <w:tcPr>
            <w:tcW w:w="2340" w:type="dxa"/>
            <w:gridSpan w:val="2"/>
            <w:shd w:val="clear" w:color="auto" w:fill="auto"/>
          </w:tcPr>
          <w:p w14:paraId="14257E27" w14:textId="77777777" w:rsidR="00BF3DF9" w:rsidRPr="00463667" w:rsidRDefault="00BF3DF9" w:rsidP="00C56CA6">
            <w:pPr>
              <w:pStyle w:val="TableText"/>
              <w:spacing w:before="30" w:after="30"/>
              <w:jc w:val="center"/>
            </w:pPr>
            <w:r w:rsidRPr="00463667">
              <w:t>11111111111</w:t>
            </w:r>
          </w:p>
        </w:tc>
        <w:tc>
          <w:tcPr>
            <w:tcW w:w="1890" w:type="dxa"/>
            <w:shd w:val="clear" w:color="auto" w:fill="auto"/>
          </w:tcPr>
          <w:p w14:paraId="7D655E3A" w14:textId="77777777" w:rsidR="00BF3DF9" w:rsidRPr="00463667" w:rsidRDefault="00BF3DF9" w:rsidP="00C56CA6">
            <w:pPr>
              <w:pStyle w:val="TableText"/>
              <w:spacing w:before="30" w:after="30"/>
              <w:jc w:val="center"/>
            </w:pPr>
            <w:r w:rsidRPr="00463667">
              <w:t>NA</w:t>
            </w:r>
          </w:p>
        </w:tc>
        <w:tc>
          <w:tcPr>
            <w:tcW w:w="1771" w:type="dxa"/>
          </w:tcPr>
          <w:p w14:paraId="34DCE2E3" w14:textId="77777777" w:rsidR="00BF3DF9" w:rsidRPr="00463667" w:rsidRDefault="00BF3DF9" w:rsidP="00C56CA6">
            <w:pPr>
              <w:pStyle w:val="TableText"/>
              <w:spacing w:before="30" w:after="30"/>
              <w:ind w:right="720"/>
              <w:jc w:val="right"/>
            </w:pPr>
            <w:r w:rsidRPr="00463667">
              <w:t>15</w:t>
            </w:r>
          </w:p>
        </w:tc>
        <w:tc>
          <w:tcPr>
            <w:tcW w:w="1919" w:type="dxa"/>
            <w:shd w:val="clear" w:color="auto" w:fill="auto"/>
          </w:tcPr>
          <w:p w14:paraId="18F8F635" w14:textId="77777777" w:rsidR="00BF3DF9" w:rsidRPr="00463667" w:rsidRDefault="00BF3DF9" w:rsidP="00C56CA6">
            <w:pPr>
              <w:pStyle w:val="TableText"/>
              <w:spacing w:before="30" w:after="30"/>
              <w:ind w:right="720"/>
              <w:jc w:val="right"/>
            </w:pPr>
            <w:r w:rsidRPr="00463667">
              <w:t>8.00</w:t>
            </w:r>
          </w:p>
        </w:tc>
        <w:tc>
          <w:tcPr>
            <w:tcW w:w="1800" w:type="dxa"/>
            <w:gridSpan w:val="2"/>
          </w:tcPr>
          <w:p w14:paraId="220A1DA2" w14:textId="77777777" w:rsidR="00BF3DF9" w:rsidRPr="00463667" w:rsidRDefault="00BF3DF9" w:rsidP="00C56CA6">
            <w:pPr>
              <w:pStyle w:val="TableText"/>
              <w:spacing w:before="30" w:after="30"/>
              <w:ind w:right="576"/>
              <w:jc w:val="right"/>
            </w:pPr>
            <w:r w:rsidRPr="00463667">
              <w:t>120.00</w:t>
            </w:r>
          </w:p>
        </w:tc>
      </w:tr>
      <w:tr w:rsidR="00BF3DF9" w:rsidRPr="00463667" w14:paraId="2BA54ECB" w14:textId="77777777" w:rsidTr="00C56CA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c>
          <w:tcPr>
            <w:tcW w:w="2340" w:type="dxa"/>
            <w:gridSpan w:val="2"/>
            <w:shd w:val="clear" w:color="auto" w:fill="auto"/>
          </w:tcPr>
          <w:p w14:paraId="48F83F72" w14:textId="77777777" w:rsidR="00BF3DF9" w:rsidRPr="00463667" w:rsidRDefault="00BF3DF9" w:rsidP="00C56CA6">
            <w:pPr>
              <w:pStyle w:val="TableText"/>
              <w:spacing w:before="30" w:after="30"/>
              <w:jc w:val="center"/>
            </w:pPr>
            <w:r w:rsidRPr="00463667">
              <w:t>22222222222</w:t>
            </w:r>
          </w:p>
        </w:tc>
        <w:tc>
          <w:tcPr>
            <w:tcW w:w="1890" w:type="dxa"/>
            <w:shd w:val="clear" w:color="auto" w:fill="auto"/>
          </w:tcPr>
          <w:p w14:paraId="76A6DA0B" w14:textId="77777777" w:rsidR="00BF3DF9" w:rsidRPr="00463667" w:rsidRDefault="00BF3DF9" w:rsidP="00C56CA6">
            <w:pPr>
              <w:pStyle w:val="TableText"/>
              <w:spacing w:before="30" w:after="30"/>
              <w:jc w:val="center"/>
            </w:pPr>
            <w:r w:rsidRPr="00463667">
              <w:t>NA</w:t>
            </w:r>
          </w:p>
        </w:tc>
        <w:tc>
          <w:tcPr>
            <w:tcW w:w="1771" w:type="dxa"/>
          </w:tcPr>
          <w:p w14:paraId="7A07CBD5" w14:textId="77777777" w:rsidR="00BF3DF9" w:rsidRPr="00463667" w:rsidRDefault="00BF3DF9" w:rsidP="00C56CA6">
            <w:pPr>
              <w:pStyle w:val="TableText"/>
              <w:spacing w:before="30" w:after="30"/>
              <w:ind w:right="720"/>
              <w:jc w:val="right"/>
            </w:pPr>
            <w:r w:rsidRPr="00463667">
              <w:t>8</w:t>
            </w:r>
          </w:p>
        </w:tc>
        <w:tc>
          <w:tcPr>
            <w:tcW w:w="1919" w:type="dxa"/>
            <w:shd w:val="clear" w:color="auto" w:fill="auto"/>
          </w:tcPr>
          <w:p w14:paraId="1823A3B1" w14:textId="77777777" w:rsidR="00BF3DF9" w:rsidRPr="00463667" w:rsidRDefault="00BF3DF9" w:rsidP="00C56CA6">
            <w:pPr>
              <w:pStyle w:val="TableText"/>
              <w:spacing w:before="30" w:after="30"/>
              <w:ind w:right="720"/>
              <w:jc w:val="right"/>
            </w:pPr>
            <w:r w:rsidRPr="00463667">
              <w:t>25.00</w:t>
            </w:r>
          </w:p>
        </w:tc>
        <w:tc>
          <w:tcPr>
            <w:tcW w:w="1800" w:type="dxa"/>
            <w:gridSpan w:val="2"/>
          </w:tcPr>
          <w:p w14:paraId="2A4B73C6" w14:textId="77777777" w:rsidR="00BF3DF9" w:rsidRPr="00463667" w:rsidRDefault="00BF3DF9" w:rsidP="00C56CA6">
            <w:pPr>
              <w:pStyle w:val="TableText"/>
              <w:spacing w:before="30" w:after="30"/>
              <w:ind w:right="576"/>
              <w:jc w:val="right"/>
            </w:pPr>
            <w:r w:rsidRPr="00463667">
              <w:t>200.00</w:t>
            </w:r>
          </w:p>
        </w:tc>
      </w:tr>
      <w:tr w:rsidR="00BF3DF9" w:rsidRPr="00463667" w14:paraId="16E0DBA8" w14:textId="77777777" w:rsidTr="00C56CA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c>
          <w:tcPr>
            <w:tcW w:w="2340" w:type="dxa"/>
            <w:gridSpan w:val="2"/>
            <w:shd w:val="clear" w:color="auto" w:fill="auto"/>
          </w:tcPr>
          <w:p w14:paraId="7FCC8FBE" w14:textId="77777777" w:rsidR="00BF3DF9" w:rsidRPr="00463667" w:rsidRDefault="00BF3DF9" w:rsidP="00C56CA6">
            <w:pPr>
              <w:pStyle w:val="TableText"/>
              <w:spacing w:before="30" w:after="30"/>
              <w:jc w:val="center"/>
            </w:pPr>
            <w:r w:rsidRPr="00463667">
              <w:t>66666666666</w:t>
            </w:r>
          </w:p>
        </w:tc>
        <w:tc>
          <w:tcPr>
            <w:tcW w:w="1890" w:type="dxa"/>
            <w:shd w:val="clear" w:color="auto" w:fill="auto"/>
          </w:tcPr>
          <w:p w14:paraId="65B36F98" w14:textId="77777777" w:rsidR="00BF3DF9" w:rsidRPr="00463667" w:rsidRDefault="00BF3DF9" w:rsidP="00C56CA6">
            <w:pPr>
              <w:pStyle w:val="TableText"/>
              <w:spacing w:before="30" w:after="30"/>
              <w:jc w:val="center"/>
            </w:pPr>
            <w:r w:rsidRPr="00463667">
              <w:t>NA</w:t>
            </w:r>
          </w:p>
        </w:tc>
        <w:tc>
          <w:tcPr>
            <w:tcW w:w="1771" w:type="dxa"/>
          </w:tcPr>
          <w:p w14:paraId="2FCD18EC" w14:textId="77777777" w:rsidR="00BF3DF9" w:rsidRPr="00463667" w:rsidRDefault="00BF3DF9" w:rsidP="00C56CA6">
            <w:pPr>
              <w:pStyle w:val="TableText"/>
              <w:spacing w:before="30" w:after="30"/>
              <w:ind w:right="720"/>
              <w:jc w:val="right"/>
            </w:pPr>
            <w:r w:rsidRPr="00463667">
              <w:t>10</w:t>
            </w:r>
          </w:p>
        </w:tc>
        <w:tc>
          <w:tcPr>
            <w:tcW w:w="1919" w:type="dxa"/>
            <w:shd w:val="clear" w:color="auto" w:fill="auto"/>
          </w:tcPr>
          <w:p w14:paraId="6A41F57E" w14:textId="77777777" w:rsidR="00BF3DF9" w:rsidRPr="00463667" w:rsidRDefault="00BF3DF9" w:rsidP="00C56CA6">
            <w:pPr>
              <w:pStyle w:val="TableText"/>
              <w:spacing w:before="30" w:after="30"/>
              <w:ind w:right="720"/>
              <w:jc w:val="right"/>
            </w:pPr>
            <w:r w:rsidRPr="00463667">
              <w:t>24.00</w:t>
            </w:r>
          </w:p>
        </w:tc>
        <w:tc>
          <w:tcPr>
            <w:tcW w:w="1800" w:type="dxa"/>
            <w:gridSpan w:val="2"/>
          </w:tcPr>
          <w:p w14:paraId="7F73C1DB" w14:textId="77777777" w:rsidR="00BF3DF9" w:rsidRPr="00463667" w:rsidRDefault="00BF3DF9" w:rsidP="00C56CA6">
            <w:pPr>
              <w:pStyle w:val="TableText"/>
              <w:spacing w:before="30" w:after="30"/>
              <w:ind w:right="576"/>
              <w:jc w:val="right"/>
            </w:pPr>
            <w:r w:rsidRPr="00463667">
              <w:t>240.00</w:t>
            </w:r>
          </w:p>
        </w:tc>
      </w:tr>
      <w:tr w:rsidR="00BF3DF9" w:rsidRPr="00463667" w14:paraId="6DB2CBCA" w14:textId="77777777" w:rsidTr="00C56CA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c>
          <w:tcPr>
            <w:tcW w:w="2340" w:type="dxa"/>
            <w:gridSpan w:val="2"/>
            <w:shd w:val="clear" w:color="auto" w:fill="auto"/>
          </w:tcPr>
          <w:p w14:paraId="4B57817D" w14:textId="77777777" w:rsidR="00BF3DF9" w:rsidRPr="00463667" w:rsidRDefault="00BF3DF9" w:rsidP="00C56CA6">
            <w:pPr>
              <w:pStyle w:val="TableText"/>
              <w:spacing w:before="30" w:after="30"/>
              <w:jc w:val="center"/>
            </w:pPr>
            <w:r w:rsidRPr="00463667">
              <w:t>66666666666</w:t>
            </w:r>
          </w:p>
        </w:tc>
        <w:tc>
          <w:tcPr>
            <w:tcW w:w="1890" w:type="dxa"/>
            <w:shd w:val="clear" w:color="auto" w:fill="auto"/>
          </w:tcPr>
          <w:p w14:paraId="770F80DB" w14:textId="77777777" w:rsidR="00BF3DF9" w:rsidRPr="00463667" w:rsidRDefault="00BF3DF9" w:rsidP="00C56CA6">
            <w:pPr>
              <w:pStyle w:val="TableText"/>
              <w:spacing w:before="30" w:after="30"/>
              <w:jc w:val="center"/>
            </w:pPr>
            <w:r w:rsidRPr="00463667">
              <w:t>NA</w:t>
            </w:r>
          </w:p>
        </w:tc>
        <w:tc>
          <w:tcPr>
            <w:tcW w:w="1771" w:type="dxa"/>
          </w:tcPr>
          <w:p w14:paraId="28CF59B4" w14:textId="77777777" w:rsidR="00BF3DF9" w:rsidRPr="00463667" w:rsidRDefault="00BF3DF9" w:rsidP="00C56CA6">
            <w:pPr>
              <w:pStyle w:val="TableText"/>
              <w:spacing w:before="30" w:after="30"/>
              <w:ind w:right="720"/>
              <w:jc w:val="right"/>
            </w:pPr>
            <w:r w:rsidRPr="00463667">
              <w:t>10</w:t>
            </w:r>
          </w:p>
        </w:tc>
        <w:tc>
          <w:tcPr>
            <w:tcW w:w="1919" w:type="dxa"/>
            <w:shd w:val="clear" w:color="auto" w:fill="auto"/>
          </w:tcPr>
          <w:p w14:paraId="35B129E1" w14:textId="77777777" w:rsidR="00BF3DF9" w:rsidRPr="00463667" w:rsidRDefault="00BF3DF9" w:rsidP="00C56CA6">
            <w:pPr>
              <w:pStyle w:val="TableText"/>
              <w:spacing w:before="30" w:after="30"/>
              <w:ind w:right="720"/>
              <w:jc w:val="right"/>
            </w:pPr>
            <w:r w:rsidRPr="00463667">
              <w:t>24.00</w:t>
            </w:r>
          </w:p>
        </w:tc>
        <w:tc>
          <w:tcPr>
            <w:tcW w:w="1800" w:type="dxa"/>
            <w:gridSpan w:val="2"/>
          </w:tcPr>
          <w:p w14:paraId="68A06E42" w14:textId="77777777" w:rsidR="00BF3DF9" w:rsidRPr="00463667" w:rsidRDefault="00BF3DF9" w:rsidP="00C56CA6">
            <w:pPr>
              <w:pStyle w:val="TableText"/>
              <w:spacing w:before="30" w:after="30"/>
              <w:ind w:right="576"/>
              <w:jc w:val="right"/>
            </w:pPr>
            <w:r w:rsidRPr="00463667">
              <w:t>240.00</w:t>
            </w:r>
          </w:p>
        </w:tc>
      </w:tr>
      <w:tr w:rsidR="00BF3DF9" w:rsidRPr="00463667" w14:paraId="64BA01E9" w14:textId="77777777" w:rsidTr="00C56CA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c>
          <w:tcPr>
            <w:tcW w:w="2340" w:type="dxa"/>
            <w:gridSpan w:val="2"/>
            <w:shd w:val="clear" w:color="auto" w:fill="auto"/>
          </w:tcPr>
          <w:p w14:paraId="7F410136" w14:textId="77777777" w:rsidR="00BF3DF9" w:rsidRPr="00463667" w:rsidRDefault="00BF3DF9" w:rsidP="00C56CA6">
            <w:pPr>
              <w:pStyle w:val="TableText"/>
              <w:spacing w:before="30" w:after="30"/>
              <w:jc w:val="center"/>
            </w:pPr>
            <w:r w:rsidRPr="00463667">
              <w:t>66666666666</w:t>
            </w:r>
          </w:p>
        </w:tc>
        <w:tc>
          <w:tcPr>
            <w:tcW w:w="1890" w:type="dxa"/>
            <w:shd w:val="clear" w:color="auto" w:fill="auto"/>
          </w:tcPr>
          <w:p w14:paraId="7BD86621" w14:textId="77777777" w:rsidR="00BF3DF9" w:rsidRPr="00463667" w:rsidRDefault="00BF3DF9" w:rsidP="00C56CA6">
            <w:pPr>
              <w:pStyle w:val="TableText"/>
              <w:spacing w:before="30" w:after="30"/>
              <w:jc w:val="center"/>
            </w:pPr>
            <w:r w:rsidRPr="00463667">
              <w:t>NA</w:t>
            </w:r>
          </w:p>
        </w:tc>
        <w:tc>
          <w:tcPr>
            <w:tcW w:w="1771" w:type="dxa"/>
          </w:tcPr>
          <w:p w14:paraId="37D30762" w14:textId="77777777" w:rsidR="00BF3DF9" w:rsidRPr="00463667" w:rsidRDefault="00BF3DF9" w:rsidP="00C56CA6">
            <w:pPr>
              <w:pStyle w:val="TableText"/>
              <w:spacing w:before="30" w:after="30"/>
              <w:ind w:right="720"/>
              <w:jc w:val="right"/>
            </w:pPr>
            <w:r w:rsidRPr="00463667">
              <w:t>19</w:t>
            </w:r>
          </w:p>
        </w:tc>
        <w:tc>
          <w:tcPr>
            <w:tcW w:w="1919" w:type="dxa"/>
            <w:shd w:val="clear" w:color="auto" w:fill="auto"/>
          </w:tcPr>
          <w:p w14:paraId="35CF1D22" w14:textId="77777777" w:rsidR="00BF3DF9" w:rsidRPr="00463667" w:rsidRDefault="00BF3DF9" w:rsidP="00C56CA6">
            <w:pPr>
              <w:pStyle w:val="TableText"/>
              <w:spacing w:before="30" w:after="30"/>
              <w:ind w:right="720"/>
              <w:jc w:val="right"/>
            </w:pPr>
            <w:r w:rsidRPr="00463667">
              <w:t>24.00</w:t>
            </w:r>
          </w:p>
        </w:tc>
        <w:tc>
          <w:tcPr>
            <w:tcW w:w="1800" w:type="dxa"/>
            <w:gridSpan w:val="2"/>
          </w:tcPr>
          <w:p w14:paraId="659D75B8" w14:textId="77777777" w:rsidR="00BF3DF9" w:rsidRPr="00463667" w:rsidRDefault="00BF3DF9" w:rsidP="00C56CA6">
            <w:pPr>
              <w:pStyle w:val="TableText"/>
              <w:spacing w:before="30" w:after="30"/>
              <w:ind w:right="576"/>
              <w:jc w:val="right"/>
            </w:pPr>
            <w:r w:rsidRPr="00463667">
              <w:t>456.00</w:t>
            </w:r>
          </w:p>
        </w:tc>
      </w:tr>
      <w:tr w:rsidR="00BF3DF9" w:rsidRPr="00463667" w14:paraId="52E7180A" w14:textId="77777777" w:rsidTr="00C56CA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Ex>
        <w:tc>
          <w:tcPr>
            <w:tcW w:w="2340" w:type="dxa"/>
            <w:gridSpan w:val="2"/>
            <w:shd w:val="clear" w:color="auto" w:fill="D9D9D9"/>
          </w:tcPr>
          <w:p w14:paraId="4EE84154" w14:textId="77777777" w:rsidR="00BF3DF9" w:rsidRPr="00463667" w:rsidRDefault="00BF3DF9" w:rsidP="00C56CA6">
            <w:pPr>
              <w:pStyle w:val="TableText"/>
              <w:spacing w:before="30" w:after="30"/>
              <w:jc w:val="right"/>
              <w:rPr>
                <w:b/>
                <w:i/>
              </w:rPr>
            </w:pPr>
            <w:r w:rsidRPr="00463667">
              <w:rPr>
                <w:b/>
                <w:i/>
              </w:rPr>
              <w:t>Total</w:t>
            </w:r>
          </w:p>
        </w:tc>
        <w:tc>
          <w:tcPr>
            <w:tcW w:w="1890" w:type="dxa"/>
            <w:shd w:val="clear" w:color="auto" w:fill="D9D9D9"/>
          </w:tcPr>
          <w:p w14:paraId="3F1F0CC1" w14:textId="77777777" w:rsidR="00BF3DF9" w:rsidRPr="00463667" w:rsidRDefault="00BF3DF9" w:rsidP="00C56CA6">
            <w:pPr>
              <w:pStyle w:val="TableText"/>
              <w:spacing w:before="30" w:after="30"/>
              <w:jc w:val="center"/>
            </w:pPr>
            <w:r w:rsidRPr="00463667">
              <w:t>—</w:t>
            </w:r>
          </w:p>
        </w:tc>
        <w:tc>
          <w:tcPr>
            <w:tcW w:w="1771" w:type="dxa"/>
            <w:shd w:val="clear" w:color="auto" w:fill="D9D9D9"/>
          </w:tcPr>
          <w:p w14:paraId="25392EC4" w14:textId="77777777" w:rsidR="00BF3DF9" w:rsidRPr="00463667" w:rsidRDefault="00BF3DF9" w:rsidP="00C56CA6">
            <w:pPr>
              <w:pStyle w:val="TableText"/>
              <w:spacing w:before="30" w:after="30"/>
              <w:jc w:val="center"/>
              <w:rPr>
                <w:highlight w:val="yellow"/>
              </w:rPr>
            </w:pPr>
            <w:r w:rsidRPr="00463667">
              <w:t>—</w:t>
            </w:r>
          </w:p>
        </w:tc>
        <w:tc>
          <w:tcPr>
            <w:tcW w:w="1919" w:type="dxa"/>
            <w:shd w:val="clear" w:color="auto" w:fill="D9D9D9"/>
          </w:tcPr>
          <w:p w14:paraId="1DC3E933" w14:textId="77777777" w:rsidR="00BF3DF9" w:rsidRPr="00463667" w:rsidRDefault="00BF3DF9" w:rsidP="00C56CA6">
            <w:pPr>
              <w:pStyle w:val="TableText"/>
              <w:spacing w:before="30" w:after="30"/>
              <w:jc w:val="center"/>
            </w:pPr>
            <w:r w:rsidRPr="00463667">
              <w:t>—</w:t>
            </w:r>
          </w:p>
        </w:tc>
        <w:tc>
          <w:tcPr>
            <w:tcW w:w="1800" w:type="dxa"/>
            <w:gridSpan w:val="2"/>
            <w:shd w:val="clear" w:color="auto" w:fill="D9D9D9"/>
          </w:tcPr>
          <w:p w14:paraId="7FD614C0" w14:textId="77777777" w:rsidR="00BF3DF9" w:rsidRPr="00463667" w:rsidRDefault="00BF3DF9" w:rsidP="00C56CA6">
            <w:pPr>
              <w:pStyle w:val="TableText"/>
              <w:spacing w:before="30" w:after="30"/>
              <w:ind w:right="576"/>
              <w:jc w:val="right"/>
              <w:rPr>
                <w:highlight w:val="yellow"/>
              </w:rPr>
            </w:pPr>
            <w:r w:rsidRPr="00463667">
              <w:t>1,336.00</w:t>
            </w:r>
          </w:p>
        </w:tc>
      </w:tr>
    </w:tbl>
    <w:p w14:paraId="06920F14" w14:textId="77777777" w:rsidR="00BF3DF9" w:rsidRPr="00463667" w:rsidRDefault="00BF3DF9" w:rsidP="00BF3DF9">
      <w:pPr>
        <w:pStyle w:val="Heading3"/>
      </w:pPr>
      <w:r w:rsidRPr="00463667">
        <w:rPr>
          <w:i/>
        </w:rPr>
        <w:t xml:space="preserve">Sample Table: </w:t>
      </w:r>
      <w:r w:rsidRPr="00463667">
        <w:t>SPT-Pharm—Pharmacy Services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2"/>
        <w:gridCol w:w="2160"/>
        <w:gridCol w:w="2340"/>
      </w:tblGrid>
      <w:tr w:rsidR="00BF3DF9" w:rsidRPr="00463667" w14:paraId="322155AD" w14:textId="77777777" w:rsidTr="00C56CA6">
        <w:tc>
          <w:tcPr>
            <w:tcW w:w="2322" w:type="dxa"/>
            <w:tcBorders>
              <w:right w:val="single" w:sz="6" w:space="0" w:color="FFFFFF"/>
            </w:tcBorders>
            <w:shd w:val="clear" w:color="auto" w:fill="000000"/>
            <w:vAlign w:val="bottom"/>
          </w:tcPr>
          <w:p w14:paraId="2C5924C5" w14:textId="77777777" w:rsidR="00BF3DF9" w:rsidRPr="00463667" w:rsidRDefault="00BF3DF9" w:rsidP="00C56CA6">
            <w:pPr>
              <w:pStyle w:val="TableHead"/>
              <w:spacing w:before="30" w:after="30"/>
              <w:rPr>
                <w:color w:val="auto"/>
              </w:rPr>
            </w:pPr>
            <w:r w:rsidRPr="00463667">
              <w:rPr>
                <w:color w:val="auto"/>
              </w:rPr>
              <w:t>NDC</w:t>
            </w:r>
          </w:p>
        </w:tc>
        <w:tc>
          <w:tcPr>
            <w:tcW w:w="2160" w:type="dxa"/>
            <w:tcBorders>
              <w:left w:val="single" w:sz="6" w:space="0" w:color="FFFFFF"/>
              <w:right w:val="single" w:sz="6" w:space="0" w:color="FFFFFF"/>
            </w:tcBorders>
            <w:shd w:val="clear" w:color="auto" w:fill="000000"/>
            <w:vAlign w:val="bottom"/>
          </w:tcPr>
          <w:p w14:paraId="72E45D60" w14:textId="77777777" w:rsidR="00BF3DF9" w:rsidRPr="00463667" w:rsidRDefault="00BF3DF9" w:rsidP="00C56CA6">
            <w:pPr>
              <w:pStyle w:val="TableHead"/>
              <w:spacing w:before="30" w:after="30"/>
              <w:rPr>
                <w:color w:val="auto"/>
              </w:rPr>
            </w:pPr>
            <w:r w:rsidRPr="00463667">
              <w:rPr>
                <w:color w:val="auto"/>
              </w:rPr>
              <w:t>Standard Unit Price per Metric Quantity ($)</w:t>
            </w:r>
          </w:p>
        </w:tc>
        <w:tc>
          <w:tcPr>
            <w:tcW w:w="2340" w:type="dxa"/>
            <w:tcBorders>
              <w:left w:val="single" w:sz="6" w:space="0" w:color="FFFFFF"/>
            </w:tcBorders>
            <w:shd w:val="clear" w:color="auto" w:fill="000000"/>
            <w:vAlign w:val="bottom"/>
          </w:tcPr>
          <w:p w14:paraId="3DDF147A" w14:textId="77777777" w:rsidR="00BF3DF9" w:rsidRPr="00463667" w:rsidRDefault="00BF3DF9" w:rsidP="00C56CA6">
            <w:pPr>
              <w:pStyle w:val="TableHead"/>
              <w:spacing w:before="30" w:after="30"/>
              <w:rPr>
                <w:color w:val="auto"/>
              </w:rPr>
            </w:pPr>
            <w:r w:rsidRPr="00463667">
              <w:rPr>
                <w:color w:val="auto"/>
              </w:rPr>
              <w:t xml:space="preserve">Standard </w:t>
            </w:r>
            <w:r w:rsidRPr="00463667">
              <w:rPr>
                <w:color w:val="auto"/>
              </w:rPr>
              <w:br/>
              <w:t>Unit Price per Day ($)</w:t>
            </w:r>
          </w:p>
        </w:tc>
      </w:tr>
      <w:tr w:rsidR="00BF3DF9" w:rsidRPr="00463667" w14:paraId="7D1A1FFD" w14:textId="77777777" w:rsidTr="00C56CA6">
        <w:tc>
          <w:tcPr>
            <w:tcW w:w="2322" w:type="dxa"/>
          </w:tcPr>
          <w:p w14:paraId="43E0A105" w14:textId="77777777" w:rsidR="00BF3DF9" w:rsidRPr="00463667" w:rsidRDefault="00BF3DF9" w:rsidP="00C56CA6">
            <w:pPr>
              <w:pStyle w:val="TableText"/>
              <w:spacing w:before="30" w:after="30"/>
              <w:jc w:val="center"/>
            </w:pPr>
            <w:r w:rsidRPr="00463667">
              <w:t>11111111111</w:t>
            </w:r>
          </w:p>
        </w:tc>
        <w:tc>
          <w:tcPr>
            <w:tcW w:w="2160" w:type="dxa"/>
            <w:vAlign w:val="bottom"/>
          </w:tcPr>
          <w:p w14:paraId="1B8E081F" w14:textId="77777777" w:rsidR="00BF3DF9" w:rsidRPr="00463667" w:rsidRDefault="00BF3DF9" w:rsidP="00C56CA6">
            <w:pPr>
              <w:pStyle w:val="TableText"/>
              <w:spacing w:before="30" w:after="30"/>
              <w:jc w:val="center"/>
            </w:pPr>
            <w:r w:rsidRPr="00463667">
              <w:t>10.00</w:t>
            </w:r>
          </w:p>
        </w:tc>
        <w:tc>
          <w:tcPr>
            <w:tcW w:w="2340" w:type="dxa"/>
          </w:tcPr>
          <w:p w14:paraId="32DA55CB" w14:textId="77777777" w:rsidR="00BF3DF9" w:rsidRPr="00463667" w:rsidRDefault="00BF3DF9" w:rsidP="00C56CA6">
            <w:pPr>
              <w:pStyle w:val="TableText"/>
              <w:spacing w:before="30" w:after="30"/>
              <w:ind w:right="864"/>
              <w:jc w:val="right"/>
            </w:pPr>
            <w:r w:rsidRPr="00463667">
              <w:t>8.00</w:t>
            </w:r>
          </w:p>
        </w:tc>
      </w:tr>
      <w:tr w:rsidR="00BF3DF9" w:rsidRPr="00463667" w14:paraId="0B39D458" w14:textId="77777777" w:rsidTr="00C56CA6">
        <w:tc>
          <w:tcPr>
            <w:tcW w:w="2322" w:type="dxa"/>
            <w:shd w:val="clear" w:color="auto" w:fill="E0E0E0"/>
          </w:tcPr>
          <w:p w14:paraId="6E4A258B" w14:textId="77777777" w:rsidR="00BF3DF9" w:rsidRPr="00463667" w:rsidRDefault="00BF3DF9" w:rsidP="00C56CA6">
            <w:pPr>
              <w:pStyle w:val="TableText"/>
              <w:spacing w:before="30" w:after="30"/>
              <w:jc w:val="center"/>
            </w:pPr>
            <w:r w:rsidRPr="00463667">
              <w:t>22222222222</w:t>
            </w:r>
          </w:p>
        </w:tc>
        <w:tc>
          <w:tcPr>
            <w:tcW w:w="2160" w:type="dxa"/>
            <w:shd w:val="clear" w:color="auto" w:fill="E0E0E0"/>
            <w:vAlign w:val="bottom"/>
          </w:tcPr>
          <w:p w14:paraId="2D8F306C" w14:textId="77777777" w:rsidR="00BF3DF9" w:rsidRPr="00463667" w:rsidRDefault="00BF3DF9" w:rsidP="00C56CA6">
            <w:pPr>
              <w:pStyle w:val="TableText"/>
              <w:spacing w:before="30" w:after="30"/>
              <w:jc w:val="center"/>
            </w:pPr>
            <w:r w:rsidRPr="00463667">
              <w:t>20.00</w:t>
            </w:r>
          </w:p>
        </w:tc>
        <w:tc>
          <w:tcPr>
            <w:tcW w:w="2340" w:type="dxa"/>
            <w:shd w:val="clear" w:color="auto" w:fill="E0E0E0"/>
          </w:tcPr>
          <w:p w14:paraId="69415A80" w14:textId="77777777" w:rsidR="00BF3DF9" w:rsidRPr="00463667" w:rsidRDefault="00BF3DF9" w:rsidP="00C56CA6">
            <w:pPr>
              <w:pStyle w:val="TableText"/>
              <w:spacing w:before="30" w:after="30"/>
              <w:ind w:right="864"/>
              <w:jc w:val="right"/>
            </w:pPr>
            <w:r w:rsidRPr="00463667">
              <w:t>25.00</w:t>
            </w:r>
          </w:p>
        </w:tc>
      </w:tr>
      <w:tr w:rsidR="00BF3DF9" w:rsidRPr="00463667" w14:paraId="1ED25DD8" w14:textId="77777777" w:rsidTr="00C56CA6">
        <w:tc>
          <w:tcPr>
            <w:tcW w:w="2322" w:type="dxa"/>
          </w:tcPr>
          <w:p w14:paraId="4493E067" w14:textId="77777777" w:rsidR="00BF3DF9" w:rsidRPr="00463667" w:rsidRDefault="00BF3DF9" w:rsidP="00C56CA6">
            <w:pPr>
              <w:pStyle w:val="TableText"/>
              <w:spacing w:before="30" w:after="30"/>
              <w:jc w:val="center"/>
            </w:pPr>
            <w:r w:rsidRPr="00463667">
              <w:t>33333333333</w:t>
            </w:r>
          </w:p>
        </w:tc>
        <w:tc>
          <w:tcPr>
            <w:tcW w:w="2160" w:type="dxa"/>
            <w:vAlign w:val="bottom"/>
          </w:tcPr>
          <w:p w14:paraId="78149E3D" w14:textId="77777777" w:rsidR="00BF3DF9" w:rsidRPr="00463667" w:rsidRDefault="00BF3DF9" w:rsidP="00C56CA6">
            <w:pPr>
              <w:pStyle w:val="TableText"/>
              <w:spacing w:before="30" w:after="30"/>
              <w:jc w:val="center"/>
            </w:pPr>
            <w:r w:rsidRPr="00463667">
              <w:t>30.00</w:t>
            </w:r>
          </w:p>
        </w:tc>
        <w:tc>
          <w:tcPr>
            <w:tcW w:w="2340" w:type="dxa"/>
          </w:tcPr>
          <w:p w14:paraId="4A078DA9" w14:textId="77777777" w:rsidR="00BF3DF9" w:rsidRPr="00463667" w:rsidRDefault="00BF3DF9" w:rsidP="00C56CA6">
            <w:pPr>
              <w:pStyle w:val="TableText"/>
              <w:spacing w:before="30" w:after="30"/>
              <w:ind w:right="864"/>
              <w:jc w:val="right"/>
            </w:pPr>
            <w:r w:rsidRPr="00463667">
              <w:t>10.00</w:t>
            </w:r>
          </w:p>
        </w:tc>
      </w:tr>
      <w:tr w:rsidR="00BF3DF9" w:rsidRPr="00463667" w14:paraId="105DB05C" w14:textId="77777777" w:rsidTr="00C56CA6">
        <w:tc>
          <w:tcPr>
            <w:tcW w:w="2322" w:type="dxa"/>
            <w:shd w:val="clear" w:color="auto" w:fill="E0E0E0"/>
          </w:tcPr>
          <w:p w14:paraId="0766EBF5" w14:textId="77777777" w:rsidR="00BF3DF9" w:rsidRPr="00463667" w:rsidRDefault="00BF3DF9" w:rsidP="00C56CA6">
            <w:pPr>
              <w:pStyle w:val="TableText"/>
              <w:spacing w:before="30" w:after="30"/>
              <w:jc w:val="center"/>
            </w:pPr>
            <w:r w:rsidRPr="00463667">
              <w:t>44444444444</w:t>
            </w:r>
          </w:p>
        </w:tc>
        <w:tc>
          <w:tcPr>
            <w:tcW w:w="2160" w:type="dxa"/>
            <w:shd w:val="clear" w:color="auto" w:fill="E0E0E0"/>
            <w:vAlign w:val="bottom"/>
          </w:tcPr>
          <w:p w14:paraId="1276CA3B" w14:textId="77777777" w:rsidR="00BF3DF9" w:rsidRPr="00463667" w:rsidRDefault="00BF3DF9" w:rsidP="00C56CA6">
            <w:pPr>
              <w:pStyle w:val="TableText"/>
              <w:spacing w:before="30" w:after="30"/>
              <w:jc w:val="center"/>
            </w:pPr>
            <w:r w:rsidRPr="00463667">
              <w:t>10.00</w:t>
            </w:r>
          </w:p>
        </w:tc>
        <w:tc>
          <w:tcPr>
            <w:tcW w:w="2340" w:type="dxa"/>
            <w:shd w:val="clear" w:color="auto" w:fill="E0E0E0"/>
          </w:tcPr>
          <w:p w14:paraId="7239040F" w14:textId="77777777" w:rsidR="00BF3DF9" w:rsidRPr="00463667" w:rsidRDefault="00BF3DF9" w:rsidP="00C56CA6">
            <w:pPr>
              <w:pStyle w:val="TableText"/>
              <w:spacing w:before="30" w:after="30"/>
              <w:ind w:right="864"/>
              <w:jc w:val="right"/>
            </w:pPr>
            <w:r w:rsidRPr="00463667">
              <w:t>12.00</w:t>
            </w:r>
          </w:p>
        </w:tc>
      </w:tr>
    </w:tbl>
    <w:p w14:paraId="7543651A" w14:textId="77777777" w:rsidR="00BF3DF9" w:rsidRPr="00463667" w:rsidRDefault="00BF3DF9" w:rsidP="00BF3DF9">
      <w:pPr>
        <w:pStyle w:val="Note"/>
      </w:pPr>
      <w:r w:rsidRPr="00463667">
        <w:rPr>
          <w:b/>
        </w:rPr>
        <w:t xml:space="preserve">Note: </w:t>
      </w:r>
      <w:r w:rsidRPr="00463667">
        <w:t>Standard prices are examples only and may not be the prices assigned to these NDC codes.</w:t>
      </w:r>
    </w:p>
    <w:bookmarkStart w:id="19" w:name="_Toc400546204"/>
    <w:p w14:paraId="358A92AD" w14:textId="14F590D3" w:rsidR="00BF3DF9" w:rsidRPr="00463667" w:rsidRDefault="00EF7C1A" w:rsidP="00BF3DF9">
      <w:pPr>
        <w:pStyle w:val="StdHead"/>
      </w:pPr>
      <w:r>
        <w:fldChar w:fldCharType="begin"/>
      </w:r>
      <w:r>
        <w:instrText xml:space="preserve"> HYPERLINK  \l "TOC" </w:instrText>
      </w:r>
      <w:r>
        <w:fldChar w:fldCharType="separate"/>
      </w:r>
      <w:r w:rsidR="00BF3DF9" w:rsidRPr="00EF7C1A">
        <w:t>Relative Resource Use Results</w:t>
      </w:r>
      <w:bookmarkEnd w:id="19"/>
      <w:r>
        <w:fldChar w:fldCharType="end"/>
      </w:r>
    </w:p>
    <w:p w14:paraId="2029D6FC" w14:textId="39A2B07D" w:rsidR="00BF3DF9" w:rsidRPr="00463667" w:rsidRDefault="00BF3DF9" w:rsidP="00BF3DF9">
      <w:pPr>
        <w:pStyle w:val="Body"/>
      </w:pPr>
      <w:r w:rsidRPr="00463667">
        <w:t>Using the data submitted by all organizations, NCQA estimates the observed and expected RRU amounts for each clinical condition for each organization. Results can be assessed at an overall basis, across all members and major clinical conditions, by service category or for a member cohort within a condition.</w:t>
      </w:r>
    </w:p>
    <w:p w14:paraId="002936C0" w14:textId="31597896" w:rsidR="00BF3DF9" w:rsidRPr="00463667" w:rsidRDefault="00BF3DF9" w:rsidP="00BF3DF9">
      <w:pPr>
        <w:pStyle w:val="Body"/>
      </w:pPr>
      <w:r w:rsidRPr="00463667">
        <w:t xml:space="preserve">NCQA uses the following approach and formulas to compute the </w:t>
      </w:r>
      <w:r w:rsidR="008D50F4">
        <w:t xml:space="preserve">expected standard cost and utilization frequency metrics for each submission. </w:t>
      </w:r>
    </w:p>
    <w:p w14:paraId="482615E0" w14:textId="77777777" w:rsidR="00BF3DF9" w:rsidRPr="00463667" w:rsidRDefault="00BF3DF9" w:rsidP="00BF3DF9">
      <w:pPr>
        <w:pStyle w:val="Bullet"/>
        <w:tabs>
          <w:tab w:val="left" w:pos="540"/>
          <w:tab w:val="left" w:pos="990"/>
        </w:tabs>
        <w:spacing w:before="100"/>
      </w:pPr>
      <w:r w:rsidRPr="00463667">
        <w:rPr>
          <w:b/>
        </w:rPr>
        <w:t>C</w:t>
      </w:r>
      <w:r w:rsidRPr="00463667">
        <w:t xml:space="preserve"> </w:t>
      </w:r>
      <w:r w:rsidRPr="00463667">
        <w:tab/>
        <w:t xml:space="preserve">Organization standard costs. </w:t>
      </w:r>
    </w:p>
    <w:p w14:paraId="78222012" w14:textId="77777777" w:rsidR="00BF3DF9" w:rsidRPr="00463667" w:rsidRDefault="00BF3DF9" w:rsidP="00BF3DF9">
      <w:pPr>
        <w:pStyle w:val="Bullet"/>
        <w:tabs>
          <w:tab w:val="left" w:pos="540"/>
          <w:tab w:val="left" w:pos="990"/>
        </w:tabs>
        <w:spacing w:before="100"/>
        <w:rPr>
          <w:rFonts w:cs="Arial"/>
          <w:szCs w:val="20"/>
        </w:rPr>
      </w:pPr>
      <w:r w:rsidRPr="00463667">
        <w:rPr>
          <w:rFonts w:cs="Arial"/>
          <w:b/>
          <w:szCs w:val="20"/>
        </w:rPr>
        <w:t>i</w:t>
      </w:r>
      <w:r w:rsidRPr="00463667">
        <w:rPr>
          <w:rFonts w:cs="Arial"/>
          <w:szCs w:val="20"/>
        </w:rPr>
        <w:t xml:space="preserve"> </w:t>
      </w:r>
      <w:r w:rsidRPr="00463667">
        <w:rPr>
          <w:rFonts w:cs="Arial"/>
          <w:szCs w:val="20"/>
        </w:rPr>
        <w:tab/>
        <w:t>Indexes eligible members.</w:t>
      </w:r>
    </w:p>
    <w:p w14:paraId="503537C4" w14:textId="77777777" w:rsidR="00BF3DF9" w:rsidRPr="00463667" w:rsidRDefault="00BF3DF9" w:rsidP="00BF3DF9">
      <w:pPr>
        <w:pStyle w:val="Bullet"/>
        <w:tabs>
          <w:tab w:val="left" w:pos="540"/>
          <w:tab w:val="left" w:pos="990"/>
        </w:tabs>
        <w:spacing w:before="100"/>
        <w:rPr>
          <w:rFonts w:cs="Arial"/>
          <w:szCs w:val="20"/>
        </w:rPr>
      </w:pPr>
      <w:r w:rsidRPr="00463667">
        <w:rPr>
          <w:rFonts w:cs="Arial"/>
          <w:b/>
          <w:szCs w:val="20"/>
        </w:rPr>
        <w:t>s</w:t>
      </w:r>
      <w:r w:rsidRPr="00463667">
        <w:rPr>
          <w:rFonts w:cs="Arial"/>
          <w:szCs w:val="20"/>
        </w:rPr>
        <w:tab/>
        <w:t>Indexes service categories.</w:t>
      </w:r>
    </w:p>
    <w:p w14:paraId="24A94354" w14:textId="77777777" w:rsidR="00BF3DF9" w:rsidRPr="00463667" w:rsidRDefault="00BF3DF9" w:rsidP="00BF3DF9">
      <w:pPr>
        <w:pStyle w:val="Bullet"/>
        <w:tabs>
          <w:tab w:val="left" w:pos="540"/>
          <w:tab w:val="left" w:pos="990"/>
        </w:tabs>
        <w:spacing w:before="100"/>
        <w:rPr>
          <w:rFonts w:cs="Arial"/>
          <w:szCs w:val="20"/>
        </w:rPr>
      </w:pPr>
      <w:r w:rsidRPr="00463667">
        <w:rPr>
          <w:rFonts w:cs="Arial"/>
          <w:b/>
          <w:szCs w:val="20"/>
        </w:rPr>
        <w:t>m</w:t>
      </w:r>
      <w:r w:rsidRPr="00463667">
        <w:rPr>
          <w:rFonts w:cs="Arial"/>
          <w:szCs w:val="20"/>
        </w:rPr>
        <w:tab/>
        <w:t>Indexes member cohorts.</w:t>
      </w:r>
    </w:p>
    <w:p w14:paraId="0C88C14A" w14:textId="77777777" w:rsidR="00BF3DF9" w:rsidRPr="00463667" w:rsidRDefault="00BF3DF9" w:rsidP="00BF3DF9">
      <w:pPr>
        <w:pStyle w:val="Bullet"/>
        <w:tabs>
          <w:tab w:val="left" w:pos="540"/>
          <w:tab w:val="left" w:pos="990"/>
        </w:tabs>
        <w:spacing w:before="100"/>
        <w:rPr>
          <w:rFonts w:cs="Arial"/>
          <w:szCs w:val="20"/>
        </w:rPr>
        <w:sectPr w:rsidR="00BF3DF9" w:rsidRPr="00463667" w:rsidSect="00C56CA6">
          <w:headerReference w:type="even" r:id="rId42"/>
          <w:footerReference w:type="even" r:id="rId43"/>
          <w:pgSz w:w="12240" w:h="15840" w:code="1"/>
          <w:pgMar w:top="1080" w:right="1080" w:bottom="1080" w:left="1440" w:header="720" w:footer="720" w:gutter="0"/>
          <w:cols w:space="720"/>
        </w:sectPr>
      </w:pPr>
      <w:r w:rsidRPr="00463667">
        <w:rPr>
          <w:rFonts w:cs="Arial"/>
          <w:b/>
          <w:szCs w:val="20"/>
        </w:rPr>
        <w:t>o</w:t>
      </w:r>
      <w:r w:rsidRPr="00463667">
        <w:rPr>
          <w:rFonts w:cs="Arial"/>
          <w:szCs w:val="20"/>
        </w:rPr>
        <w:t xml:space="preserve"> </w:t>
      </w:r>
      <w:r w:rsidRPr="00463667">
        <w:rPr>
          <w:rFonts w:cs="Arial"/>
          <w:szCs w:val="20"/>
        </w:rPr>
        <w:tab/>
        <w:t xml:space="preserve">Indexes reporting </w:t>
      </w:r>
      <w:r w:rsidRPr="00463667">
        <w:t>organization</w:t>
      </w:r>
      <w:r w:rsidRPr="00463667">
        <w:rPr>
          <w:rFonts w:cs="Arial"/>
          <w:szCs w:val="20"/>
        </w:rPr>
        <w:t xml:space="preserve">s. </w:t>
      </w:r>
    </w:p>
    <w:p w14:paraId="756BEA34" w14:textId="77777777" w:rsidR="00BF3DF9" w:rsidRPr="00463667" w:rsidRDefault="00BF3DF9" w:rsidP="00BF3DF9">
      <w:pPr>
        <w:pStyle w:val="Body"/>
        <w:spacing w:before="0"/>
      </w:pPr>
      <w:r w:rsidRPr="00463667">
        <w:rPr>
          <w:rFonts w:cs="Arial"/>
          <w:szCs w:val="20"/>
        </w:rPr>
        <w:lastRenderedPageBreak/>
        <w:t xml:space="preserve">Standard costs are reported by service category across all eligible members in a member cohort. Member cohorts are defined by HCC-RRU risk group, age and gender grouping. </w:t>
      </w:r>
      <w:r w:rsidRPr="00463667">
        <w:t>Following the assignment of standard price to services provided to eligible members, the organization sums standard costs across eligible members for each member cohort to compute total costs for a service category (for Organization O).</w:t>
      </w:r>
    </w:p>
    <w:p w14:paraId="4804C12E" w14:textId="77777777" w:rsidR="00BF3DF9" w:rsidRPr="00463667" w:rsidRDefault="00BF3DF9" w:rsidP="00BF3DF9">
      <w:pPr>
        <w:pStyle w:val="Body"/>
        <w:spacing w:before="60"/>
        <w:ind w:left="720"/>
        <w:rPr>
          <w:vertAlign w:val="subscript"/>
        </w:rPr>
      </w:pPr>
      <w:r w:rsidRPr="00463667">
        <w:t>C</w:t>
      </w:r>
      <w:r w:rsidRPr="00463667">
        <w:rPr>
          <w:vertAlign w:val="subscript"/>
        </w:rPr>
        <w:t xml:space="preserve">s,m,o </w:t>
      </w:r>
      <w:r w:rsidRPr="00463667">
        <w:t>= ∑</w:t>
      </w:r>
      <w:r w:rsidRPr="00463667">
        <w:rPr>
          <w:vertAlign w:val="subscript"/>
        </w:rPr>
        <w:t>i</w:t>
      </w:r>
      <w:r w:rsidRPr="00463667">
        <w:t>C</w:t>
      </w:r>
      <w:r w:rsidRPr="00463667">
        <w:rPr>
          <w:vertAlign w:val="subscript"/>
        </w:rPr>
        <w:t>i,s,m,o</w:t>
      </w:r>
    </w:p>
    <w:p w14:paraId="7973D7F3" w14:textId="77777777" w:rsidR="00BF3DF9" w:rsidRPr="00463667" w:rsidRDefault="00BF3DF9" w:rsidP="00BF3DF9">
      <w:pPr>
        <w:pStyle w:val="Body"/>
      </w:pPr>
      <w:r w:rsidRPr="00463667">
        <w:t>In addition to standard costs, organizations report total member months (Totmm) and pharmacy member months (Rxmm) for each member cohort.</w:t>
      </w:r>
    </w:p>
    <w:p w14:paraId="6C30881A" w14:textId="77777777" w:rsidR="00BF3DF9" w:rsidRPr="001D569A" w:rsidRDefault="00BF3DF9" w:rsidP="00BF3DF9">
      <w:pPr>
        <w:pStyle w:val="Body"/>
        <w:spacing w:before="60"/>
        <w:ind w:left="720"/>
        <w:rPr>
          <w:vertAlign w:val="subscript"/>
          <w:lang w:val="es-ES"/>
        </w:rPr>
      </w:pPr>
      <w:r w:rsidRPr="001D569A">
        <w:rPr>
          <w:lang w:val="es-ES"/>
        </w:rPr>
        <w:t>Totmm</w:t>
      </w:r>
      <w:r w:rsidRPr="001D569A">
        <w:rPr>
          <w:vertAlign w:val="subscript"/>
          <w:lang w:val="es-ES"/>
        </w:rPr>
        <w:t>m,o</w:t>
      </w:r>
      <w:r w:rsidRPr="001D569A">
        <w:rPr>
          <w:lang w:val="es-ES"/>
        </w:rPr>
        <w:t xml:space="preserve"> = ∑</w:t>
      </w:r>
      <w:r w:rsidRPr="001D569A">
        <w:rPr>
          <w:vertAlign w:val="subscript"/>
          <w:lang w:val="es-ES"/>
        </w:rPr>
        <w:t>i</w:t>
      </w:r>
      <w:r w:rsidRPr="001D569A">
        <w:rPr>
          <w:lang w:val="es-ES"/>
        </w:rPr>
        <w:t>Totmm</w:t>
      </w:r>
      <w:r w:rsidRPr="001D569A">
        <w:rPr>
          <w:vertAlign w:val="subscript"/>
          <w:lang w:val="es-ES"/>
        </w:rPr>
        <w:t>i,m,o</w:t>
      </w:r>
    </w:p>
    <w:p w14:paraId="1CE22CFB" w14:textId="77777777" w:rsidR="00BF3DF9" w:rsidRPr="001D569A" w:rsidRDefault="00BF3DF9" w:rsidP="00BF3DF9">
      <w:pPr>
        <w:pStyle w:val="Body"/>
        <w:spacing w:before="120"/>
        <w:ind w:left="720"/>
        <w:rPr>
          <w:vertAlign w:val="subscript"/>
          <w:lang w:val="es-ES"/>
        </w:rPr>
      </w:pPr>
      <w:r w:rsidRPr="001D569A">
        <w:rPr>
          <w:lang w:val="es-ES"/>
        </w:rPr>
        <w:t>Rxmm</w:t>
      </w:r>
      <w:r w:rsidRPr="001D569A">
        <w:rPr>
          <w:vertAlign w:val="subscript"/>
          <w:lang w:val="es-ES"/>
        </w:rPr>
        <w:t>m,o</w:t>
      </w:r>
      <w:r w:rsidRPr="001D569A">
        <w:rPr>
          <w:lang w:val="es-ES"/>
        </w:rPr>
        <w:t xml:space="preserve"> = ∑</w:t>
      </w:r>
      <w:r w:rsidRPr="001D569A">
        <w:rPr>
          <w:vertAlign w:val="subscript"/>
          <w:lang w:val="es-ES"/>
        </w:rPr>
        <w:t>i</w:t>
      </w:r>
      <w:r w:rsidRPr="001D569A">
        <w:rPr>
          <w:lang w:val="es-ES"/>
        </w:rPr>
        <w:t>Rxmm</w:t>
      </w:r>
      <w:r w:rsidRPr="001D569A">
        <w:rPr>
          <w:vertAlign w:val="subscript"/>
          <w:lang w:val="es-ES"/>
        </w:rPr>
        <w:t>i,m,o</w:t>
      </w:r>
    </w:p>
    <w:p w14:paraId="2BE46370" w14:textId="77777777" w:rsidR="00BF3DF9" w:rsidRPr="00463667" w:rsidRDefault="00BF3DF9" w:rsidP="00BF3DF9">
      <w:pPr>
        <w:pStyle w:val="Body"/>
      </w:pPr>
      <w:r w:rsidRPr="00463667">
        <w:t>NCQA collects this information for all organizations. Data are pooled across organizations in a “peer group” and used to compute normative benchmarks that can be used to estimate expected standard costs for each organization. Peer benchmarks are created at the per member per month (PMPM) level; standard cost benchmarks (BenchC) are created for each member cohort and service category. For example, for standard costs, NCQA first aggregates costs across organizations in a peer group:</w:t>
      </w:r>
    </w:p>
    <w:p w14:paraId="73C799C0" w14:textId="77777777" w:rsidR="00BF3DF9" w:rsidRPr="00463667" w:rsidRDefault="00BF3DF9" w:rsidP="00BF3DF9">
      <w:pPr>
        <w:pStyle w:val="Body"/>
        <w:spacing w:before="60"/>
        <w:ind w:left="720"/>
        <w:rPr>
          <w:vertAlign w:val="subscript"/>
        </w:rPr>
      </w:pPr>
      <w:r w:rsidRPr="00463667">
        <w:t>BenchC</w:t>
      </w:r>
      <w:r w:rsidRPr="00463667">
        <w:rPr>
          <w:vertAlign w:val="subscript"/>
        </w:rPr>
        <w:t>s,m</w:t>
      </w:r>
      <w:r w:rsidRPr="00463667">
        <w:t xml:space="preserve"> = ∑</w:t>
      </w:r>
      <w:r w:rsidRPr="00463667">
        <w:rPr>
          <w:vertAlign w:val="subscript"/>
        </w:rPr>
        <w:t>o</w:t>
      </w:r>
      <w:r w:rsidRPr="00463667">
        <w:t>C</w:t>
      </w:r>
      <w:r w:rsidRPr="00463667">
        <w:rPr>
          <w:vertAlign w:val="subscript"/>
        </w:rPr>
        <w:t>s,m,o</w:t>
      </w:r>
    </w:p>
    <w:p w14:paraId="4B624154" w14:textId="77777777" w:rsidR="00BF3DF9" w:rsidRPr="00463667" w:rsidRDefault="00BF3DF9" w:rsidP="00BF3DF9">
      <w:pPr>
        <w:pStyle w:val="Body"/>
      </w:pPr>
      <w:r w:rsidRPr="00463667">
        <w:t>Total and pharmacy member months are also summed.</w:t>
      </w:r>
    </w:p>
    <w:p w14:paraId="1371009F" w14:textId="77777777" w:rsidR="00BF3DF9" w:rsidRPr="00463667" w:rsidRDefault="00BF3DF9" w:rsidP="00BF3DF9">
      <w:pPr>
        <w:pStyle w:val="Body"/>
        <w:spacing w:before="60"/>
        <w:ind w:left="720"/>
      </w:pPr>
      <w:r w:rsidRPr="00463667">
        <w:t>BenchTotmm</w:t>
      </w:r>
      <w:r w:rsidRPr="00463667">
        <w:rPr>
          <w:vertAlign w:val="subscript"/>
        </w:rPr>
        <w:t>m</w:t>
      </w:r>
      <w:r w:rsidRPr="00463667">
        <w:t xml:space="preserve"> = ∑</w:t>
      </w:r>
      <w:r w:rsidRPr="00463667">
        <w:rPr>
          <w:vertAlign w:val="subscript"/>
        </w:rPr>
        <w:t>o</w:t>
      </w:r>
      <w:r w:rsidRPr="00463667">
        <w:t>Totmm</w:t>
      </w:r>
      <w:r w:rsidRPr="00463667">
        <w:rPr>
          <w:vertAlign w:val="subscript"/>
        </w:rPr>
        <w:t>m,o</w:t>
      </w:r>
    </w:p>
    <w:p w14:paraId="713183B7" w14:textId="77777777" w:rsidR="00BF3DF9" w:rsidRPr="00463667" w:rsidRDefault="00BF3DF9" w:rsidP="00BF3DF9">
      <w:pPr>
        <w:pStyle w:val="Body"/>
        <w:spacing w:before="120"/>
        <w:ind w:left="720"/>
      </w:pPr>
      <w:r w:rsidRPr="00463667">
        <w:t>BenchRxmm</w:t>
      </w:r>
      <w:r w:rsidRPr="00463667">
        <w:rPr>
          <w:vertAlign w:val="subscript"/>
        </w:rPr>
        <w:t>m</w:t>
      </w:r>
      <w:r w:rsidRPr="00463667">
        <w:t xml:space="preserve"> = ∑</w:t>
      </w:r>
      <w:r w:rsidRPr="00463667">
        <w:rPr>
          <w:vertAlign w:val="subscript"/>
        </w:rPr>
        <w:t>o</w:t>
      </w:r>
      <w:r w:rsidRPr="00463667">
        <w:t>Rxmm</w:t>
      </w:r>
      <w:r w:rsidRPr="00463667">
        <w:rPr>
          <w:vertAlign w:val="subscript"/>
        </w:rPr>
        <w:t>m,o</w:t>
      </w:r>
    </w:p>
    <w:p w14:paraId="1396E6EA" w14:textId="77777777" w:rsidR="00BF3DF9" w:rsidRPr="00463667" w:rsidRDefault="00BF3DF9" w:rsidP="00BF3DF9">
      <w:pPr>
        <w:pStyle w:val="Note"/>
      </w:pPr>
      <w:r w:rsidRPr="00463667">
        <w:rPr>
          <w:b/>
        </w:rPr>
        <w:t>Note:</w:t>
      </w:r>
      <w:r w:rsidRPr="00463667">
        <w:t xml:space="preserve"> These calculations use only the values for p included in the peer benchmark group.</w:t>
      </w:r>
    </w:p>
    <w:p w14:paraId="1F2553FC" w14:textId="77777777" w:rsidR="00BF3DF9" w:rsidRPr="00463667" w:rsidRDefault="00BF3DF9" w:rsidP="00BF3DF9">
      <w:pPr>
        <w:pStyle w:val="Body"/>
        <w:rPr>
          <w:rFonts w:cs="Arial"/>
          <w:szCs w:val="20"/>
        </w:rPr>
      </w:pPr>
      <w:r w:rsidRPr="00463667">
        <w:rPr>
          <w:rFonts w:cs="Arial"/>
          <w:i/>
          <w:szCs w:val="20"/>
        </w:rPr>
        <w:t xml:space="preserve">For nonpharmacy service categories, </w:t>
      </w:r>
      <w:r w:rsidRPr="00463667">
        <w:rPr>
          <w:rFonts w:cs="Arial"/>
          <w:szCs w:val="20"/>
        </w:rPr>
        <w:t>the benchmark PMPM for a peer group is:</w:t>
      </w:r>
    </w:p>
    <w:p w14:paraId="7613AE21" w14:textId="77777777" w:rsidR="00BF3DF9" w:rsidRPr="00463667" w:rsidRDefault="00BF3DF9" w:rsidP="00BF3DF9">
      <w:pPr>
        <w:spacing w:before="60"/>
        <w:ind w:left="720"/>
        <w:rPr>
          <w:vertAlign w:val="subscript"/>
        </w:rPr>
      </w:pPr>
      <w:r w:rsidRPr="00463667">
        <w:t>BenchCpmpm</w:t>
      </w:r>
      <w:r w:rsidRPr="00463667">
        <w:rPr>
          <w:vertAlign w:val="subscript"/>
        </w:rPr>
        <w:t>s,m</w:t>
      </w:r>
      <w:r w:rsidRPr="00463667">
        <w:t xml:space="preserve"> = BenchC</w:t>
      </w:r>
      <w:r w:rsidRPr="00463667">
        <w:rPr>
          <w:vertAlign w:val="subscript"/>
        </w:rPr>
        <w:t>s,m</w:t>
      </w:r>
      <w:r w:rsidRPr="00463667">
        <w:t>/BenchTotmm</w:t>
      </w:r>
      <w:r w:rsidRPr="00463667">
        <w:rPr>
          <w:vertAlign w:val="subscript"/>
        </w:rPr>
        <w:t>m</w:t>
      </w:r>
    </w:p>
    <w:p w14:paraId="6C0C220B" w14:textId="77777777" w:rsidR="00BF3DF9" w:rsidRPr="00463667" w:rsidRDefault="00BF3DF9" w:rsidP="00BF3DF9">
      <w:pPr>
        <w:pStyle w:val="Body"/>
        <w:rPr>
          <w:rFonts w:cs="Arial"/>
          <w:szCs w:val="20"/>
        </w:rPr>
      </w:pPr>
      <w:r w:rsidRPr="00463667">
        <w:rPr>
          <w:rFonts w:cs="Arial"/>
          <w:i/>
          <w:szCs w:val="20"/>
        </w:rPr>
        <w:t xml:space="preserve">For pharmacy service categories, </w:t>
      </w:r>
      <w:r w:rsidRPr="00463667">
        <w:rPr>
          <w:rFonts w:cs="Arial"/>
          <w:szCs w:val="20"/>
        </w:rPr>
        <w:t>the benchmark PMPM for a peer group is:</w:t>
      </w:r>
    </w:p>
    <w:p w14:paraId="2882FC27" w14:textId="77777777" w:rsidR="00BF3DF9" w:rsidRPr="00463667" w:rsidRDefault="00BF3DF9" w:rsidP="00BF3DF9">
      <w:pPr>
        <w:pStyle w:val="Body"/>
        <w:spacing w:before="60"/>
        <w:ind w:left="720"/>
        <w:rPr>
          <w:rFonts w:cs="Arial"/>
          <w:szCs w:val="20"/>
          <w:vertAlign w:val="subscript"/>
        </w:rPr>
      </w:pPr>
      <w:r w:rsidRPr="00463667">
        <w:rPr>
          <w:rFonts w:cs="Arial"/>
          <w:szCs w:val="20"/>
        </w:rPr>
        <w:t>BenchCpmpm</w:t>
      </w:r>
      <w:r w:rsidRPr="00463667">
        <w:rPr>
          <w:rFonts w:cs="Arial"/>
          <w:szCs w:val="20"/>
          <w:vertAlign w:val="subscript"/>
        </w:rPr>
        <w:t>s,m</w:t>
      </w:r>
      <w:r w:rsidRPr="00463667">
        <w:rPr>
          <w:rFonts w:cs="Arial"/>
          <w:szCs w:val="20"/>
        </w:rPr>
        <w:t xml:space="preserve"> = BenchC</w:t>
      </w:r>
      <w:r w:rsidRPr="00463667">
        <w:rPr>
          <w:rFonts w:cs="Arial"/>
          <w:szCs w:val="20"/>
          <w:vertAlign w:val="subscript"/>
        </w:rPr>
        <w:t>s,m</w:t>
      </w:r>
      <w:r w:rsidRPr="00463667">
        <w:rPr>
          <w:rFonts w:cs="Arial"/>
          <w:szCs w:val="20"/>
        </w:rPr>
        <w:t>/BenchRxmm</w:t>
      </w:r>
      <w:r w:rsidRPr="00463667">
        <w:rPr>
          <w:rFonts w:cs="Arial"/>
          <w:szCs w:val="20"/>
          <w:vertAlign w:val="subscript"/>
        </w:rPr>
        <w:t>m</w:t>
      </w:r>
    </w:p>
    <w:p w14:paraId="44103D42" w14:textId="77777777" w:rsidR="00BF3DF9" w:rsidRPr="00463667" w:rsidRDefault="00BF3DF9" w:rsidP="00BF3DF9">
      <w:pPr>
        <w:pStyle w:val="Body"/>
        <w:rPr>
          <w:rFonts w:cs="Arial"/>
          <w:szCs w:val="20"/>
        </w:rPr>
      </w:pPr>
      <w:r w:rsidRPr="00463667">
        <w:rPr>
          <w:rFonts w:cs="Arial"/>
          <w:szCs w:val="20"/>
        </w:rPr>
        <w:t>To compute expected amounts for standard costs, values are computed as follows.</w:t>
      </w:r>
    </w:p>
    <w:p w14:paraId="3E0AE5B1" w14:textId="77777777" w:rsidR="00BF3DF9" w:rsidRPr="00463667" w:rsidRDefault="00BF3DF9" w:rsidP="00BF3DF9">
      <w:pPr>
        <w:pStyle w:val="Body"/>
        <w:rPr>
          <w:rFonts w:cs="Arial"/>
          <w:i/>
          <w:szCs w:val="20"/>
        </w:rPr>
      </w:pPr>
      <w:r w:rsidRPr="00463667">
        <w:rPr>
          <w:rFonts w:cs="Arial"/>
          <w:i/>
          <w:szCs w:val="20"/>
        </w:rPr>
        <w:t>For nonpharmacy services:</w:t>
      </w:r>
    </w:p>
    <w:p w14:paraId="431A938A" w14:textId="77777777" w:rsidR="00BF3DF9" w:rsidRPr="00463667" w:rsidRDefault="00BF3DF9" w:rsidP="00BF3DF9">
      <w:pPr>
        <w:pStyle w:val="Body"/>
        <w:spacing w:before="60"/>
        <w:ind w:left="720"/>
        <w:rPr>
          <w:rFonts w:cs="Arial"/>
          <w:szCs w:val="20"/>
          <w:vertAlign w:val="subscript"/>
        </w:rPr>
      </w:pPr>
      <w:r w:rsidRPr="00463667">
        <w:rPr>
          <w:rFonts w:cs="Arial"/>
          <w:szCs w:val="20"/>
        </w:rPr>
        <w:t>E(C</w:t>
      </w:r>
      <w:r w:rsidRPr="00463667">
        <w:rPr>
          <w:rFonts w:cs="Arial"/>
          <w:szCs w:val="20"/>
          <w:vertAlign w:val="subscript"/>
        </w:rPr>
        <w:t>s,m,o</w:t>
      </w:r>
      <w:r w:rsidRPr="00463667">
        <w:rPr>
          <w:rFonts w:cs="Arial"/>
          <w:szCs w:val="20"/>
        </w:rPr>
        <w:t>) = BenchCpmpm</w:t>
      </w:r>
      <w:r w:rsidRPr="00463667">
        <w:rPr>
          <w:rFonts w:cs="Arial"/>
          <w:szCs w:val="20"/>
          <w:vertAlign w:val="subscript"/>
        </w:rPr>
        <w:t>s,m</w:t>
      </w:r>
      <w:r w:rsidRPr="00463667">
        <w:rPr>
          <w:rFonts w:cs="Arial"/>
          <w:szCs w:val="20"/>
        </w:rPr>
        <w:t xml:space="preserve"> * Totmm</w:t>
      </w:r>
      <w:r w:rsidRPr="00463667">
        <w:rPr>
          <w:rFonts w:cs="Arial"/>
          <w:szCs w:val="20"/>
          <w:vertAlign w:val="subscript"/>
        </w:rPr>
        <w:t>m,o</w:t>
      </w:r>
    </w:p>
    <w:p w14:paraId="6D9ADF9C" w14:textId="77777777" w:rsidR="00BF3DF9" w:rsidRPr="00463667" w:rsidRDefault="00BF3DF9" w:rsidP="00BF3DF9">
      <w:pPr>
        <w:pStyle w:val="Body"/>
        <w:rPr>
          <w:rFonts w:cs="Arial"/>
          <w:i/>
          <w:szCs w:val="20"/>
        </w:rPr>
      </w:pPr>
      <w:r w:rsidRPr="00463667">
        <w:rPr>
          <w:rFonts w:cs="Arial"/>
          <w:i/>
          <w:szCs w:val="20"/>
        </w:rPr>
        <w:t>For pharmacy services:</w:t>
      </w:r>
    </w:p>
    <w:p w14:paraId="698152A3" w14:textId="77777777" w:rsidR="00BF3DF9" w:rsidRPr="001D569A" w:rsidRDefault="00BF3DF9" w:rsidP="00BF3DF9">
      <w:pPr>
        <w:pStyle w:val="Body"/>
        <w:spacing w:before="60"/>
        <w:ind w:left="720"/>
        <w:rPr>
          <w:rFonts w:cs="Arial"/>
          <w:szCs w:val="20"/>
          <w:vertAlign w:val="subscript"/>
          <w:lang w:val="es-ES"/>
        </w:rPr>
      </w:pPr>
      <w:r w:rsidRPr="001D569A">
        <w:rPr>
          <w:rFonts w:cs="Arial"/>
          <w:szCs w:val="20"/>
          <w:lang w:val="es-ES"/>
        </w:rPr>
        <w:t>E(C</w:t>
      </w:r>
      <w:r w:rsidRPr="001D569A">
        <w:rPr>
          <w:rFonts w:cs="Arial"/>
          <w:szCs w:val="20"/>
          <w:vertAlign w:val="subscript"/>
          <w:lang w:val="es-ES"/>
        </w:rPr>
        <w:t>s,m,o</w:t>
      </w:r>
      <w:r w:rsidRPr="001D569A">
        <w:rPr>
          <w:rFonts w:cs="Arial"/>
          <w:szCs w:val="20"/>
          <w:lang w:val="es-ES"/>
        </w:rPr>
        <w:t>) = BenchCpmpm</w:t>
      </w:r>
      <w:r w:rsidRPr="001D569A">
        <w:rPr>
          <w:rFonts w:cs="Arial"/>
          <w:szCs w:val="20"/>
          <w:vertAlign w:val="subscript"/>
          <w:lang w:val="es-ES"/>
        </w:rPr>
        <w:t>s,m</w:t>
      </w:r>
      <w:r w:rsidRPr="001D569A">
        <w:rPr>
          <w:rFonts w:cs="Arial"/>
          <w:szCs w:val="20"/>
          <w:lang w:val="es-ES"/>
        </w:rPr>
        <w:t xml:space="preserve"> * Rxmm</w:t>
      </w:r>
      <w:r w:rsidRPr="001D569A">
        <w:rPr>
          <w:rFonts w:cs="Arial"/>
          <w:szCs w:val="20"/>
          <w:vertAlign w:val="subscript"/>
          <w:lang w:val="es-ES"/>
        </w:rPr>
        <w:t>m,o</w:t>
      </w:r>
    </w:p>
    <w:p w14:paraId="214C37DE" w14:textId="5073EFC7" w:rsidR="00BF3DF9" w:rsidRPr="00463667" w:rsidRDefault="00BF3DF9" w:rsidP="00BF3DF9">
      <w:pPr>
        <w:pStyle w:val="Body"/>
      </w:pPr>
      <w:r w:rsidRPr="00463667">
        <w:t>At this point, expected and actual values can be compared and an RRU ratio calculated for each combination of service category and member cohort. The expected amount can also be aggregated and an RRU ratio calculated at any level. An overall ratio across all HCC-RRU risk categories and member cohorts would be (for organization p):</w:t>
      </w:r>
    </w:p>
    <w:p w14:paraId="040814C5" w14:textId="77777777" w:rsidR="00BF3DF9" w:rsidRPr="00463667" w:rsidRDefault="00BF3DF9" w:rsidP="00BF3DF9">
      <w:pPr>
        <w:pStyle w:val="Body"/>
        <w:spacing w:before="60"/>
        <w:ind w:left="720"/>
      </w:pPr>
      <w:r w:rsidRPr="00463667">
        <w:t>RRU</w:t>
      </w:r>
      <w:r w:rsidRPr="00463667">
        <w:rPr>
          <w:vertAlign w:val="subscript"/>
        </w:rPr>
        <w:t xml:space="preserve">o </w:t>
      </w:r>
      <w:r w:rsidRPr="00463667">
        <w:t>= ∑</w:t>
      </w:r>
      <w:r w:rsidRPr="00463667">
        <w:rPr>
          <w:vertAlign w:val="subscript"/>
        </w:rPr>
        <w:t>s</w:t>
      </w:r>
      <w:r w:rsidRPr="00463667">
        <w:t xml:space="preserve"> ∑</w:t>
      </w:r>
      <w:r w:rsidRPr="00463667">
        <w:rPr>
          <w:vertAlign w:val="subscript"/>
        </w:rPr>
        <w:t>m</w:t>
      </w:r>
      <w:r w:rsidRPr="00463667">
        <w:t xml:space="preserve"> C</w:t>
      </w:r>
      <w:r w:rsidRPr="00463667">
        <w:rPr>
          <w:vertAlign w:val="subscript"/>
        </w:rPr>
        <w:t>s,m</w:t>
      </w:r>
      <w:r w:rsidRPr="00463667">
        <w:t xml:space="preserve"> / ∑</w:t>
      </w:r>
      <w:r w:rsidRPr="00463667">
        <w:rPr>
          <w:vertAlign w:val="subscript"/>
        </w:rPr>
        <w:t>s</w:t>
      </w:r>
      <w:r w:rsidRPr="00463667">
        <w:t xml:space="preserve"> ∑</w:t>
      </w:r>
      <w:r w:rsidRPr="00463667">
        <w:rPr>
          <w:vertAlign w:val="subscript"/>
        </w:rPr>
        <w:t>m</w:t>
      </w:r>
      <w:r w:rsidRPr="00463667">
        <w:t xml:space="preserve"> E(C</w:t>
      </w:r>
      <w:r w:rsidRPr="00463667">
        <w:rPr>
          <w:vertAlign w:val="subscript"/>
        </w:rPr>
        <w:t>s,m</w:t>
      </w:r>
      <w:r w:rsidRPr="00463667">
        <w:t>).</w:t>
      </w:r>
    </w:p>
    <w:p w14:paraId="45118A3B" w14:textId="0AC2849B" w:rsidR="00BF3DF9" w:rsidRPr="00463667" w:rsidRDefault="00BF3DF9" w:rsidP="00BF3DF9">
      <w:pPr>
        <w:pStyle w:val="Body"/>
      </w:pPr>
      <w:r w:rsidRPr="00463667">
        <w:t xml:space="preserve">After calculating RRU findings, NCQA provides organizations with their relative resource </w:t>
      </w:r>
      <w:r w:rsidR="00166DDA">
        <w:t>observed-to-expected ratio</w:t>
      </w:r>
      <w:r w:rsidRPr="00463667">
        <w:t xml:space="preserve"> at the service category and major clinical condition level. </w:t>
      </w:r>
    </w:p>
    <w:p w14:paraId="4CF0C9E8" w14:textId="0255FE94" w:rsidR="00BF3DF9" w:rsidRPr="00463667" w:rsidRDefault="00BF3DF9" w:rsidP="00BF3DF9">
      <w:pPr>
        <w:pStyle w:val="Bullet"/>
      </w:pPr>
      <w:r w:rsidRPr="00463667">
        <w:t xml:space="preserve">A score of </w:t>
      </w:r>
      <w:r w:rsidRPr="00463667">
        <w:rPr>
          <w:i/>
        </w:rPr>
        <w:t>1.00</w:t>
      </w:r>
      <w:r w:rsidRPr="00463667">
        <w:t xml:space="preserve"> indicates that the observed amounts for standard costs or utilization are equal to the expected amounts.</w:t>
      </w:r>
    </w:p>
    <w:p w14:paraId="4C7EA644" w14:textId="758905D8" w:rsidR="00BF3DF9" w:rsidRPr="00463667" w:rsidRDefault="00BF3DF9" w:rsidP="00BF3DF9">
      <w:pPr>
        <w:pStyle w:val="Bullet"/>
      </w:pPr>
      <w:r w:rsidRPr="00463667">
        <w:t xml:space="preserve">A score </w:t>
      </w:r>
      <w:r w:rsidRPr="00463667">
        <w:rPr>
          <w:i/>
        </w:rPr>
        <w:t xml:space="preserve">&gt;1.00 </w:t>
      </w:r>
      <w:r w:rsidRPr="00463667">
        <w:t>indicates that the observed amounts for standard costs or utilization are greater than the expected amounts.</w:t>
      </w:r>
    </w:p>
    <w:p w14:paraId="31BD6881" w14:textId="6320A820" w:rsidR="00BF3DF9" w:rsidRPr="00463667" w:rsidRDefault="00BF3DF9" w:rsidP="00BF3DF9">
      <w:pPr>
        <w:pStyle w:val="Bullet"/>
        <w:sectPr w:rsidR="00BF3DF9" w:rsidRPr="00463667" w:rsidSect="00C56CA6">
          <w:pgSz w:w="12240" w:h="15840" w:code="1"/>
          <w:pgMar w:top="1080" w:right="1080" w:bottom="1080" w:left="1440" w:header="720" w:footer="720" w:gutter="0"/>
          <w:cols w:space="720"/>
        </w:sectPr>
      </w:pPr>
      <w:r w:rsidRPr="00463667">
        <w:t xml:space="preserve">A score </w:t>
      </w:r>
      <w:r w:rsidRPr="00463667">
        <w:rPr>
          <w:i/>
        </w:rPr>
        <w:t>&lt;1.00</w:t>
      </w:r>
      <w:r w:rsidRPr="00463667">
        <w:t xml:space="preserve"> indicates that the observed amounts for standard costs or utilization are lower than the expected amounts. </w:t>
      </w:r>
    </w:p>
    <w:p w14:paraId="4A5EE29F" w14:textId="77777777" w:rsidR="00BF3DF9" w:rsidRPr="00463667" w:rsidRDefault="00BF3DF9" w:rsidP="00BF3DF9">
      <w:pPr>
        <w:pStyle w:val="Body"/>
        <w:spacing w:before="0"/>
      </w:pPr>
      <w:r w:rsidRPr="00463667">
        <w:lastRenderedPageBreak/>
        <w:t xml:space="preserve">For example, an organization whose O/E calculation is 1.10 for pharmacy services in its </w:t>
      </w:r>
      <w:r w:rsidRPr="00463667">
        <w:rPr>
          <w:i/>
        </w:rPr>
        <w:t>Relative Resource Use for</w:t>
      </w:r>
      <w:r w:rsidRPr="00463667">
        <w:t xml:space="preserve"> </w:t>
      </w:r>
      <w:r w:rsidRPr="00463667">
        <w:rPr>
          <w:i/>
        </w:rPr>
        <w:t>People With Diabetes</w:t>
      </w:r>
      <w:r w:rsidRPr="00463667">
        <w:t xml:space="preserve"> measure has a total standard cost for pharmacy services for RDI that is 10 percent higher than the expected total pharmacy services cost.</w:t>
      </w:r>
    </w:p>
    <w:bookmarkStart w:id="20" w:name="_Toc400546205"/>
    <w:p w14:paraId="3528CBB9" w14:textId="08073FC3" w:rsidR="00BF3DF9" w:rsidRPr="00463667" w:rsidRDefault="00EF7C1A" w:rsidP="00BF3DF9">
      <w:pPr>
        <w:pStyle w:val="StdHead"/>
      </w:pPr>
      <w:r>
        <w:fldChar w:fldCharType="begin"/>
      </w:r>
      <w:r>
        <w:instrText xml:space="preserve"> HYPERLINK  \l "TOC" </w:instrText>
      </w:r>
      <w:r>
        <w:fldChar w:fldCharType="separate"/>
      </w:r>
      <w:r w:rsidR="00BF3DF9" w:rsidRPr="00EF7C1A">
        <w:t>Relative Resource Use Pharmacy Prescription Frequency Results</w:t>
      </w:r>
      <w:bookmarkEnd w:id="20"/>
      <w:r>
        <w:fldChar w:fldCharType="end"/>
      </w:r>
    </w:p>
    <w:p w14:paraId="791C4980" w14:textId="77777777" w:rsidR="00BF3DF9" w:rsidRPr="00463667" w:rsidRDefault="00BF3DF9" w:rsidP="00BF3DF9">
      <w:pPr>
        <w:pStyle w:val="Body"/>
      </w:pPr>
      <w:r w:rsidRPr="00463667">
        <w:t xml:space="preserve">NCQA reports the following rates: </w:t>
      </w:r>
    </w:p>
    <w:p w14:paraId="4D3CB6C6" w14:textId="77777777" w:rsidR="00BF3DF9" w:rsidRPr="00463667" w:rsidRDefault="00BF3DF9" w:rsidP="00BF3DF9">
      <w:pPr>
        <w:pStyle w:val="Bullet"/>
      </w:pPr>
      <w:r w:rsidRPr="00463667">
        <w:t>Total Prescription Rate.</w:t>
      </w:r>
    </w:p>
    <w:p w14:paraId="2D3CACC3" w14:textId="77777777" w:rsidR="00BF3DF9" w:rsidRPr="00463667" w:rsidRDefault="00BF3DF9" w:rsidP="00BF3DF9">
      <w:pPr>
        <w:pStyle w:val="Bullet"/>
      </w:pPr>
      <w:r w:rsidRPr="00463667">
        <w:t>Generic Utilization, given the existence of the generic option.</w:t>
      </w:r>
    </w:p>
    <w:p w14:paraId="0BBC7EB9" w14:textId="77777777" w:rsidR="00BF3DF9" w:rsidRPr="00463667" w:rsidRDefault="00BF3DF9" w:rsidP="00BF3DF9">
      <w:pPr>
        <w:pStyle w:val="Bullet"/>
      </w:pPr>
      <w:r w:rsidRPr="00463667">
        <w:t xml:space="preserve">Generic Substitution Rate. </w:t>
      </w:r>
    </w:p>
    <w:p w14:paraId="5956366E" w14:textId="77777777" w:rsidR="00BF3DF9" w:rsidRPr="00463667" w:rsidRDefault="00BF3DF9" w:rsidP="00BF3DF9">
      <w:pPr>
        <w:pStyle w:val="Bullet"/>
      </w:pPr>
      <w:r w:rsidRPr="00463667">
        <w:t xml:space="preserve">Overall Generic Utilization. </w:t>
      </w:r>
    </w:p>
    <w:p w14:paraId="5B72EEC7" w14:textId="77777777" w:rsidR="00BF3DF9" w:rsidRPr="00463667" w:rsidRDefault="00BF3DF9" w:rsidP="00BF3DF9">
      <w:pPr>
        <w:pStyle w:val="Body"/>
      </w:pPr>
      <w:r w:rsidRPr="00463667">
        <w:t xml:space="preserve">NCQA will use the following formulas to compute the prescription utilization rates: </w:t>
      </w:r>
    </w:p>
    <w:p w14:paraId="633F39CF" w14:textId="77777777" w:rsidR="00BF3DF9" w:rsidRPr="00463667" w:rsidRDefault="00BF3DF9" w:rsidP="00BF3DF9">
      <w:pPr>
        <w:pStyle w:val="Bullet"/>
      </w:pPr>
      <w:r w:rsidRPr="00463667">
        <w:t>Total Prescription = (N1 + N2 + G1 + G2).</w:t>
      </w:r>
    </w:p>
    <w:p w14:paraId="0B999B29" w14:textId="77777777" w:rsidR="00BF3DF9" w:rsidRPr="00463667" w:rsidRDefault="00BF3DF9" w:rsidP="00BF3DF9">
      <w:pPr>
        <w:pStyle w:val="Bullet"/>
      </w:pPr>
      <w:r w:rsidRPr="00463667">
        <w:t xml:space="preserve">Generic Utilization, given the existence of the generic option = [(G1 + G2)/(N2+G1+G2)]. </w:t>
      </w:r>
    </w:p>
    <w:p w14:paraId="1EE22905" w14:textId="77777777" w:rsidR="00BF3DF9" w:rsidRPr="00463667" w:rsidRDefault="00BF3DF9" w:rsidP="00BF3DF9">
      <w:pPr>
        <w:pStyle w:val="Bullet"/>
      </w:pPr>
      <w:r w:rsidRPr="00463667">
        <w:t>Generic Substitution Rate = [G2/(N2+G2)].</w:t>
      </w:r>
    </w:p>
    <w:p w14:paraId="654C7656" w14:textId="77777777" w:rsidR="00BF3DF9" w:rsidRPr="00463667" w:rsidRDefault="00BF3DF9" w:rsidP="00BF3DF9">
      <w:pPr>
        <w:pStyle w:val="Bullet"/>
      </w:pPr>
      <w:r w:rsidRPr="00463667">
        <w:t xml:space="preserve">Overall Generic Utilization = [(G1+G2)/(N1+N2+G1+G2)]. </w:t>
      </w:r>
    </w:p>
    <w:p w14:paraId="4164B30F" w14:textId="77777777" w:rsidR="00BF3DF9" w:rsidRPr="00463667" w:rsidRDefault="00BF3DF9" w:rsidP="00BF3DF9">
      <w:pPr>
        <w:pStyle w:val="Note"/>
      </w:pPr>
      <w:r w:rsidRPr="00463667">
        <w:rPr>
          <w:b/>
        </w:rPr>
        <w:t xml:space="preserve">Note: </w:t>
      </w:r>
      <w:r w:rsidRPr="00463667">
        <w:t xml:space="preserve">One prescription is an amount lasting 30 days or less. To calculate the number of prescriptions which have a </w:t>
      </w:r>
      <w:proofErr w:type="spellStart"/>
      <w:r w:rsidRPr="00463667">
        <w:t>days</w:t>
      </w:r>
      <w:proofErr w:type="spellEnd"/>
      <w:r w:rsidRPr="00463667">
        <w:t xml:space="preserve"> supply of 30 days or longer, divide the </w:t>
      </w:r>
      <w:proofErr w:type="spellStart"/>
      <w:r w:rsidRPr="00463667">
        <w:t>days</w:t>
      </w:r>
      <w:proofErr w:type="spellEnd"/>
      <w:r w:rsidRPr="00463667">
        <w:t xml:space="preserve"> supply by 30 and round down to convert.</w:t>
      </w:r>
    </w:p>
    <w:p w14:paraId="4F361CEA" w14:textId="34C91D53" w:rsidR="00BF3DF9" w:rsidRPr="00463667" w:rsidRDefault="00BF3DF9" w:rsidP="00BF3DF9">
      <w:pPr>
        <w:pStyle w:val="StdHead"/>
      </w:pPr>
      <w:bookmarkStart w:id="21" w:name="_Toc400546206"/>
      <w:r w:rsidRPr="00463667">
        <w:t>Data Elements for Reporting</w:t>
      </w:r>
      <w:bookmarkEnd w:id="21"/>
    </w:p>
    <w:p w14:paraId="6A002E5F" w14:textId="77777777" w:rsidR="00BF3DF9" w:rsidRPr="00463667" w:rsidRDefault="00BF3DF9" w:rsidP="00BF3DF9">
      <w:pPr>
        <w:pStyle w:val="Body"/>
      </w:pPr>
      <w:r w:rsidRPr="00463667">
        <w:t>NCQA defines a set of building blocks (data elements) for each measure and requires the use of XML. Each measure specification includes a reporting table containing these building blocks: metric specification name, risk groups, age groups and gender options associated with the measure. The IDs for each building block are in the XML (schema) file posted on the NCQA Web site (</w:t>
      </w:r>
      <w:r w:rsidRPr="00463667">
        <w:rPr>
          <w:u w:val="single"/>
        </w:rPr>
        <w:t>www.ncqa.org/rru</w:t>
      </w:r>
      <w:r w:rsidRPr="00463667">
        <w:t xml:space="preserve">). </w:t>
      </w:r>
    </w:p>
    <w:p w14:paraId="23FFEBE6" w14:textId="77777777" w:rsidR="00BF3DF9" w:rsidRPr="00463667" w:rsidRDefault="00BF3DF9" w:rsidP="00BF3DF9">
      <w:pPr>
        <w:sectPr w:rsidR="00BF3DF9" w:rsidRPr="00463667" w:rsidSect="00C56CA6">
          <w:pgSz w:w="12240" w:h="15840" w:code="1"/>
          <w:pgMar w:top="1080" w:right="1080" w:bottom="1080" w:left="1440" w:header="720" w:footer="720" w:gutter="0"/>
          <w:cols w:space="720"/>
        </w:sectPr>
      </w:pPr>
    </w:p>
    <w:bookmarkStart w:id="22" w:name="_Toc400546207"/>
    <w:p w14:paraId="2C0993EC" w14:textId="631611EE" w:rsidR="00BF3DF9" w:rsidRPr="00463667" w:rsidRDefault="00EF7C1A" w:rsidP="00BF3DF9">
      <w:pPr>
        <w:pStyle w:val="Heading2"/>
      </w:pPr>
      <w:r>
        <w:lastRenderedPageBreak/>
        <w:fldChar w:fldCharType="begin"/>
      </w:r>
      <w:r>
        <w:instrText xml:space="preserve"> HYPERLINK  \l "TOC" </w:instrText>
      </w:r>
      <w:r>
        <w:fldChar w:fldCharType="separate"/>
      </w:r>
      <w:r w:rsidR="00BF3DF9" w:rsidRPr="00EF7C1A">
        <w:t>Relative Resource Use for People With Diabetes (</w:t>
      </w:r>
      <w:r w:rsidR="00BF3DF9" w:rsidRPr="00EF7C1A">
        <w:rPr>
          <w:szCs w:val="28"/>
        </w:rPr>
        <w:t>RDI</w:t>
      </w:r>
      <w:r w:rsidR="00BF3DF9" w:rsidRPr="00EF7C1A">
        <w:t>)</w:t>
      </w:r>
      <w:bookmarkEnd w:id="22"/>
      <w:r>
        <w:fldChar w:fldCharType="end"/>
      </w:r>
    </w:p>
    <w:p w14:paraId="067C9583" w14:textId="7B641F5B" w:rsidR="00BF3DF9" w:rsidRPr="00463667" w:rsidRDefault="00BF3DF9" w:rsidP="00BF3DF9">
      <w:pPr>
        <w:pStyle w:val="SOC"/>
        <w:rPr>
          <w:i/>
        </w:rPr>
      </w:pPr>
      <w:r w:rsidRPr="00463667">
        <w:t xml:space="preserve">Summary of Changes to HEDIS </w:t>
      </w:r>
      <w:r w:rsidR="0083581E">
        <w:t>2016</w:t>
      </w:r>
    </w:p>
    <w:p w14:paraId="5A9643EF" w14:textId="6A1EBFEF" w:rsidR="00BF3DF9" w:rsidRPr="00463667" w:rsidRDefault="00B76D26" w:rsidP="00CF45D6">
      <w:pPr>
        <w:pStyle w:val="ProcessBullet"/>
        <w:rPr>
          <w:i/>
          <w:iCs/>
        </w:rPr>
      </w:pPr>
      <w:r>
        <w:t>Removed the optional exclusion for polycystic ovaries.</w:t>
      </w:r>
    </w:p>
    <w:p w14:paraId="51B91E23" w14:textId="77777777" w:rsidR="00BF3DF9" w:rsidRPr="00463667" w:rsidRDefault="00BF3DF9" w:rsidP="00BF3DF9">
      <w:pPr>
        <w:pStyle w:val="ReverseHead"/>
      </w:pPr>
      <w:r w:rsidRPr="00463667">
        <w:t>Description</w:t>
      </w:r>
    </w:p>
    <w:p w14:paraId="45C5F749" w14:textId="77777777" w:rsidR="00BF3DF9" w:rsidRPr="00463667" w:rsidRDefault="00BF3DF9" w:rsidP="00BF3DF9">
      <w:pPr>
        <w:pStyle w:val="Body"/>
      </w:pPr>
      <w:r w:rsidRPr="00463667">
        <w:t>The relative resource use by members with diabetes during the measurement year.</w:t>
      </w:r>
    </w:p>
    <w:p w14:paraId="56AC8BCD" w14:textId="77777777" w:rsidR="00BF3DF9" w:rsidRPr="00463667" w:rsidRDefault="00BF3DF9" w:rsidP="00BF3DF9">
      <w:pPr>
        <w:pStyle w:val="ReverseHead"/>
      </w:pPr>
      <w:r w:rsidRPr="00463667">
        <w:t xml:space="preserve">Eligible Population </w:t>
      </w:r>
    </w:p>
    <w:p w14:paraId="347C20F9" w14:textId="77777777" w:rsidR="00BF3DF9" w:rsidRPr="00463667" w:rsidRDefault="00BF3DF9" w:rsidP="00BF3DF9">
      <w:pPr>
        <w:pStyle w:val="Note"/>
      </w:pPr>
      <w:r w:rsidRPr="00463667">
        <w:rPr>
          <w:b/>
        </w:rPr>
        <w:t xml:space="preserve">Note: </w:t>
      </w:r>
      <w:r w:rsidRPr="00463667">
        <w:t xml:space="preserve">Organizations must report the quality measure (CDC) when reporting RDI. </w:t>
      </w:r>
    </w:p>
    <w:tbl>
      <w:tblPr>
        <w:tblW w:w="9918" w:type="dxa"/>
        <w:tblInd w:w="-90" w:type="dxa"/>
        <w:tblLayout w:type="fixed"/>
        <w:tblLook w:val="0000" w:firstRow="0" w:lastRow="0" w:firstColumn="0" w:lastColumn="0" w:noHBand="0" w:noVBand="0"/>
      </w:tblPr>
      <w:tblGrid>
        <w:gridCol w:w="1908"/>
        <w:gridCol w:w="8010"/>
      </w:tblGrid>
      <w:tr w:rsidR="00BF3DF9" w:rsidRPr="00463667" w14:paraId="005D8C8C" w14:textId="77777777" w:rsidTr="00CF45D6">
        <w:tc>
          <w:tcPr>
            <w:tcW w:w="1908" w:type="dxa"/>
          </w:tcPr>
          <w:p w14:paraId="1909C0B5" w14:textId="77777777" w:rsidR="00BF3DF9" w:rsidRPr="00463667" w:rsidRDefault="00BF3DF9" w:rsidP="00C56CA6">
            <w:pPr>
              <w:pStyle w:val="MarginSubhead"/>
              <w:spacing w:before="160"/>
              <w:ind w:left="162" w:right="162"/>
              <w:rPr>
                <w:rFonts w:cs="Arial"/>
                <w:szCs w:val="20"/>
              </w:rPr>
            </w:pPr>
            <w:r w:rsidRPr="00463667">
              <w:rPr>
                <w:rFonts w:cs="Arial"/>
                <w:szCs w:val="20"/>
              </w:rPr>
              <w:t>Product lines</w:t>
            </w:r>
          </w:p>
        </w:tc>
        <w:tc>
          <w:tcPr>
            <w:tcW w:w="8010" w:type="dxa"/>
          </w:tcPr>
          <w:p w14:paraId="2632A7D6" w14:textId="77777777" w:rsidR="00BF3DF9" w:rsidRPr="00463667" w:rsidRDefault="00BF3DF9" w:rsidP="00C56CA6">
            <w:pPr>
              <w:pStyle w:val="Body"/>
              <w:spacing w:before="160"/>
            </w:pPr>
            <w:r w:rsidRPr="00463667">
              <w:t>Commercial, Medicaid, Medicare (report each product line separately).</w:t>
            </w:r>
          </w:p>
        </w:tc>
      </w:tr>
      <w:tr w:rsidR="00BF3DF9" w:rsidRPr="00463667" w14:paraId="5482A7BA" w14:textId="77777777" w:rsidTr="00CF45D6">
        <w:tc>
          <w:tcPr>
            <w:tcW w:w="1908" w:type="dxa"/>
          </w:tcPr>
          <w:p w14:paraId="1FE57522" w14:textId="77777777" w:rsidR="00BF3DF9" w:rsidRPr="00463667" w:rsidRDefault="00BF3DF9" w:rsidP="00C56CA6">
            <w:pPr>
              <w:pStyle w:val="MarginSubhead"/>
              <w:spacing w:before="160"/>
              <w:ind w:left="162" w:right="162"/>
              <w:rPr>
                <w:rFonts w:cs="Arial"/>
                <w:szCs w:val="20"/>
              </w:rPr>
            </w:pPr>
            <w:r w:rsidRPr="00463667">
              <w:rPr>
                <w:rFonts w:cs="Arial"/>
                <w:szCs w:val="20"/>
              </w:rPr>
              <w:t>Ages</w:t>
            </w:r>
          </w:p>
        </w:tc>
        <w:tc>
          <w:tcPr>
            <w:tcW w:w="8010" w:type="dxa"/>
          </w:tcPr>
          <w:p w14:paraId="40CB5B84" w14:textId="77777777" w:rsidR="00BF3DF9" w:rsidRPr="00463667" w:rsidRDefault="00BF3DF9" w:rsidP="00C56CA6">
            <w:pPr>
              <w:pStyle w:val="Body"/>
              <w:spacing w:before="160"/>
            </w:pPr>
            <w:r w:rsidRPr="00463667">
              <w:t>18–75 years as of December 31 of the measurement year.</w:t>
            </w:r>
          </w:p>
        </w:tc>
      </w:tr>
      <w:tr w:rsidR="00BF3DF9" w:rsidRPr="00463667" w14:paraId="43185F08" w14:textId="77777777" w:rsidTr="00CF45D6">
        <w:tc>
          <w:tcPr>
            <w:tcW w:w="1908" w:type="dxa"/>
          </w:tcPr>
          <w:p w14:paraId="33695D11" w14:textId="77777777" w:rsidR="00BF3DF9" w:rsidRPr="00463667" w:rsidRDefault="00BF3DF9" w:rsidP="00C56CA6">
            <w:pPr>
              <w:pStyle w:val="MarginSubhead"/>
              <w:spacing w:before="160"/>
              <w:ind w:left="162" w:right="162"/>
              <w:rPr>
                <w:rFonts w:cs="Arial"/>
                <w:szCs w:val="20"/>
              </w:rPr>
            </w:pPr>
            <w:r w:rsidRPr="00463667">
              <w:rPr>
                <w:rFonts w:cs="Arial"/>
                <w:szCs w:val="20"/>
              </w:rPr>
              <w:t>Continuous enrollment</w:t>
            </w:r>
          </w:p>
        </w:tc>
        <w:tc>
          <w:tcPr>
            <w:tcW w:w="8010" w:type="dxa"/>
          </w:tcPr>
          <w:p w14:paraId="6C242E7D" w14:textId="77777777" w:rsidR="00BF3DF9" w:rsidRPr="00463667" w:rsidRDefault="00BF3DF9" w:rsidP="00C56CA6">
            <w:pPr>
              <w:pStyle w:val="Body"/>
              <w:spacing w:before="160"/>
            </w:pPr>
            <w:r w:rsidRPr="00463667">
              <w:t>The measurement year.</w:t>
            </w:r>
          </w:p>
        </w:tc>
      </w:tr>
      <w:tr w:rsidR="00BF3DF9" w:rsidRPr="00463667" w14:paraId="7B29D345" w14:textId="77777777" w:rsidTr="00CF45D6">
        <w:tc>
          <w:tcPr>
            <w:tcW w:w="1908" w:type="dxa"/>
          </w:tcPr>
          <w:p w14:paraId="190285DC" w14:textId="77777777" w:rsidR="00BF3DF9" w:rsidRPr="00463667" w:rsidRDefault="00BF3DF9" w:rsidP="00C56CA6">
            <w:pPr>
              <w:pStyle w:val="MarginSubhead"/>
              <w:spacing w:before="160"/>
              <w:ind w:left="162" w:right="162"/>
              <w:rPr>
                <w:rFonts w:cs="Arial"/>
                <w:szCs w:val="20"/>
              </w:rPr>
            </w:pPr>
            <w:r w:rsidRPr="00463667">
              <w:rPr>
                <w:rFonts w:cs="Arial"/>
                <w:szCs w:val="20"/>
              </w:rPr>
              <w:t>Allowable gap</w:t>
            </w:r>
          </w:p>
        </w:tc>
        <w:tc>
          <w:tcPr>
            <w:tcW w:w="8010" w:type="dxa"/>
          </w:tcPr>
          <w:p w14:paraId="10D5F522" w14:textId="77777777" w:rsidR="00BF3DF9" w:rsidRPr="00463667" w:rsidRDefault="00BF3DF9" w:rsidP="00C56CA6">
            <w:pPr>
              <w:pStyle w:val="Body"/>
              <w:spacing w:before="160"/>
            </w:pPr>
            <w:r w:rsidRPr="00463667">
              <w:t xml:space="preserve">No more than one gap in enrollment of up to 45 days during the measurement year. </w:t>
            </w:r>
            <w:r w:rsidRPr="00463667">
              <w:br/>
              <w:t xml:space="preserve">To determine continuous enrollment for a Medicaid beneficiary for whom enrollment is verified monthly, the member may not have more than a 1-month gap in coverage </w:t>
            </w:r>
            <w:r w:rsidRPr="00463667">
              <w:br/>
              <w:t>(i.e., a member whose coverage lapses for 2 months [60 days] is not considered continuously enrolled).</w:t>
            </w:r>
          </w:p>
        </w:tc>
      </w:tr>
      <w:tr w:rsidR="00BF3DF9" w:rsidRPr="00463667" w14:paraId="4462CD2E" w14:textId="77777777" w:rsidTr="00CF45D6">
        <w:tc>
          <w:tcPr>
            <w:tcW w:w="1908" w:type="dxa"/>
          </w:tcPr>
          <w:p w14:paraId="0E9AE792" w14:textId="77777777" w:rsidR="00BF3DF9" w:rsidRPr="00463667" w:rsidRDefault="00BF3DF9" w:rsidP="00C56CA6">
            <w:pPr>
              <w:pStyle w:val="MarginSubhead"/>
              <w:spacing w:before="160"/>
              <w:ind w:left="162" w:right="162"/>
              <w:rPr>
                <w:rFonts w:cs="Arial"/>
                <w:szCs w:val="20"/>
              </w:rPr>
            </w:pPr>
            <w:r w:rsidRPr="00463667">
              <w:rPr>
                <w:rFonts w:cs="Arial"/>
                <w:szCs w:val="20"/>
              </w:rPr>
              <w:t>Anchor date</w:t>
            </w:r>
          </w:p>
        </w:tc>
        <w:tc>
          <w:tcPr>
            <w:tcW w:w="8010" w:type="dxa"/>
          </w:tcPr>
          <w:p w14:paraId="67B275EC" w14:textId="77777777" w:rsidR="00BF3DF9" w:rsidRPr="00463667" w:rsidRDefault="00BF3DF9" w:rsidP="00C56CA6">
            <w:pPr>
              <w:pStyle w:val="Body"/>
              <w:spacing w:before="160"/>
            </w:pPr>
            <w:r w:rsidRPr="00463667">
              <w:t>December 31 of the measurement year.</w:t>
            </w:r>
          </w:p>
        </w:tc>
      </w:tr>
      <w:tr w:rsidR="00BF3DF9" w:rsidRPr="00463667" w14:paraId="5C70D63B" w14:textId="77777777" w:rsidTr="00CF45D6">
        <w:tc>
          <w:tcPr>
            <w:tcW w:w="1908" w:type="dxa"/>
          </w:tcPr>
          <w:p w14:paraId="1D662D83" w14:textId="77777777" w:rsidR="00BF3DF9" w:rsidRPr="00463667" w:rsidRDefault="00BF3DF9" w:rsidP="00C56CA6">
            <w:pPr>
              <w:pStyle w:val="MarginSubhead"/>
              <w:spacing w:before="160"/>
              <w:ind w:left="162" w:right="162"/>
              <w:rPr>
                <w:rFonts w:cs="Arial"/>
                <w:szCs w:val="20"/>
              </w:rPr>
            </w:pPr>
            <w:r w:rsidRPr="00463667">
              <w:rPr>
                <w:rFonts w:cs="Arial"/>
                <w:szCs w:val="20"/>
              </w:rPr>
              <w:t>Benefit</w:t>
            </w:r>
          </w:p>
        </w:tc>
        <w:tc>
          <w:tcPr>
            <w:tcW w:w="8010" w:type="dxa"/>
          </w:tcPr>
          <w:p w14:paraId="73ECBF39" w14:textId="77777777" w:rsidR="00BF3DF9" w:rsidRPr="00463667" w:rsidDel="004B4382" w:rsidRDefault="00BF3DF9" w:rsidP="00C56CA6">
            <w:pPr>
              <w:pStyle w:val="Body"/>
              <w:spacing w:before="160"/>
            </w:pPr>
            <w:r w:rsidRPr="00463667">
              <w:t>Medical.</w:t>
            </w:r>
          </w:p>
        </w:tc>
      </w:tr>
      <w:tr w:rsidR="00BF3DF9" w:rsidRPr="00463667" w14:paraId="6F1B93B5" w14:textId="77777777" w:rsidTr="00CF45D6">
        <w:tc>
          <w:tcPr>
            <w:tcW w:w="1908" w:type="dxa"/>
          </w:tcPr>
          <w:p w14:paraId="6FD77E41" w14:textId="44047E0A" w:rsidR="00BF3DF9" w:rsidRPr="00463667" w:rsidRDefault="00BF3DF9" w:rsidP="00AE4684">
            <w:pPr>
              <w:pStyle w:val="MarginSubhead"/>
              <w:tabs>
                <w:tab w:val="left" w:pos="2232"/>
              </w:tabs>
              <w:ind w:left="162" w:right="162"/>
              <w:jc w:val="both"/>
              <w:rPr>
                <w:rFonts w:cs="Arial"/>
                <w:szCs w:val="20"/>
              </w:rPr>
            </w:pPr>
            <w:r w:rsidRPr="00463667">
              <w:rPr>
                <w:rFonts w:cs="Arial"/>
                <w:szCs w:val="20"/>
              </w:rPr>
              <w:t>Event/ diagnosis</w:t>
            </w:r>
          </w:p>
        </w:tc>
        <w:tc>
          <w:tcPr>
            <w:tcW w:w="8010" w:type="dxa"/>
          </w:tcPr>
          <w:p w14:paraId="3913883D" w14:textId="77777777" w:rsidR="00BF3DF9" w:rsidRPr="00463667" w:rsidRDefault="00BF3DF9" w:rsidP="00C56CA6">
            <w:pPr>
              <w:pStyle w:val="Body"/>
            </w:pPr>
            <w:r w:rsidRPr="00463667">
              <w:t>There are two ways to identify members with diabetes: by claim/encounter data and by pharmacy data. Organizations must use both methods to identify the eligible population, but a member only needs to be identified by one method to be included in the measure. Members may be identified as having diabetes during the measurement year or the year prior to the measurement year.</w:t>
            </w:r>
          </w:p>
          <w:p w14:paraId="3D5E531E" w14:textId="77777777" w:rsidR="00BF3DF9" w:rsidRPr="00463667" w:rsidRDefault="00BF3DF9" w:rsidP="00C56CA6">
            <w:pPr>
              <w:pStyle w:val="Body"/>
            </w:pPr>
            <w:r w:rsidRPr="00463667">
              <w:rPr>
                <w:i/>
              </w:rPr>
              <w:t>Claim/encounter data.</w:t>
            </w:r>
            <w:r w:rsidRPr="00463667">
              <w:t xml:space="preserve"> Members who met any of the following criteria during the measurement year or the year prior to the measurement year (count services that occur over both years):</w:t>
            </w:r>
          </w:p>
          <w:p w14:paraId="66A78043" w14:textId="77777777" w:rsidR="00BF3DF9" w:rsidRPr="00463667" w:rsidRDefault="00BF3DF9" w:rsidP="00C56CA6">
            <w:pPr>
              <w:pStyle w:val="Bullet"/>
              <w:spacing w:before="100"/>
            </w:pPr>
            <w:r w:rsidRPr="00463667">
              <w:t>At least two outpatient visits (</w:t>
            </w:r>
            <w:r w:rsidRPr="00463667">
              <w:rPr>
                <w:u w:val="single"/>
              </w:rPr>
              <w:t>Outpatient Value Set</w:t>
            </w:r>
            <w:r w:rsidRPr="00463667">
              <w:t>), observation visits (</w:t>
            </w:r>
            <w:r w:rsidRPr="00463667">
              <w:rPr>
                <w:u w:val="single"/>
              </w:rPr>
              <w:t>Observation Value Set</w:t>
            </w:r>
            <w:r w:rsidRPr="00463667">
              <w:t>), ED visits (</w:t>
            </w:r>
            <w:r w:rsidRPr="00463667">
              <w:rPr>
                <w:u w:val="single"/>
              </w:rPr>
              <w:t>ED Value Set</w:t>
            </w:r>
            <w:r w:rsidRPr="00463667">
              <w:t>) or nonacute inpatient encounters (</w:t>
            </w:r>
            <w:r w:rsidRPr="00463667">
              <w:rPr>
                <w:u w:val="single"/>
              </w:rPr>
              <w:t>Nonacute Inpatient Value Set</w:t>
            </w:r>
            <w:r w:rsidRPr="00463667">
              <w:t>), on different dates of service, with a diagnosis of diabetes (</w:t>
            </w:r>
            <w:r w:rsidRPr="00463667">
              <w:rPr>
                <w:u w:val="single"/>
              </w:rPr>
              <w:t>Diabetes Value Set</w:t>
            </w:r>
            <w:r w:rsidRPr="00463667">
              <w:t>). Visit type need not be the same for the two visits.</w:t>
            </w:r>
          </w:p>
          <w:p w14:paraId="42F0666D" w14:textId="77777777" w:rsidR="00BF3DF9" w:rsidRPr="00463667" w:rsidRDefault="00BF3DF9" w:rsidP="00C56CA6">
            <w:pPr>
              <w:pStyle w:val="Bullet"/>
              <w:spacing w:before="100"/>
            </w:pPr>
            <w:r w:rsidRPr="00463667">
              <w:t>At least one acute inpatient encounter (</w:t>
            </w:r>
            <w:r w:rsidRPr="00463667">
              <w:rPr>
                <w:u w:val="single"/>
              </w:rPr>
              <w:t>Acute Inpatient Value Set</w:t>
            </w:r>
            <w:r w:rsidRPr="00463667">
              <w:t>), with a diagnosis of diabetes (</w:t>
            </w:r>
            <w:r w:rsidRPr="00463667">
              <w:rPr>
                <w:u w:val="single"/>
              </w:rPr>
              <w:t>Diabetes Value Set</w:t>
            </w:r>
            <w:r w:rsidRPr="00463667">
              <w:t>).</w:t>
            </w:r>
          </w:p>
          <w:p w14:paraId="1B964681" w14:textId="77777777" w:rsidR="00BF3DF9" w:rsidRPr="00463667" w:rsidRDefault="00BF3DF9" w:rsidP="00C56CA6">
            <w:pPr>
              <w:pStyle w:val="Body"/>
            </w:pPr>
            <w:r w:rsidRPr="00463667">
              <w:rPr>
                <w:i/>
              </w:rPr>
              <w:t xml:space="preserve">Pharmacy data. </w:t>
            </w:r>
            <w:r w:rsidRPr="00463667">
              <w:t>Members who were dispensed insulin or hypoglycemics/antihyper-glycemics during the measurement year or the year prior to the measurement year, on an ambulatory basis (Table CDC-A).</w:t>
            </w:r>
          </w:p>
        </w:tc>
      </w:tr>
    </w:tbl>
    <w:p w14:paraId="0FFE8696" w14:textId="77777777" w:rsidR="00BF3DF9" w:rsidRPr="00463667" w:rsidRDefault="00BF3DF9" w:rsidP="00BF3DF9">
      <w:pPr>
        <w:pStyle w:val="SubHead"/>
        <w:spacing w:before="0"/>
        <w:sectPr w:rsidR="00BF3DF9" w:rsidRPr="00463667" w:rsidSect="00C56CA6">
          <w:headerReference w:type="even" r:id="rId44"/>
          <w:pgSz w:w="12240" w:h="15840" w:code="1"/>
          <w:pgMar w:top="1080" w:right="1080" w:bottom="1080" w:left="1440" w:header="720" w:footer="720" w:gutter="0"/>
          <w:cols w:space="720"/>
        </w:sectPr>
      </w:pPr>
    </w:p>
    <w:p w14:paraId="327DD779" w14:textId="77777777" w:rsidR="00BF3DF9" w:rsidRPr="00463667" w:rsidRDefault="00BF3DF9" w:rsidP="00BF3DF9">
      <w:pPr>
        <w:pStyle w:val="SubHead20"/>
        <w:spacing w:before="0"/>
        <w:rPr>
          <w:i/>
        </w:rPr>
      </w:pPr>
      <w:r w:rsidRPr="00463667">
        <w:lastRenderedPageBreak/>
        <w:t xml:space="preserve">Exclusions </w:t>
      </w:r>
      <w:r w:rsidRPr="00463667">
        <w:rPr>
          <w:i/>
        </w:rPr>
        <w:t>(optional)</w:t>
      </w:r>
    </w:p>
    <w:p w14:paraId="20C01287" w14:textId="431087BA" w:rsidR="00BF3DF9" w:rsidRPr="00B76D26" w:rsidRDefault="00BF3DF9" w:rsidP="00B76D26">
      <w:pPr>
        <w:pStyle w:val="Body"/>
        <w:tabs>
          <w:tab w:val="left" w:pos="2005"/>
        </w:tabs>
        <w:spacing w:before="240"/>
        <w:ind w:left="25"/>
      </w:pPr>
      <w:r w:rsidRPr="00463667">
        <w:t>Identify members who do not have a diagnosis of diabetes (</w:t>
      </w:r>
      <w:r w:rsidRPr="00463667">
        <w:rPr>
          <w:u w:val="single"/>
        </w:rPr>
        <w:t>Diabetes Value Set</w:t>
      </w:r>
      <w:r w:rsidRPr="00463667">
        <w:t xml:space="preserve">), in any setting, during the measurement year or year prior to the measurement year </w:t>
      </w:r>
      <w:r w:rsidRPr="00B76D26">
        <w:rPr>
          <w:b/>
        </w:rPr>
        <w:t>and</w:t>
      </w:r>
      <w:r w:rsidRPr="00463667">
        <w:t xml:space="preserve"> who </w:t>
      </w:r>
      <w:r w:rsidR="00B76D26">
        <w:t>had a diagnosis of gestational diabetes or steroid-induced diabetes (</w:t>
      </w:r>
      <w:r w:rsidR="00B76D26">
        <w:rPr>
          <w:u w:val="single"/>
        </w:rPr>
        <w:t>Diabetes Exclusions Value Set</w:t>
      </w:r>
      <w:r w:rsidR="00C010FD" w:rsidRPr="00A13C43">
        <w:t>)</w:t>
      </w:r>
      <w:r w:rsidR="00B76D26">
        <w:t>, in any setting, during the measurement year or the year prior to the measurement year.</w:t>
      </w:r>
    </w:p>
    <w:p w14:paraId="29E33207" w14:textId="77777777" w:rsidR="00BF3DF9" w:rsidRPr="00463667" w:rsidRDefault="00BF3DF9" w:rsidP="00BF3DF9">
      <w:pPr>
        <w:pStyle w:val="Note"/>
      </w:pPr>
      <w:r w:rsidRPr="00463667">
        <w:rPr>
          <w:b/>
        </w:rPr>
        <w:t xml:space="preserve">Note: </w:t>
      </w:r>
      <w:r w:rsidRPr="00463667">
        <w:t xml:space="preserve">If the optional exclusions are applied for the CDC measure, they </w:t>
      </w:r>
      <w:r w:rsidRPr="00463667">
        <w:rPr>
          <w:i w:val="0"/>
        </w:rPr>
        <w:t>must be applied</w:t>
      </w:r>
      <w:r w:rsidRPr="00463667">
        <w:t xml:space="preserve"> for the RDI measure. If the optional exclusions are not applied for the CDC measure, they </w:t>
      </w:r>
      <w:r w:rsidRPr="00463667">
        <w:rPr>
          <w:i w:val="0"/>
        </w:rPr>
        <w:t>may not be applied</w:t>
      </w:r>
      <w:r w:rsidRPr="00463667">
        <w:t xml:space="preserve"> to the RDI measure. Because RDI is administrative only, do not exclude members from this measure based on exclusions found during chart review for the CDC measure. Members must be included in RDI even if they are excluded during chart review for CDC.</w:t>
      </w:r>
    </w:p>
    <w:p w14:paraId="0C030B37" w14:textId="77777777" w:rsidR="00BF3DF9" w:rsidRPr="00463667" w:rsidRDefault="00BF3DF9" w:rsidP="00BF3DF9">
      <w:pPr>
        <w:pStyle w:val="SubHead20"/>
        <w:rPr>
          <w:szCs w:val="22"/>
        </w:rPr>
      </w:pPr>
      <w:r w:rsidRPr="00463667">
        <w:rPr>
          <w:szCs w:val="22"/>
        </w:rPr>
        <w:t xml:space="preserve">Exclusions </w:t>
      </w:r>
      <w:r w:rsidRPr="00463667">
        <w:rPr>
          <w:i/>
          <w:szCs w:val="22"/>
        </w:rPr>
        <w:t>(required)</w:t>
      </w:r>
    </w:p>
    <w:p w14:paraId="6BD1FA32" w14:textId="77777777" w:rsidR="00BF3DF9" w:rsidRPr="00463667" w:rsidRDefault="00BF3DF9" w:rsidP="00BF3DF9">
      <w:pPr>
        <w:pStyle w:val="Body"/>
      </w:pPr>
      <w:r w:rsidRPr="00463667">
        <w:t xml:space="preserve">Refer to </w:t>
      </w:r>
      <w:r w:rsidRPr="00463667">
        <w:rPr>
          <w:i/>
        </w:rPr>
        <w:t>Required Exclusions</w:t>
      </w:r>
      <w:r w:rsidRPr="00463667">
        <w:t xml:space="preserve"> in the </w:t>
      </w:r>
      <w:r w:rsidRPr="00463667">
        <w:rPr>
          <w:i/>
        </w:rPr>
        <w:t>Guidelines for Relative Resource Use.</w:t>
      </w:r>
      <w:r w:rsidRPr="00463667">
        <w:t xml:space="preserve"> </w:t>
      </w:r>
    </w:p>
    <w:p w14:paraId="7178395C" w14:textId="77777777" w:rsidR="00BF3DF9" w:rsidRPr="00463667" w:rsidRDefault="00BF3DF9" w:rsidP="00BF3DF9">
      <w:pPr>
        <w:pStyle w:val="ReverseHead"/>
      </w:pPr>
      <w:r w:rsidRPr="00463667">
        <w:t xml:space="preserve">Categorization of Eligible Population </w:t>
      </w:r>
    </w:p>
    <w:tbl>
      <w:tblPr>
        <w:tblW w:w="9810" w:type="dxa"/>
        <w:tblInd w:w="-90" w:type="dxa"/>
        <w:tblLook w:val="0000" w:firstRow="0" w:lastRow="0" w:firstColumn="0" w:lastColumn="0" w:noHBand="0" w:noVBand="0"/>
      </w:tblPr>
      <w:tblGrid>
        <w:gridCol w:w="1998"/>
        <w:gridCol w:w="7812"/>
      </w:tblGrid>
      <w:tr w:rsidR="00BF3DF9" w:rsidRPr="00463667" w14:paraId="3D48EF0F" w14:textId="77777777" w:rsidTr="00CF45D6">
        <w:tc>
          <w:tcPr>
            <w:tcW w:w="1998" w:type="dxa"/>
          </w:tcPr>
          <w:p w14:paraId="2C3D7F86" w14:textId="77777777" w:rsidR="00BF3DF9" w:rsidRPr="00463667" w:rsidRDefault="00BF3DF9" w:rsidP="00C56CA6">
            <w:pPr>
              <w:pStyle w:val="MarginSubhead"/>
            </w:pPr>
            <w:r w:rsidRPr="00463667">
              <w:t>Major clinical condition</w:t>
            </w:r>
          </w:p>
        </w:tc>
        <w:tc>
          <w:tcPr>
            <w:tcW w:w="7812" w:type="dxa"/>
          </w:tcPr>
          <w:p w14:paraId="4E521052" w14:textId="77777777" w:rsidR="00BF3DF9" w:rsidRPr="00463667" w:rsidRDefault="00BF3DF9" w:rsidP="00C56CA6">
            <w:pPr>
              <w:pStyle w:val="Body"/>
            </w:pPr>
            <w:r w:rsidRPr="00463667">
              <w:t>Diabetes.</w:t>
            </w:r>
          </w:p>
        </w:tc>
      </w:tr>
      <w:tr w:rsidR="00BF3DF9" w:rsidRPr="00463667" w14:paraId="1773A961" w14:textId="77777777" w:rsidTr="00CF45D6">
        <w:tc>
          <w:tcPr>
            <w:tcW w:w="1998" w:type="dxa"/>
          </w:tcPr>
          <w:p w14:paraId="3207E10D" w14:textId="77777777" w:rsidR="00BF3DF9" w:rsidRPr="00463667" w:rsidRDefault="00BF3DF9" w:rsidP="00C56CA6">
            <w:pPr>
              <w:pStyle w:val="MarginSubhead"/>
            </w:pPr>
            <w:r w:rsidRPr="00463667">
              <w:t>Risk group</w:t>
            </w:r>
          </w:p>
        </w:tc>
        <w:tc>
          <w:tcPr>
            <w:tcW w:w="7812" w:type="dxa"/>
          </w:tcPr>
          <w:p w14:paraId="735177F3" w14:textId="77777777" w:rsidR="00BF3DF9" w:rsidRPr="00463667" w:rsidRDefault="00BF3DF9" w:rsidP="00C56CA6">
            <w:pPr>
              <w:pStyle w:val="Body"/>
            </w:pPr>
            <w:r w:rsidRPr="00463667">
              <w:t xml:space="preserve">Refer to the </w:t>
            </w:r>
            <w:r w:rsidRPr="00463667">
              <w:rPr>
                <w:i/>
              </w:rPr>
              <w:t>RRU Risk Adjustment</w:t>
            </w:r>
            <w:r w:rsidRPr="00463667">
              <w:t xml:space="preserve"> in the </w:t>
            </w:r>
            <w:r w:rsidRPr="00463667">
              <w:rPr>
                <w:i/>
              </w:rPr>
              <w:t xml:space="preserve">Guidelines for Relative Resource Use. </w:t>
            </w:r>
          </w:p>
        </w:tc>
      </w:tr>
    </w:tbl>
    <w:p w14:paraId="4B35AAB4" w14:textId="77777777" w:rsidR="00BF3DF9" w:rsidRPr="00463667" w:rsidRDefault="00BF3DF9" w:rsidP="00BF3DF9">
      <w:pPr>
        <w:pStyle w:val="ReverseHead"/>
      </w:pPr>
      <w:r w:rsidRPr="00463667">
        <w:t>Standard Cost Calculations</w:t>
      </w:r>
    </w:p>
    <w:p w14:paraId="64E2ABA2" w14:textId="38DE0E4A" w:rsidR="00BF3DF9" w:rsidRPr="00463667" w:rsidRDefault="00BF3DF9" w:rsidP="00BF3DF9">
      <w:pPr>
        <w:pStyle w:val="Body"/>
        <w:rPr>
          <w:rFonts w:cs="Arial"/>
          <w:szCs w:val="20"/>
        </w:rPr>
      </w:pPr>
      <w:r w:rsidRPr="00463667">
        <w:rPr>
          <w:rFonts w:cs="Arial"/>
          <w:szCs w:val="20"/>
        </w:rPr>
        <w:t xml:space="preserve">The organization reports total standard costs of all services for which the </w:t>
      </w:r>
      <w:r w:rsidRPr="00463667">
        <w:t xml:space="preserve">organization </w:t>
      </w:r>
      <w:r w:rsidRPr="00463667">
        <w:rPr>
          <w:rFonts w:cs="Arial"/>
          <w:szCs w:val="20"/>
        </w:rPr>
        <w:t xml:space="preserve">has paid or expects to pay for the eligible population during the treatment period. Total standard costs are assigned by matching codes for services rendered to codes listed in the NCQA SPTs (the tables will be posted to NCQA’s Web site by November </w:t>
      </w:r>
      <w:r w:rsidR="0083581E">
        <w:rPr>
          <w:rFonts w:cs="Arial"/>
          <w:szCs w:val="20"/>
        </w:rPr>
        <w:t>2</w:t>
      </w:r>
      <w:r w:rsidRPr="00463667">
        <w:rPr>
          <w:rFonts w:cs="Arial"/>
          <w:szCs w:val="20"/>
        </w:rPr>
        <w:t xml:space="preserve">, </w:t>
      </w:r>
      <w:r w:rsidR="0083581E">
        <w:rPr>
          <w:rFonts w:cs="Arial"/>
          <w:szCs w:val="20"/>
        </w:rPr>
        <w:t>2015</w:t>
      </w:r>
      <w:r w:rsidRPr="00463667">
        <w:rPr>
          <w:rFonts w:cs="Arial"/>
          <w:szCs w:val="20"/>
        </w:rPr>
        <w:t xml:space="preserve">). </w:t>
      </w:r>
    </w:p>
    <w:tbl>
      <w:tblPr>
        <w:tblW w:w="9810" w:type="dxa"/>
        <w:tblInd w:w="-90" w:type="dxa"/>
        <w:tblLayout w:type="fixed"/>
        <w:tblLook w:val="0000" w:firstRow="0" w:lastRow="0" w:firstColumn="0" w:lastColumn="0" w:noHBand="0" w:noVBand="0"/>
      </w:tblPr>
      <w:tblGrid>
        <w:gridCol w:w="1998"/>
        <w:gridCol w:w="3960"/>
        <w:gridCol w:w="3852"/>
      </w:tblGrid>
      <w:tr w:rsidR="00BF3DF9" w:rsidRPr="00463667" w14:paraId="4881FC99" w14:textId="77777777" w:rsidTr="00CF45D6">
        <w:trPr>
          <w:cantSplit/>
        </w:trPr>
        <w:tc>
          <w:tcPr>
            <w:tcW w:w="1998" w:type="dxa"/>
            <w:vMerge w:val="restart"/>
          </w:tcPr>
          <w:p w14:paraId="66DF436F" w14:textId="77777777" w:rsidR="00BF3DF9" w:rsidRPr="00463667" w:rsidRDefault="00BF3DF9" w:rsidP="00C56CA6">
            <w:pPr>
              <w:pStyle w:val="MarginSubhead"/>
            </w:pPr>
            <w:r w:rsidRPr="00463667">
              <w:t>Apply standard price</w:t>
            </w:r>
          </w:p>
        </w:tc>
        <w:tc>
          <w:tcPr>
            <w:tcW w:w="3960" w:type="dxa"/>
          </w:tcPr>
          <w:p w14:paraId="1E2AF482" w14:textId="77777777" w:rsidR="00BF3DF9" w:rsidRPr="00463667" w:rsidRDefault="00BF3DF9" w:rsidP="00C56CA6">
            <w:pPr>
              <w:pStyle w:val="Body"/>
            </w:pPr>
            <w:r w:rsidRPr="00463667">
              <w:t>SPTs categorize services as follows:</w:t>
            </w:r>
          </w:p>
          <w:p w14:paraId="70F2EA61" w14:textId="77777777" w:rsidR="00BF3DF9" w:rsidRPr="00463667" w:rsidRDefault="00BF3DF9" w:rsidP="00C56CA6">
            <w:pPr>
              <w:pStyle w:val="Bullet"/>
              <w:spacing w:before="100"/>
            </w:pPr>
            <w:r w:rsidRPr="00463667">
              <w:t>Inpatient Facility.</w:t>
            </w:r>
          </w:p>
          <w:p w14:paraId="32166C32" w14:textId="77777777" w:rsidR="00BF3DF9" w:rsidRPr="00463667" w:rsidRDefault="00BF3DF9" w:rsidP="00C56CA6">
            <w:pPr>
              <w:pStyle w:val="Bullet"/>
              <w:spacing w:before="100"/>
            </w:pPr>
            <w:r w:rsidRPr="00463667">
              <w:t>E&amp;M:</w:t>
            </w:r>
          </w:p>
          <w:p w14:paraId="214195CE" w14:textId="77777777" w:rsidR="00BF3DF9" w:rsidRPr="00463667" w:rsidRDefault="00BF3DF9" w:rsidP="00C56CA6">
            <w:pPr>
              <w:pStyle w:val="Dash"/>
            </w:pPr>
            <w:r w:rsidRPr="00463667">
              <w:t>Inpatient Services.</w:t>
            </w:r>
          </w:p>
          <w:p w14:paraId="6C1CB8EE" w14:textId="77777777" w:rsidR="00BF3DF9" w:rsidRPr="00463667" w:rsidRDefault="00BF3DF9" w:rsidP="00C56CA6">
            <w:pPr>
              <w:pStyle w:val="Dash"/>
            </w:pPr>
            <w:r w:rsidRPr="00463667">
              <w:t>Outpatient Services.</w:t>
            </w:r>
          </w:p>
          <w:p w14:paraId="24EF6C09" w14:textId="77777777" w:rsidR="00BF3DF9" w:rsidRPr="00463667" w:rsidRDefault="00BF3DF9" w:rsidP="00C56CA6">
            <w:pPr>
              <w:pStyle w:val="Bullet"/>
              <w:spacing w:before="100"/>
            </w:pPr>
            <w:r w:rsidRPr="00463667">
              <w:t>Laboratory Services.</w:t>
            </w:r>
          </w:p>
        </w:tc>
        <w:tc>
          <w:tcPr>
            <w:tcW w:w="3852" w:type="dxa"/>
          </w:tcPr>
          <w:p w14:paraId="10106C90" w14:textId="77777777" w:rsidR="00BF3DF9" w:rsidRPr="00463667" w:rsidRDefault="00BF3DF9" w:rsidP="00C56CA6">
            <w:pPr>
              <w:pStyle w:val="Body"/>
            </w:pPr>
          </w:p>
          <w:p w14:paraId="61219B3D" w14:textId="77777777" w:rsidR="00BF3DF9" w:rsidRPr="00463667" w:rsidRDefault="00BF3DF9" w:rsidP="00C56CA6">
            <w:pPr>
              <w:pStyle w:val="ProcessBullet"/>
              <w:spacing w:before="100"/>
            </w:pPr>
            <w:r w:rsidRPr="00463667">
              <w:t xml:space="preserve">Surgery and Procedure: </w:t>
            </w:r>
          </w:p>
          <w:p w14:paraId="614D6593" w14:textId="77777777" w:rsidR="00BF3DF9" w:rsidRPr="00463667" w:rsidRDefault="00BF3DF9" w:rsidP="00C56CA6">
            <w:pPr>
              <w:pStyle w:val="ProcessDash"/>
            </w:pPr>
            <w:r w:rsidRPr="00463667">
              <w:t>Inpatient Services.</w:t>
            </w:r>
          </w:p>
          <w:p w14:paraId="713EA040" w14:textId="77777777" w:rsidR="00BF3DF9" w:rsidRPr="00463667" w:rsidRDefault="00BF3DF9" w:rsidP="00C56CA6">
            <w:pPr>
              <w:pStyle w:val="ProcessDash"/>
            </w:pPr>
            <w:r w:rsidRPr="00463667">
              <w:t>Outpatient Services.</w:t>
            </w:r>
          </w:p>
          <w:p w14:paraId="0A96AE04" w14:textId="77777777" w:rsidR="00BF3DF9" w:rsidRPr="00463667" w:rsidRDefault="00BF3DF9" w:rsidP="00C56CA6">
            <w:pPr>
              <w:pStyle w:val="ProcessBullet"/>
              <w:spacing w:before="100"/>
            </w:pPr>
            <w:r w:rsidRPr="00463667">
              <w:t>Imaging Services.</w:t>
            </w:r>
          </w:p>
          <w:p w14:paraId="519E7F2F" w14:textId="77777777" w:rsidR="00BF3DF9" w:rsidRPr="00463667" w:rsidRDefault="00BF3DF9" w:rsidP="00C56CA6">
            <w:pPr>
              <w:pStyle w:val="ProcessBullet"/>
              <w:spacing w:before="100"/>
            </w:pPr>
            <w:r w:rsidRPr="00463667">
              <w:t>Pharmacy.</w:t>
            </w:r>
          </w:p>
        </w:tc>
      </w:tr>
      <w:tr w:rsidR="00BF3DF9" w:rsidRPr="00463667" w14:paraId="62C0E48D" w14:textId="77777777" w:rsidTr="00CF45D6">
        <w:trPr>
          <w:cantSplit/>
        </w:trPr>
        <w:tc>
          <w:tcPr>
            <w:tcW w:w="1998" w:type="dxa"/>
            <w:vMerge/>
          </w:tcPr>
          <w:p w14:paraId="3DC46135" w14:textId="77777777" w:rsidR="00BF3DF9" w:rsidRPr="00463667" w:rsidRDefault="00BF3DF9" w:rsidP="00C56CA6">
            <w:pPr>
              <w:pStyle w:val="MarginSubhead"/>
            </w:pPr>
          </w:p>
        </w:tc>
        <w:tc>
          <w:tcPr>
            <w:tcW w:w="7812" w:type="dxa"/>
            <w:gridSpan w:val="2"/>
          </w:tcPr>
          <w:p w14:paraId="31D2101D" w14:textId="77777777" w:rsidR="00BF3DF9" w:rsidRPr="00463667" w:rsidRDefault="00BF3DF9" w:rsidP="00C56CA6">
            <w:pPr>
              <w:pStyle w:val="Body"/>
            </w:pPr>
            <w:r w:rsidRPr="00463667">
              <w:t xml:space="preserve">Count all services listed in the SPTs rendered to members in the eligible population during the treatment period. Refer to the </w:t>
            </w:r>
            <w:r w:rsidRPr="00463667">
              <w:rPr>
                <w:i/>
              </w:rPr>
              <w:t>Calculating Standard Cost</w:t>
            </w:r>
            <w:r w:rsidRPr="00463667">
              <w:t xml:space="preserve"> instructions in the </w:t>
            </w:r>
            <w:r w:rsidRPr="00463667">
              <w:rPr>
                <w:i/>
              </w:rPr>
              <w:t xml:space="preserve">Guidelines for Relative Resource Use </w:t>
            </w:r>
            <w:r w:rsidRPr="00463667">
              <w:t>for steps on categorizing services and linking service data to NCQA’s SPTs.</w:t>
            </w:r>
          </w:p>
        </w:tc>
      </w:tr>
      <w:tr w:rsidR="00CF45D6" w:rsidRPr="00463667" w14:paraId="104FCF9C" w14:textId="77777777" w:rsidTr="00CF45D6">
        <w:trPr>
          <w:cantSplit/>
        </w:trPr>
        <w:tc>
          <w:tcPr>
            <w:tcW w:w="1998" w:type="dxa"/>
          </w:tcPr>
          <w:p w14:paraId="3F7E9F6F" w14:textId="77777777" w:rsidR="00CF45D6" w:rsidRPr="00463667" w:rsidRDefault="00CF45D6" w:rsidP="00CF45D6">
            <w:pPr>
              <w:pStyle w:val="MarginSubhead"/>
            </w:pPr>
            <w:r w:rsidRPr="00463667">
              <w:t>Calculate total cost</w:t>
            </w:r>
          </w:p>
        </w:tc>
        <w:tc>
          <w:tcPr>
            <w:tcW w:w="7812" w:type="dxa"/>
            <w:gridSpan w:val="2"/>
          </w:tcPr>
          <w:p w14:paraId="77B74DC5" w14:textId="77777777" w:rsidR="00CF45D6" w:rsidRPr="00463667" w:rsidRDefault="00CF45D6" w:rsidP="00CF45D6">
            <w:pPr>
              <w:pStyle w:val="Body"/>
            </w:pPr>
            <w:r w:rsidRPr="00463667">
              <w:t xml:space="preserve">Sum the total standard cost for each eligible member. Within each service category, </w:t>
            </w:r>
            <w:r w:rsidRPr="00463667">
              <w:br/>
              <w:t xml:space="preserve">if a member’s standard cost exceeds the service category cap amount, report the </w:t>
            </w:r>
            <w:r w:rsidRPr="00463667">
              <w:br/>
              <w:t xml:space="preserve">total standard cost specified in the NCQA Cost Cap Amounts table (released with </w:t>
            </w:r>
            <w:r w:rsidRPr="00463667">
              <w:br/>
              <w:t>the SPTs).</w:t>
            </w:r>
          </w:p>
          <w:p w14:paraId="4E2F86B6" w14:textId="77777777" w:rsidR="00CF45D6" w:rsidRPr="00463667" w:rsidRDefault="00CF45D6" w:rsidP="00CF45D6">
            <w:pPr>
              <w:pStyle w:val="Body"/>
              <w:rPr>
                <w:rFonts w:cs="Arial"/>
                <w:szCs w:val="20"/>
              </w:rPr>
            </w:pPr>
            <w:r w:rsidRPr="00463667">
              <w:rPr>
                <w:rFonts w:cs="Arial"/>
                <w:szCs w:val="20"/>
              </w:rPr>
              <w:t>Sum and report the total standard cost for the eligible population in each service category by member cohort.</w:t>
            </w:r>
          </w:p>
        </w:tc>
      </w:tr>
    </w:tbl>
    <w:p w14:paraId="1D0CE205" w14:textId="77777777" w:rsidR="00BF3DF9" w:rsidRPr="00463667" w:rsidRDefault="00BF3DF9" w:rsidP="00BF3DF9">
      <w:pPr>
        <w:sectPr w:rsidR="00BF3DF9" w:rsidRPr="00463667" w:rsidSect="00C56CA6">
          <w:headerReference w:type="default" r:id="rId45"/>
          <w:pgSz w:w="12240" w:h="15840" w:code="1"/>
          <w:pgMar w:top="1080" w:right="1080" w:bottom="1080" w:left="1440" w:header="720" w:footer="720" w:gutter="0"/>
          <w:cols w:space="720"/>
        </w:sectPr>
      </w:pPr>
    </w:p>
    <w:p w14:paraId="04378627" w14:textId="77777777" w:rsidR="00BF3DF9" w:rsidRPr="00463667" w:rsidRDefault="00BF3DF9" w:rsidP="00CF45D6">
      <w:pPr>
        <w:pStyle w:val="ReverseHead"/>
        <w:spacing w:before="0"/>
      </w:pPr>
      <w:r w:rsidRPr="00463667">
        <w:lastRenderedPageBreak/>
        <w:t>Service Frequency Calculations</w:t>
      </w:r>
    </w:p>
    <w:tbl>
      <w:tblPr>
        <w:tblW w:w="9702" w:type="dxa"/>
        <w:tblInd w:w="18" w:type="dxa"/>
        <w:tblLayout w:type="fixed"/>
        <w:tblLook w:val="0000" w:firstRow="0" w:lastRow="0" w:firstColumn="0" w:lastColumn="0" w:noHBand="0" w:noVBand="0"/>
      </w:tblPr>
      <w:tblGrid>
        <w:gridCol w:w="1890"/>
        <w:gridCol w:w="7812"/>
      </w:tblGrid>
      <w:tr w:rsidR="00BF3DF9" w:rsidRPr="00463667" w14:paraId="3E74A6A1" w14:textId="77777777" w:rsidTr="00C56CA6">
        <w:tc>
          <w:tcPr>
            <w:tcW w:w="1890" w:type="dxa"/>
          </w:tcPr>
          <w:p w14:paraId="612227F5" w14:textId="77777777" w:rsidR="00BF3DF9" w:rsidRPr="00463667" w:rsidRDefault="00BF3DF9" w:rsidP="00C56CA6">
            <w:pPr>
              <w:pStyle w:val="MarginSubhead"/>
              <w:ind w:left="187"/>
              <w:rPr>
                <w:rFonts w:cs="Arial"/>
                <w:szCs w:val="20"/>
              </w:rPr>
            </w:pPr>
            <w:r w:rsidRPr="00463667">
              <w:rPr>
                <w:rFonts w:cs="Arial"/>
                <w:szCs w:val="20"/>
              </w:rPr>
              <w:t xml:space="preserve">Total frequency of service </w:t>
            </w:r>
          </w:p>
        </w:tc>
        <w:tc>
          <w:tcPr>
            <w:tcW w:w="7812" w:type="dxa"/>
          </w:tcPr>
          <w:p w14:paraId="7663DF22" w14:textId="77777777" w:rsidR="00BF3DF9" w:rsidRPr="00463667" w:rsidRDefault="00BF3DF9" w:rsidP="00C56CA6">
            <w:pPr>
              <w:pStyle w:val="Body"/>
              <w:rPr>
                <w:rFonts w:cs="Arial"/>
                <w:szCs w:val="20"/>
              </w:rPr>
            </w:pPr>
            <w:r w:rsidRPr="00463667">
              <w:rPr>
                <w:rFonts w:cs="Arial"/>
                <w:szCs w:val="20"/>
              </w:rPr>
              <w:t xml:space="preserve">Service frequency counts are reported for all services for which the </w:t>
            </w:r>
            <w:r w:rsidRPr="00463667">
              <w:t xml:space="preserve">organization </w:t>
            </w:r>
            <w:r w:rsidRPr="00463667">
              <w:br/>
            </w:r>
            <w:r w:rsidRPr="00463667">
              <w:rPr>
                <w:rFonts w:cs="Arial"/>
                <w:szCs w:val="20"/>
              </w:rPr>
              <w:t>has paid or expects to pay for the eligible population during the treatment period. An organization reports each eligible member’s services rendered during the treatment period for the following utilization categories:</w:t>
            </w:r>
          </w:p>
          <w:p w14:paraId="7074023A" w14:textId="77777777" w:rsidR="00BF3DF9" w:rsidRPr="00463667" w:rsidRDefault="00BF3DF9" w:rsidP="00740D50">
            <w:pPr>
              <w:pStyle w:val="Bullet"/>
              <w:tabs>
                <w:tab w:val="clear" w:pos="576"/>
              </w:tabs>
              <w:spacing w:before="60"/>
            </w:pPr>
            <w:r w:rsidRPr="00463667">
              <w:t>Acute Medicine: Discharges, Days.</w:t>
            </w:r>
          </w:p>
          <w:p w14:paraId="2D86540C" w14:textId="77777777" w:rsidR="00BF3DF9" w:rsidRPr="00463667" w:rsidRDefault="00BF3DF9" w:rsidP="00740D50">
            <w:pPr>
              <w:pStyle w:val="Bullet"/>
              <w:tabs>
                <w:tab w:val="clear" w:pos="576"/>
              </w:tabs>
              <w:spacing w:before="60"/>
            </w:pPr>
            <w:r w:rsidRPr="00463667">
              <w:t>Acute Surgery: Discharges, Days.</w:t>
            </w:r>
          </w:p>
          <w:p w14:paraId="15531645" w14:textId="77777777" w:rsidR="00BF3DF9" w:rsidRPr="00463667" w:rsidRDefault="00BF3DF9" w:rsidP="00740D50">
            <w:pPr>
              <w:pStyle w:val="Bullet"/>
              <w:tabs>
                <w:tab w:val="clear" w:pos="576"/>
              </w:tabs>
              <w:spacing w:before="60"/>
            </w:pPr>
            <w:r w:rsidRPr="00463667">
              <w:t>Nonacute: Discharges, Days.</w:t>
            </w:r>
          </w:p>
          <w:p w14:paraId="2F8A1A9A" w14:textId="77777777" w:rsidR="00BF3DF9" w:rsidRPr="00463667" w:rsidRDefault="00BF3DF9" w:rsidP="00740D50">
            <w:pPr>
              <w:pStyle w:val="Bullet"/>
              <w:tabs>
                <w:tab w:val="clear" w:pos="576"/>
              </w:tabs>
              <w:spacing w:before="60"/>
            </w:pPr>
            <w:r w:rsidRPr="00463667">
              <w:t>ED Discharges.</w:t>
            </w:r>
          </w:p>
          <w:p w14:paraId="602B4F00" w14:textId="77777777" w:rsidR="00BF3DF9" w:rsidRPr="00463667" w:rsidRDefault="00BF3DF9" w:rsidP="00740D50">
            <w:pPr>
              <w:pStyle w:val="Bullet"/>
              <w:tabs>
                <w:tab w:val="clear" w:pos="576"/>
              </w:tabs>
              <w:spacing w:before="60"/>
            </w:pPr>
            <w:r w:rsidRPr="00463667">
              <w:t>Pharmacy Utilization:</w:t>
            </w:r>
          </w:p>
          <w:p w14:paraId="788290A8" w14:textId="77777777" w:rsidR="00BF3DF9" w:rsidRPr="00463667" w:rsidRDefault="00BF3DF9" w:rsidP="00740D50">
            <w:pPr>
              <w:pStyle w:val="Dash"/>
              <w:spacing w:before="30"/>
            </w:pPr>
            <w:r w:rsidRPr="00463667">
              <w:t>Name brand only (N1).</w:t>
            </w:r>
          </w:p>
          <w:p w14:paraId="43F47F2F" w14:textId="77777777" w:rsidR="00BF3DF9" w:rsidRPr="00463667" w:rsidRDefault="00BF3DF9" w:rsidP="00740D50">
            <w:pPr>
              <w:pStyle w:val="Dash"/>
              <w:spacing w:before="30"/>
            </w:pPr>
            <w:r w:rsidRPr="00463667">
              <w:t>Name brand—Generic exists (N2).</w:t>
            </w:r>
          </w:p>
          <w:p w14:paraId="15BFF52F" w14:textId="77777777" w:rsidR="00BF3DF9" w:rsidRPr="00463667" w:rsidRDefault="00BF3DF9" w:rsidP="00740D50">
            <w:pPr>
              <w:pStyle w:val="Dash"/>
              <w:spacing w:before="30"/>
            </w:pPr>
            <w:r w:rsidRPr="00463667">
              <w:t>Generic only (G1).</w:t>
            </w:r>
          </w:p>
          <w:p w14:paraId="002DCE04" w14:textId="77777777" w:rsidR="00BF3DF9" w:rsidRPr="00463667" w:rsidRDefault="00BF3DF9" w:rsidP="00740D50">
            <w:pPr>
              <w:pStyle w:val="Dash"/>
              <w:spacing w:before="30"/>
            </w:pPr>
            <w:r w:rsidRPr="00463667">
              <w:t>Generic name—Name brand exists (G2).</w:t>
            </w:r>
          </w:p>
          <w:p w14:paraId="78451CEE" w14:textId="77777777" w:rsidR="00BF3DF9" w:rsidRPr="00463667" w:rsidRDefault="00BF3DF9" w:rsidP="00C56CA6">
            <w:pPr>
              <w:pStyle w:val="Dash"/>
              <w:numPr>
                <w:ilvl w:val="0"/>
                <w:numId w:val="0"/>
              </w:numPr>
              <w:spacing w:before="180"/>
            </w:pPr>
            <w:r w:rsidRPr="00463667">
              <w:rPr>
                <w:b/>
                <w:i/>
              </w:rPr>
              <w:t>Other Condition-Specific Categories</w:t>
            </w:r>
          </w:p>
          <w:p w14:paraId="0E73E07C" w14:textId="77777777" w:rsidR="00BF3DF9" w:rsidRPr="00463667" w:rsidRDefault="00BF3DF9" w:rsidP="00740D50">
            <w:pPr>
              <w:pStyle w:val="Bullet"/>
              <w:spacing w:before="60"/>
            </w:pPr>
            <w:r w:rsidRPr="00463667">
              <w:t>Cardiac Catheterization.</w:t>
            </w:r>
          </w:p>
          <w:p w14:paraId="0E77A6E1" w14:textId="77777777" w:rsidR="00BF3DF9" w:rsidRPr="00463667" w:rsidRDefault="00BF3DF9" w:rsidP="00740D50">
            <w:pPr>
              <w:pStyle w:val="Bullet"/>
              <w:spacing w:before="60"/>
            </w:pPr>
            <w:r w:rsidRPr="00463667">
              <w:t>PCI.</w:t>
            </w:r>
          </w:p>
          <w:p w14:paraId="1F49B133" w14:textId="77777777" w:rsidR="00BF3DF9" w:rsidRPr="00463667" w:rsidRDefault="00BF3DF9" w:rsidP="00740D50">
            <w:pPr>
              <w:pStyle w:val="Bullet"/>
              <w:spacing w:before="60"/>
            </w:pPr>
            <w:r w:rsidRPr="00463667">
              <w:t>CABG.</w:t>
            </w:r>
          </w:p>
          <w:p w14:paraId="691FB27D" w14:textId="77777777" w:rsidR="00BF3DF9" w:rsidRPr="00463667" w:rsidRDefault="00BF3DF9" w:rsidP="00740D50">
            <w:pPr>
              <w:pStyle w:val="Bullet"/>
              <w:spacing w:before="60"/>
            </w:pPr>
            <w:r w:rsidRPr="00463667">
              <w:t>Carotid Endarterectomy.</w:t>
            </w:r>
          </w:p>
          <w:p w14:paraId="000F51C3" w14:textId="77777777" w:rsidR="00BF3DF9" w:rsidRPr="00463667" w:rsidRDefault="00BF3DF9" w:rsidP="00740D50">
            <w:pPr>
              <w:pStyle w:val="Bullet"/>
              <w:spacing w:before="60"/>
            </w:pPr>
            <w:r w:rsidRPr="00463667">
              <w:t>Carotid Artery Stenosis Diagnostic Test.</w:t>
            </w:r>
          </w:p>
          <w:p w14:paraId="66C04BFA" w14:textId="77777777" w:rsidR="00BF3DF9" w:rsidRPr="00463667" w:rsidRDefault="00BF3DF9" w:rsidP="00740D50">
            <w:pPr>
              <w:pStyle w:val="Bullet"/>
              <w:spacing w:before="60"/>
            </w:pPr>
            <w:r w:rsidRPr="00463667">
              <w:t>Cardiac Computed Tomography.</w:t>
            </w:r>
          </w:p>
          <w:p w14:paraId="7A2FA11E" w14:textId="77777777" w:rsidR="00BF3DF9" w:rsidRPr="00463667" w:rsidRDefault="00BF3DF9" w:rsidP="00740D50">
            <w:pPr>
              <w:pStyle w:val="Bullet"/>
              <w:spacing w:before="60"/>
            </w:pPr>
            <w:r w:rsidRPr="00463667">
              <w:t>CAD Diagnostic Test Using EBCT/Nuclear Imaging Stress Test.</w:t>
            </w:r>
          </w:p>
          <w:p w14:paraId="1044E793" w14:textId="77777777" w:rsidR="00BF3DF9" w:rsidRPr="00463667" w:rsidRDefault="00BF3DF9" w:rsidP="00C56CA6">
            <w:pPr>
              <w:pStyle w:val="Body"/>
              <w:rPr>
                <w:rFonts w:cs="Arial"/>
                <w:szCs w:val="20"/>
              </w:rPr>
            </w:pPr>
            <w:r w:rsidRPr="00463667">
              <w:rPr>
                <w:rFonts w:cs="Arial"/>
                <w:szCs w:val="20"/>
              </w:rPr>
              <w:t xml:space="preserve">Refer to the instructions in the </w:t>
            </w:r>
            <w:r w:rsidRPr="00463667">
              <w:rPr>
                <w:rFonts w:cs="Arial"/>
                <w:i/>
                <w:szCs w:val="20"/>
              </w:rPr>
              <w:t>Guidelines for Relative Resource Use.</w:t>
            </w:r>
            <w:r w:rsidRPr="00463667">
              <w:rPr>
                <w:rFonts w:cs="Arial"/>
                <w:szCs w:val="20"/>
              </w:rPr>
              <w:t xml:space="preserve"> The </w:t>
            </w:r>
            <w:r w:rsidRPr="00463667">
              <w:rPr>
                <w:rFonts w:cs="Arial"/>
                <w:i/>
                <w:szCs w:val="20"/>
              </w:rPr>
              <w:t>Pharmacy Utilization</w:t>
            </w:r>
            <w:r w:rsidRPr="00463667">
              <w:rPr>
                <w:rFonts w:cs="Arial"/>
                <w:szCs w:val="20"/>
              </w:rPr>
              <w:t xml:space="preserve"> categories are included in Table SPT-Pharm.</w:t>
            </w:r>
          </w:p>
        </w:tc>
      </w:tr>
      <w:tr w:rsidR="00BF3DF9" w:rsidRPr="00463667" w14:paraId="1335AC3B" w14:textId="77777777" w:rsidTr="00C56CA6">
        <w:trPr>
          <w:cantSplit/>
        </w:trPr>
        <w:tc>
          <w:tcPr>
            <w:tcW w:w="1890" w:type="dxa"/>
          </w:tcPr>
          <w:p w14:paraId="1C29391F" w14:textId="77777777" w:rsidR="00BF3DF9" w:rsidRPr="00463667" w:rsidRDefault="00BF3DF9" w:rsidP="00C56CA6">
            <w:pPr>
              <w:pStyle w:val="MarginSubhead"/>
              <w:ind w:left="187"/>
              <w:rPr>
                <w:rFonts w:cs="Arial"/>
                <w:szCs w:val="20"/>
              </w:rPr>
            </w:pPr>
            <w:r w:rsidRPr="00463667">
              <w:rPr>
                <w:rFonts w:cs="Arial"/>
                <w:szCs w:val="20"/>
              </w:rPr>
              <w:t xml:space="preserve">Inpatient Facility </w:t>
            </w:r>
          </w:p>
        </w:tc>
        <w:tc>
          <w:tcPr>
            <w:tcW w:w="7812" w:type="dxa"/>
          </w:tcPr>
          <w:p w14:paraId="74810A70" w14:textId="77777777" w:rsidR="00BF3DF9" w:rsidRPr="00463667" w:rsidRDefault="00BF3DF9" w:rsidP="00C56CA6">
            <w:pPr>
              <w:pStyle w:val="Body"/>
              <w:rPr>
                <w:rFonts w:cs="Arial"/>
                <w:strike/>
                <w:szCs w:val="20"/>
              </w:rPr>
            </w:pPr>
            <w:r w:rsidRPr="00463667">
              <w:rPr>
                <w:rFonts w:cs="Arial"/>
                <w:szCs w:val="20"/>
              </w:rPr>
              <w:t xml:space="preserve">This category measures the number of acute and nonacute inpatient facility discharges and days regardless of diagnosis. Count each discharge once. </w:t>
            </w:r>
            <w:r w:rsidRPr="00463667">
              <w:t xml:space="preserve">Include data from any institution that provides acute or long-term/specialty nonacute care. </w:t>
            </w:r>
          </w:p>
          <w:p w14:paraId="157A6306" w14:textId="77777777" w:rsidR="00BF3DF9" w:rsidRPr="00463667" w:rsidRDefault="00BF3DF9" w:rsidP="00C56CA6">
            <w:pPr>
              <w:pStyle w:val="Body"/>
              <w:rPr>
                <w:rFonts w:cs="Arial"/>
                <w:szCs w:val="20"/>
              </w:rPr>
            </w:pPr>
            <w:r w:rsidRPr="00463667">
              <w:rPr>
                <w:rFonts w:cs="Arial"/>
                <w:szCs w:val="20"/>
              </w:rPr>
              <w:t xml:space="preserve">Refer to the </w:t>
            </w:r>
            <w:r w:rsidRPr="00463667">
              <w:rPr>
                <w:rFonts w:cs="Arial"/>
                <w:i/>
                <w:szCs w:val="20"/>
              </w:rPr>
              <w:t xml:space="preserve">Guidelines for Relative Resource Use </w:t>
            </w:r>
            <w:r w:rsidRPr="00463667">
              <w:rPr>
                <w:rFonts w:cs="Arial"/>
                <w:szCs w:val="20"/>
              </w:rPr>
              <w:t xml:space="preserve">to identify acute inpatient (including medicine and surgery) and nonacute discharges and days. </w:t>
            </w:r>
          </w:p>
        </w:tc>
      </w:tr>
      <w:tr w:rsidR="00CF45D6" w:rsidRPr="00463667" w14:paraId="4C26ADCA" w14:textId="77777777" w:rsidTr="00CF45D6">
        <w:trPr>
          <w:cantSplit/>
        </w:trPr>
        <w:tc>
          <w:tcPr>
            <w:tcW w:w="1890" w:type="dxa"/>
          </w:tcPr>
          <w:p w14:paraId="05B87F58" w14:textId="77777777" w:rsidR="00CF45D6" w:rsidRPr="00463667" w:rsidRDefault="00CF45D6" w:rsidP="00CF45D6">
            <w:pPr>
              <w:pStyle w:val="MarginSubhead"/>
              <w:ind w:left="187"/>
              <w:rPr>
                <w:rFonts w:cs="Arial"/>
                <w:szCs w:val="20"/>
              </w:rPr>
            </w:pPr>
            <w:r w:rsidRPr="00463667">
              <w:rPr>
                <w:rFonts w:cs="Arial"/>
                <w:szCs w:val="20"/>
              </w:rPr>
              <w:t>ED Discharges</w:t>
            </w:r>
          </w:p>
        </w:tc>
        <w:tc>
          <w:tcPr>
            <w:tcW w:w="7812" w:type="dxa"/>
          </w:tcPr>
          <w:p w14:paraId="11F9F7D6" w14:textId="77777777" w:rsidR="00CF45D6" w:rsidRPr="00463667" w:rsidRDefault="00CF45D6" w:rsidP="00CF45D6">
            <w:pPr>
              <w:pStyle w:val="Body"/>
              <w:rPr>
                <w:rFonts w:cs="Arial"/>
                <w:szCs w:val="20"/>
              </w:rPr>
            </w:pPr>
            <w:r w:rsidRPr="00463667">
              <w:rPr>
                <w:rFonts w:cs="Arial"/>
                <w:szCs w:val="20"/>
              </w:rPr>
              <w:t xml:space="preserve">This category measures use of ED services. </w:t>
            </w:r>
          </w:p>
          <w:p w14:paraId="3DA58E4E" w14:textId="77777777" w:rsidR="00CF45D6" w:rsidRPr="00463667" w:rsidRDefault="00CF45D6" w:rsidP="0041507C">
            <w:pPr>
              <w:pStyle w:val="Body"/>
              <w:rPr>
                <w:rFonts w:cs="Arial"/>
                <w:szCs w:val="20"/>
              </w:rPr>
            </w:pPr>
            <w:r w:rsidRPr="00463667">
              <w:rPr>
                <w:rFonts w:cs="Arial"/>
                <w:szCs w:val="20"/>
              </w:rPr>
              <w:t>Count each visit to an ED during the treatment period that does not result in an inpatient stay that was paid, or expected to be paid, by the organization, regardless of the intensity of care required during the stay or the length of stay. Count only one ED visit per date of service. Do not count visits to urgent care centers.</w:t>
            </w:r>
            <w:r w:rsidRPr="00CF45D6">
              <w:rPr>
                <w:rFonts w:cs="Arial"/>
                <w:szCs w:val="20"/>
              </w:rPr>
              <w:t xml:space="preserve"> Services for members admitted to the hospital from an ED visit are included in the Inpatient Facility category only.</w:t>
            </w:r>
          </w:p>
          <w:p w14:paraId="13511DB5" w14:textId="77777777" w:rsidR="00CF45D6" w:rsidRPr="00CF45D6" w:rsidRDefault="00CF45D6" w:rsidP="00CF45D6">
            <w:pPr>
              <w:pStyle w:val="Body"/>
              <w:rPr>
                <w:rFonts w:cs="Arial"/>
                <w:szCs w:val="20"/>
              </w:rPr>
            </w:pPr>
            <w:r w:rsidRPr="00CF45D6">
              <w:rPr>
                <w:rFonts w:cs="Arial"/>
                <w:szCs w:val="20"/>
              </w:rPr>
              <w:t>Identify ED visits using either of the following:</w:t>
            </w:r>
          </w:p>
          <w:p w14:paraId="29ED544A" w14:textId="77777777" w:rsidR="00CF45D6" w:rsidRPr="00CF45D6" w:rsidRDefault="00CF45D6" w:rsidP="0041507C">
            <w:pPr>
              <w:pStyle w:val="Bullet"/>
              <w:rPr>
                <w:rFonts w:cs="Arial"/>
                <w:szCs w:val="20"/>
              </w:rPr>
            </w:pPr>
            <w:r w:rsidRPr="00CF45D6">
              <w:rPr>
                <w:rFonts w:cs="Arial"/>
                <w:szCs w:val="20"/>
              </w:rPr>
              <w:t>An ED visit (</w:t>
            </w:r>
            <w:r w:rsidRPr="0041507C">
              <w:rPr>
                <w:rFonts w:cs="Arial"/>
                <w:szCs w:val="20"/>
                <w:u w:val="single"/>
              </w:rPr>
              <w:t>ED Value Set</w:t>
            </w:r>
            <w:r w:rsidRPr="00CF45D6">
              <w:rPr>
                <w:rFonts w:cs="Arial"/>
                <w:szCs w:val="20"/>
              </w:rPr>
              <w:t>).</w:t>
            </w:r>
          </w:p>
          <w:p w14:paraId="10C762D1" w14:textId="77777777" w:rsidR="00CF45D6" w:rsidRPr="00463667" w:rsidRDefault="00CF45D6" w:rsidP="0041507C">
            <w:pPr>
              <w:pStyle w:val="Bullet"/>
              <w:rPr>
                <w:rFonts w:cs="Arial"/>
                <w:szCs w:val="20"/>
              </w:rPr>
            </w:pPr>
            <w:r w:rsidRPr="00CF45D6">
              <w:rPr>
                <w:rFonts w:cs="Arial"/>
                <w:szCs w:val="20"/>
              </w:rPr>
              <w:t>A procedure code (</w:t>
            </w:r>
            <w:r w:rsidRPr="0041507C">
              <w:rPr>
                <w:rFonts w:cs="Arial"/>
                <w:szCs w:val="20"/>
                <w:u w:val="single"/>
              </w:rPr>
              <w:t>ED Procedure Code Value Set</w:t>
            </w:r>
            <w:r w:rsidRPr="00CF45D6">
              <w:rPr>
                <w:rFonts w:cs="Arial"/>
                <w:szCs w:val="20"/>
              </w:rPr>
              <w:t>) with an ED place of service code (</w:t>
            </w:r>
            <w:r w:rsidRPr="0041507C">
              <w:rPr>
                <w:rFonts w:cs="Arial"/>
                <w:szCs w:val="20"/>
                <w:u w:val="single"/>
              </w:rPr>
              <w:t>ED POS Value Set</w:t>
            </w:r>
            <w:r w:rsidRPr="00CF45D6">
              <w:rPr>
                <w:rFonts w:cs="Arial"/>
                <w:szCs w:val="20"/>
              </w:rPr>
              <w:t>).</w:t>
            </w:r>
          </w:p>
        </w:tc>
      </w:tr>
    </w:tbl>
    <w:p w14:paraId="0D1D1F1D" w14:textId="77777777" w:rsidR="00BF3DF9" w:rsidRPr="00463667" w:rsidRDefault="00BF3DF9" w:rsidP="00BF3DF9">
      <w:pPr>
        <w:sectPr w:rsidR="00BF3DF9" w:rsidRPr="00463667" w:rsidSect="00C56CA6">
          <w:pgSz w:w="12240" w:h="15840" w:code="1"/>
          <w:pgMar w:top="1080" w:right="1080" w:bottom="1080" w:left="1440" w:header="720" w:footer="720" w:gutter="0"/>
          <w:cols w:space="720"/>
        </w:sectPr>
      </w:pPr>
    </w:p>
    <w:tbl>
      <w:tblPr>
        <w:tblW w:w="9702" w:type="dxa"/>
        <w:tblInd w:w="18" w:type="dxa"/>
        <w:tblLayout w:type="fixed"/>
        <w:tblLook w:val="0000" w:firstRow="0" w:lastRow="0" w:firstColumn="0" w:lastColumn="0" w:noHBand="0" w:noVBand="0"/>
      </w:tblPr>
      <w:tblGrid>
        <w:gridCol w:w="2142"/>
        <w:gridCol w:w="7560"/>
      </w:tblGrid>
      <w:tr w:rsidR="00BF3DF9" w:rsidRPr="00463667" w14:paraId="0B51E782" w14:textId="77777777" w:rsidTr="00752BC5">
        <w:tc>
          <w:tcPr>
            <w:tcW w:w="2142" w:type="dxa"/>
          </w:tcPr>
          <w:p w14:paraId="0657A5A9" w14:textId="77777777" w:rsidR="00BF3DF9" w:rsidRPr="00463667" w:rsidRDefault="00BF3DF9" w:rsidP="00CF45D6">
            <w:pPr>
              <w:pStyle w:val="MarginSubhead"/>
              <w:spacing w:before="0"/>
              <w:jc w:val="both"/>
            </w:pPr>
            <w:r w:rsidRPr="00463667">
              <w:lastRenderedPageBreak/>
              <w:t>Pharmacy Utilization</w:t>
            </w:r>
          </w:p>
        </w:tc>
        <w:tc>
          <w:tcPr>
            <w:tcW w:w="7560" w:type="dxa"/>
          </w:tcPr>
          <w:p w14:paraId="6B7B0A00" w14:textId="77777777" w:rsidR="00BF3DF9" w:rsidRPr="00463667" w:rsidRDefault="00BF3DF9" w:rsidP="00CF45D6">
            <w:pPr>
              <w:pStyle w:val="Body"/>
              <w:spacing w:before="0"/>
            </w:pPr>
            <w:r w:rsidRPr="00463667">
              <w:t>Use Table SPT-Pharm to identify the prescription categories for each drug dispensed in the treatment period.</w:t>
            </w:r>
          </w:p>
          <w:p w14:paraId="6A3B9862" w14:textId="77777777" w:rsidR="00BF3DF9" w:rsidRPr="00463667" w:rsidRDefault="00BF3DF9" w:rsidP="00C56CA6">
            <w:pPr>
              <w:pStyle w:val="Body"/>
              <w:spacing w:before="160"/>
            </w:pPr>
            <w:r w:rsidRPr="00463667">
              <w:t>Sum and report the number of prescriptions in each of the four categories in the Pharmacy—Total Service Frequency by Prescription Category table.</w:t>
            </w:r>
          </w:p>
        </w:tc>
      </w:tr>
    </w:tbl>
    <w:p w14:paraId="602B1C06" w14:textId="77777777" w:rsidR="00BF3DF9" w:rsidRPr="00463667" w:rsidRDefault="00BF3DF9" w:rsidP="00BF3DF9">
      <w:pPr>
        <w:pStyle w:val="SubHead20"/>
      </w:pPr>
      <w:r w:rsidRPr="00463667">
        <w:t>Other Condition-Specific Categories</w:t>
      </w:r>
    </w:p>
    <w:p w14:paraId="70DEFC0D" w14:textId="77777777" w:rsidR="00BF3DF9" w:rsidRPr="00463667" w:rsidRDefault="00BF3DF9" w:rsidP="00BF3DF9">
      <w:pPr>
        <w:tabs>
          <w:tab w:val="left" w:pos="2268"/>
        </w:tabs>
        <w:autoSpaceDE w:val="0"/>
        <w:autoSpaceDN w:val="0"/>
        <w:adjustRightInd w:val="0"/>
        <w:spacing w:before="180"/>
        <w:ind w:left="18"/>
        <w:rPr>
          <w:i/>
        </w:rPr>
      </w:pPr>
      <w:r w:rsidRPr="00463667">
        <w:t xml:space="preserve">Use the information below and refer to the instructions in the </w:t>
      </w:r>
      <w:r w:rsidRPr="00463667">
        <w:rPr>
          <w:i/>
        </w:rPr>
        <w:t xml:space="preserve">Guidelines for Relative Resource Use. </w:t>
      </w:r>
    </w:p>
    <w:tbl>
      <w:tblPr>
        <w:tblW w:w="9702" w:type="dxa"/>
        <w:tblInd w:w="18" w:type="dxa"/>
        <w:tblLayout w:type="fixed"/>
        <w:tblLook w:val="0000" w:firstRow="0" w:lastRow="0" w:firstColumn="0" w:lastColumn="0" w:noHBand="0" w:noVBand="0"/>
      </w:tblPr>
      <w:tblGrid>
        <w:gridCol w:w="2142"/>
        <w:gridCol w:w="7560"/>
      </w:tblGrid>
      <w:tr w:rsidR="00BF3DF9" w:rsidRPr="00463667" w14:paraId="7CDD0ABE" w14:textId="77777777" w:rsidTr="00752BC5">
        <w:tc>
          <w:tcPr>
            <w:tcW w:w="2142" w:type="dxa"/>
          </w:tcPr>
          <w:p w14:paraId="357871D0" w14:textId="77777777" w:rsidR="00BF3DF9" w:rsidRPr="00463667" w:rsidRDefault="00BF3DF9" w:rsidP="00C56CA6">
            <w:pPr>
              <w:pStyle w:val="MarginSubhead"/>
              <w:spacing w:before="160"/>
            </w:pPr>
            <w:r w:rsidRPr="00463667">
              <w:t>Cardiac Catheterization</w:t>
            </w:r>
          </w:p>
        </w:tc>
        <w:tc>
          <w:tcPr>
            <w:tcW w:w="7560" w:type="dxa"/>
          </w:tcPr>
          <w:p w14:paraId="68B31266" w14:textId="77777777" w:rsidR="00BF3DF9" w:rsidRPr="00463667" w:rsidRDefault="00BF3DF9" w:rsidP="00C56CA6">
            <w:pPr>
              <w:pStyle w:val="Body"/>
              <w:spacing w:before="160"/>
            </w:pPr>
            <w:r w:rsidRPr="00463667">
              <w:t>Cardiac catheterization (</w:t>
            </w:r>
            <w:r w:rsidRPr="00463667">
              <w:rPr>
                <w:u w:val="single"/>
              </w:rPr>
              <w:t>Cardiac Catheterization Value Set</w:t>
            </w:r>
            <w:r w:rsidRPr="00463667">
              <w:t>). Report all cardiac catheterizations performed separately. Do not report a cardiac catheterization performed in conjunction with (i.e., on the same date of service as) a PCI in the cardiac catheterization rate; report only the PCI.</w:t>
            </w:r>
          </w:p>
          <w:p w14:paraId="38D5CB17" w14:textId="77777777" w:rsidR="00BF3DF9" w:rsidRPr="00463667" w:rsidRDefault="00BF3DF9" w:rsidP="00C56CA6">
            <w:pPr>
              <w:pStyle w:val="Body"/>
              <w:spacing w:before="160"/>
            </w:pPr>
            <w:r w:rsidRPr="00463667">
              <w:t>Do not report PCI or cardiac catheterization performed in conjunction with (i.e., on the same date of service as) a CABG in the PCI or the cardiac catheterization rate; report only the CABG.</w:t>
            </w:r>
          </w:p>
        </w:tc>
      </w:tr>
      <w:tr w:rsidR="00BF3DF9" w:rsidRPr="00463667" w14:paraId="75A9A25B" w14:textId="77777777" w:rsidTr="00752BC5">
        <w:tc>
          <w:tcPr>
            <w:tcW w:w="2142" w:type="dxa"/>
          </w:tcPr>
          <w:p w14:paraId="46F20F9D" w14:textId="77777777" w:rsidR="00BF3DF9" w:rsidRPr="00463667" w:rsidRDefault="00BF3DF9" w:rsidP="00C56CA6">
            <w:pPr>
              <w:pStyle w:val="MarginSubhead"/>
              <w:spacing w:before="160"/>
            </w:pPr>
            <w:r w:rsidRPr="00463667">
              <w:t>PCI</w:t>
            </w:r>
          </w:p>
        </w:tc>
        <w:tc>
          <w:tcPr>
            <w:tcW w:w="7560" w:type="dxa"/>
          </w:tcPr>
          <w:p w14:paraId="4F4DC5C9" w14:textId="77777777" w:rsidR="00BF3DF9" w:rsidRPr="00463667" w:rsidRDefault="00BF3DF9" w:rsidP="00C56CA6">
            <w:pPr>
              <w:pStyle w:val="Body"/>
              <w:spacing w:before="160"/>
            </w:pPr>
            <w:r w:rsidRPr="00463667">
              <w:t>Percutaneous coronary intervention (</w:t>
            </w:r>
            <w:r w:rsidRPr="00463667">
              <w:rPr>
                <w:u w:val="single"/>
              </w:rPr>
              <w:t>PCI Value Set</w:t>
            </w:r>
            <w:r w:rsidRPr="00463667">
              <w:t>).</w:t>
            </w:r>
            <w:r w:rsidRPr="00463667">
              <w:rPr>
                <w:i/>
              </w:rPr>
              <w:t xml:space="preserve"> </w:t>
            </w:r>
            <w:r w:rsidRPr="00463667">
              <w:t>Report all PCIs performed separately. Do not report PCI or cardiac catheterization performed in conjunction with (i.e., on the same date of service as) a CABG in the PCI or the cardiac catheterization rate; report only the CABG.</w:t>
            </w:r>
          </w:p>
        </w:tc>
      </w:tr>
      <w:tr w:rsidR="00BF3DF9" w:rsidRPr="00463667" w14:paraId="156EE2DD" w14:textId="77777777" w:rsidTr="00752BC5">
        <w:tc>
          <w:tcPr>
            <w:tcW w:w="2142" w:type="dxa"/>
          </w:tcPr>
          <w:p w14:paraId="07C6844F" w14:textId="77777777" w:rsidR="00BF3DF9" w:rsidRPr="00463667" w:rsidRDefault="00BF3DF9" w:rsidP="00C56CA6">
            <w:pPr>
              <w:pStyle w:val="MarginSubhead"/>
              <w:spacing w:before="160"/>
            </w:pPr>
            <w:r w:rsidRPr="00463667">
              <w:t>CABG</w:t>
            </w:r>
          </w:p>
        </w:tc>
        <w:tc>
          <w:tcPr>
            <w:tcW w:w="7560" w:type="dxa"/>
          </w:tcPr>
          <w:p w14:paraId="65CE78EE" w14:textId="77777777" w:rsidR="00BF3DF9" w:rsidRPr="00463667" w:rsidRDefault="00BF3DF9" w:rsidP="00C56CA6">
            <w:pPr>
              <w:pStyle w:val="Body"/>
              <w:spacing w:before="160"/>
            </w:pPr>
            <w:r w:rsidRPr="00463667">
              <w:t>Coronary artery bypass graft (</w:t>
            </w:r>
            <w:r w:rsidRPr="00463667">
              <w:rPr>
                <w:u w:val="single"/>
              </w:rPr>
              <w:t>CABG Value Set</w:t>
            </w:r>
            <w:r w:rsidRPr="00463667">
              <w:t>). Report each CABG only once for each date of service per patient, regardless of the number of arteries involved or the number or types of grafts involved.</w:t>
            </w:r>
          </w:p>
          <w:p w14:paraId="3D021F13" w14:textId="77777777" w:rsidR="00BF3DF9" w:rsidRPr="00463667" w:rsidRDefault="00BF3DF9" w:rsidP="00C56CA6">
            <w:pPr>
              <w:pStyle w:val="Body"/>
              <w:spacing w:before="160"/>
            </w:pPr>
            <w:r w:rsidRPr="00463667">
              <w:t>Do not report PCI or cardiac catheterization performed in conjunction with (i.e., on the same date of service as) a CABG in the PCI or the cardiac catheterization rate; report only the CABG.</w:t>
            </w:r>
          </w:p>
        </w:tc>
      </w:tr>
      <w:tr w:rsidR="00BF3DF9" w:rsidRPr="00463667" w14:paraId="25CF8537" w14:textId="77777777" w:rsidTr="00752BC5">
        <w:trPr>
          <w:cantSplit/>
        </w:trPr>
        <w:tc>
          <w:tcPr>
            <w:tcW w:w="2142" w:type="dxa"/>
          </w:tcPr>
          <w:p w14:paraId="5A01EC49" w14:textId="77777777" w:rsidR="00BF3DF9" w:rsidRPr="00463667" w:rsidRDefault="00BF3DF9" w:rsidP="00C56CA6">
            <w:pPr>
              <w:pStyle w:val="MarginSubhead"/>
              <w:spacing w:before="160"/>
            </w:pPr>
            <w:r w:rsidRPr="00463667">
              <w:t>Carotid Endarterectomy</w:t>
            </w:r>
          </w:p>
        </w:tc>
        <w:tc>
          <w:tcPr>
            <w:tcW w:w="7560" w:type="dxa"/>
          </w:tcPr>
          <w:p w14:paraId="16D2889C" w14:textId="77777777" w:rsidR="00BF3DF9" w:rsidRPr="00463667" w:rsidRDefault="00BF3DF9" w:rsidP="00C56CA6">
            <w:pPr>
              <w:pStyle w:val="Body"/>
              <w:spacing w:before="160"/>
            </w:pPr>
            <w:r w:rsidRPr="00463667">
              <w:t>Carotid endarterectomy (</w:t>
            </w:r>
            <w:r w:rsidRPr="00463667">
              <w:rPr>
                <w:u w:val="single"/>
              </w:rPr>
              <w:t>Carotid Endarterectomy Value Set</w:t>
            </w:r>
            <w:r w:rsidRPr="00463667">
              <w:t>). Report the number of carotid endarterectomies.</w:t>
            </w:r>
          </w:p>
        </w:tc>
      </w:tr>
      <w:tr w:rsidR="00BF3DF9" w:rsidRPr="00463667" w14:paraId="569C40E0" w14:textId="77777777" w:rsidTr="00752BC5">
        <w:tc>
          <w:tcPr>
            <w:tcW w:w="2142" w:type="dxa"/>
          </w:tcPr>
          <w:p w14:paraId="25365FD4" w14:textId="77777777" w:rsidR="00BF3DF9" w:rsidRPr="00463667" w:rsidRDefault="00BF3DF9" w:rsidP="00C56CA6">
            <w:pPr>
              <w:pStyle w:val="MarginSubhead"/>
              <w:spacing w:before="160"/>
            </w:pPr>
            <w:r w:rsidRPr="00463667">
              <w:t>CAS Diagnostic Test</w:t>
            </w:r>
          </w:p>
        </w:tc>
        <w:tc>
          <w:tcPr>
            <w:tcW w:w="7560" w:type="dxa"/>
          </w:tcPr>
          <w:p w14:paraId="3207217B" w14:textId="77777777" w:rsidR="00BF3DF9" w:rsidRPr="00463667" w:rsidRDefault="00BF3DF9" w:rsidP="00C56CA6">
            <w:pPr>
              <w:pStyle w:val="Body"/>
              <w:spacing w:before="160"/>
            </w:pPr>
            <w:r w:rsidRPr="00463667">
              <w:t>Carotid artery stenosis diagnostic test (</w:t>
            </w:r>
            <w:r w:rsidRPr="00463667">
              <w:rPr>
                <w:u w:val="single"/>
              </w:rPr>
              <w:t>CAS Tests Value Set</w:t>
            </w:r>
            <w:r w:rsidRPr="00463667">
              <w:t>). Report the number of CAS diagnostic tests.</w:t>
            </w:r>
          </w:p>
        </w:tc>
      </w:tr>
      <w:tr w:rsidR="00BF3DF9" w:rsidRPr="00463667" w14:paraId="6681DAA5" w14:textId="77777777" w:rsidTr="00752BC5">
        <w:tc>
          <w:tcPr>
            <w:tcW w:w="2142" w:type="dxa"/>
          </w:tcPr>
          <w:p w14:paraId="4371BF5F" w14:textId="77777777" w:rsidR="00BF3DF9" w:rsidRPr="00463667" w:rsidRDefault="00BF3DF9" w:rsidP="00C56CA6">
            <w:pPr>
              <w:pStyle w:val="MarginSubhead"/>
              <w:spacing w:before="160"/>
            </w:pPr>
            <w:r w:rsidRPr="00463667">
              <w:t>Cardiac CT</w:t>
            </w:r>
          </w:p>
        </w:tc>
        <w:tc>
          <w:tcPr>
            <w:tcW w:w="7560" w:type="dxa"/>
          </w:tcPr>
          <w:p w14:paraId="7DC76BDC" w14:textId="77777777" w:rsidR="00BF3DF9" w:rsidRPr="00463667" w:rsidRDefault="00BF3DF9" w:rsidP="00C56CA6">
            <w:pPr>
              <w:pStyle w:val="Body"/>
              <w:spacing w:before="160"/>
            </w:pPr>
            <w:r w:rsidRPr="00463667">
              <w:t>Cardiac computed tomography (</w:t>
            </w:r>
            <w:r w:rsidRPr="00463667">
              <w:rPr>
                <w:u w:val="single"/>
              </w:rPr>
              <w:t>Cardiac CT Value Set</w:t>
            </w:r>
            <w:r w:rsidRPr="00463667">
              <w:t>). Report the number of cardiac CTs.</w:t>
            </w:r>
          </w:p>
        </w:tc>
      </w:tr>
      <w:tr w:rsidR="00CF45D6" w:rsidRPr="00463667" w14:paraId="45E2C955" w14:textId="77777777" w:rsidTr="00752BC5">
        <w:tc>
          <w:tcPr>
            <w:tcW w:w="2142" w:type="dxa"/>
          </w:tcPr>
          <w:p w14:paraId="5E74BF9F" w14:textId="695CDD3B" w:rsidR="00CF45D6" w:rsidRPr="00463667" w:rsidRDefault="00CF45D6" w:rsidP="00CF45D6">
            <w:pPr>
              <w:pStyle w:val="MarginSubhead"/>
              <w:spacing w:before="160"/>
            </w:pPr>
            <w:r>
              <w:t>CAD Diagnostic Test Using EBCT/</w:t>
            </w:r>
            <w:r w:rsidR="00740D50">
              <w:t xml:space="preserve"> </w:t>
            </w:r>
            <w:r w:rsidRPr="00463667">
              <w:t>Nuclear Imaging Stress Tests</w:t>
            </w:r>
          </w:p>
        </w:tc>
        <w:tc>
          <w:tcPr>
            <w:tcW w:w="7560" w:type="dxa"/>
          </w:tcPr>
          <w:p w14:paraId="3FE817B8" w14:textId="77777777" w:rsidR="00CF45D6" w:rsidRPr="00463667" w:rsidRDefault="00CF45D6" w:rsidP="00CF45D6">
            <w:pPr>
              <w:pStyle w:val="Body"/>
              <w:spacing w:before="160"/>
            </w:pPr>
            <w:r w:rsidRPr="00463667">
              <w:t>Coronary artery disease diagnostic tests using EBCT and nuclear imaging stress tests (</w:t>
            </w:r>
            <w:r w:rsidRPr="00CF45D6">
              <w:rPr>
                <w:u w:val="single"/>
              </w:rPr>
              <w:t>CAD Tests Value Set</w:t>
            </w:r>
            <w:r w:rsidRPr="00463667">
              <w:t>). Report the number of CAD diagnostic tests using EBCT and nuclear imaging stress tests.</w:t>
            </w:r>
          </w:p>
        </w:tc>
      </w:tr>
    </w:tbl>
    <w:p w14:paraId="1EADD25F" w14:textId="77777777" w:rsidR="00BF3DF9" w:rsidRPr="00463667" w:rsidRDefault="00BF3DF9" w:rsidP="00BF3DF9">
      <w:pPr>
        <w:pStyle w:val="Heading3"/>
        <w:spacing w:before="0"/>
        <w:sectPr w:rsidR="00BF3DF9" w:rsidRPr="00463667" w:rsidSect="00C56CA6">
          <w:headerReference w:type="default" r:id="rId46"/>
          <w:pgSz w:w="12240" w:h="15840" w:code="1"/>
          <w:pgMar w:top="1080" w:right="1080" w:bottom="1080" w:left="1440" w:header="720" w:footer="720" w:gutter="0"/>
          <w:cols w:space="720"/>
        </w:sectPr>
      </w:pPr>
    </w:p>
    <w:p w14:paraId="4D5394F8" w14:textId="77777777" w:rsidR="00BF3DF9" w:rsidRPr="00463667" w:rsidRDefault="00BF3DF9" w:rsidP="00CF45D6">
      <w:pPr>
        <w:pStyle w:val="StdHead"/>
        <w:spacing w:before="0"/>
      </w:pPr>
      <w:r w:rsidRPr="00463667">
        <w:lastRenderedPageBreak/>
        <w:t>Data Elements for Reporting</w:t>
      </w:r>
    </w:p>
    <w:p w14:paraId="1A86D772" w14:textId="21B277E2" w:rsidR="00BF3DF9" w:rsidRPr="00463667" w:rsidRDefault="00740D50" w:rsidP="00752BC5">
      <w:pPr>
        <w:pStyle w:val="TableHeadNotCondensed"/>
        <w:ind w:left="1980" w:hanging="1980"/>
      </w:pPr>
      <w:r>
        <w:t>Table RDI-A-1/2/3:</w:t>
      </w:r>
      <w:r>
        <w:tab/>
      </w:r>
      <w:r w:rsidR="00BF3DF9" w:rsidRPr="00463667">
        <w:t xml:space="preserve">Data Elements for Relative Resource Use for People </w:t>
      </w:r>
      <w:r>
        <w:br/>
      </w:r>
      <w:r w:rsidR="00BF3DF9" w:rsidRPr="00463667">
        <w:t>With Diabetes</w:t>
      </w:r>
    </w:p>
    <w:tbl>
      <w:tblPr>
        <w:tblW w:w="8370" w:type="dxa"/>
        <w:tblInd w:w="-10" w:type="dxa"/>
        <w:tblCellMar>
          <w:left w:w="0" w:type="dxa"/>
          <w:right w:w="0" w:type="dxa"/>
        </w:tblCellMar>
        <w:tblLook w:val="04A0" w:firstRow="1" w:lastRow="0" w:firstColumn="1" w:lastColumn="0" w:noHBand="0" w:noVBand="1"/>
      </w:tblPr>
      <w:tblGrid>
        <w:gridCol w:w="3250"/>
        <w:gridCol w:w="5120"/>
      </w:tblGrid>
      <w:tr w:rsidR="00BF3DF9" w:rsidRPr="00463667" w14:paraId="4FB3B53D" w14:textId="77777777" w:rsidTr="00974E25">
        <w:trPr>
          <w:trHeight w:val="300"/>
        </w:trPr>
        <w:tc>
          <w:tcPr>
            <w:tcW w:w="3250" w:type="dxa"/>
            <w:tcBorders>
              <w:top w:val="single" w:sz="8" w:space="0" w:color="auto"/>
              <w:left w:val="single" w:sz="8" w:space="0" w:color="auto"/>
              <w:bottom w:val="single" w:sz="4" w:space="0" w:color="auto"/>
              <w:right w:val="single" w:sz="6" w:space="0" w:color="FFFFFF"/>
            </w:tcBorders>
            <w:shd w:val="clear" w:color="auto" w:fill="000000"/>
            <w:noWrap/>
            <w:tcMar>
              <w:top w:w="0" w:type="dxa"/>
              <w:left w:w="108" w:type="dxa"/>
              <w:bottom w:w="0" w:type="dxa"/>
              <w:right w:w="108" w:type="dxa"/>
            </w:tcMar>
            <w:vAlign w:val="bottom"/>
            <w:hideMark/>
          </w:tcPr>
          <w:p w14:paraId="4203F2BA" w14:textId="77777777" w:rsidR="00BF3DF9" w:rsidRPr="00463667" w:rsidRDefault="00BF3DF9" w:rsidP="00C56CA6">
            <w:pPr>
              <w:spacing w:before="40" w:after="40" w:line="200" w:lineRule="exact"/>
              <w:jc w:val="center"/>
              <w:rPr>
                <w:rFonts w:ascii="Arial Narrow" w:hAnsi="Arial Narrow"/>
                <w:b/>
                <w:bCs/>
                <w:sz w:val="19"/>
                <w:szCs w:val="19"/>
              </w:rPr>
            </w:pPr>
            <w:r w:rsidRPr="00463667">
              <w:rPr>
                <w:rFonts w:ascii="Arial Narrow" w:hAnsi="Arial Narrow"/>
                <w:b/>
                <w:bCs/>
                <w:sz w:val="19"/>
                <w:szCs w:val="19"/>
              </w:rPr>
              <w:t>Metadata ID</w:t>
            </w:r>
          </w:p>
        </w:tc>
        <w:tc>
          <w:tcPr>
            <w:tcW w:w="5120" w:type="dxa"/>
            <w:tcBorders>
              <w:top w:val="single" w:sz="8" w:space="0" w:color="auto"/>
              <w:left w:val="single" w:sz="6" w:space="0" w:color="FFFFFF"/>
              <w:bottom w:val="single" w:sz="4" w:space="0" w:color="auto"/>
              <w:right w:val="single" w:sz="8" w:space="0" w:color="auto"/>
            </w:tcBorders>
            <w:shd w:val="clear" w:color="auto" w:fill="000000"/>
            <w:noWrap/>
            <w:tcMar>
              <w:top w:w="0" w:type="dxa"/>
              <w:left w:w="108" w:type="dxa"/>
              <w:bottom w:w="0" w:type="dxa"/>
              <w:right w:w="108" w:type="dxa"/>
            </w:tcMar>
            <w:vAlign w:val="bottom"/>
            <w:hideMark/>
          </w:tcPr>
          <w:p w14:paraId="2C8399E5" w14:textId="77777777" w:rsidR="00BF3DF9" w:rsidRPr="00463667" w:rsidRDefault="00BF3DF9" w:rsidP="00C56CA6">
            <w:pPr>
              <w:spacing w:before="40" w:after="40" w:line="200" w:lineRule="exact"/>
              <w:jc w:val="center"/>
              <w:rPr>
                <w:rFonts w:ascii="Arial Narrow" w:hAnsi="Arial Narrow"/>
                <w:b/>
                <w:bCs/>
                <w:sz w:val="19"/>
                <w:szCs w:val="19"/>
              </w:rPr>
            </w:pPr>
            <w:r w:rsidRPr="00463667">
              <w:rPr>
                <w:rFonts w:ascii="Arial Narrow" w:hAnsi="Arial Narrow"/>
                <w:b/>
                <w:bCs/>
                <w:sz w:val="19"/>
                <w:szCs w:val="19"/>
              </w:rPr>
              <w:t>Metadata Specification Name</w:t>
            </w:r>
          </w:p>
        </w:tc>
      </w:tr>
      <w:tr w:rsidR="00BF3DF9" w:rsidRPr="00463667" w14:paraId="1E611E8F" w14:textId="77777777" w:rsidTr="00974E25">
        <w:tc>
          <w:tcPr>
            <w:tcW w:w="32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3C3CD734" w14:textId="77777777" w:rsidR="00BF3DF9" w:rsidRPr="00463667" w:rsidRDefault="00BF3DF9" w:rsidP="00C56CA6">
            <w:pPr>
              <w:pStyle w:val="TableText"/>
            </w:pPr>
            <w:r w:rsidRPr="00463667">
              <w:t>EligiblePopulation</w:t>
            </w:r>
          </w:p>
        </w:tc>
        <w:tc>
          <w:tcPr>
            <w:tcW w:w="512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0518AAE7" w14:textId="77777777" w:rsidR="00BF3DF9" w:rsidRPr="00463667" w:rsidRDefault="00BF3DF9" w:rsidP="00C56CA6">
            <w:pPr>
              <w:pStyle w:val="TableText"/>
            </w:pPr>
            <w:r w:rsidRPr="00463667">
              <w:t>Eligible Population</w:t>
            </w:r>
          </w:p>
        </w:tc>
      </w:tr>
      <w:tr w:rsidR="00BF3DF9" w:rsidRPr="00463667" w14:paraId="68E332C8" w14:textId="77777777" w:rsidTr="00974E25">
        <w:tc>
          <w:tcPr>
            <w:tcW w:w="3250"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0EDE2819" w14:textId="77777777" w:rsidR="00BF3DF9" w:rsidRPr="00463667" w:rsidRDefault="00BF3DF9" w:rsidP="00C56CA6">
            <w:pPr>
              <w:pStyle w:val="TableText"/>
            </w:pPr>
            <w:r w:rsidRPr="00463667">
              <w:t>Exclusions</w:t>
            </w:r>
          </w:p>
        </w:tc>
        <w:tc>
          <w:tcPr>
            <w:tcW w:w="5120"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7BB4F9E1" w14:textId="77777777" w:rsidR="00BF3DF9" w:rsidRPr="00463667" w:rsidRDefault="00BF3DF9" w:rsidP="00C56CA6">
            <w:pPr>
              <w:pStyle w:val="TableText"/>
            </w:pPr>
            <w:r w:rsidRPr="00463667">
              <w:t>Exclusions</w:t>
            </w:r>
          </w:p>
        </w:tc>
      </w:tr>
      <w:tr w:rsidR="00BF3DF9" w:rsidRPr="00463667" w14:paraId="23E33E04" w14:textId="77777777" w:rsidTr="00974E25">
        <w:tc>
          <w:tcPr>
            <w:tcW w:w="32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6F202135" w14:textId="77777777" w:rsidR="00BF3DF9" w:rsidRPr="00463667" w:rsidRDefault="00BF3DF9" w:rsidP="00C56CA6">
            <w:pPr>
              <w:pStyle w:val="TableText"/>
            </w:pPr>
            <w:r w:rsidRPr="00463667">
              <w:t>NameBrandOnlyCount</w:t>
            </w:r>
          </w:p>
        </w:tc>
        <w:tc>
          <w:tcPr>
            <w:tcW w:w="512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3EA6E670" w14:textId="77777777" w:rsidR="00BF3DF9" w:rsidRPr="00463667" w:rsidRDefault="00BF3DF9" w:rsidP="00C56CA6">
            <w:pPr>
              <w:pStyle w:val="TableText"/>
            </w:pPr>
            <w:r w:rsidRPr="00463667">
              <w:t>Pharmacy: Name Brand only (N1)</w:t>
            </w:r>
          </w:p>
        </w:tc>
      </w:tr>
      <w:tr w:rsidR="00BF3DF9" w:rsidRPr="00463667" w14:paraId="2C740ABD" w14:textId="77777777" w:rsidTr="00974E25">
        <w:tc>
          <w:tcPr>
            <w:tcW w:w="3250"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5FCEE56F" w14:textId="77777777" w:rsidR="00BF3DF9" w:rsidRPr="00463667" w:rsidRDefault="00BF3DF9" w:rsidP="00C56CA6">
            <w:pPr>
              <w:pStyle w:val="TableText"/>
            </w:pPr>
            <w:r w:rsidRPr="00463667">
              <w:t>NameBrandGenericExistsCount</w:t>
            </w:r>
          </w:p>
        </w:tc>
        <w:tc>
          <w:tcPr>
            <w:tcW w:w="5120"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1F44C631" w14:textId="77777777" w:rsidR="00BF3DF9" w:rsidRPr="00463667" w:rsidRDefault="00BF3DF9" w:rsidP="00C56CA6">
            <w:pPr>
              <w:pStyle w:val="TableText"/>
            </w:pPr>
            <w:r w:rsidRPr="00463667">
              <w:t>Pharmacy: Name Brand—Generic Exists (N2)</w:t>
            </w:r>
          </w:p>
        </w:tc>
      </w:tr>
      <w:tr w:rsidR="00BF3DF9" w:rsidRPr="00463667" w14:paraId="192A9162" w14:textId="77777777" w:rsidTr="00974E25">
        <w:tc>
          <w:tcPr>
            <w:tcW w:w="32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7ACCAC54" w14:textId="77777777" w:rsidR="00BF3DF9" w:rsidRPr="00463667" w:rsidRDefault="00BF3DF9" w:rsidP="00C56CA6">
            <w:pPr>
              <w:pStyle w:val="TableText"/>
            </w:pPr>
            <w:r w:rsidRPr="00463667">
              <w:t>GenericOnlyCount</w:t>
            </w:r>
          </w:p>
        </w:tc>
        <w:tc>
          <w:tcPr>
            <w:tcW w:w="512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18FC1126" w14:textId="77777777" w:rsidR="00BF3DF9" w:rsidRPr="00463667" w:rsidRDefault="00BF3DF9" w:rsidP="00C56CA6">
            <w:pPr>
              <w:pStyle w:val="TableText"/>
            </w:pPr>
            <w:r w:rsidRPr="00463667">
              <w:t>Pharmacy: Generic Only (G1)</w:t>
            </w:r>
          </w:p>
        </w:tc>
      </w:tr>
      <w:tr w:rsidR="00BF3DF9" w:rsidRPr="00463667" w14:paraId="600E9492" w14:textId="77777777" w:rsidTr="00974E25">
        <w:tc>
          <w:tcPr>
            <w:tcW w:w="3250" w:type="dxa"/>
            <w:tcBorders>
              <w:top w:val="single" w:sz="4" w:space="0" w:color="auto"/>
              <w:left w:val="single" w:sz="4"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14:paraId="11182762" w14:textId="77777777" w:rsidR="00BF3DF9" w:rsidRPr="00463667" w:rsidRDefault="00BF3DF9" w:rsidP="00C56CA6">
            <w:pPr>
              <w:pStyle w:val="TableText"/>
            </w:pPr>
            <w:r w:rsidRPr="00463667">
              <w:t>GenericNameBrandExistsCount</w:t>
            </w:r>
          </w:p>
        </w:tc>
        <w:tc>
          <w:tcPr>
            <w:tcW w:w="5120" w:type="dxa"/>
            <w:tcBorders>
              <w:top w:val="single" w:sz="4" w:space="0" w:color="auto"/>
              <w:left w:val="nil"/>
              <w:bottom w:val="single" w:sz="4" w:space="0" w:color="auto"/>
              <w:right w:val="single" w:sz="8" w:space="0" w:color="auto"/>
            </w:tcBorders>
            <w:shd w:val="clear" w:color="auto" w:fill="D9D9D9"/>
            <w:noWrap/>
            <w:tcMar>
              <w:top w:w="0" w:type="dxa"/>
              <w:left w:w="108" w:type="dxa"/>
              <w:bottom w:w="0" w:type="dxa"/>
              <w:right w:w="108" w:type="dxa"/>
            </w:tcMar>
            <w:vAlign w:val="bottom"/>
            <w:hideMark/>
          </w:tcPr>
          <w:p w14:paraId="66AB98B7" w14:textId="77777777" w:rsidR="00BF3DF9" w:rsidRPr="00463667" w:rsidRDefault="00BF3DF9" w:rsidP="00C56CA6">
            <w:pPr>
              <w:pStyle w:val="TableText"/>
            </w:pPr>
            <w:r w:rsidRPr="00463667">
              <w:t>Pharmacy: Generic—Name Brand Exists (G2)</w:t>
            </w:r>
          </w:p>
        </w:tc>
      </w:tr>
    </w:tbl>
    <w:p w14:paraId="2A669B0E" w14:textId="3CF8CB49" w:rsidR="00BF3DF9" w:rsidRPr="00463667" w:rsidRDefault="00740D50" w:rsidP="00752BC5">
      <w:pPr>
        <w:pStyle w:val="TableHeadNotCondensed"/>
        <w:ind w:left="1980" w:hanging="1980"/>
      </w:pPr>
      <w:r>
        <w:t>Table RDI-B-1/2/3:</w:t>
      </w:r>
      <w:r>
        <w:tab/>
      </w:r>
      <w:r w:rsidR="00BF3DF9" w:rsidRPr="00463667">
        <w:t xml:space="preserve">Data Elements for Relative Resource Use for People </w:t>
      </w:r>
      <w:r>
        <w:br/>
      </w:r>
      <w:r w:rsidR="00BF3DF9" w:rsidRPr="00463667">
        <w:t>With Diabetes</w:t>
      </w:r>
    </w:p>
    <w:tbl>
      <w:tblPr>
        <w:tblW w:w="43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
        <w:gridCol w:w="791"/>
        <w:gridCol w:w="872"/>
        <w:gridCol w:w="878"/>
        <w:gridCol w:w="4829"/>
      </w:tblGrid>
      <w:tr w:rsidR="00BF3DF9" w:rsidRPr="00463667" w14:paraId="144B764C" w14:textId="77777777" w:rsidTr="00974E25">
        <w:trPr>
          <w:cantSplit/>
        </w:trPr>
        <w:tc>
          <w:tcPr>
            <w:tcW w:w="594" w:type="pct"/>
            <w:tcBorders>
              <w:right w:val="single" w:sz="6" w:space="0" w:color="FFFFFF"/>
            </w:tcBorders>
            <w:shd w:val="clear" w:color="auto" w:fill="000000"/>
            <w:vAlign w:val="bottom"/>
          </w:tcPr>
          <w:p w14:paraId="3D571EC9" w14:textId="77777777" w:rsidR="00BF3DF9" w:rsidRPr="00463667" w:rsidRDefault="00BF3DF9" w:rsidP="00C56CA6">
            <w:pPr>
              <w:pStyle w:val="TableHead"/>
              <w:rPr>
                <w:color w:val="auto"/>
              </w:rPr>
            </w:pPr>
            <w:r w:rsidRPr="00463667">
              <w:rPr>
                <w:color w:val="auto"/>
              </w:rPr>
              <w:t>Gender</w:t>
            </w:r>
          </w:p>
        </w:tc>
        <w:tc>
          <w:tcPr>
            <w:tcW w:w="473" w:type="pct"/>
            <w:tcBorders>
              <w:left w:val="single" w:sz="6" w:space="0" w:color="FFFFFF"/>
              <w:right w:val="single" w:sz="6" w:space="0" w:color="FFFFFF"/>
            </w:tcBorders>
            <w:shd w:val="clear" w:color="auto" w:fill="000000"/>
            <w:vAlign w:val="bottom"/>
          </w:tcPr>
          <w:p w14:paraId="5244CF6C" w14:textId="77777777" w:rsidR="00BF3DF9" w:rsidRPr="00463667" w:rsidRDefault="00BF3DF9" w:rsidP="00C56CA6">
            <w:pPr>
              <w:pStyle w:val="TableHead"/>
              <w:rPr>
                <w:color w:val="auto"/>
              </w:rPr>
            </w:pPr>
            <w:r w:rsidRPr="00463667">
              <w:rPr>
                <w:color w:val="auto"/>
              </w:rPr>
              <w:t>Age</w:t>
            </w:r>
          </w:p>
        </w:tc>
        <w:tc>
          <w:tcPr>
            <w:tcW w:w="521" w:type="pct"/>
            <w:tcBorders>
              <w:left w:val="single" w:sz="6" w:space="0" w:color="FFFFFF"/>
              <w:right w:val="single" w:sz="6" w:space="0" w:color="FFFFFF"/>
            </w:tcBorders>
            <w:shd w:val="clear" w:color="auto" w:fill="000000"/>
            <w:vAlign w:val="bottom"/>
          </w:tcPr>
          <w:p w14:paraId="34D64A3C" w14:textId="77777777" w:rsidR="00BF3DF9" w:rsidRPr="00463667" w:rsidRDefault="00BF3DF9" w:rsidP="00C56CA6">
            <w:pPr>
              <w:pStyle w:val="TableHead"/>
              <w:rPr>
                <w:color w:val="auto"/>
              </w:rPr>
            </w:pPr>
            <w:r w:rsidRPr="00463667">
              <w:rPr>
                <w:color w:val="auto"/>
              </w:rPr>
              <w:t>Risk Group</w:t>
            </w:r>
          </w:p>
        </w:tc>
        <w:tc>
          <w:tcPr>
            <w:tcW w:w="525" w:type="pct"/>
            <w:tcBorders>
              <w:left w:val="single" w:sz="6" w:space="0" w:color="FFFFFF"/>
              <w:right w:val="single" w:sz="6" w:space="0" w:color="FFFFFF"/>
            </w:tcBorders>
            <w:shd w:val="clear" w:color="auto" w:fill="000000"/>
            <w:vAlign w:val="bottom"/>
          </w:tcPr>
          <w:p w14:paraId="1BEABE22" w14:textId="77777777" w:rsidR="00BF3DF9" w:rsidRPr="00463667" w:rsidRDefault="00BF3DF9" w:rsidP="00C56CA6">
            <w:pPr>
              <w:pStyle w:val="TableHead"/>
              <w:rPr>
                <w:color w:val="auto"/>
              </w:rPr>
            </w:pPr>
            <w:r w:rsidRPr="00463667">
              <w:rPr>
                <w:color w:val="auto"/>
              </w:rPr>
              <w:t>Type</w:t>
            </w:r>
          </w:p>
        </w:tc>
        <w:tc>
          <w:tcPr>
            <w:tcW w:w="2888" w:type="pct"/>
            <w:tcBorders>
              <w:left w:val="single" w:sz="6" w:space="0" w:color="FFFFFF"/>
            </w:tcBorders>
            <w:shd w:val="clear" w:color="auto" w:fill="000000"/>
            <w:vAlign w:val="bottom"/>
          </w:tcPr>
          <w:p w14:paraId="178CEC21" w14:textId="77777777" w:rsidR="00BF3DF9" w:rsidRPr="00463667" w:rsidRDefault="00BF3DF9" w:rsidP="00C56CA6">
            <w:pPr>
              <w:pStyle w:val="TableHead"/>
              <w:rPr>
                <w:color w:val="auto"/>
              </w:rPr>
            </w:pPr>
            <w:r w:rsidRPr="00463667">
              <w:rPr>
                <w:color w:val="auto"/>
              </w:rPr>
              <w:t>Metric Specification Name</w:t>
            </w:r>
          </w:p>
        </w:tc>
      </w:tr>
      <w:tr w:rsidR="00BF3DF9" w:rsidRPr="00463667" w14:paraId="05BBE7CF" w14:textId="77777777" w:rsidTr="00974E25">
        <w:trPr>
          <w:cantSplit/>
        </w:trPr>
        <w:tc>
          <w:tcPr>
            <w:tcW w:w="594" w:type="pct"/>
            <w:vAlign w:val="center"/>
          </w:tcPr>
          <w:p w14:paraId="2E05FFF3" w14:textId="77777777" w:rsidR="00BF3DF9" w:rsidRPr="00463667" w:rsidRDefault="00BF3DF9" w:rsidP="00C56CA6">
            <w:pPr>
              <w:pStyle w:val="TableText"/>
            </w:pPr>
            <w:r w:rsidRPr="00463667">
              <w:t>Male</w:t>
            </w:r>
          </w:p>
        </w:tc>
        <w:tc>
          <w:tcPr>
            <w:tcW w:w="473" w:type="pct"/>
            <w:vAlign w:val="center"/>
          </w:tcPr>
          <w:p w14:paraId="3738EBEA" w14:textId="77777777" w:rsidR="00BF3DF9" w:rsidRPr="00463667" w:rsidRDefault="00BF3DF9" w:rsidP="00C56CA6">
            <w:pPr>
              <w:pStyle w:val="TableText"/>
            </w:pPr>
            <w:r w:rsidRPr="00463667">
              <w:t>18-44</w:t>
            </w:r>
          </w:p>
        </w:tc>
        <w:tc>
          <w:tcPr>
            <w:tcW w:w="521" w:type="pct"/>
            <w:vAlign w:val="center"/>
          </w:tcPr>
          <w:p w14:paraId="1DBF334C" w14:textId="77777777" w:rsidR="00BF3DF9" w:rsidRPr="00463667" w:rsidRDefault="00BF3DF9" w:rsidP="00C56CA6">
            <w:pPr>
              <w:pStyle w:val="TableText"/>
              <w:ind w:left="317"/>
            </w:pPr>
            <w:r w:rsidRPr="00463667">
              <w:t>1</w:t>
            </w:r>
          </w:p>
        </w:tc>
        <w:tc>
          <w:tcPr>
            <w:tcW w:w="525" w:type="pct"/>
            <w:vAlign w:val="center"/>
          </w:tcPr>
          <w:p w14:paraId="4B1FA26E" w14:textId="77777777" w:rsidR="00BF3DF9" w:rsidRPr="00463667" w:rsidRDefault="00BF3DF9" w:rsidP="00C56CA6">
            <w:pPr>
              <w:pStyle w:val="TableText"/>
            </w:pPr>
            <w:r w:rsidRPr="00463667">
              <w:t>Cost</w:t>
            </w:r>
          </w:p>
        </w:tc>
        <w:tc>
          <w:tcPr>
            <w:tcW w:w="2888" w:type="pct"/>
            <w:vAlign w:val="center"/>
          </w:tcPr>
          <w:p w14:paraId="17A73C2A" w14:textId="77777777" w:rsidR="00BF3DF9" w:rsidRPr="00463667" w:rsidRDefault="00BF3DF9" w:rsidP="00C56CA6">
            <w:pPr>
              <w:pStyle w:val="TableText"/>
            </w:pPr>
            <w:r w:rsidRPr="00463667">
              <w:t>Inpatient Facility</w:t>
            </w:r>
          </w:p>
        </w:tc>
      </w:tr>
      <w:tr w:rsidR="00BF3DF9" w:rsidRPr="00463667" w14:paraId="7F01D088" w14:textId="77777777" w:rsidTr="00974E25">
        <w:trPr>
          <w:cantSplit/>
        </w:trPr>
        <w:tc>
          <w:tcPr>
            <w:tcW w:w="594" w:type="pct"/>
            <w:vAlign w:val="center"/>
          </w:tcPr>
          <w:p w14:paraId="14B8ADCB" w14:textId="77777777" w:rsidR="00BF3DF9" w:rsidRPr="00463667" w:rsidRDefault="00BF3DF9" w:rsidP="00C56CA6">
            <w:pPr>
              <w:pStyle w:val="TableText"/>
            </w:pPr>
            <w:r w:rsidRPr="00463667">
              <w:t>Female</w:t>
            </w:r>
          </w:p>
        </w:tc>
        <w:tc>
          <w:tcPr>
            <w:tcW w:w="473" w:type="pct"/>
            <w:vAlign w:val="center"/>
          </w:tcPr>
          <w:p w14:paraId="0BF00410" w14:textId="77777777" w:rsidR="00BF3DF9" w:rsidRPr="00463667" w:rsidRDefault="00BF3DF9" w:rsidP="00C56CA6">
            <w:pPr>
              <w:pStyle w:val="TableText"/>
            </w:pPr>
            <w:r w:rsidRPr="00463667">
              <w:t>45-54</w:t>
            </w:r>
          </w:p>
        </w:tc>
        <w:tc>
          <w:tcPr>
            <w:tcW w:w="521" w:type="pct"/>
            <w:vAlign w:val="center"/>
          </w:tcPr>
          <w:p w14:paraId="11D89FF3" w14:textId="77777777" w:rsidR="00BF3DF9" w:rsidRPr="00463667" w:rsidRDefault="00BF3DF9" w:rsidP="00C56CA6">
            <w:pPr>
              <w:pStyle w:val="TableText"/>
              <w:ind w:left="317"/>
            </w:pPr>
            <w:r w:rsidRPr="00463667">
              <w:t>2</w:t>
            </w:r>
          </w:p>
        </w:tc>
        <w:tc>
          <w:tcPr>
            <w:tcW w:w="525" w:type="pct"/>
            <w:vAlign w:val="center"/>
          </w:tcPr>
          <w:p w14:paraId="3E7CE15A" w14:textId="77777777" w:rsidR="00BF3DF9" w:rsidRPr="00463667" w:rsidRDefault="00BF3DF9" w:rsidP="00C56CA6">
            <w:pPr>
              <w:pStyle w:val="TableText"/>
            </w:pPr>
            <w:r w:rsidRPr="00463667">
              <w:t>Cost</w:t>
            </w:r>
          </w:p>
        </w:tc>
        <w:tc>
          <w:tcPr>
            <w:tcW w:w="2888" w:type="pct"/>
            <w:vAlign w:val="center"/>
          </w:tcPr>
          <w:p w14:paraId="57DE1CC0" w14:textId="77777777" w:rsidR="00BF3DF9" w:rsidRPr="00463667" w:rsidRDefault="00BF3DF9" w:rsidP="00C56CA6">
            <w:pPr>
              <w:pStyle w:val="TableText"/>
            </w:pPr>
            <w:r w:rsidRPr="00463667">
              <w:t>E&amp;M Inpatient Services</w:t>
            </w:r>
          </w:p>
        </w:tc>
      </w:tr>
      <w:tr w:rsidR="00BF3DF9" w:rsidRPr="00463667" w14:paraId="5D3A040E" w14:textId="77777777" w:rsidTr="00974E25">
        <w:trPr>
          <w:cantSplit/>
        </w:trPr>
        <w:tc>
          <w:tcPr>
            <w:tcW w:w="594" w:type="pct"/>
            <w:tcBorders>
              <w:left w:val="nil"/>
              <w:bottom w:val="nil"/>
            </w:tcBorders>
            <w:vAlign w:val="center"/>
          </w:tcPr>
          <w:p w14:paraId="03A9E8FF" w14:textId="77777777" w:rsidR="00BF3DF9" w:rsidRPr="00463667" w:rsidRDefault="00BF3DF9" w:rsidP="00C56CA6">
            <w:pPr>
              <w:pStyle w:val="TableText"/>
            </w:pPr>
          </w:p>
        </w:tc>
        <w:tc>
          <w:tcPr>
            <w:tcW w:w="473" w:type="pct"/>
            <w:vAlign w:val="center"/>
          </w:tcPr>
          <w:p w14:paraId="285C2E38" w14:textId="77777777" w:rsidR="00BF3DF9" w:rsidRPr="00463667" w:rsidRDefault="00BF3DF9" w:rsidP="00C56CA6">
            <w:pPr>
              <w:pStyle w:val="TableText"/>
            </w:pPr>
            <w:r w:rsidRPr="00463667">
              <w:t>55-64</w:t>
            </w:r>
          </w:p>
        </w:tc>
        <w:tc>
          <w:tcPr>
            <w:tcW w:w="521" w:type="pct"/>
            <w:vAlign w:val="center"/>
          </w:tcPr>
          <w:p w14:paraId="7365DAEE" w14:textId="77777777" w:rsidR="00BF3DF9" w:rsidRPr="00463667" w:rsidRDefault="00BF3DF9" w:rsidP="00C56CA6">
            <w:pPr>
              <w:pStyle w:val="TableText"/>
              <w:ind w:left="317"/>
            </w:pPr>
            <w:r w:rsidRPr="00463667">
              <w:t>3</w:t>
            </w:r>
          </w:p>
        </w:tc>
        <w:tc>
          <w:tcPr>
            <w:tcW w:w="525" w:type="pct"/>
            <w:vAlign w:val="center"/>
          </w:tcPr>
          <w:p w14:paraId="258CCC55" w14:textId="77777777" w:rsidR="00BF3DF9" w:rsidRPr="00463667" w:rsidRDefault="00BF3DF9" w:rsidP="00C56CA6">
            <w:pPr>
              <w:pStyle w:val="TableText"/>
            </w:pPr>
            <w:r w:rsidRPr="00463667">
              <w:t>Cost</w:t>
            </w:r>
          </w:p>
        </w:tc>
        <w:tc>
          <w:tcPr>
            <w:tcW w:w="2888" w:type="pct"/>
            <w:vAlign w:val="center"/>
          </w:tcPr>
          <w:p w14:paraId="258793B3" w14:textId="77777777" w:rsidR="00BF3DF9" w:rsidRPr="00463667" w:rsidRDefault="00BF3DF9" w:rsidP="00C56CA6">
            <w:pPr>
              <w:pStyle w:val="TableText"/>
            </w:pPr>
            <w:r w:rsidRPr="00463667">
              <w:t>E&amp;M Outpatient Services</w:t>
            </w:r>
          </w:p>
        </w:tc>
      </w:tr>
      <w:tr w:rsidR="00BF3DF9" w:rsidRPr="00463667" w14:paraId="3EDEF856" w14:textId="77777777" w:rsidTr="00974E25">
        <w:trPr>
          <w:cantSplit/>
        </w:trPr>
        <w:tc>
          <w:tcPr>
            <w:tcW w:w="594" w:type="pct"/>
            <w:tcBorders>
              <w:top w:val="nil"/>
              <w:left w:val="nil"/>
              <w:bottom w:val="nil"/>
              <w:right w:val="nil"/>
            </w:tcBorders>
            <w:vAlign w:val="center"/>
          </w:tcPr>
          <w:p w14:paraId="15BA789C" w14:textId="77777777" w:rsidR="00BF3DF9" w:rsidRPr="00463667" w:rsidRDefault="00BF3DF9" w:rsidP="00C56CA6">
            <w:pPr>
              <w:pStyle w:val="TableText"/>
            </w:pPr>
          </w:p>
        </w:tc>
        <w:tc>
          <w:tcPr>
            <w:tcW w:w="473" w:type="pct"/>
            <w:tcBorders>
              <w:bottom w:val="single" w:sz="4" w:space="0" w:color="auto"/>
            </w:tcBorders>
            <w:vAlign w:val="center"/>
          </w:tcPr>
          <w:p w14:paraId="2DB1C540" w14:textId="77777777" w:rsidR="00BF3DF9" w:rsidRPr="00463667" w:rsidRDefault="00BF3DF9" w:rsidP="00C56CA6">
            <w:pPr>
              <w:pStyle w:val="TableText"/>
            </w:pPr>
            <w:r w:rsidRPr="00463667">
              <w:t>65-75</w:t>
            </w:r>
          </w:p>
        </w:tc>
        <w:tc>
          <w:tcPr>
            <w:tcW w:w="521" w:type="pct"/>
            <w:vAlign w:val="center"/>
          </w:tcPr>
          <w:p w14:paraId="17E8F428" w14:textId="77777777" w:rsidR="00BF3DF9" w:rsidRPr="00463667" w:rsidRDefault="00BF3DF9" w:rsidP="00C56CA6">
            <w:pPr>
              <w:pStyle w:val="TableText"/>
              <w:ind w:left="317"/>
            </w:pPr>
            <w:r w:rsidRPr="00463667">
              <w:t>4</w:t>
            </w:r>
          </w:p>
        </w:tc>
        <w:tc>
          <w:tcPr>
            <w:tcW w:w="525" w:type="pct"/>
            <w:vAlign w:val="center"/>
          </w:tcPr>
          <w:p w14:paraId="5EEB5615" w14:textId="77777777" w:rsidR="00BF3DF9" w:rsidRPr="00463667" w:rsidRDefault="00BF3DF9" w:rsidP="00C56CA6">
            <w:pPr>
              <w:pStyle w:val="TableText"/>
            </w:pPr>
            <w:r w:rsidRPr="00463667">
              <w:t>Cost</w:t>
            </w:r>
          </w:p>
        </w:tc>
        <w:tc>
          <w:tcPr>
            <w:tcW w:w="2888" w:type="pct"/>
            <w:vAlign w:val="center"/>
          </w:tcPr>
          <w:p w14:paraId="05523C46" w14:textId="77777777" w:rsidR="00BF3DF9" w:rsidRPr="00463667" w:rsidRDefault="00BF3DF9" w:rsidP="00C56CA6">
            <w:pPr>
              <w:pStyle w:val="TableText"/>
            </w:pPr>
            <w:r w:rsidRPr="00463667">
              <w:t>Surgery &amp; Procedure Inpatient Services</w:t>
            </w:r>
          </w:p>
        </w:tc>
      </w:tr>
      <w:tr w:rsidR="00BF3DF9" w:rsidRPr="00463667" w14:paraId="6DAC717A" w14:textId="77777777" w:rsidTr="00974E25">
        <w:trPr>
          <w:cantSplit/>
        </w:trPr>
        <w:tc>
          <w:tcPr>
            <w:tcW w:w="594" w:type="pct"/>
            <w:tcBorders>
              <w:top w:val="nil"/>
              <w:left w:val="nil"/>
              <w:bottom w:val="nil"/>
              <w:right w:val="nil"/>
            </w:tcBorders>
            <w:vAlign w:val="center"/>
          </w:tcPr>
          <w:p w14:paraId="0AE9C9D8" w14:textId="77777777" w:rsidR="00BF3DF9" w:rsidRPr="00463667" w:rsidRDefault="00BF3DF9" w:rsidP="00C56CA6">
            <w:pPr>
              <w:pStyle w:val="TableText"/>
            </w:pPr>
          </w:p>
        </w:tc>
        <w:tc>
          <w:tcPr>
            <w:tcW w:w="473" w:type="pct"/>
            <w:tcBorders>
              <w:left w:val="nil"/>
              <w:bottom w:val="nil"/>
            </w:tcBorders>
            <w:vAlign w:val="center"/>
          </w:tcPr>
          <w:p w14:paraId="45F12BB3" w14:textId="77777777" w:rsidR="00BF3DF9" w:rsidRPr="00463667" w:rsidRDefault="00BF3DF9" w:rsidP="00C56CA6">
            <w:pPr>
              <w:pStyle w:val="TableText"/>
            </w:pPr>
          </w:p>
        </w:tc>
        <w:tc>
          <w:tcPr>
            <w:tcW w:w="521" w:type="pct"/>
            <w:vAlign w:val="center"/>
          </w:tcPr>
          <w:p w14:paraId="50264FC3" w14:textId="77777777" w:rsidR="00BF3DF9" w:rsidRPr="00463667" w:rsidRDefault="00BF3DF9" w:rsidP="00C56CA6">
            <w:pPr>
              <w:pStyle w:val="TableText"/>
              <w:ind w:left="317"/>
            </w:pPr>
            <w:r w:rsidRPr="00463667">
              <w:t>5</w:t>
            </w:r>
          </w:p>
        </w:tc>
        <w:tc>
          <w:tcPr>
            <w:tcW w:w="525" w:type="pct"/>
            <w:vAlign w:val="center"/>
          </w:tcPr>
          <w:p w14:paraId="68CECE98" w14:textId="77777777" w:rsidR="00BF3DF9" w:rsidRPr="00463667" w:rsidRDefault="00BF3DF9" w:rsidP="00C56CA6">
            <w:pPr>
              <w:pStyle w:val="TableText"/>
            </w:pPr>
            <w:r w:rsidRPr="00463667">
              <w:t>Cost</w:t>
            </w:r>
          </w:p>
        </w:tc>
        <w:tc>
          <w:tcPr>
            <w:tcW w:w="2888" w:type="pct"/>
            <w:vAlign w:val="center"/>
          </w:tcPr>
          <w:p w14:paraId="60D8867E" w14:textId="77777777" w:rsidR="00BF3DF9" w:rsidRPr="00463667" w:rsidRDefault="00BF3DF9" w:rsidP="00C56CA6">
            <w:pPr>
              <w:pStyle w:val="TableText"/>
            </w:pPr>
            <w:r w:rsidRPr="00463667">
              <w:t>Surgery &amp; Procedure Outpatient Services</w:t>
            </w:r>
          </w:p>
        </w:tc>
      </w:tr>
      <w:tr w:rsidR="00BF3DF9" w:rsidRPr="00463667" w14:paraId="74307008" w14:textId="77777777" w:rsidTr="00974E25">
        <w:trPr>
          <w:cantSplit/>
        </w:trPr>
        <w:tc>
          <w:tcPr>
            <w:tcW w:w="594" w:type="pct"/>
            <w:tcBorders>
              <w:top w:val="nil"/>
              <w:left w:val="nil"/>
              <w:bottom w:val="nil"/>
              <w:right w:val="nil"/>
            </w:tcBorders>
            <w:vAlign w:val="center"/>
          </w:tcPr>
          <w:p w14:paraId="0B8A5022" w14:textId="77777777" w:rsidR="00BF3DF9" w:rsidRPr="00463667" w:rsidRDefault="00BF3DF9" w:rsidP="00C56CA6">
            <w:pPr>
              <w:pStyle w:val="TableText"/>
            </w:pPr>
          </w:p>
        </w:tc>
        <w:tc>
          <w:tcPr>
            <w:tcW w:w="473" w:type="pct"/>
            <w:tcBorders>
              <w:top w:val="nil"/>
              <w:left w:val="nil"/>
              <w:bottom w:val="nil"/>
            </w:tcBorders>
            <w:vAlign w:val="center"/>
          </w:tcPr>
          <w:p w14:paraId="5430D0BD" w14:textId="77777777" w:rsidR="00BF3DF9" w:rsidRPr="00463667" w:rsidRDefault="00BF3DF9" w:rsidP="00C56CA6">
            <w:pPr>
              <w:pStyle w:val="TableText"/>
            </w:pPr>
          </w:p>
        </w:tc>
        <w:tc>
          <w:tcPr>
            <w:tcW w:w="521" w:type="pct"/>
            <w:vAlign w:val="center"/>
          </w:tcPr>
          <w:p w14:paraId="6FC4B8D3" w14:textId="77777777" w:rsidR="00BF3DF9" w:rsidRPr="00463667" w:rsidRDefault="00BF3DF9" w:rsidP="00C56CA6">
            <w:pPr>
              <w:pStyle w:val="TableText"/>
              <w:ind w:left="317"/>
            </w:pPr>
            <w:r w:rsidRPr="00463667">
              <w:t>6</w:t>
            </w:r>
          </w:p>
        </w:tc>
        <w:tc>
          <w:tcPr>
            <w:tcW w:w="525" w:type="pct"/>
            <w:vAlign w:val="center"/>
          </w:tcPr>
          <w:p w14:paraId="68F37282" w14:textId="77777777" w:rsidR="00BF3DF9" w:rsidRPr="00463667" w:rsidRDefault="00BF3DF9" w:rsidP="00C56CA6">
            <w:pPr>
              <w:pStyle w:val="TableText"/>
            </w:pPr>
            <w:r w:rsidRPr="00463667">
              <w:t>Cost</w:t>
            </w:r>
          </w:p>
        </w:tc>
        <w:tc>
          <w:tcPr>
            <w:tcW w:w="2888" w:type="pct"/>
            <w:vAlign w:val="center"/>
          </w:tcPr>
          <w:p w14:paraId="5E7CC8CE" w14:textId="77777777" w:rsidR="00BF3DF9" w:rsidRPr="00463667" w:rsidRDefault="00BF3DF9" w:rsidP="00C56CA6">
            <w:pPr>
              <w:pStyle w:val="TableText"/>
            </w:pPr>
            <w:r w:rsidRPr="00463667">
              <w:t>Imaging Services</w:t>
            </w:r>
          </w:p>
        </w:tc>
      </w:tr>
      <w:tr w:rsidR="00BF3DF9" w:rsidRPr="00463667" w14:paraId="1E72AE54" w14:textId="77777777" w:rsidTr="00974E25">
        <w:trPr>
          <w:cantSplit/>
        </w:trPr>
        <w:tc>
          <w:tcPr>
            <w:tcW w:w="594" w:type="pct"/>
            <w:tcBorders>
              <w:top w:val="nil"/>
              <w:left w:val="nil"/>
              <w:bottom w:val="nil"/>
              <w:right w:val="nil"/>
            </w:tcBorders>
            <w:vAlign w:val="center"/>
          </w:tcPr>
          <w:p w14:paraId="0146E403" w14:textId="77777777" w:rsidR="00BF3DF9" w:rsidRPr="00463667" w:rsidRDefault="00BF3DF9" w:rsidP="00C56CA6">
            <w:pPr>
              <w:pStyle w:val="TableText"/>
            </w:pPr>
          </w:p>
        </w:tc>
        <w:tc>
          <w:tcPr>
            <w:tcW w:w="473" w:type="pct"/>
            <w:tcBorders>
              <w:top w:val="nil"/>
              <w:left w:val="nil"/>
              <w:bottom w:val="nil"/>
            </w:tcBorders>
            <w:vAlign w:val="center"/>
          </w:tcPr>
          <w:p w14:paraId="17A5F95F" w14:textId="77777777" w:rsidR="00BF3DF9" w:rsidRPr="00463667" w:rsidRDefault="00BF3DF9" w:rsidP="00C56CA6">
            <w:pPr>
              <w:pStyle w:val="TableText"/>
            </w:pPr>
          </w:p>
        </w:tc>
        <w:tc>
          <w:tcPr>
            <w:tcW w:w="521" w:type="pct"/>
            <w:vAlign w:val="center"/>
          </w:tcPr>
          <w:p w14:paraId="555C606B" w14:textId="77777777" w:rsidR="00BF3DF9" w:rsidRPr="00463667" w:rsidRDefault="00BF3DF9" w:rsidP="00C56CA6">
            <w:pPr>
              <w:pStyle w:val="TableText"/>
              <w:ind w:left="317"/>
            </w:pPr>
            <w:r w:rsidRPr="00463667">
              <w:t>7</w:t>
            </w:r>
          </w:p>
        </w:tc>
        <w:tc>
          <w:tcPr>
            <w:tcW w:w="525" w:type="pct"/>
            <w:vAlign w:val="center"/>
          </w:tcPr>
          <w:p w14:paraId="53EBC2F9" w14:textId="77777777" w:rsidR="00BF3DF9" w:rsidRPr="00463667" w:rsidRDefault="00BF3DF9" w:rsidP="00C56CA6">
            <w:pPr>
              <w:pStyle w:val="TableText"/>
            </w:pPr>
            <w:r w:rsidRPr="00463667">
              <w:t>Cost</w:t>
            </w:r>
          </w:p>
        </w:tc>
        <w:tc>
          <w:tcPr>
            <w:tcW w:w="2888" w:type="pct"/>
            <w:vAlign w:val="center"/>
          </w:tcPr>
          <w:p w14:paraId="16A3A160" w14:textId="77777777" w:rsidR="00BF3DF9" w:rsidRPr="00463667" w:rsidRDefault="00BF3DF9" w:rsidP="00C56CA6">
            <w:pPr>
              <w:pStyle w:val="TableText"/>
            </w:pPr>
            <w:r w:rsidRPr="00463667">
              <w:t>Laboratory Services</w:t>
            </w:r>
          </w:p>
        </w:tc>
      </w:tr>
      <w:tr w:rsidR="00BF3DF9" w:rsidRPr="00463667" w14:paraId="17ACC3CB" w14:textId="77777777" w:rsidTr="00974E25">
        <w:trPr>
          <w:cantSplit/>
        </w:trPr>
        <w:tc>
          <w:tcPr>
            <w:tcW w:w="594" w:type="pct"/>
            <w:tcBorders>
              <w:top w:val="nil"/>
              <w:left w:val="nil"/>
              <w:bottom w:val="nil"/>
              <w:right w:val="nil"/>
            </w:tcBorders>
            <w:vAlign w:val="center"/>
          </w:tcPr>
          <w:p w14:paraId="309686D0" w14:textId="77777777" w:rsidR="00BF3DF9" w:rsidRPr="00463667" w:rsidRDefault="00BF3DF9" w:rsidP="00C56CA6">
            <w:pPr>
              <w:pStyle w:val="TableText"/>
            </w:pPr>
          </w:p>
        </w:tc>
        <w:tc>
          <w:tcPr>
            <w:tcW w:w="473" w:type="pct"/>
            <w:tcBorders>
              <w:top w:val="nil"/>
              <w:left w:val="nil"/>
              <w:bottom w:val="nil"/>
            </w:tcBorders>
            <w:vAlign w:val="center"/>
          </w:tcPr>
          <w:p w14:paraId="19BE992E" w14:textId="77777777" w:rsidR="00BF3DF9" w:rsidRPr="00463667" w:rsidRDefault="00BF3DF9" w:rsidP="00C56CA6">
            <w:pPr>
              <w:pStyle w:val="TableText"/>
            </w:pPr>
          </w:p>
        </w:tc>
        <w:tc>
          <w:tcPr>
            <w:tcW w:w="521" w:type="pct"/>
            <w:vAlign w:val="center"/>
          </w:tcPr>
          <w:p w14:paraId="4007355B" w14:textId="77777777" w:rsidR="00BF3DF9" w:rsidRPr="00463667" w:rsidRDefault="00BF3DF9" w:rsidP="00C56CA6">
            <w:pPr>
              <w:pStyle w:val="TableText"/>
              <w:ind w:left="317"/>
            </w:pPr>
            <w:r w:rsidRPr="00463667">
              <w:t>8</w:t>
            </w:r>
          </w:p>
        </w:tc>
        <w:tc>
          <w:tcPr>
            <w:tcW w:w="525" w:type="pct"/>
            <w:vAlign w:val="center"/>
          </w:tcPr>
          <w:p w14:paraId="6F96AE03" w14:textId="77777777" w:rsidR="00BF3DF9" w:rsidRPr="00463667" w:rsidRDefault="00BF3DF9" w:rsidP="00C56CA6">
            <w:pPr>
              <w:pStyle w:val="TableText"/>
            </w:pPr>
            <w:r w:rsidRPr="00463667">
              <w:t>Cost</w:t>
            </w:r>
          </w:p>
        </w:tc>
        <w:tc>
          <w:tcPr>
            <w:tcW w:w="2888" w:type="pct"/>
            <w:vAlign w:val="center"/>
          </w:tcPr>
          <w:p w14:paraId="029E8DA6" w14:textId="77777777" w:rsidR="00BF3DF9" w:rsidRPr="00463667" w:rsidRDefault="00BF3DF9" w:rsidP="00C56CA6">
            <w:pPr>
              <w:pStyle w:val="TableText"/>
            </w:pPr>
            <w:r w:rsidRPr="00463667">
              <w:t>Pharmacy</w:t>
            </w:r>
          </w:p>
        </w:tc>
      </w:tr>
      <w:tr w:rsidR="00BF3DF9" w:rsidRPr="00463667" w14:paraId="556F0549" w14:textId="77777777" w:rsidTr="00974E25">
        <w:trPr>
          <w:cantSplit/>
        </w:trPr>
        <w:tc>
          <w:tcPr>
            <w:tcW w:w="594" w:type="pct"/>
            <w:tcBorders>
              <w:top w:val="nil"/>
              <w:left w:val="nil"/>
              <w:bottom w:val="nil"/>
              <w:right w:val="nil"/>
            </w:tcBorders>
            <w:vAlign w:val="center"/>
          </w:tcPr>
          <w:p w14:paraId="59DFF5D9" w14:textId="77777777" w:rsidR="00BF3DF9" w:rsidRPr="00463667" w:rsidRDefault="00BF3DF9" w:rsidP="00C56CA6">
            <w:pPr>
              <w:pStyle w:val="TableText"/>
            </w:pPr>
          </w:p>
        </w:tc>
        <w:tc>
          <w:tcPr>
            <w:tcW w:w="473" w:type="pct"/>
            <w:tcBorders>
              <w:top w:val="nil"/>
              <w:left w:val="nil"/>
              <w:bottom w:val="nil"/>
            </w:tcBorders>
            <w:vAlign w:val="center"/>
          </w:tcPr>
          <w:p w14:paraId="7FE77206" w14:textId="77777777" w:rsidR="00BF3DF9" w:rsidRPr="00463667" w:rsidRDefault="00BF3DF9" w:rsidP="00C56CA6">
            <w:pPr>
              <w:pStyle w:val="TableText"/>
            </w:pPr>
          </w:p>
        </w:tc>
        <w:tc>
          <w:tcPr>
            <w:tcW w:w="521" w:type="pct"/>
            <w:vAlign w:val="center"/>
          </w:tcPr>
          <w:p w14:paraId="6D0E5B78" w14:textId="77777777" w:rsidR="00BF3DF9" w:rsidRPr="00463667" w:rsidRDefault="00BF3DF9" w:rsidP="00C56CA6">
            <w:pPr>
              <w:pStyle w:val="TableText"/>
              <w:ind w:left="317"/>
            </w:pPr>
            <w:r w:rsidRPr="00463667">
              <w:t>9</w:t>
            </w:r>
          </w:p>
        </w:tc>
        <w:tc>
          <w:tcPr>
            <w:tcW w:w="525" w:type="pct"/>
            <w:vAlign w:val="center"/>
          </w:tcPr>
          <w:p w14:paraId="5AD7FE35" w14:textId="77777777" w:rsidR="00BF3DF9" w:rsidRPr="00463667" w:rsidRDefault="00BF3DF9" w:rsidP="00C56CA6">
            <w:pPr>
              <w:pStyle w:val="TableText"/>
            </w:pPr>
            <w:r w:rsidRPr="00463667">
              <w:t>Count</w:t>
            </w:r>
          </w:p>
        </w:tc>
        <w:tc>
          <w:tcPr>
            <w:tcW w:w="2888" w:type="pct"/>
            <w:vAlign w:val="center"/>
          </w:tcPr>
          <w:p w14:paraId="2B401B96" w14:textId="77777777" w:rsidR="00BF3DF9" w:rsidRPr="00463667" w:rsidRDefault="00BF3DF9" w:rsidP="00C56CA6">
            <w:pPr>
              <w:pStyle w:val="TableText"/>
            </w:pPr>
            <w:r w:rsidRPr="00463667">
              <w:t>Inpatient Facility: Acute Inpatient: Medical Days</w:t>
            </w:r>
          </w:p>
        </w:tc>
      </w:tr>
      <w:tr w:rsidR="00BF3DF9" w:rsidRPr="00463667" w14:paraId="1C0A8D9D" w14:textId="77777777" w:rsidTr="00974E25">
        <w:trPr>
          <w:cantSplit/>
        </w:trPr>
        <w:tc>
          <w:tcPr>
            <w:tcW w:w="594" w:type="pct"/>
            <w:tcBorders>
              <w:top w:val="nil"/>
              <w:left w:val="nil"/>
              <w:bottom w:val="nil"/>
              <w:right w:val="nil"/>
            </w:tcBorders>
            <w:vAlign w:val="center"/>
          </w:tcPr>
          <w:p w14:paraId="1F2A996A" w14:textId="77777777" w:rsidR="00BF3DF9" w:rsidRPr="00463667" w:rsidRDefault="00BF3DF9" w:rsidP="00C56CA6">
            <w:pPr>
              <w:pStyle w:val="TableText"/>
            </w:pPr>
          </w:p>
        </w:tc>
        <w:tc>
          <w:tcPr>
            <w:tcW w:w="473" w:type="pct"/>
            <w:tcBorders>
              <w:top w:val="nil"/>
              <w:left w:val="nil"/>
              <w:bottom w:val="nil"/>
            </w:tcBorders>
            <w:vAlign w:val="center"/>
          </w:tcPr>
          <w:p w14:paraId="404C2D75" w14:textId="77777777" w:rsidR="00BF3DF9" w:rsidRPr="00463667" w:rsidRDefault="00BF3DF9" w:rsidP="00C56CA6">
            <w:pPr>
              <w:pStyle w:val="TableText"/>
            </w:pPr>
          </w:p>
        </w:tc>
        <w:tc>
          <w:tcPr>
            <w:tcW w:w="521" w:type="pct"/>
          </w:tcPr>
          <w:p w14:paraId="4578B2F3" w14:textId="77777777" w:rsidR="00BF3DF9" w:rsidRPr="00463667" w:rsidRDefault="00BF3DF9" w:rsidP="00C56CA6">
            <w:pPr>
              <w:pStyle w:val="TableText"/>
              <w:ind w:left="216"/>
            </w:pPr>
            <w:r w:rsidRPr="00463667">
              <w:t>10</w:t>
            </w:r>
          </w:p>
        </w:tc>
        <w:tc>
          <w:tcPr>
            <w:tcW w:w="525" w:type="pct"/>
          </w:tcPr>
          <w:p w14:paraId="4275FF20" w14:textId="77777777" w:rsidR="00BF3DF9" w:rsidRPr="00463667" w:rsidRDefault="00BF3DF9" w:rsidP="00C56CA6">
            <w:pPr>
              <w:pStyle w:val="TableText"/>
            </w:pPr>
            <w:r w:rsidRPr="00463667">
              <w:t>Count</w:t>
            </w:r>
          </w:p>
        </w:tc>
        <w:tc>
          <w:tcPr>
            <w:tcW w:w="2888" w:type="pct"/>
            <w:vAlign w:val="center"/>
          </w:tcPr>
          <w:p w14:paraId="43C94937" w14:textId="77777777" w:rsidR="00BF3DF9" w:rsidRPr="00463667" w:rsidRDefault="00BF3DF9" w:rsidP="00C56CA6">
            <w:pPr>
              <w:pStyle w:val="TableText"/>
            </w:pPr>
            <w:r w:rsidRPr="00463667">
              <w:t>Inpatient Facility: Acute Inpatient: Medical Discharges</w:t>
            </w:r>
          </w:p>
        </w:tc>
      </w:tr>
      <w:tr w:rsidR="00BF3DF9" w:rsidRPr="00463667" w14:paraId="3FEC9966" w14:textId="77777777" w:rsidTr="00974E25">
        <w:trPr>
          <w:cantSplit/>
        </w:trPr>
        <w:tc>
          <w:tcPr>
            <w:tcW w:w="594" w:type="pct"/>
            <w:tcBorders>
              <w:top w:val="nil"/>
              <w:left w:val="nil"/>
              <w:bottom w:val="nil"/>
              <w:right w:val="nil"/>
            </w:tcBorders>
            <w:vAlign w:val="center"/>
          </w:tcPr>
          <w:p w14:paraId="5BE77036" w14:textId="77777777" w:rsidR="00BF3DF9" w:rsidRPr="00463667" w:rsidRDefault="00BF3DF9" w:rsidP="00C56CA6">
            <w:pPr>
              <w:pStyle w:val="TableText"/>
            </w:pPr>
          </w:p>
        </w:tc>
        <w:tc>
          <w:tcPr>
            <w:tcW w:w="473" w:type="pct"/>
            <w:tcBorders>
              <w:top w:val="nil"/>
              <w:left w:val="nil"/>
              <w:bottom w:val="nil"/>
            </w:tcBorders>
            <w:vAlign w:val="center"/>
          </w:tcPr>
          <w:p w14:paraId="58C8BFF3" w14:textId="77777777" w:rsidR="00BF3DF9" w:rsidRPr="00463667" w:rsidRDefault="00BF3DF9" w:rsidP="00C56CA6">
            <w:pPr>
              <w:pStyle w:val="TableText"/>
            </w:pPr>
          </w:p>
        </w:tc>
        <w:tc>
          <w:tcPr>
            <w:tcW w:w="521" w:type="pct"/>
          </w:tcPr>
          <w:p w14:paraId="2878C28B" w14:textId="77777777" w:rsidR="00BF3DF9" w:rsidRPr="00463667" w:rsidRDefault="00BF3DF9" w:rsidP="00C56CA6">
            <w:pPr>
              <w:pStyle w:val="TableText"/>
              <w:ind w:left="216"/>
            </w:pPr>
            <w:r w:rsidRPr="00463667">
              <w:t>11</w:t>
            </w:r>
          </w:p>
        </w:tc>
        <w:tc>
          <w:tcPr>
            <w:tcW w:w="525" w:type="pct"/>
          </w:tcPr>
          <w:p w14:paraId="3BCC0C3D" w14:textId="77777777" w:rsidR="00BF3DF9" w:rsidRPr="00463667" w:rsidRDefault="00BF3DF9" w:rsidP="00C56CA6">
            <w:pPr>
              <w:pStyle w:val="TableText"/>
            </w:pPr>
            <w:r w:rsidRPr="00463667">
              <w:t>Count</w:t>
            </w:r>
          </w:p>
        </w:tc>
        <w:tc>
          <w:tcPr>
            <w:tcW w:w="2888" w:type="pct"/>
            <w:vAlign w:val="center"/>
          </w:tcPr>
          <w:p w14:paraId="1DFE4D6A" w14:textId="77777777" w:rsidR="00BF3DF9" w:rsidRPr="00463667" w:rsidRDefault="00BF3DF9" w:rsidP="00C56CA6">
            <w:pPr>
              <w:pStyle w:val="TableText"/>
            </w:pPr>
            <w:r w:rsidRPr="00463667">
              <w:t>Inpatient Facility: Acute Inpatient: Surgery Days</w:t>
            </w:r>
          </w:p>
        </w:tc>
      </w:tr>
      <w:tr w:rsidR="00BF3DF9" w:rsidRPr="00463667" w14:paraId="0B4A1454" w14:textId="77777777" w:rsidTr="00974E25">
        <w:trPr>
          <w:cantSplit/>
        </w:trPr>
        <w:tc>
          <w:tcPr>
            <w:tcW w:w="594" w:type="pct"/>
            <w:tcBorders>
              <w:top w:val="nil"/>
              <w:left w:val="nil"/>
              <w:bottom w:val="nil"/>
              <w:right w:val="nil"/>
            </w:tcBorders>
            <w:vAlign w:val="center"/>
          </w:tcPr>
          <w:p w14:paraId="72C5B93D" w14:textId="77777777" w:rsidR="00BF3DF9" w:rsidRPr="00463667" w:rsidRDefault="00BF3DF9" w:rsidP="00C56CA6">
            <w:pPr>
              <w:pStyle w:val="TableText"/>
            </w:pPr>
          </w:p>
        </w:tc>
        <w:tc>
          <w:tcPr>
            <w:tcW w:w="473" w:type="pct"/>
            <w:tcBorders>
              <w:top w:val="nil"/>
              <w:left w:val="nil"/>
              <w:bottom w:val="nil"/>
            </w:tcBorders>
            <w:vAlign w:val="center"/>
          </w:tcPr>
          <w:p w14:paraId="26605B8A" w14:textId="77777777" w:rsidR="00BF3DF9" w:rsidRPr="00463667" w:rsidRDefault="00BF3DF9" w:rsidP="00C56CA6">
            <w:pPr>
              <w:pStyle w:val="TableText"/>
            </w:pPr>
          </w:p>
        </w:tc>
        <w:tc>
          <w:tcPr>
            <w:tcW w:w="521" w:type="pct"/>
          </w:tcPr>
          <w:p w14:paraId="59A472B5" w14:textId="77777777" w:rsidR="00BF3DF9" w:rsidRPr="00463667" w:rsidRDefault="00BF3DF9" w:rsidP="00C56CA6">
            <w:pPr>
              <w:pStyle w:val="TableText"/>
              <w:ind w:left="216"/>
            </w:pPr>
            <w:r w:rsidRPr="00463667">
              <w:t>12</w:t>
            </w:r>
          </w:p>
        </w:tc>
        <w:tc>
          <w:tcPr>
            <w:tcW w:w="525" w:type="pct"/>
          </w:tcPr>
          <w:p w14:paraId="14D15EBA" w14:textId="77777777" w:rsidR="00BF3DF9" w:rsidRPr="00463667" w:rsidRDefault="00BF3DF9" w:rsidP="00C56CA6">
            <w:pPr>
              <w:pStyle w:val="TableText"/>
            </w:pPr>
            <w:r w:rsidRPr="00463667">
              <w:t>Count</w:t>
            </w:r>
          </w:p>
        </w:tc>
        <w:tc>
          <w:tcPr>
            <w:tcW w:w="2888" w:type="pct"/>
            <w:vAlign w:val="center"/>
          </w:tcPr>
          <w:p w14:paraId="3F2BB84C" w14:textId="77777777" w:rsidR="00BF3DF9" w:rsidRPr="00463667" w:rsidRDefault="00BF3DF9" w:rsidP="00C56CA6">
            <w:pPr>
              <w:pStyle w:val="TableText"/>
            </w:pPr>
            <w:r w:rsidRPr="00463667">
              <w:t>Inpatient Facility: Acute Inpatient: Surgery Discharges</w:t>
            </w:r>
          </w:p>
        </w:tc>
      </w:tr>
      <w:tr w:rsidR="00BF3DF9" w:rsidRPr="00463667" w14:paraId="0A044E3D" w14:textId="77777777" w:rsidTr="00974E25">
        <w:trPr>
          <w:cantSplit/>
        </w:trPr>
        <w:tc>
          <w:tcPr>
            <w:tcW w:w="594" w:type="pct"/>
            <w:tcBorders>
              <w:top w:val="nil"/>
              <w:left w:val="nil"/>
              <w:bottom w:val="nil"/>
              <w:right w:val="nil"/>
            </w:tcBorders>
            <w:vAlign w:val="center"/>
          </w:tcPr>
          <w:p w14:paraId="33FA9064" w14:textId="77777777" w:rsidR="00BF3DF9" w:rsidRPr="00463667" w:rsidRDefault="00BF3DF9" w:rsidP="00C56CA6">
            <w:pPr>
              <w:pStyle w:val="TableText"/>
            </w:pPr>
          </w:p>
        </w:tc>
        <w:tc>
          <w:tcPr>
            <w:tcW w:w="473" w:type="pct"/>
            <w:tcBorders>
              <w:top w:val="nil"/>
              <w:left w:val="nil"/>
              <w:bottom w:val="nil"/>
            </w:tcBorders>
            <w:vAlign w:val="center"/>
          </w:tcPr>
          <w:p w14:paraId="2E8216CF" w14:textId="77777777" w:rsidR="00BF3DF9" w:rsidRPr="00463667" w:rsidRDefault="00BF3DF9" w:rsidP="00C56CA6">
            <w:pPr>
              <w:pStyle w:val="TableText"/>
            </w:pPr>
          </w:p>
        </w:tc>
        <w:tc>
          <w:tcPr>
            <w:tcW w:w="521" w:type="pct"/>
            <w:tcBorders>
              <w:bottom w:val="single" w:sz="4" w:space="0" w:color="auto"/>
            </w:tcBorders>
          </w:tcPr>
          <w:p w14:paraId="4FB1CBCE" w14:textId="77777777" w:rsidR="00BF3DF9" w:rsidRPr="00463667" w:rsidRDefault="00BF3DF9" w:rsidP="00C56CA6">
            <w:pPr>
              <w:pStyle w:val="TableText"/>
              <w:ind w:left="216"/>
            </w:pPr>
            <w:r w:rsidRPr="00463667">
              <w:t>13</w:t>
            </w:r>
          </w:p>
        </w:tc>
        <w:tc>
          <w:tcPr>
            <w:tcW w:w="525" w:type="pct"/>
          </w:tcPr>
          <w:p w14:paraId="72E4780C" w14:textId="77777777" w:rsidR="00BF3DF9" w:rsidRPr="00463667" w:rsidRDefault="00BF3DF9" w:rsidP="00C56CA6">
            <w:pPr>
              <w:pStyle w:val="TableText"/>
            </w:pPr>
            <w:r w:rsidRPr="00463667">
              <w:t>Count</w:t>
            </w:r>
          </w:p>
        </w:tc>
        <w:tc>
          <w:tcPr>
            <w:tcW w:w="2888" w:type="pct"/>
            <w:vAlign w:val="center"/>
          </w:tcPr>
          <w:p w14:paraId="41DE58E0" w14:textId="77777777" w:rsidR="00BF3DF9" w:rsidRPr="00463667" w:rsidRDefault="00BF3DF9" w:rsidP="00C56CA6">
            <w:pPr>
              <w:pStyle w:val="TableText"/>
            </w:pPr>
            <w:r w:rsidRPr="00463667">
              <w:t>Inpatient Facility: Nonacute: Days</w:t>
            </w:r>
          </w:p>
        </w:tc>
      </w:tr>
      <w:tr w:rsidR="00BF3DF9" w:rsidRPr="00463667" w14:paraId="77BE3D84" w14:textId="77777777" w:rsidTr="00974E25">
        <w:trPr>
          <w:cantSplit/>
        </w:trPr>
        <w:tc>
          <w:tcPr>
            <w:tcW w:w="594" w:type="pct"/>
            <w:tcBorders>
              <w:top w:val="nil"/>
              <w:left w:val="nil"/>
              <w:bottom w:val="nil"/>
              <w:right w:val="nil"/>
            </w:tcBorders>
            <w:vAlign w:val="center"/>
          </w:tcPr>
          <w:p w14:paraId="623A2ADD" w14:textId="77777777" w:rsidR="00BF3DF9" w:rsidRPr="00463667" w:rsidRDefault="00BF3DF9" w:rsidP="00C56CA6">
            <w:pPr>
              <w:pStyle w:val="TableText"/>
            </w:pPr>
          </w:p>
        </w:tc>
        <w:tc>
          <w:tcPr>
            <w:tcW w:w="473" w:type="pct"/>
            <w:tcBorders>
              <w:top w:val="nil"/>
              <w:left w:val="nil"/>
              <w:bottom w:val="nil"/>
              <w:right w:val="nil"/>
            </w:tcBorders>
            <w:vAlign w:val="center"/>
          </w:tcPr>
          <w:p w14:paraId="6C8B3CAB" w14:textId="77777777" w:rsidR="00BF3DF9" w:rsidRPr="00463667" w:rsidRDefault="00BF3DF9" w:rsidP="00C56CA6">
            <w:pPr>
              <w:pStyle w:val="TableText"/>
            </w:pPr>
          </w:p>
        </w:tc>
        <w:tc>
          <w:tcPr>
            <w:tcW w:w="521" w:type="pct"/>
            <w:tcBorders>
              <w:left w:val="nil"/>
              <w:bottom w:val="nil"/>
            </w:tcBorders>
            <w:vAlign w:val="center"/>
          </w:tcPr>
          <w:p w14:paraId="34A36AE7" w14:textId="77777777" w:rsidR="00BF3DF9" w:rsidRPr="00463667" w:rsidRDefault="00BF3DF9" w:rsidP="00C56CA6">
            <w:pPr>
              <w:pStyle w:val="TableText"/>
            </w:pPr>
          </w:p>
        </w:tc>
        <w:tc>
          <w:tcPr>
            <w:tcW w:w="525" w:type="pct"/>
            <w:vAlign w:val="center"/>
          </w:tcPr>
          <w:p w14:paraId="7C48E047" w14:textId="77777777" w:rsidR="00BF3DF9" w:rsidRPr="00463667" w:rsidRDefault="00BF3DF9" w:rsidP="00C56CA6">
            <w:pPr>
              <w:pStyle w:val="TableText"/>
            </w:pPr>
            <w:r w:rsidRPr="00463667">
              <w:t>Count</w:t>
            </w:r>
          </w:p>
        </w:tc>
        <w:tc>
          <w:tcPr>
            <w:tcW w:w="2888" w:type="pct"/>
            <w:vAlign w:val="center"/>
          </w:tcPr>
          <w:p w14:paraId="12D1051F" w14:textId="77777777" w:rsidR="00BF3DF9" w:rsidRPr="00463667" w:rsidRDefault="00BF3DF9" w:rsidP="00C56CA6">
            <w:pPr>
              <w:pStyle w:val="TableText"/>
            </w:pPr>
            <w:r w:rsidRPr="00463667">
              <w:t>Inpatient Facility: Nonacute: Discharges</w:t>
            </w:r>
          </w:p>
        </w:tc>
      </w:tr>
      <w:tr w:rsidR="00BF3DF9" w:rsidRPr="00463667" w14:paraId="25278338" w14:textId="77777777" w:rsidTr="00974E25">
        <w:trPr>
          <w:cantSplit/>
        </w:trPr>
        <w:tc>
          <w:tcPr>
            <w:tcW w:w="594" w:type="pct"/>
            <w:tcBorders>
              <w:top w:val="nil"/>
              <w:left w:val="nil"/>
              <w:bottom w:val="nil"/>
              <w:right w:val="nil"/>
            </w:tcBorders>
            <w:vAlign w:val="center"/>
          </w:tcPr>
          <w:p w14:paraId="584AE730" w14:textId="77777777" w:rsidR="00BF3DF9" w:rsidRPr="00463667" w:rsidRDefault="00BF3DF9" w:rsidP="00C56CA6">
            <w:pPr>
              <w:pStyle w:val="TableText"/>
            </w:pPr>
          </w:p>
        </w:tc>
        <w:tc>
          <w:tcPr>
            <w:tcW w:w="473" w:type="pct"/>
            <w:tcBorders>
              <w:top w:val="nil"/>
              <w:left w:val="nil"/>
              <w:bottom w:val="nil"/>
              <w:right w:val="nil"/>
            </w:tcBorders>
            <w:vAlign w:val="center"/>
          </w:tcPr>
          <w:p w14:paraId="4C940E8E" w14:textId="77777777" w:rsidR="00BF3DF9" w:rsidRPr="00463667" w:rsidRDefault="00BF3DF9" w:rsidP="00C56CA6">
            <w:pPr>
              <w:pStyle w:val="TableText"/>
            </w:pPr>
          </w:p>
        </w:tc>
        <w:tc>
          <w:tcPr>
            <w:tcW w:w="521" w:type="pct"/>
            <w:tcBorders>
              <w:top w:val="nil"/>
              <w:left w:val="nil"/>
              <w:bottom w:val="nil"/>
            </w:tcBorders>
            <w:vAlign w:val="center"/>
          </w:tcPr>
          <w:p w14:paraId="66FF2990" w14:textId="77777777" w:rsidR="00BF3DF9" w:rsidRPr="00463667" w:rsidRDefault="00BF3DF9" w:rsidP="00C56CA6">
            <w:pPr>
              <w:pStyle w:val="TableText"/>
            </w:pPr>
          </w:p>
        </w:tc>
        <w:tc>
          <w:tcPr>
            <w:tcW w:w="525" w:type="pct"/>
            <w:vAlign w:val="center"/>
          </w:tcPr>
          <w:p w14:paraId="65EA5A31" w14:textId="77777777" w:rsidR="00BF3DF9" w:rsidRPr="00463667" w:rsidRDefault="00BF3DF9" w:rsidP="00C56CA6">
            <w:pPr>
              <w:pStyle w:val="TableText"/>
            </w:pPr>
            <w:r w:rsidRPr="00463667">
              <w:t>Count</w:t>
            </w:r>
          </w:p>
        </w:tc>
        <w:tc>
          <w:tcPr>
            <w:tcW w:w="2888" w:type="pct"/>
            <w:vAlign w:val="center"/>
          </w:tcPr>
          <w:p w14:paraId="6A9304AE" w14:textId="77777777" w:rsidR="00BF3DF9" w:rsidRPr="00463667" w:rsidRDefault="00BF3DF9" w:rsidP="00C56CA6">
            <w:pPr>
              <w:pStyle w:val="TableText"/>
            </w:pPr>
            <w:r w:rsidRPr="00463667">
              <w:t>ED Discharges</w:t>
            </w:r>
          </w:p>
        </w:tc>
      </w:tr>
      <w:tr w:rsidR="00BF3DF9" w:rsidRPr="00463667" w14:paraId="5389A939" w14:textId="77777777" w:rsidTr="00974E25">
        <w:trPr>
          <w:cantSplit/>
        </w:trPr>
        <w:tc>
          <w:tcPr>
            <w:tcW w:w="594" w:type="pct"/>
            <w:tcBorders>
              <w:top w:val="nil"/>
              <w:left w:val="nil"/>
              <w:bottom w:val="nil"/>
              <w:right w:val="nil"/>
            </w:tcBorders>
            <w:vAlign w:val="center"/>
          </w:tcPr>
          <w:p w14:paraId="77E1C66B" w14:textId="77777777" w:rsidR="00BF3DF9" w:rsidRPr="00463667" w:rsidRDefault="00BF3DF9" w:rsidP="00C56CA6">
            <w:pPr>
              <w:pStyle w:val="TableText"/>
            </w:pPr>
          </w:p>
        </w:tc>
        <w:tc>
          <w:tcPr>
            <w:tcW w:w="473" w:type="pct"/>
            <w:tcBorders>
              <w:top w:val="nil"/>
              <w:left w:val="nil"/>
              <w:bottom w:val="nil"/>
              <w:right w:val="nil"/>
            </w:tcBorders>
            <w:vAlign w:val="center"/>
          </w:tcPr>
          <w:p w14:paraId="2B85F73A" w14:textId="77777777" w:rsidR="00BF3DF9" w:rsidRPr="00463667" w:rsidRDefault="00BF3DF9" w:rsidP="00C56CA6">
            <w:pPr>
              <w:pStyle w:val="TableText"/>
            </w:pPr>
          </w:p>
        </w:tc>
        <w:tc>
          <w:tcPr>
            <w:tcW w:w="521" w:type="pct"/>
            <w:tcBorders>
              <w:top w:val="nil"/>
              <w:left w:val="nil"/>
              <w:bottom w:val="nil"/>
            </w:tcBorders>
            <w:vAlign w:val="center"/>
          </w:tcPr>
          <w:p w14:paraId="4D6A2564" w14:textId="77777777" w:rsidR="00BF3DF9" w:rsidRPr="00463667" w:rsidRDefault="00BF3DF9" w:rsidP="00C56CA6">
            <w:pPr>
              <w:pStyle w:val="TableText"/>
            </w:pPr>
          </w:p>
        </w:tc>
        <w:tc>
          <w:tcPr>
            <w:tcW w:w="525" w:type="pct"/>
            <w:vAlign w:val="center"/>
          </w:tcPr>
          <w:p w14:paraId="7C294571" w14:textId="77777777" w:rsidR="00BF3DF9" w:rsidRPr="00463667" w:rsidRDefault="00BF3DF9" w:rsidP="00C56CA6">
            <w:pPr>
              <w:pStyle w:val="TableText"/>
            </w:pPr>
            <w:r w:rsidRPr="00463667">
              <w:t>Count</w:t>
            </w:r>
          </w:p>
        </w:tc>
        <w:tc>
          <w:tcPr>
            <w:tcW w:w="2888" w:type="pct"/>
            <w:vAlign w:val="center"/>
          </w:tcPr>
          <w:p w14:paraId="5659F144" w14:textId="77777777" w:rsidR="00BF3DF9" w:rsidRPr="00463667" w:rsidRDefault="00BF3DF9" w:rsidP="00C56CA6">
            <w:pPr>
              <w:pStyle w:val="TableText"/>
            </w:pPr>
            <w:r w:rsidRPr="00463667">
              <w:t>Cardiac Catheterization</w:t>
            </w:r>
          </w:p>
        </w:tc>
      </w:tr>
      <w:tr w:rsidR="00BF3DF9" w:rsidRPr="00463667" w14:paraId="15BEC925" w14:textId="77777777" w:rsidTr="00974E25">
        <w:trPr>
          <w:cantSplit/>
        </w:trPr>
        <w:tc>
          <w:tcPr>
            <w:tcW w:w="594" w:type="pct"/>
            <w:tcBorders>
              <w:top w:val="nil"/>
              <w:left w:val="nil"/>
              <w:bottom w:val="nil"/>
              <w:right w:val="nil"/>
            </w:tcBorders>
            <w:vAlign w:val="center"/>
          </w:tcPr>
          <w:p w14:paraId="632DE2A5" w14:textId="77777777" w:rsidR="00BF3DF9" w:rsidRPr="00463667" w:rsidRDefault="00BF3DF9" w:rsidP="00C56CA6">
            <w:pPr>
              <w:pStyle w:val="TableText"/>
            </w:pPr>
          </w:p>
        </w:tc>
        <w:tc>
          <w:tcPr>
            <w:tcW w:w="473" w:type="pct"/>
            <w:tcBorders>
              <w:top w:val="nil"/>
              <w:left w:val="nil"/>
              <w:bottom w:val="nil"/>
              <w:right w:val="nil"/>
            </w:tcBorders>
            <w:vAlign w:val="center"/>
          </w:tcPr>
          <w:p w14:paraId="725CC634" w14:textId="77777777" w:rsidR="00BF3DF9" w:rsidRPr="00463667" w:rsidRDefault="00BF3DF9" w:rsidP="00C56CA6">
            <w:pPr>
              <w:pStyle w:val="TableText"/>
            </w:pPr>
          </w:p>
        </w:tc>
        <w:tc>
          <w:tcPr>
            <w:tcW w:w="521" w:type="pct"/>
            <w:tcBorders>
              <w:top w:val="nil"/>
              <w:left w:val="nil"/>
              <w:bottom w:val="nil"/>
            </w:tcBorders>
            <w:vAlign w:val="center"/>
          </w:tcPr>
          <w:p w14:paraId="6C2CB92A" w14:textId="77777777" w:rsidR="00BF3DF9" w:rsidRPr="00463667" w:rsidRDefault="00BF3DF9" w:rsidP="00C56CA6">
            <w:pPr>
              <w:pStyle w:val="TableText"/>
            </w:pPr>
          </w:p>
        </w:tc>
        <w:tc>
          <w:tcPr>
            <w:tcW w:w="525" w:type="pct"/>
            <w:vAlign w:val="center"/>
          </w:tcPr>
          <w:p w14:paraId="0AC87F44" w14:textId="77777777" w:rsidR="00BF3DF9" w:rsidRPr="00463667" w:rsidRDefault="00BF3DF9" w:rsidP="00C56CA6">
            <w:pPr>
              <w:pStyle w:val="TableText"/>
            </w:pPr>
            <w:r w:rsidRPr="00463667">
              <w:t>Count</w:t>
            </w:r>
          </w:p>
        </w:tc>
        <w:tc>
          <w:tcPr>
            <w:tcW w:w="2888" w:type="pct"/>
            <w:vAlign w:val="center"/>
          </w:tcPr>
          <w:p w14:paraId="48C702AF" w14:textId="77777777" w:rsidR="00BF3DF9" w:rsidRPr="00463667" w:rsidRDefault="00BF3DF9" w:rsidP="00C56CA6">
            <w:pPr>
              <w:pStyle w:val="TableText"/>
            </w:pPr>
            <w:r w:rsidRPr="00463667">
              <w:t>PCI</w:t>
            </w:r>
          </w:p>
        </w:tc>
      </w:tr>
      <w:tr w:rsidR="00BF3DF9" w:rsidRPr="00463667" w14:paraId="1ACE6EDF" w14:textId="77777777" w:rsidTr="00974E25">
        <w:trPr>
          <w:cantSplit/>
        </w:trPr>
        <w:tc>
          <w:tcPr>
            <w:tcW w:w="594" w:type="pct"/>
            <w:tcBorders>
              <w:top w:val="nil"/>
              <w:left w:val="nil"/>
              <w:bottom w:val="nil"/>
              <w:right w:val="nil"/>
            </w:tcBorders>
            <w:vAlign w:val="center"/>
          </w:tcPr>
          <w:p w14:paraId="5337548D" w14:textId="77777777" w:rsidR="00BF3DF9" w:rsidRPr="00463667" w:rsidRDefault="00BF3DF9" w:rsidP="00C56CA6">
            <w:pPr>
              <w:pStyle w:val="TableText"/>
            </w:pPr>
          </w:p>
        </w:tc>
        <w:tc>
          <w:tcPr>
            <w:tcW w:w="473" w:type="pct"/>
            <w:tcBorders>
              <w:top w:val="nil"/>
              <w:left w:val="nil"/>
              <w:bottom w:val="nil"/>
              <w:right w:val="nil"/>
            </w:tcBorders>
            <w:vAlign w:val="center"/>
          </w:tcPr>
          <w:p w14:paraId="0CB38356" w14:textId="77777777" w:rsidR="00BF3DF9" w:rsidRPr="00463667" w:rsidRDefault="00BF3DF9" w:rsidP="00C56CA6">
            <w:pPr>
              <w:pStyle w:val="TableText"/>
            </w:pPr>
          </w:p>
        </w:tc>
        <w:tc>
          <w:tcPr>
            <w:tcW w:w="521" w:type="pct"/>
            <w:tcBorders>
              <w:top w:val="nil"/>
              <w:left w:val="nil"/>
              <w:bottom w:val="nil"/>
            </w:tcBorders>
            <w:vAlign w:val="center"/>
          </w:tcPr>
          <w:p w14:paraId="5DC2331C" w14:textId="77777777" w:rsidR="00BF3DF9" w:rsidRPr="00463667" w:rsidRDefault="00BF3DF9" w:rsidP="00C56CA6">
            <w:pPr>
              <w:pStyle w:val="TableText"/>
            </w:pPr>
          </w:p>
        </w:tc>
        <w:tc>
          <w:tcPr>
            <w:tcW w:w="525" w:type="pct"/>
            <w:vAlign w:val="center"/>
          </w:tcPr>
          <w:p w14:paraId="7E2FB433" w14:textId="77777777" w:rsidR="00BF3DF9" w:rsidRPr="00463667" w:rsidRDefault="00BF3DF9" w:rsidP="00C56CA6">
            <w:pPr>
              <w:pStyle w:val="TableText"/>
            </w:pPr>
            <w:r w:rsidRPr="00463667">
              <w:t>Count</w:t>
            </w:r>
          </w:p>
        </w:tc>
        <w:tc>
          <w:tcPr>
            <w:tcW w:w="2888" w:type="pct"/>
            <w:vAlign w:val="center"/>
          </w:tcPr>
          <w:p w14:paraId="07211279" w14:textId="77777777" w:rsidR="00BF3DF9" w:rsidRPr="00463667" w:rsidRDefault="00BF3DF9" w:rsidP="00C56CA6">
            <w:pPr>
              <w:pStyle w:val="TableText"/>
            </w:pPr>
            <w:r w:rsidRPr="00463667">
              <w:t>CABG</w:t>
            </w:r>
          </w:p>
        </w:tc>
      </w:tr>
      <w:tr w:rsidR="00BF3DF9" w:rsidRPr="00463667" w14:paraId="0E2E7A2F" w14:textId="77777777" w:rsidTr="00974E25">
        <w:trPr>
          <w:cantSplit/>
        </w:trPr>
        <w:tc>
          <w:tcPr>
            <w:tcW w:w="594" w:type="pct"/>
            <w:tcBorders>
              <w:top w:val="nil"/>
              <w:left w:val="nil"/>
              <w:bottom w:val="nil"/>
              <w:right w:val="nil"/>
            </w:tcBorders>
            <w:vAlign w:val="center"/>
          </w:tcPr>
          <w:p w14:paraId="7C801C5A" w14:textId="77777777" w:rsidR="00BF3DF9" w:rsidRPr="00463667" w:rsidRDefault="00BF3DF9" w:rsidP="00C56CA6">
            <w:pPr>
              <w:pStyle w:val="TableText"/>
            </w:pPr>
          </w:p>
        </w:tc>
        <w:tc>
          <w:tcPr>
            <w:tcW w:w="473" w:type="pct"/>
            <w:tcBorders>
              <w:top w:val="nil"/>
              <w:left w:val="nil"/>
              <w:bottom w:val="nil"/>
              <w:right w:val="nil"/>
            </w:tcBorders>
            <w:vAlign w:val="center"/>
          </w:tcPr>
          <w:p w14:paraId="59CCA380" w14:textId="77777777" w:rsidR="00BF3DF9" w:rsidRPr="00463667" w:rsidRDefault="00BF3DF9" w:rsidP="00C56CA6">
            <w:pPr>
              <w:pStyle w:val="TableText"/>
            </w:pPr>
          </w:p>
        </w:tc>
        <w:tc>
          <w:tcPr>
            <w:tcW w:w="521" w:type="pct"/>
            <w:tcBorders>
              <w:top w:val="nil"/>
              <w:left w:val="nil"/>
              <w:bottom w:val="nil"/>
            </w:tcBorders>
            <w:vAlign w:val="center"/>
          </w:tcPr>
          <w:p w14:paraId="1AA95A9E" w14:textId="77777777" w:rsidR="00BF3DF9" w:rsidRPr="00463667" w:rsidRDefault="00BF3DF9" w:rsidP="00C56CA6">
            <w:pPr>
              <w:pStyle w:val="TableText"/>
            </w:pPr>
          </w:p>
        </w:tc>
        <w:tc>
          <w:tcPr>
            <w:tcW w:w="525" w:type="pct"/>
            <w:vAlign w:val="center"/>
          </w:tcPr>
          <w:p w14:paraId="6E060F33" w14:textId="77777777" w:rsidR="00BF3DF9" w:rsidRPr="00463667" w:rsidRDefault="00BF3DF9" w:rsidP="00C56CA6">
            <w:pPr>
              <w:pStyle w:val="TableText"/>
            </w:pPr>
            <w:r w:rsidRPr="00463667">
              <w:t>Count</w:t>
            </w:r>
          </w:p>
        </w:tc>
        <w:tc>
          <w:tcPr>
            <w:tcW w:w="2888" w:type="pct"/>
            <w:vAlign w:val="center"/>
          </w:tcPr>
          <w:p w14:paraId="79821361" w14:textId="77777777" w:rsidR="00BF3DF9" w:rsidRPr="00463667" w:rsidRDefault="00BF3DF9" w:rsidP="00C56CA6">
            <w:pPr>
              <w:pStyle w:val="TableText"/>
            </w:pPr>
            <w:r w:rsidRPr="00463667">
              <w:t>Carotid Endarterectomy</w:t>
            </w:r>
          </w:p>
        </w:tc>
      </w:tr>
      <w:tr w:rsidR="00BF3DF9" w:rsidRPr="00463667" w14:paraId="09626A03" w14:textId="77777777" w:rsidTr="00974E25">
        <w:trPr>
          <w:cantSplit/>
        </w:trPr>
        <w:tc>
          <w:tcPr>
            <w:tcW w:w="594" w:type="pct"/>
            <w:tcBorders>
              <w:top w:val="nil"/>
              <w:left w:val="nil"/>
              <w:bottom w:val="nil"/>
              <w:right w:val="nil"/>
            </w:tcBorders>
            <w:vAlign w:val="center"/>
          </w:tcPr>
          <w:p w14:paraId="28121FFD" w14:textId="77777777" w:rsidR="00BF3DF9" w:rsidRPr="00463667" w:rsidRDefault="00BF3DF9" w:rsidP="00C56CA6">
            <w:pPr>
              <w:pStyle w:val="TableText"/>
            </w:pPr>
          </w:p>
        </w:tc>
        <w:tc>
          <w:tcPr>
            <w:tcW w:w="473" w:type="pct"/>
            <w:tcBorders>
              <w:top w:val="nil"/>
              <w:left w:val="nil"/>
              <w:bottom w:val="nil"/>
              <w:right w:val="nil"/>
            </w:tcBorders>
            <w:vAlign w:val="center"/>
          </w:tcPr>
          <w:p w14:paraId="5A61E841" w14:textId="77777777" w:rsidR="00BF3DF9" w:rsidRPr="00463667" w:rsidRDefault="00BF3DF9" w:rsidP="00C56CA6">
            <w:pPr>
              <w:pStyle w:val="TableText"/>
            </w:pPr>
          </w:p>
        </w:tc>
        <w:tc>
          <w:tcPr>
            <w:tcW w:w="521" w:type="pct"/>
            <w:tcBorders>
              <w:top w:val="nil"/>
              <w:left w:val="nil"/>
              <w:bottom w:val="nil"/>
            </w:tcBorders>
            <w:vAlign w:val="center"/>
          </w:tcPr>
          <w:p w14:paraId="7917DA0E" w14:textId="77777777" w:rsidR="00BF3DF9" w:rsidRPr="00463667" w:rsidRDefault="00BF3DF9" w:rsidP="00C56CA6">
            <w:pPr>
              <w:pStyle w:val="TableText"/>
            </w:pPr>
          </w:p>
        </w:tc>
        <w:tc>
          <w:tcPr>
            <w:tcW w:w="525" w:type="pct"/>
            <w:vAlign w:val="center"/>
          </w:tcPr>
          <w:p w14:paraId="23154020" w14:textId="77777777" w:rsidR="00BF3DF9" w:rsidRPr="00463667" w:rsidRDefault="00BF3DF9" w:rsidP="00C56CA6">
            <w:pPr>
              <w:pStyle w:val="TableText"/>
            </w:pPr>
            <w:r w:rsidRPr="00463667">
              <w:t>Count</w:t>
            </w:r>
          </w:p>
        </w:tc>
        <w:tc>
          <w:tcPr>
            <w:tcW w:w="2888" w:type="pct"/>
            <w:vAlign w:val="center"/>
          </w:tcPr>
          <w:p w14:paraId="0149DAFA" w14:textId="77777777" w:rsidR="00BF3DF9" w:rsidRPr="00463667" w:rsidRDefault="00BF3DF9" w:rsidP="00C56CA6">
            <w:pPr>
              <w:pStyle w:val="TableText"/>
            </w:pPr>
            <w:r w:rsidRPr="00463667">
              <w:t>Carotid Artery Stenosis Diagnostic Test</w:t>
            </w:r>
          </w:p>
        </w:tc>
      </w:tr>
      <w:tr w:rsidR="00BF3DF9" w:rsidRPr="00463667" w14:paraId="1F97E9EA" w14:textId="77777777" w:rsidTr="00974E25">
        <w:trPr>
          <w:cantSplit/>
        </w:trPr>
        <w:tc>
          <w:tcPr>
            <w:tcW w:w="594" w:type="pct"/>
            <w:tcBorders>
              <w:top w:val="nil"/>
              <w:left w:val="nil"/>
              <w:bottom w:val="nil"/>
              <w:right w:val="nil"/>
            </w:tcBorders>
            <w:vAlign w:val="center"/>
          </w:tcPr>
          <w:p w14:paraId="1F89A99E" w14:textId="77777777" w:rsidR="00BF3DF9" w:rsidRPr="00463667" w:rsidRDefault="00BF3DF9" w:rsidP="00C56CA6">
            <w:pPr>
              <w:pStyle w:val="TableText"/>
            </w:pPr>
          </w:p>
        </w:tc>
        <w:tc>
          <w:tcPr>
            <w:tcW w:w="473" w:type="pct"/>
            <w:tcBorders>
              <w:top w:val="nil"/>
              <w:left w:val="nil"/>
              <w:bottom w:val="nil"/>
              <w:right w:val="nil"/>
            </w:tcBorders>
            <w:vAlign w:val="center"/>
          </w:tcPr>
          <w:p w14:paraId="7F3CDE09" w14:textId="77777777" w:rsidR="00BF3DF9" w:rsidRPr="00463667" w:rsidRDefault="00BF3DF9" w:rsidP="00C56CA6">
            <w:pPr>
              <w:pStyle w:val="TableText"/>
            </w:pPr>
          </w:p>
        </w:tc>
        <w:tc>
          <w:tcPr>
            <w:tcW w:w="521" w:type="pct"/>
            <w:tcBorders>
              <w:top w:val="nil"/>
              <w:left w:val="nil"/>
              <w:bottom w:val="nil"/>
            </w:tcBorders>
            <w:vAlign w:val="center"/>
          </w:tcPr>
          <w:p w14:paraId="5D1EFA56" w14:textId="77777777" w:rsidR="00BF3DF9" w:rsidRPr="00463667" w:rsidRDefault="00BF3DF9" w:rsidP="00C56CA6">
            <w:pPr>
              <w:pStyle w:val="TableText"/>
            </w:pPr>
          </w:p>
        </w:tc>
        <w:tc>
          <w:tcPr>
            <w:tcW w:w="525" w:type="pct"/>
            <w:vAlign w:val="center"/>
          </w:tcPr>
          <w:p w14:paraId="0876AF9B" w14:textId="77777777" w:rsidR="00BF3DF9" w:rsidRPr="00463667" w:rsidRDefault="00BF3DF9" w:rsidP="00C56CA6">
            <w:pPr>
              <w:pStyle w:val="TableText"/>
            </w:pPr>
            <w:r w:rsidRPr="00463667">
              <w:t>Count</w:t>
            </w:r>
          </w:p>
        </w:tc>
        <w:tc>
          <w:tcPr>
            <w:tcW w:w="2888" w:type="pct"/>
            <w:vAlign w:val="center"/>
          </w:tcPr>
          <w:p w14:paraId="4C3B722C" w14:textId="77777777" w:rsidR="00BF3DF9" w:rsidRPr="00463667" w:rsidRDefault="00BF3DF9" w:rsidP="00C56CA6">
            <w:pPr>
              <w:pStyle w:val="TableText"/>
            </w:pPr>
            <w:r w:rsidRPr="00463667">
              <w:t>Cardiac Computed Tomography</w:t>
            </w:r>
          </w:p>
        </w:tc>
      </w:tr>
      <w:tr w:rsidR="00BF3DF9" w:rsidRPr="00463667" w14:paraId="601F0CE3" w14:textId="77777777" w:rsidTr="00974E25">
        <w:trPr>
          <w:cantSplit/>
        </w:trPr>
        <w:tc>
          <w:tcPr>
            <w:tcW w:w="594" w:type="pct"/>
            <w:tcBorders>
              <w:top w:val="nil"/>
              <w:left w:val="nil"/>
              <w:bottom w:val="nil"/>
              <w:right w:val="nil"/>
            </w:tcBorders>
            <w:vAlign w:val="center"/>
          </w:tcPr>
          <w:p w14:paraId="21F56703" w14:textId="77777777" w:rsidR="00BF3DF9" w:rsidRPr="00463667" w:rsidRDefault="00BF3DF9" w:rsidP="00C56CA6">
            <w:pPr>
              <w:pStyle w:val="TableText"/>
            </w:pPr>
          </w:p>
        </w:tc>
        <w:tc>
          <w:tcPr>
            <w:tcW w:w="473" w:type="pct"/>
            <w:tcBorders>
              <w:top w:val="nil"/>
              <w:left w:val="nil"/>
              <w:bottom w:val="nil"/>
              <w:right w:val="nil"/>
            </w:tcBorders>
            <w:vAlign w:val="center"/>
          </w:tcPr>
          <w:p w14:paraId="5E7DAFFC" w14:textId="77777777" w:rsidR="00BF3DF9" w:rsidRPr="00463667" w:rsidRDefault="00BF3DF9" w:rsidP="00C56CA6">
            <w:pPr>
              <w:pStyle w:val="TableText"/>
            </w:pPr>
          </w:p>
        </w:tc>
        <w:tc>
          <w:tcPr>
            <w:tcW w:w="521" w:type="pct"/>
            <w:tcBorders>
              <w:top w:val="nil"/>
              <w:left w:val="nil"/>
              <w:bottom w:val="nil"/>
            </w:tcBorders>
            <w:vAlign w:val="center"/>
          </w:tcPr>
          <w:p w14:paraId="16D544D8" w14:textId="77777777" w:rsidR="00BF3DF9" w:rsidRPr="00463667" w:rsidRDefault="00BF3DF9" w:rsidP="00C56CA6">
            <w:pPr>
              <w:pStyle w:val="TableText"/>
            </w:pPr>
          </w:p>
        </w:tc>
        <w:tc>
          <w:tcPr>
            <w:tcW w:w="525" w:type="pct"/>
          </w:tcPr>
          <w:p w14:paraId="0EBED456" w14:textId="77777777" w:rsidR="00BF3DF9" w:rsidRPr="00463667" w:rsidRDefault="00BF3DF9" w:rsidP="00C56CA6">
            <w:pPr>
              <w:pStyle w:val="TableText"/>
            </w:pPr>
            <w:r w:rsidRPr="00463667">
              <w:t>Count</w:t>
            </w:r>
          </w:p>
        </w:tc>
        <w:tc>
          <w:tcPr>
            <w:tcW w:w="2888" w:type="pct"/>
            <w:vAlign w:val="center"/>
          </w:tcPr>
          <w:p w14:paraId="49E48DC1" w14:textId="77777777" w:rsidR="00BF3DF9" w:rsidRPr="00463667" w:rsidRDefault="00BF3DF9" w:rsidP="00C56CA6">
            <w:pPr>
              <w:pStyle w:val="TableText"/>
            </w:pPr>
            <w:r w:rsidRPr="00463667">
              <w:t>CAD Diagnostic Test Using EBCT/Nuclear Imaging Stress Test</w:t>
            </w:r>
          </w:p>
        </w:tc>
      </w:tr>
      <w:tr w:rsidR="00BF3DF9" w:rsidRPr="00463667" w14:paraId="0FD7CACE" w14:textId="77777777" w:rsidTr="00974E25">
        <w:trPr>
          <w:cantSplit/>
        </w:trPr>
        <w:tc>
          <w:tcPr>
            <w:tcW w:w="594" w:type="pct"/>
            <w:tcBorders>
              <w:top w:val="nil"/>
              <w:left w:val="nil"/>
              <w:bottom w:val="nil"/>
              <w:right w:val="nil"/>
            </w:tcBorders>
            <w:vAlign w:val="center"/>
          </w:tcPr>
          <w:p w14:paraId="223E5043" w14:textId="77777777" w:rsidR="00BF3DF9" w:rsidRPr="00463667" w:rsidRDefault="00BF3DF9" w:rsidP="00C56CA6">
            <w:pPr>
              <w:pStyle w:val="TableText"/>
            </w:pPr>
          </w:p>
        </w:tc>
        <w:tc>
          <w:tcPr>
            <w:tcW w:w="473" w:type="pct"/>
            <w:tcBorders>
              <w:top w:val="nil"/>
              <w:left w:val="nil"/>
              <w:bottom w:val="nil"/>
              <w:right w:val="nil"/>
            </w:tcBorders>
            <w:vAlign w:val="center"/>
          </w:tcPr>
          <w:p w14:paraId="4B99CE1D" w14:textId="77777777" w:rsidR="00BF3DF9" w:rsidRPr="00463667" w:rsidRDefault="00BF3DF9" w:rsidP="00C56CA6">
            <w:pPr>
              <w:pStyle w:val="TableText"/>
            </w:pPr>
          </w:p>
        </w:tc>
        <w:tc>
          <w:tcPr>
            <w:tcW w:w="521" w:type="pct"/>
            <w:tcBorders>
              <w:top w:val="nil"/>
              <w:left w:val="nil"/>
              <w:bottom w:val="nil"/>
            </w:tcBorders>
            <w:vAlign w:val="center"/>
          </w:tcPr>
          <w:p w14:paraId="66851C14" w14:textId="77777777" w:rsidR="00BF3DF9" w:rsidRPr="00463667" w:rsidRDefault="00BF3DF9" w:rsidP="00C56CA6">
            <w:pPr>
              <w:pStyle w:val="TableText"/>
            </w:pPr>
          </w:p>
        </w:tc>
        <w:tc>
          <w:tcPr>
            <w:tcW w:w="525" w:type="pct"/>
            <w:vAlign w:val="center"/>
          </w:tcPr>
          <w:p w14:paraId="1B931A89" w14:textId="77777777" w:rsidR="00BF3DF9" w:rsidRPr="00463667" w:rsidRDefault="00BF3DF9" w:rsidP="00C56CA6">
            <w:pPr>
              <w:pStyle w:val="TableText"/>
            </w:pPr>
            <w:r w:rsidRPr="00463667">
              <w:t>Mem</w:t>
            </w:r>
          </w:p>
        </w:tc>
        <w:tc>
          <w:tcPr>
            <w:tcW w:w="2888" w:type="pct"/>
            <w:vAlign w:val="center"/>
          </w:tcPr>
          <w:p w14:paraId="756DC97E" w14:textId="77777777" w:rsidR="00BF3DF9" w:rsidRPr="00463667" w:rsidRDefault="00BF3DF9" w:rsidP="00C56CA6">
            <w:pPr>
              <w:pStyle w:val="TableText"/>
            </w:pPr>
            <w:r w:rsidRPr="00463667">
              <w:t>Member Months Medical</w:t>
            </w:r>
          </w:p>
        </w:tc>
      </w:tr>
      <w:tr w:rsidR="00BF3DF9" w:rsidRPr="00463667" w14:paraId="4BA83709" w14:textId="77777777" w:rsidTr="00974E25">
        <w:trPr>
          <w:cantSplit/>
        </w:trPr>
        <w:tc>
          <w:tcPr>
            <w:tcW w:w="594" w:type="pct"/>
            <w:tcBorders>
              <w:top w:val="nil"/>
              <w:left w:val="nil"/>
              <w:bottom w:val="nil"/>
              <w:right w:val="nil"/>
            </w:tcBorders>
            <w:vAlign w:val="center"/>
          </w:tcPr>
          <w:p w14:paraId="648C0731" w14:textId="77777777" w:rsidR="00BF3DF9" w:rsidRPr="00463667" w:rsidRDefault="00BF3DF9" w:rsidP="00C56CA6">
            <w:pPr>
              <w:pStyle w:val="TableText"/>
            </w:pPr>
          </w:p>
        </w:tc>
        <w:tc>
          <w:tcPr>
            <w:tcW w:w="473" w:type="pct"/>
            <w:tcBorders>
              <w:top w:val="nil"/>
              <w:left w:val="nil"/>
              <w:bottom w:val="nil"/>
              <w:right w:val="nil"/>
            </w:tcBorders>
            <w:vAlign w:val="center"/>
          </w:tcPr>
          <w:p w14:paraId="6AFCD224" w14:textId="77777777" w:rsidR="00BF3DF9" w:rsidRPr="00463667" w:rsidRDefault="00BF3DF9" w:rsidP="00C56CA6">
            <w:pPr>
              <w:pStyle w:val="TableText"/>
            </w:pPr>
          </w:p>
        </w:tc>
        <w:tc>
          <w:tcPr>
            <w:tcW w:w="521" w:type="pct"/>
            <w:tcBorders>
              <w:top w:val="nil"/>
              <w:left w:val="nil"/>
              <w:bottom w:val="nil"/>
            </w:tcBorders>
            <w:vAlign w:val="center"/>
          </w:tcPr>
          <w:p w14:paraId="0016AC23" w14:textId="77777777" w:rsidR="00BF3DF9" w:rsidRPr="00463667" w:rsidRDefault="00BF3DF9" w:rsidP="00C56CA6">
            <w:pPr>
              <w:pStyle w:val="TableText"/>
            </w:pPr>
          </w:p>
        </w:tc>
        <w:tc>
          <w:tcPr>
            <w:tcW w:w="525" w:type="pct"/>
            <w:vAlign w:val="center"/>
          </w:tcPr>
          <w:p w14:paraId="00D67457" w14:textId="77777777" w:rsidR="00BF3DF9" w:rsidRPr="00463667" w:rsidRDefault="00BF3DF9" w:rsidP="00C56CA6">
            <w:pPr>
              <w:pStyle w:val="TableText"/>
            </w:pPr>
            <w:r w:rsidRPr="00463667">
              <w:t>Mem</w:t>
            </w:r>
          </w:p>
        </w:tc>
        <w:tc>
          <w:tcPr>
            <w:tcW w:w="2888" w:type="pct"/>
            <w:vAlign w:val="center"/>
          </w:tcPr>
          <w:p w14:paraId="3E39D4DF" w14:textId="77777777" w:rsidR="00BF3DF9" w:rsidRPr="00463667" w:rsidRDefault="00BF3DF9" w:rsidP="00C56CA6">
            <w:pPr>
              <w:pStyle w:val="TableText"/>
            </w:pPr>
            <w:r w:rsidRPr="00463667">
              <w:t>Member Months Pharmacy</w:t>
            </w:r>
          </w:p>
        </w:tc>
      </w:tr>
    </w:tbl>
    <w:p w14:paraId="0F543023" w14:textId="77777777" w:rsidR="00BF3DF9" w:rsidRPr="00463667" w:rsidRDefault="00BF3DF9" w:rsidP="00BF3DF9">
      <w:pPr>
        <w:sectPr w:rsidR="00BF3DF9" w:rsidRPr="00463667" w:rsidSect="00C56CA6">
          <w:headerReference w:type="default" r:id="rId47"/>
          <w:pgSz w:w="12240" w:h="15840" w:code="1"/>
          <w:pgMar w:top="1080" w:right="1080" w:bottom="1080" w:left="1440" w:header="720" w:footer="720" w:gutter="0"/>
          <w:cols w:space="720"/>
        </w:sectPr>
      </w:pPr>
    </w:p>
    <w:p w14:paraId="2BC7565A" w14:textId="6306839E" w:rsidR="00BF3DF9" w:rsidRPr="00463667" w:rsidRDefault="00740D50" w:rsidP="00752BC5">
      <w:pPr>
        <w:pStyle w:val="TableHeadNotCondensed"/>
        <w:spacing w:before="0"/>
        <w:ind w:left="1980" w:hanging="1980"/>
      </w:pPr>
      <w:r>
        <w:lastRenderedPageBreak/>
        <w:t>Table RDI-C-1/2/3:</w:t>
      </w:r>
      <w:r>
        <w:tab/>
      </w:r>
      <w:r w:rsidR="00BF3DF9" w:rsidRPr="00463667">
        <w:t xml:space="preserve">Data Elements for Relative Resource Use for People </w:t>
      </w:r>
      <w:r>
        <w:br/>
      </w:r>
      <w:r w:rsidR="00BF3DF9" w:rsidRPr="00463667">
        <w:t>With Diabetes</w:t>
      </w:r>
    </w:p>
    <w:tbl>
      <w:tblPr>
        <w:tblW w:w="783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7830"/>
      </w:tblGrid>
      <w:tr w:rsidR="00BF3DF9" w:rsidRPr="00463667" w14:paraId="10F877A0" w14:textId="77777777" w:rsidTr="00974E25">
        <w:trPr>
          <w:trHeight w:val="300"/>
        </w:trPr>
        <w:tc>
          <w:tcPr>
            <w:tcW w:w="7830" w:type="dxa"/>
            <w:shd w:val="clear" w:color="auto" w:fill="000000"/>
            <w:noWrap/>
            <w:tcMar>
              <w:top w:w="0" w:type="dxa"/>
              <w:left w:w="108" w:type="dxa"/>
              <w:bottom w:w="0" w:type="dxa"/>
              <w:right w:w="108" w:type="dxa"/>
            </w:tcMar>
            <w:vAlign w:val="bottom"/>
            <w:hideMark/>
          </w:tcPr>
          <w:p w14:paraId="194897E9" w14:textId="77777777" w:rsidR="00BF3DF9" w:rsidRPr="00463667" w:rsidRDefault="00BF3DF9" w:rsidP="00C56CA6">
            <w:pPr>
              <w:pStyle w:val="TableHead"/>
              <w:rPr>
                <w:color w:val="auto"/>
              </w:rPr>
            </w:pPr>
            <w:r w:rsidRPr="00463667">
              <w:rPr>
                <w:color w:val="auto"/>
              </w:rPr>
              <w:t>Data Element</w:t>
            </w:r>
          </w:p>
        </w:tc>
      </w:tr>
      <w:tr w:rsidR="00BF3DF9" w:rsidRPr="00463667" w14:paraId="75F84366" w14:textId="77777777" w:rsidTr="00974E25">
        <w:tc>
          <w:tcPr>
            <w:tcW w:w="7830" w:type="dxa"/>
            <w:shd w:val="clear" w:color="auto" w:fill="auto"/>
            <w:noWrap/>
            <w:tcMar>
              <w:top w:w="0" w:type="dxa"/>
              <w:left w:w="108" w:type="dxa"/>
              <w:bottom w:w="0" w:type="dxa"/>
              <w:right w:w="108" w:type="dxa"/>
            </w:tcMar>
            <w:vAlign w:val="center"/>
            <w:hideMark/>
          </w:tcPr>
          <w:p w14:paraId="2711EE86" w14:textId="77777777" w:rsidR="00BF3DF9" w:rsidRPr="00463667" w:rsidRDefault="00BF3DF9" w:rsidP="00C56CA6">
            <w:pPr>
              <w:pStyle w:val="TableText"/>
            </w:pPr>
            <w:r w:rsidRPr="00463667">
              <w:t>Eligible Population</w:t>
            </w:r>
          </w:p>
        </w:tc>
      </w:tr>
      <w:tr w:rsidR="00BF3DF9" w:rsidRPr="00463667" w14:paraId="0AB9D6A1" w14:textId="77777777" w:rsidTr="00974E25">
        <w:tc>
          <w:tcPr>
            <w:tcW w:w="7830" w:type="dxa"/>
            <w:shd w:val="clear" w:color="auto" w:fill="auto"/>
            <w:noWrap/>
            <w:tcMar>
              <w:top w:w="0" w:type="dxa"/>
              <w:left w:w="108" w:type="dxa"/>
              <w:bottom w:w="0" w:type="dxa"/>
              <w:right w:w="108" w:type="dxa"/>
            </w:tcMar>
            <w:vAlign w:val="center"/>
            <w:hideMark/>
          </w:tcPr>
          <w:p w14:paraId="503E8D26" w14:textId="77777777" w:rsidR="00BF3DF9" w:rsidRPr="00463667" w:rsidRDefault="00BF3DF9" w:rsidP="00C56CA6">
            <w:pPr>
              <w:pStyle w:val="TableText"/>
            </w:pPr>
            <w:r w:rsidRPr="00463667">
              <w:t>Exclusions</w:t>
            </w:r>
          </w:p>
        </w:tc>
      </w:tr>
      <w:tr w:rsidR="00BF3DF9" w:rsidRPr="00463667" w14:paraId="39FC092F" w14:textId="77777777" w:rsidTr="00974E25">
        <w:tc>
          <w:tcPr>
            <w:tcW w:w="7830" w:type="dxa"/>
            <w:shd w:val="clear" w:color="auto" w:fill="auto"/>
            <w:noWrap/>
            <w:tcMar>
              <w:top w:w="0" w:type="dxa"/>
              <w:left w:w="108" w:type="dxa"/>
              <w:bottom w:w="0" w:type="dxa"/>
              <w:right w:w="108" w:type="dxa"/>
            </w:tcMar>
            <w:vAlign w:val="center"/>
            <w:hideMark/>
          </w:tcPr>
          <w:p w14:paraId="166BA094" w14:textId="77777777" w:rsidR="00BF3DF9" w:rsidRPr="00463667" w:rsidRDefault="00BF3DF9" w:rsidP="00C56CA6">
            <w:pPr>
              <w:pStyle w:val="TableText"/>
            </w:pPr>
            <w:r w:rsidRPr="00463667">
              <w:t xml:space="preserve">Eligible Population per 1,000 MY Medical </w:t>
            </w:r>
          </w:p>
        </w:tc>
      </w:tr>
      <w:tr w:rsidR="00BF3DF9" w:rsidRPr="00463667" w14:paraId="360624F7" w14:textId="77777777" w:rsidTr="00974E25">
        <w:tc>
          <w:tcPr>
            <w:tcW w:w="7830" w:type="dxa"/>
            <w:shd w:val="clear" w:color="auto" w:fill="auto"/>
            <w:noWrap/>
            <w:tcMar>
              <w:top w:w="0" w:type="dxa"/>
              <w:left w:w="108" w:type="dxa"/>
              <w:bottom w:w="0" w:type="dxa"/>
              <w:right w:w="108" w:type="dxa"/>
            </w:tcMar>
            <w:vAlign w:val="center"/>
            <w:hideMark/>
          </w:tcPr>
          <w:p w14:paraId="14F92B7D" w14:textId="77777777" w:rsidR="00BF3DF9" w:rsidRPr="00463667" w:rsidRDefault="00BF3DF9" w:rsidP="00C56CA6">
            <w:pPr>
              <w:pStyle w:val="TableText"/>
            </w:pPr>
            <w:r w:rsidRPr="00463667">
              <w:t>Eligible Population per 1,000 MY Pharmacy</w:t>
            </w:r>
          </w:p>
        </w:tc>
      </w:tr>
      <w:tr w:rsidR="00BF3DF9" w:rsidRPr="00463667" w14:paraId="30EA716E" w14:textId="77777777" w:rsidTr="00974E25">
        <w:tc>
          <w:tcPr>
            <w:tcW w:w="7830" w:type="dxa"/>
            <w:shd w:val="clear" w:color="auto" w:fill="auto"/>
            <w:noWrap/>
            <w:tcMar>
              <w:top w:w="0" w:type="dxa"/>
              <w:left w:w="108" w:type="dxa"/>
              <w:bottom w:w="0" w:type="dxa"/>
              <w:right w:w="108" w:type="dxa"/>
            </w:tcMar>
            <w:vAlign w:val="center"/>
            <w:hideMark/>
          </w:tcPr>
          <w:p w14:paraId="24C4E74E" w14:textId="77777777" w:rsidR="00BF3DF9" w:rsidRPr="00463667" w:rsidRDefault="00BF3DF9" w:rsidP="00C56CA6">
            <w:pPr>
              <w:pStyle w:val="TableText"/>
            </w:pPr>
            <w:r w:rsidRPr="00463667">
              <w:t>Name Brand Only Count (N1)</w:t>
            </w:r>
          </w:p>
        </w:tc>
      </w:tr>
      <w:tr w:rsidR="00BF3DF9" w:rsidRPr="00463667" w14:paraId="1A3F17AD" w14:textId="77777777" w:rsidTr="00974E25">
        <w:tc>
          <w:tcPr>
            <w:tcW w:w="7830" w:type="dxa"/>
            <w:shd w:val="clear" w:color="auto" w:fill="FFFFFF"/>
            <w:noWrap/>
            <w:tcMar>
              <w:top w:w="0" w:type="dxa"/>
              <w:left w:w="108" w:type="dxa"/>
              <w:bottom w:w="0" w:type="dxa"/>
              <w:right w:w="108" w:type="dxa"/>
            </w:tcMar>
            <w:vAlign w:val="center"/>
            <w:hideMark/>
          </w:tcPr>
          <w:p w14:paraId="2D0E577D" w14:textId="77777777" w:rsidR="00BF3DF9" w:rsidRPr="00463667" w:rsidRDefault="00BF3DF9" w:rsidP="00C56CA6">
            <w:pPr>
              <w:pStyle w:val="TableText"/>
            </w:pPr>
            <w:r w:rsidRPr="00463667">
              <w:t>Name Brand Generic Exists Count (N2)</w:t>
            </w:r>
          </w:p>
        </w:tc>
      </w:tr>
      <w:tr w:rsidR="00BF3DF9" w:rsidRPr="00463667" w14:paraId="0D9902FD" w14:textId="77777777" w:rsidTr="00974E25">
        <w:tc>
          <w:tcPr>
            <w:tcW w:w="7830" w:type="dxa"/>
            <w:shd w:val="clear" w:color="auto" w:fill="FFFFFF"/>
            <w:noWrap/>
            <w:tcMar>
              <w:top w:w="0" w:type="dxa"/>
              <w:left w:w="108" w:type="dxa"/>
              <w:bottom w:w="0" w:type="dxa"/>
              <w:right w:w="108" w:type="dxa"/>
            </w:tcMar>
            <w:vAlign w:val="center"/>
            <w:hideMark/>
          </w:tcPr>
          <w:p w14:paraId="017C0358" w14:textId="77777777" w:rsidR="00BF3DF9" w:rsidRPr="00463667" w:rsidRDefault="00BF3DF9" w:rsidP="00C56CA6">
            <w:pPr>
              <w:pStyle w:val="TableText"/>
            </w:pPr>
            <w:r w:rsidRPr="00463667">
              <w:t>Generic Only Count (G1)</w:t>
            </w:r>
          </w:p>
        </w:tc>
      </w:tr>
      <w:tr w:rsidR="00BF3DF9" w:rsidRPr="00463667" w14:paraId="24408D6C" w14:textId="77777777" w:rsidTr="00974E25">
        <w:tc>
          <w:tcPr>
            <w:tcW w:w="7830" w:type="dxa"/>
            <w:shd w:val="clear" w:color="auto" w:fill="FFFFFF"/>
            <w:noWrap/>
            <w:tcMar>
              <w:top w:w="0" w:type="dxa"/>
              <w:left w:w="108" w:type="dxa"/>
              <w:bottom w:w="0" w:type="dxa"/>
              <w:right w:w="108" w:type="dxa"/>
            </w:tcMar>
            <w:vAlign w:val="center"/>
            <w:hideMark/>
          </w:tcPr>
          <w:p w14:paraId="42146A58" w14:textId="77777777" w:rsidR="00BF3DF9" w:rsidRPr="00463667" w:rsidRDefault="00BF3DF9" w:rsidP="00C56CA6">
            <w:pPr>
              <w:pStyle w:val="TableText"/>
            </w:pPr>
            <w:r w:rsidRPr="00463667">
              <w:t>Generic Name Brand Exists Count (G2)</w:t>
            </w:r>
          </w:p>
        </w:tc>
      </w:tr>
      <w:tr w:rsidR="00BF3DF9" w:rsidRPr="00463667" w14:paraId="111679FD" w14:textId="77777777" w:rsidTr="00974E25">
        <w:tc>
          <w:tcPr>
            <w:tcW w:w="7830" w:type="dxa"/>
            <w:shd w:val="clear" w:color="auto" w:fill="FFFFFF"/>
            <w:noWrap/>
            <w:tcMar>
              <w:top w:w="0" w:type="dxa"/>
              <w:left w:w="108" w:type="dxa"/>
              <w:bottom w:w="0" w:type="dxa"/>
              <w:right w:w="108" w:type="dxa"/>
            </w:tcMar>
            <w:vAlign w:val="center"/>
            <w:hideMark/>
          </w:tcPr>
          <w:p w14:paraId="5B7E2320" w14:textId="77777777" w:rsidR="00BF3DF9" w:rsidRPr="00463667" w:rsidRDefault="00BF3DF9" w:rsidP="00C56CA6">
            <w:pPr>
              <w:pStyle w:val="TableText"/>
            </w:pPr>
            <w:r w:rsidRPr="00463667">
              <w:t>Total Prescriptions (N1+N2+G1+G2)</w:t>
            </w:r>
          </w:p>
        </w:tc>
      </w:tr>
      <w:tr w:rsidR="00BF3DF9" w:rsidRPr="00463667" w14:paraId="4ACEFA3A" w14:textId="77777777" w:rsidTr="00974E25">
        <w:tc>
          <w:tcPr>
            <w:tcW w:w="7830" w:type="dxa"/>
            <w:shd w:val="clear" w:color="auto" w:fill="FFFFFF"/>
            <w:noWrap/>
            <w:tcMar>
              <w:top w:w="0" w:type="dxa"/>
              <w:left w:w="108" w:type="dxa"/>
              <w:bottom w:w="0" w:type="dxa"/>
              <w:right w:w="108" w:type="dxa"/>
            </w:tcMar>
            <w:vAlign w:val="center"/>
            <w:hideMark/>
          </w:tcPr>
          <w:p w14:paraId="26529FF3" w14:textId="77777777" w:rsidR="00BF3DF9" w:rsidRPr="00463667" w:rsidRDefault="00BF3DF9" w:rsidP="00C56CA6">
            <w:pPr>
              <w:pStyle w:val="TableText"/>
            </w:pPr>
            <w:r w:rsidRPr="00463667">
              <w:t>Generic Utilization Rate [(G1 + G2)/(N2+G1+G2)]</w:t>
            </w:r>
          </w:p>
        </w:tc>
      </w:tr>
      <w:tr w:rsidR="00BF3DF9" w:rsidRPr="00463667" w14:paraId="38B5243C" w14:textId="77777777" w:rsidTr="00974E25">
        <w:tc>
          <w:tcPr>
            <w:tcW w:w="7830" w:type="dxa"/>
            <w:shd w:val="clear" w:color="auto" w:fill="FFFFFF"/>
            <w:noWrap/>
            <w:tcMar>
              <w:top w:w="0" w:type="dxa"/>
              <w:left w:w="108" w:type="dxa"/>
              <w:bottom w:w="0" w:type="dxa"/>
              <w:right w:w="108" w:type="dxa"/>
            </w:tcMar>
            <w:vAlign w:val="center"/>
            <w:hideMark/>
          </w:tcPr>
          <w:p w14:paraId="016271D2" w14:textId="77777777" w:rsidR="00BF3DF9" w:rsidRPr="00463667" w:rsidRDefault="00BF3DF9" w:rsidP="00C56CA6">
            <w:pPr>
              <w:pStyle w:val="TableText"/>
            </w:pPr>
            <w:r w:rsidRPr="00463667">
              <w:t>Generic Substitution Rate [(G2)/(N2+G2)]</w:t>
            </w:r>
          </w:p>
        </w:tc>
      </w:tr>
      <w:tr w:rsidR="00BF3DF9" w:rsidRPr="00463667" w14:paraId="4DE58830" w14:textId="77777777" w:rsidTr="00974E25">
        <w:tc>
          <w:tcPr>
            <w:tcW w:w="7830" w:type="dxa"/>
            <w:shd w:val="clear" w:color="auto" w:fill="FFFFFF"/>
            <w:noWrap/>
            <w:tcMar>
              <w:top w:w="0" w:type="dxa"/>
              <w:left w:w="108" w:type="dxa"/>
              <w:bottom w:w="0" w:type="dxa"/>
              <w:right w:w="108" w:type="dxa"/>
            </w:tcMar>
            <w:vAlign w:val="center"/>
            <w:hideMark/>
          </w:tcPr>
          <w:p w14:paraId="183BEC50" w14:textId="77777777" w:rsidR="00BF3DF9" w:rsidRPr="00463667" w:rsidRDefault="00BF3DF9" w:rsidP="00C56CA6">
            <w:pPr>
              <w:pStyle w:val="TableText"/>
            </w:pPr>
            <w:r w:rsidRPr="00463667">
              <w:t>Overall Generic Utilization [(G1+G2)/(N1+N2+G1+G2)]</w:t>
            </w:r>
          </w:p>
        </w:tc>
      </w:tr>
      <w:tr w:rsidR="00BF3DF9" w:rsidRPr="00463667" w14:paraId="008D48E2" w14:textId="77777777" w:rsidTr="00974E25">
        <w:tc>
          <w:tcPr>
            <w:tcW w:w="7830" w:type="dxa"/>
            <w:shd w:val="clear" w:color="auto" w:fill="auto"/>
            <w:noWrap/>
            <w:tcMar>
              <w:top w:w="0" w:type="dxa"/>
              <w:left w:w="108" w:type="dxa"/>
              <w:bottom w:w="0" w:type="dxa"/>
              <w:right w:w="108" w:type="dxa"/>
            </w:tcMar>
            <w:vAlign w:val="center"/>
            <w:hideMark/>
          </w:tcPr>
          <w:p w14:paraId="79A66C15" w14:textId="77777777" w:rsidR="00BF3DF9" w:rsidRPr="00463667" w:rsidRDefault="00BF3DF9" w:rsidP="00C56CA6">
            <w:pPr>
              <w:pStyle w:val="TableText"/>
            </w:pPr>
            <w:r w:rsidRPr="00463667">
              <w:t>Inpatient Facility PMPM</w:t>
            </w:r>
          </w:p>
        </w:tc>
      </w:tr>
      <w:tr w:rsidR="00BF3DF9" w:rsidRPr="00463667" w14:paraId="5B69A043" w14:textId="77777777" w:rsidTr="00974E25">
        <w:tc>
          <w:tcPr>
            <w:tcW w:w="7830" w:type="dxa"/>
            <w:shd w:val="clear" w:color="auto" w:fill="auto"/>
            <w:noWrap/>
            <w:tcMar>
              <w:top w:w="0" w:type="dxa"/>
              <w:left w:w="108" w:type="dxa"/>
              <w:bottom w:w="0" w:type="dxa"/>
              <w:right w:w="108" w:type="dxa"/>
            </w:tcMar>
            <w:vAlign w:val="center"/>
            <w:hideMark/>
          </w:tcPr>
          <w:p w14:paraId="4731C544" w14:textId="77777777" w:rsidR="00BF3DF9" w:rsidRPr="00463667" w:rsidRDefault="00BF3DF9" w:rsidP="00C56CA6">
            <w:pPr>
              <w:pStyle w:val="TableText"/>
            </w:pPr>
            <w:r w:rsidRPr="00463667">
              <w:t>E&amp;M Inpatient Services PMPM</w:t>
            </w:r>
          </w:p>
        </w:tc>
      </w:tr>
      <w:tr w:rsidR="00BF3DF9" w:rsidRPr="00463667" w14:paraId="7C562755" w14:textId="77777777" w:rsidTr="00974E25">
        <w:tc>
          <w:tcPr>
            <w:tcW w:w="7830" w:type="dxa"/>
            <w:shd w:val="clear" w:color="auto" w:fill="auto"/>
            <w:noWrap/>
            <w:tcMar>
              <w:top w:w="0" w:type="dxa"/>
              <w:left w:w="108" w:type="dxa"/>
              <w:bottom w:w="0" w:type="dxa"/>
              <w:right w:w="108" w:type="dxa"/>
            </w:tcMar>
            <w:vAlign w:val="center"/>
            <w:hideMark/>
          </w:tcPr>
          <w:p w14:paraId="7E36187B" w14:textId="77777777" w:rsidR="00BF3DF9" w:rsidRPr="00463667" w:rsidRDefault="00BF3DF9" w:rsidP="00C56CA6">
            <w:pPr>
              <w:pStyle w:val="TableText"/>
            </w:pPr>
            <w:r w:rsidRPr="00463667">
              <w:t>E&amp;M Outpatient Services PMPM</w:t>
            </w:r>
          </w:p>
        </w:tc>
      </w:tr>
      <w:tr w:rsidR="00BF3DF9" w:rsidRPr="00463667" w14:paraId="18350766" w14:textId="77777777" w:rsidTr="00974E25">
        <w:tc>
          <w:tcPr>
            <w:tcW w:w="7830" w:type="dxa"/>
            <w:shd w:val="clear" w:color="auto" w:fill="auto"/>
            <w:noWrap/>
            <w:tcMar>
              <w:top w:w="0" w:type="dxa"/>
              <w:left w:w="108" w:type="dxa"/>
              <w:bottom w:w="0" w:type="dxa"/>
              <w:right w:w="108" w:type="dxa"/>
            </w:tcMar>
            <w:vAlign w:val="center"/>
            <w:hideMark/>
          </w:tcPr>
          <w:p w14:paraId="102FE370" w14:textId="77777777" w:rsidR="00BF3DF9" w:rsidRPr="00463667" w:rsidRDefault="00BF3DF9" w:rsidP="00C56CA6">
            <w:pPr>
              <w:pStyle w:val="TableText"/>
            </w:pPr>
            <w:r w:rsidRPr="00463667">
              <w:t>Surgery &amp; Procedure Inpatient Services PMPM</w:t>
            </w:r>
          </w:p>
        </w:tc>
      </w:tr>
      <w:tr w:rsidR="00BF3DF9" w:rsidRPr="00463667" w14:paraId="7B872953" w14:textId="77777777" w:rsidTr="00974E25">
        <w:tc>
          <w:tcPr>
            <w:tcW w:w="7830" w:type="dxa"/>
            <w:shd w:val="clear" w:color="auto" w:fill="auto"/>
            <w:noWrap/>
            <w:tcMar>
              <w:top w:w="0" w:type="dxa"/>
              <w:left w:w="108" w:type="dxa"/>
              <w:bottom w:w="0" w:type="dxa"/>
              <w:right w:w="108" w:type="dxa"/>
            </w:tcMar>
            <w:vAlign w:val="center"/>
            <w:hideMark/>
          </w:tcPr>
          <w:p w14:paraId="45698103" w14:textId="77777777" w:rsidR="00BF3DF9" w:rsidRPr="00463667" w:rsidRDefault="00BF3DF9" w:rsidP="00C56CA6">
            <w:pPr>
              <w:pStyle w:val="TableText"/>
            </w:pPr>
            <w:r w:rsidRPr="00463667">
              <w:t>Surgery &amp; Procedure Outpatient Services PMPM</w:t>
            </w:r>
          </w:p>
        </w:tc>
      </w:tr>
      <w:tr w:rsidR="00BF3DF9" w:rsidRPr="00463667" w14:paraId="1947DFC5" w14:textId="77777777" w:rsidTr="00974E25">
        <w:tc>
          <w:tcPr>
            <w:tcW w:w="7830" w:type="dxa"/>
            <w:shd w:val="clear" w:color="auto" w:fill="auto"/>
            <w:noWrap/>
            <w:tcMar>
              <w:top w:w="0" w:type="dxa"/>
              <w:left w:w="108" w:type="dxa"/>
              <w:bottom w:w="0" w:type="dxa"/>
              <w:right w:w="108" w:type="dxa"/>
            </w:tcMar>
            <w:vAlign w:val="center"/>
            <w:hideMark/>
          </w:tcPr>
          <w:p w14:paraId="0B49622C" w14:textId="77777777" w:rsidR="00BF3DF9" w:rsidRPr="00463667" w:rsidRDefault="00BF3DF9" w:rsidP="00C56CA6">
            <w:pPr>
              <w:pStyle w:val="TableText"/>
            </w:pPr>
            <w:r w:rsidRPr="00463667">
              <w:t>Imaging Services PMPM</w:t>
            </w:r>
          </w:p>
        </w:tc>
      </w:tr>
      <w:tr w:rsidR="00BF3DF9" w:rsidRPr="00463667" w14:paraId="07D264D6" w14:textId="77777777" w:rsidTr="00974E25">
        <w:tc>
          <w:tcPr>
            <w:tcW w:w="7830" w:type="dxa"/>
            <w:shd w:val="clear" w:color="auto" w:fill="auto"/>
            <w:noWrap/>
            <w:tcMar>
              <w:top w:w="0" w:type="dxa"/>
              <w:left w:w="108" w:type="dxa"/>
              <w:bottom w:w="0" w:type="dxa"/>
              <w:right w:w="108" w:type="dxa"/>
            </w:tcMar>
            <w:vAlign w:val="center"/>
            <w:hideMark/>
          </w:tcPr>
          <w:p w14:paraId="75603B5D" w14:textId="77777777" w:rsidR="00BF3DF9" w:rsidRPr="00463667" w:rsidRDefault="00BF3DF9" w:rsidP="00C56CA6">
            <w:pPr>
              <w:pStyle w:val="TableText"/>
            </w:pPr>
            <w:r w:rsidRPr="00463667">
              <w:t>Laboratory Services PMPM</w:t>
            </w:r>
          </w:p>
        </w:tc>
      </w:tr>
      <w:tr w:rsidR="00BF3DF9" w:rsidRPr="00463667" w14:paraId="335C0DDD" w14:textId="77777777" w:rsidTr="00974E25">
        <w:tc>
          <w:tcPr>
            <w:tcW w:w="7830" w:type="dxa"/>
            <w:shd w:val="clear" w:color="auto" w:fill="auto"/>
            <w:noWrap/>
            <w:tcMar>
              <w:top w:w="0" w:type="dxa"/>
              <w:left w:w="108" w:type="dxa"/>
              <w:bottom w:w="0" w:type="dxa"/>
              <w:right w:w="108" w:type="dxa"/>
            </w:tcMar>
            <w:vAlign w:val="center"/>
            <w:hideMark/>
          </w:tcPr>
          <w:p w14:paraId="2D731792" w14:textId="77777777" w:rsidR="00BF3DF9" w:rsidRPr="00463667" w:rsidRDefault="00BF3DF9" w:rsidP="00C56CA6">
            <w:pPr>
              <w:pStyle w:val="TableText"/>
            </w:pPr>
            <w:r w:rsidRPr="00463667">
              <w:t>Pharmacy PMPM</w:t>
            </w:r>
          </w:p>
        </w:tc>
      </w:tr>
      <w:tr w:rsidR="00BF3DF9" w:rsidRPr="00463667" w14:paraId="45B9953C" w14:textId="77777777" w:rsidTr="00974E25">
        <w:tc>
          <w:tcPr>
            <w:tcW w:w="7830" w:type="dxa"/>
            <w:shd w:val="clear" w:color="auto" w:fill="auto"/>
            <w:noWrap/>
            <w:tcMar>
              <w:top w:w="0" w:type="dxa"/>
              <w:left w:w="108" w:type="dxa"/>
              <w:bottom w:w="0" w:type="dxa"/>
              <w:right w:w="108" w:type="dxa"/>
            </w:tcMar>
            <w:vAlign w:val="center"/>
            <w:hideMark/>
          </w:tcPr>
          <w:p w14:paraId="6D8C983F" w14:textId="77777777" w:rsidR="00BF3DF9" w:rsidRPr="00463667" w:rsidRDefault="00BF3DF9" w:rsidP="00C56CA6">
            <w:pPr>
              <w:pStyle w:val="TableText"/>
            </w:pPr>
            <w:r w:rsidRPr="00463667">
              <w:t>Inpatient Facility: Acute Inpatient: Medical Days per 1,000 MY</w:t>
            </w:r>
          </w:p>
        </w:tc>
      </w:tr>
      <w:tr w:rsidR="00BF3DF9" w:rsidRPr="00463667" w14:paraId="1ABB6DA7" w14:textId="77777777" w:rsidTr="00974E25">
        <w:tc>
          <w:tcPr>
            <w:tcW w:w="7830" w:type="dxa"/>
            <w:shd w:val="clear" w:color="auto" w:fill="auto"/>
            <w:noWrap/>
            <w:tcMar>
              <w:top w:w="0" w:type="dxa"/>
              <w:left w:w="108" w:type="dxa"/>
              <w:bottom w:w="0" w:type="dxa"/>
              <w:right w:w="108" w:type="dxa"/>
            </w:tcMar>
            <w:vAlign w:val="center"/>
            <w:hideMark/>
          </w:tcPr>
          <w:p w14:paraId="7B9EEB72" w14:textId="77777777" w:rsidR="00BF3DF9" w:rsidRPr="00463667" w:rsidRDefault="00BF3DF9" w:rsidP="00C56CA6">
            <w:pPr>
              <w:pStyle w:val="TableText"/>
            </w:pPr>
            <w:r w:rsidRPr="00463667">
              <w:t>Inpatient Facility: Acute Inpatient: Medical Discharges per 1,000 MY</w:t>
            </w:r>
          </w:p>
        </w:tc>
      </w:tr>
      <w:tr w:rsidR="00BF3DF9" w:rsidRPr="00463667" w14:paraId="406F0AD7" w14:textId="77777777" w:rsidTr="00974E25">
        <w:tc>
          <w:tcPr>
            <w:tcW w:w="7830" w:type="dxa"/>
            <w:shd w:val="clear" w:color="auto" w:fill="auto"/>
            <w:noWrap/>
            <w:tcMar>
              <w:top w:w="0" w:type="dxa"/>
              <w:left w:w="108" w:type="dxa"/>
              <w:bottom w:w="0" w:type="dxa"/>
              <w:right w:w="108" w:type="dxa"/>
            </w:tcMar>
            <w:vAlign w:val="center"/>
            <w:hideMark/>
          </w:tcPr>
          <w:p w14:paraId="236A4F40" w14:textId="77777777" w:rsidR="00BF3DF9" w:rsidRPr="00463667" w:rsidRDefault="00BF3DF9" w:rsidP="00C56CA6">
            <w:pPr>
              <w:pStyle w:val="TableText"/>
            </w:pPr>
            <w:r w:rsidRPr="00463667">
              <w:t>Inpatient Facility: Acute Inpatient: Surgery Days per 1,000 MY</w:t>
            </w:r>
          </w:p>
        </w:tc>
      </w:tr>
      <w:tr w:rsidR="00BF3DF9" w:rsidRPr="00463667" w14:paraId="303478C8" w14:textId="77777777" w:rsidTr="00974E25">
        <w:tc>
          <w:tcPr>
            <w:tcW w:w="7830" w:type="dxa"/>
            <w:shd w:val="clear" w:color="auto" w:fill="auto"/>
            <w:noWrap/>
            <w:tcMar>
              <w:top w:w="0" w:type="dxa"/>
              <w:left w:w="108" w:type="dxa"/>
              <w:bottom w:w="0" w:type="dxa"/>
              <w:right w:w="108" w:type="dxa"/>
            </w:tcMar>
            <w:vAlign w:val="center"/>
            <w:hideMark/>
          </w:tcPr>
          <w:p w14:paraId="7EFFA39B" w14:textId="77777777" w:rsidR="00BF3DF9" w:rsidRPr="00463667" w:rsidRDefault="00BF3DF9" w:rsidP="00C56CA6">
            <w:pPr>
              <w:pStyle w:val="TableText"/>
            </w:pPr>
            <w:r w:rsidRPr="00463667">
              <w:t>Inpatient Facility: Acute Inpatient: Surgery Discharges per 1,000 MY</w:t>
            </w:r>
          </w:p>
        </w:tc>
      </w:tr>
      <w:tr w:rsidR="00BF3DF9" w:rsidRPr="00463667" w14:paraId="6F3A831F" w14:textId="77777777" w:rsidTr="00974E25">
        <w:tc>
          <w:tcPr>
            <w:tcW w:w="7830" w:type="dxa"/>
            <w:shd w:val="clear" w:color="auto" w:fill="auto"/>
            <w:noWrap/>
            <w:tcMar>
              <w:top w:w="0" w:type="dxa"/>
              <w:left w:w="108" w:type="dxa"/>
              <w:bottom w:w="0" w:type="dxa"/>
              <w:right w:w="108" w:type="dxa"/>
            </w:tcMar>
            <w:vAlign w:val="center"/>
            <w:hideMark/>
          </w:tcPr>
          <w:p w14:paraId="680A53B7" w14:textId="77777777" w:rsidR="00BF3DF9" w:rsidRPr="00463667" w:rsidRDefault="00BF3DF9" w:rsidP="00C56CA6">
            <w:pPr>
              <w:pStyle w:val="TableText"/>
            </w:pPr>
            <w:r w:rsidRPr="00463667">
              <w:t>Inpatient Facility: Nonacute Days per 1,000 MY</w:t>
            </w:r>
          </w:p>
        </w:tc>
      </w:tr>
      <w:tr w:rsidR="00BF3DF9" w:rsidRPr="00463667" w14:paraId="51A24A84" w14:textId="77777777" w:rsidTr="00974E25">
        <w:tc>
          <w:tcPr>
            <w:tcW w:w="7830" w:type="dxa"/>
            <w:shd w:val="clear" w:color="auto" w:fill="auto"/>
            <w:noWrap/>
            <w:tcMar>
              <w:top w:w="0" w:type="dxa"/>
              <w:left w:w="108" w:type="dxa"/>
              <w:bottom w:w="0" w:type="dxa"/>
              <w:right w:w="108" w:type="dxa"/>
            </w:tcMar>
            <w:vAlign w:val="center"/>
            <w:hideMark/>
          </w:tcPr>
          <w:p w14:paraId="32C52ED4" w14:textId="77777777" w:rsidR="00BF3DF9" w:rsidRPr="00463667" w:rsidRDefault="00BF3DF9" w:rsidP="00C56CA6">
            <w:pPr>
              <w:pStyle w:val="TableText"/>
            </w:pPr>
            <w:r w:rsidRPr="00463667">
              <w:t>Inpatient Facility: Nonacute Discharges per 1,000 MY</w:t>
            </w:r>
          </w:p>
        </w:tc>
      </w:tr>
      <w:tr w:rsidR="00BF3DF9" w:rsidRPr="00463667" w14:paraId="6B5EC6E9" w14:textId="77777777" w:rsidTr="00974E25">
        <w:tc>
          <w:tcPr>
            <w:tcW w:w="7830" w:type="dxa"/>
            <w:shd w:val="clear" w:color="auto" w:fill="auto"/>
            <w:noWrap/>
            <w:tcMar>
              <w:top w:w="0" w:type="dxa"/>
              <w:left w:w="108" w:type="dxa"/>
              <w:bottom w:w="0" w:type="dxa"/>
              <w:right w:w="108" w:type="dxa"/>
            </w:tcMar>
            <w:vAlign w:val="center"/>
            <w:hideMark/>
          </w:tcPr>
          <w:p w14:paraId="5A117913" w14:textId="77777777" w:rsidR="00BF3DF9" w:rsidRPr="00463667" w:rsidRDefault="00BF3DF9" w:rsidP="00C56CA6">
            <w:pPr>
              <w:pStyle w:val="TableText"/>
            </w:pPr>
            <w:r w:rsidRPr="00463667">
              <w:t>Inpatient Facility Acute Medical ALOS</w:t>
            </w:r>
          </w:p>
        </w:tc>
      </w:tr>
      <w:tr w:rsidR="00BF3DF9" w:rsidRPr="00463667" w14:paraId="142B99B9" w14:textId="77777777" w:rsidTr="00974E25">
        <w:tc>
          <w:tcPr>
            <w:tcW w:w="7830" w:type="dxa"/>
            <w:shd w:val="clear" w:color="auto" w:fill="auto"/>
            <w:noWrap/>
            <w:tcMar>
              <w:top w:w="0" w:type="dxa"/>
              <w:left w:w="108" w:type="dxa"/>
              <w:bottom w:w="0" w:type="dxa"/>
              <w:right w:w="108" w:type="dxa"/>
            </w:tcMar>
            <w:vAlign w:val="center"/>
            <w:hideMark/>
          </w:tcPr>
          <w:p w14:paraId="2E01BFE6" w14:textId="77777777" w:rsidR="00BF3DF9" w:rsidRPr="00463667" w:rsidRDefault="00BF3DF9" w:rsidP="00C56CA6">
            <w:pPr>
              <w:pStyle w:val="TableText"/>
            </w:pPr>
            <w:r w:rsidRPr="00463667">
              <w:t>Inpatient Facility Acute Surgery ALOS</w:t>
            </w:r>
          </w:p>
        </w:tc>
      </w:tr>
      <w:tr w:rsidR="00BF3DF9" w:rsidRPr="00463667" w14:paraId="26C3801A" w14:textId="77777777" w:rsidTr="00974E25">
        <w:tc>
          <w:tcPr>
            <w:tcW w:w="7830" w:type="dxa"/>
            <w:shd w:val="clear" w:color="auto" w:fill="auto"/>
            <w:noWrap/>
            <w:tcMar>
              <w:top w:w="0" w:type="dxa"/>
              <w:left w:w="108" w:type="dxa"/>
              <w:bottom w:w="0" w:type="dxa"/>
              <w:right w:w="108" w:type="dxa"/>
            </w:tcMar>
            <w:vAlign w:val="center"/>
            <w:hideMark/>
          </w:tcPr>
          <w:p w14:paraId="67B50667" w14:textId="77777777" w:rsidR="00BF3DF9" w:rsidRPr="00463667" w:rsidRDefault="00BF3DF9" w:rsidP="00C56CA6">
            <w:pPr>
              <w:pStyle w:val="TableText"/>
            </w:pPr>
            <w:r w:rsidRPr="00463667">
              <w:t>Inpatient Facility Nonacute ALOS</w:t>
            </w:r>
          </w:p>
        </w:tc>
      </w:tr>
      <w:tr w:rsidR="00BF3DF9" w:rsidRPr="00463667" w14:paraId="2D0BB8CB" w14:textId="77777777" w:rsidTr="00974E25">
        <w:tc>
          <w:tcPr>
            <w:tcW w:w="7830" w:type="dxa"/>
            <w:shd w:val="clear" w:color="auto" w:fill="auto"/>
            <w:noWrap/>
            <w:tcMar>
              <w:top w:w="0" w:type="dxa"/>
              <w:left w:w="108" w:type="dxa"/>
              <w:bottom w:w="0" w:type="dxa"/>
              <w:right w:w="108" w:type="dxa"/>
            </w:tcMar>
            <w:vAlign w:val="center"/>
            <w:hideMark/>
          </w:tcPr>
          <w:p w14:paraId="35162164" w14:textId="77777777" w:rsidR="00BF3DF9" w:rsidRPr="00463667" w:rsidRDefault="00BF3DF9" w:rsidP="00C56CA6">
            <w:pPr>
              <w:pStyle w:val="TableText"/>
            </w:pPr>
            <w:r w:rsidRPr="00463667">
              <w:t xml:space="preserve">Total Inpatient Facility Acute ALOS </w:t>
            </w:r>
          </w:p>
        </w:tc>
      </w:tr>
      <w:tr w:rsidR="00BF3DF9" w:rsidRPr="00463667" w14:paraId="32477F20" w14:textId="77777777" w:rsidTr="00974E25">
        <w:tc>
          <w:tcPr>
            <w:tcW w:w="7830" w:type="dxa"/>
            <w:shd w:val="clear" w:color="auto" w:fill="auto"/>
            <w:noWrap/>
            <w:tcMar>
              <w:top w:w="0" w:type="dxa"/>
              <w:left w:w="108" w:type="dxa"/>
              <w:bottom w:w="0" w:type="dxa"/>
              <w:right w:w="108" w:type="dxa"/>
            </w:tcMar>
            <w:vAlign w:val="center"/>
            <w:hideMark/>
          </w:tcPr>
          <w:p w14:paraId="35BD17D1" w14:textId="77777777" w:rsidR="00BF3DF9" w:rsidRPr="00463667" w:rsidRDefault="00BF3DF9" w:rsidP="00C56CA6">
            <w:pPr>
              <w:pStyle w:val="TableText"/>
            </w:pPr>
            <w:r w:rsidRPr="00463667">
              <w:t>Total Inpatient Facility ALOS</w:t>
            </w:r>
          </w:p>
        </w:tc>
      </w:tr>
      <w:tr w:rsidR="00BF3DF9" w:rsidRPr="00463667" w14:paraId="0EA9DFEC" w14:textId="77777777" w:rsidTr="00974E25">
        <w:tc>
          <w:tcPr>
            <w:tcW w:w="7830" w:type="dxa"/>
            <w:shd w:val="clear" w:color="auto" w:fill="auto"/>
            <w:noWrap/>
            <w:tcMar>
              <w:top w:w="0" w:type="dxa"/>
              <w:left w:w="108" w:type="dxa"/>
              <w:bottom w:w="0" w:type="dxa"/>
              <w:right w:w="108" w:type="dxa"/>
            </w:tcMar>
            <w:vAlign w:val="center"/>
            <w:hideMark/>
          </w:tcPr>
          <w:p w14:paraId="7BE4AC10" w14:textId="77777777" w:rsidR="00BF3DF9" w:rsidRPr="00463667" w:rsidRDefault="00BF3DF9" w:rsidP="00C56CA6">
            <w:pPr>
              <w:pStyle w:val="TableText"/>
            </w:pPr>
            <w:r w:rsidRPr="00463667">
              <w:t>ED Discharges per 1,000 MY Medical</w:t>
            </w:r>
          </w:p>
        </w:tc>
      </w:tr>
      <w:tr w:rsidR="00BF3DF9" w:rsidRPr="00463667" w14:paraId="6A5F40F2" w14:textId="77777777" w:rsidTr="00974E25">
        <w:tc>
          <w:tcPr>
            <w:tcW w:w="7830" w:type="dxa"/>
            <w:shd w:val="clear" w:color="auto" w:fill="auto"/>
            <w:noWrap/>
            <w:tcMar>
              <w:top w:w="0" w:type="dxa"/>
              <w:left w:w="108" w:type="dxa"/>
              <w:bottom w:w="0" w:type="dxa"/>
              <w:right w:w="108" w:type="dxa"/>
            </w:tcMar>
            <w:vAlign w:val="center"/>
            <w:hideMark/>
          </w:tcPr>
          <w:p w14:paraId="260008D3" w14:textId="77777777" w:rsidR="00BF3DF9" w:rsidRPr="00463667" w:rsidRDefault="00BF3DF9" w:rsidP="00C56CA6">
            <w:pPr>
              <w:pStyle w:val="TableText"/>
            </w:pPr>
            <w:r w:rsidRPr="00463667">
              <w:t>Cardiac Catheterization per 1,000 MY Medical</w:t>
            </w:r>
          </w:p>
        </w:tc>
      </w:tr>
      <w:tr w:rsidR="00BF3DF9" w:rsidRPr="00463667" w14:paraId="5F2A31D5" w14:textId="77777777" w:rsidTr="00974E25">
        <w:tc>
          <w:tcPr>
            <w:tcW w:w="7830" w:type="dxa"/>
            <w:shd w:val="clear" w:color="auto" w:fill="auto"/>
            <w:noWrap/>
            <w:tcMar>
              <w:top w:w="0" w:type="dxa"/>
              <w:left w:w="108" w:type="dxa"/>
              <w:bottom w:w="0" w:type="dxa"/>
              <w:right w:w="108" w:type="dxa"/>
            </w:tcMar>
            <w:vAlign w:val="center"/>
            <w:hideMark/>
          </w:tcPr>
          <w:p w14:paraId="634B69E4" w14:textId="77777777" w:rsidR="00BF3DF9" w:rsidRPr="00463667" w:rsidRDefault="00BF3DF9" w:rsidP="00C56CA6">
            <w:pPr>
              <w:pStyle w:val="TableText"/>
            </w:pPr>
            <w:r w:rsidRPr="00463667">
              <w:t>PCI per 1,000 MY Medical</w:t>
            </w:r>
          </w:p>
        </w:tc>
      </w:tr>
      <w:tr w:rsidR="00BF3DF9" w:rsidRPr="00463667" w14:paraId="10429939" w14:textId="77777777" w:rsidTr="00974E25">
        <w:tc>
          <w:tcPr>
            <w:tcW w:w="7830" w:type="dxa"/>
            <w:shd w:val="clear" w:color="auto" w:fill="auto"/>
            <w:noWrap/>
            <w:tcMar>
              <w:top w:w="0" w:type="dxa"/>
              <w:left w:w="108" w:type="dxa"/>
              <w:bottom w:w="0" w:type="dxa"/>
              <w:right w:w="108" w:type="dxa"/>
            </w:tcMar>
            <w:vAlign w:val="center"/>
            <w:hideMark/>
          </w:tcPr>
          <w:p w14:paraId="70C6A8B2" w14:textId="77777777" w:rsidR="00BF3DF9" w:rsidRPr="00463667" w:rsidRDefault="00BF3DF9" w:rsidP="00C56CA6">
            <w:pPr>
              <w:pStyle w:val="TableText"/>
            </w:pPr>
            <w:r w:rsidRPr="00463667">
              <w:t>CABG per 1,000 MY Medical</w:t>
            </w:r>
          </w:p>
        </w:tc>
      </w:tr>
      <w:tr w:rsidR="00BF3DF9" w:rsidRPr="00463667" w14:paraId="2DE59344" w14:textId="77777777" w:rsidTr="00974E25">
        <w:tc>
          <w:tcPr>
            <w:tcW w:w="7830" w:type="dxa"/>
            <w:shd w:val="clear" w:color="auto" w:fill="auto"/>
            <w:noWrap/>
            <w:tcMar>
              <w:top w:w="0" w:type="dxa"/>
              <w:left w:w="108" w:type="dxa"/>
              <w:bottom w:w="0" w:type="dxa"/>
              <w:right w:w="108" w:type="dxa"/>
            </w:tcMar>
            <w:vAlign w:val="center"/>
            <w:hideMark/>
          </w:tcPr>
          <w:p w14:paraId="65FCCA30" w14:textId="77777777" w:rsidR="00BF3DF9" w:rsidRPr="00463667" w:rsidRDefault="00BF3DF9" w:rsidP="00C56CA6">
            <w:pPr>
              <w:pStyle w:val="TableText"/>
            </w:pPr>
            <w:r w:rsidRPr="00463667">
              <w:t>Carotid Endarterectomy per 1,000 MY Medical</w:t>
            </w:r>
          </w:p>
        </w:tc>
      </w:tr>
      <w:tr w:rsidR="00BF3DF9" w:rsidRPr="00463667" w14:paraId="11117B30" w14:textId="77777777" w:rsidTr="00974E25">
        <w:tc>
          <w:tcPr>
            <w:tcW w:w="7830" w:type="dxa"/>
            <w:shd w:val="clear" w:color="auto" w:fill="auto"/>
            <w:noWrap/>
            <w:tcMar>
              <w:top w:w="0" w:type="dxa"/>
              <w:left w:w="108" w:type="dxa"/>
              <w:bottom w:w="0" w:type="dxa"/>
              <w:right w:w="108" w:type="dxa"/>
            </w:tcMar>
            <w:vAlign w:val="center"/>
            <w:hideMark/>
          </w:tcPr>
          <w:p w14:paraId="5B4F6CE5" w14:textId="77777777" w:rsidR="00BF3DF9" w:rsidRPr="00463667" w:rsidRDefault="00BF3DF9" w:rsidP="00C56CA6">
            <w:pPr>
              <w:pStyle w:val="TableText"/>
            </w:pPr>
            <w:r w:rsidRPr="00463667">
              <w:t>Carotid Artery Stenosis Diagnostic Test per 1,000 MY Medical</w:t>
            </w:r>
          </w:p>
        </w:tc>
      </w:tr>
      <w:tr w:rsidR="00BF3DF9" w:rsidRPr="00463667" w14:paraId="7C849EBD" w14:textId="77777777" w:rsidTr="00974E25">
        <w:tc>
          <w:tcPr>
            <w:tcW w:w="7830" w:type="dxa"/>
            <w:tcBorders>
              <w:bottom w:val="single" w:sz="6" w:space="0" w:color="auto"/>
            </w:tcBorders>
            <w:shd w:val="clear" w:color="auto" w:fill="auto"/>
            <w:noWrap/>
            <w:tcMar>
              <w:top w:w="0" w:type="dxa"/>
              <w:left w:w="108" w:type="dxa"/>
              <w:bottom w:w="0" w:type="dxa"/>
              <w:right w:w="108" w:type="dxa"/>
            </w:tcMar>
            <w:vAlign w:val="center"/>
            <w:hideMark/>
          </w:tcPr>
          <w:p w14:paraId="66AFACCA" w14:textId="77777777" w:rsidR="00BF3DF9" w:rsidRPr="00463667" w:rsidRDefault="00BF3DF9" w:rsidP="00C56CA6">
            <w:pPr>
              <w:pStyle w:val="TableText"/>
            </w:pPr>
            <w:r w:rsidRPr="00463667">
              <w:t>Cardiac Computed Tomography per 1,000 MY Medical</w:t>
            </w:r>
          </w:p>
        </w:tc>
      </w:tr>
      <w:tr w:rsidR="00BF3DF9" w:rsidRPr="00463667" w14:paraId="2BFFF291" w14:textId="77777777" w:rsidTr="00974E25">
        <w:tc>
          <w:tcPr>
            <w:tcW w:w="7830" w:type="dxa"/>
            <w:tcBorders>
              <w:bottom w:val="single" w:sz="4" w:space="0" w:color="auto"/>
            </w:tcBorders>
            <w:shd w:val="clear" w:color="auto" w:fill="auto"/>
            <w:noWrap/>
            <w:tcMar>
              <w:top w:w="0" w:type="dxa"/>
              <w:left w:w="108" w:type="dxa"/>
              <w:bottom w:w="0" w:type="dxa"/>
              <w:right w:w="108" w:type="dxa"/>
            </w:tcMar>
            <w:vAlign w:val="center"/>
            <w:hideMark/>
          </w:tcPr>
          <w:p w14:paraId="06CAC54E" w14:textId="77777777" w:rsidR="00BF3DF9" w:rsidRPr="00463667" w:rsidRDefault="00BF3DF9" w:rsidP="00C56CA6">
            <w:pPr>
              <w:pStyle w:val="TableText"/>
            </w:pPr>
            <w:r w:rsidRPr="00463667">
              <w:t>CAD Diagnostic Test Using EBCT/Nuclear Imaging Stress Tests per 1,000 MY Medical</w:t>
            </w:r>
          </w:p>
        </w:tc>
      </w:tr>
    </w:tbl>
    <w:p w14:paraId="1509651E" w14:textId="77777777" w:rsidR="00BF3DF9" w:rsidRPr="00463667" w:rsidRDefault="00BF3DF9" w:rsidP="00BF3DF9">
      <w:pPr>
        <w:pStyle w:val="Note"/>
      </w:pPr>
      <w:r w:rsidRPr="00463667">
        <w:rPr>
          <w:b/>
          <w:szCs w:val="20"/>
        </w:rPr>
        <w:t>Note:</w:t>
      </w:r>
      <w:r w:rsidRPr="00463667">
        <w:t xml:space="preserve"> This table indicates the calculated fields that NCQA provides for the age-gender-risk totals. </w:t>
      </w:r>
    </w:p>
    <w:p w14:paraId="2478EB78" w14:textId="77777777" w:rsidR="00BF3DF9" w:rsidRPr="00463667" w:rsidRDefault="00BF3DF9" w:rsidP="00BF3DF9">
      <w:pPr>
        <w:pStyle w:val="Note"/>
        <w:rPr>
          <w:szCs w:val="20"/>
        </w:rPr>
        <w:sectPr w:rsidR="00BF3DF9" w:rsidRPr="00463667" w:rsidSect="00C56CA6">
          <w:pgSz w:w="12240" w:h="15840" w:code="1"/>
          <w:pgMar w:top="1080" w:right="1080" w:bottom="1080" w:left="1440" w:header="720" w:footer="720" w:gutter="0"/>
          <w:cols w:space="720"/>
        </w:sectPr>
      </w:pPr>
    </w:p>
    <w:bookmarkStart w:id="23" w:name="_Toc400546208"/>
    <w:p w14:paraId="4DEE1D94" w14:textId="04790033" w:rsidR="00BF3DF9" w:rsidRPr="00463667" w:rsidRDefault="00EF7C1A" w:rsidP="00BF3DF9">
      <w:pPr>
        <w:pStyle w:val="Heading2"/>
        <w:spacing w:after="320"/>
      </w:pPr>
      <w:r>
        <w:lastRenderedPageBreak/>
        <w:fldChar w:fldCharType="begin"/>
      </w:r>
      <w:r>
        <w:instrText xml:space="preserve"> HYPERLINK  \l "TOC" </w:instrText>
      </w:r>
      <w:r>
        <w:fldChar w:fldCharType="separate"/>
      </w:r>
      <w:r w:rsidR="00BF3DF9" w:rsidRPr="00EF7C1A">
        <w:t>Relative Resource Use for People With Cardiovascular Conditions (RCA)</w:t>
      </w:r>
      <w:bookmarkEnd w:id="23"/>
      <w:r>
        <w:fldChar w:fldCharType="end"/>
      </w:r>
    </w:p>
    <w:p w14:paraId="42F19F71" w14:textId="4B13E6C9" w:rsidR="00BF3DF9" w:rsidRPr="00463667" w:rsidRDefault="00BF3DF9" w:rsidP="00BF3DF9">
      <w:pPr>
        <w:pStyle w:val="SOC"/>
        <w:rPr>
          <w:i/>
        </w:rPr>
      </w:pPr>
      <w:r w:rsidRPr="00463667">
        <w:t xml:space="preserve">Summary of Changes to HEDIS </w:t>
      </w:r>
      <w:r w:rsidR="0083581E">
        <w:t>2016</w:t>
      </w:r>
    </w:p>
    <w:p w14:paraId="59BBC8F8" w14:textId="77777777" w:rsidR="003F2821" w:rsidRPr="00866766" w:rsidRDefault="003F2821" w:rsidP="003F2821">
      <w:pPr>
        <w:pStyle w:val="ProcessBullet"/>
        <w:rPr>
          <w:i/>
          <w:iCs/>
        </w:rPr>
      </w:pPr>
      <w:r>
        <w:rPr>
          <w:iCs/>
        </w:rPr>
        <w:t>Added a method and value sets to identify discharges for the event/diagnosis.</w:t>
      </w:r>
    </w:p>
    <w:p w14:paraId="5EA52EC6" w14:textId="77777777" w:rsidR="00BF3DF9" w:rsidRPr="00463667" w:rsidRDefault="00BF3DF9" w:rsidP="00BF3DF9">
      <w:pPr>
        <w:pStyle w:val="ReverseHead"/>
      </w:pPr>
      <w:r w:rsidRPr="00463667">
        <w:t>Description</w:t>
      </w:r>
    </w:p>
    <w:p w14:paraId="02004D75" w14:textId="77777777" w:rsidR="00BF3DF9" w:rsidRPr="00463667" w:rsidRDefault="00BF3DF9" w:rsidP="00BF3DF9">
      <w:pPr>
        <w:pStyle w:val="Body"/>
        <w:rPr>
          <w:rFonts w:cs="Arial"/>
          <w:szCs w:val="20"/>
        </w:rPr>
      </w:pPr>
      <w:r w:rsidRPr="00463667">
        <w:rPr>
          <w:rFonts w:cs="Arial"/>
          <w:szCs w:val="20"/>
        </w:rPr>
        <w:t>The relative resource use by members with cardiovascular conditions during the measurement year.</w:t>
      </w:r>
    </w:p>
    <w:p w14:paraId="60A827B7" w14:textId="77777777" w:rsidR="00BF3DF9" w:rsidRPr="00463667" w:rsidRDefault="00BF3DF9" w:rsidP="00BF3DF9">
      <w:pPr>
        <w:pStyle w:val="ReverseHead"/>
      </w:pPr>
      <w:r w:rsidRPr="00463667">
        <w:t xml:space="preserve">Eligible Population </w:t>
      </w:r>
    </w:p>
    <w:p w14:paraId="2E0889C0" w14:textId="77777777" w:rsidR="00BF3DF9" w:rsidRPr="00463667" w:rsidRDefault="00BF3DF9" w:rsidP="00BF3DF9">
      <w:pPr>
        <w:pStyle w:val="Note"/>
      </w:pPr>
      <w:r w:rsidRPr="00463667">
        <w:rPr>
          <w:b/>
          <w:szCs w:val="20"/>
        </w:rPr>
        <w:t>Note:</w:t>
      </w:r>
      <w:r w:rsidRPr="00463667">
        <w:rPr>
          <w:szCs w:val="20"/>
        </w:rPr>
        <w:t xml:space="preserve"> Organizations must report the quality measure (PBH) when reporting RCA.</w:t>
      </w:r>
    </w:p>
    <w:tbl>
      <w:tblPr>
        <w:tblW w:w="9810" w:type="dxa"/>
        <w:tblInd w:w="18" w:type="dxa"/>
        <w:tblLayout w:type="fixed"/>
        <w:tblLook w:val="0000" w:firstRow="0" w:lastRow="0" w:firstColumn="0" w:lastColumn="0" w:noHBand="0" w:noVBand="0"/>
      </w:tblPr>
      <w:tblGrid>
        <w:gridCol w:w="1800"/>
        <w:gridCol w:w="8010"/>
      </w:tblGrid>
      <w:tr w:rsidR="00BF3DF9" w:rsidRPr="00463667" w14:paraId="0514A0BE" w14:textId="77777777" w:rsidTr="00C56CA6">
        <w:tc>
          <w:tcPr>
            <w:tcW w:w="1800" w:type="dxa"/>
          </w:tcPr>
          <w:p w14:paraId="1899554E" w14:textId="77777777" w:rsidR="00BF3DF9" w:rsidRPr="00463667" w:rsidRDefault="00BF3DF9" w:rsidP="00C56CA6">
            <w:pPr>
              <w:pStyle w:val="MarginSubhead"/>
              <w:rPr>
                <w:szCs w:val="20"/>
              </w:rPr>
            </w:pPr>
            <w:r w:rsidRPr="00463667">
              <w:rPr>
                <w:szCs w:val="20"/>
              </w:rPr>
              <w:t>Product lines</w:t>
            </w:r>
          </w:p>
        </w:tc>
        <w:tc>
          <w:tcPr>
            <w:tcW w:w="8010" w:type="dxa"/>
          </w:tcPr>
          <w:p w14:paraId="4D6A60E9" w14:textId="77777777" w:rsidR="00BF3DF9" w:rsidRPr="00463667" w:rsidRDefault="00BF3DF9" w:rsidP="00C56CA6">
            <w:pPr>
              <w:pStyle w:val="Body"/>
            </w:pPr>
            <w:r w:rsidRPr="00463667">
              <w:t xml:space="preserve">Commercial, Medicaid, Medicare (report each product line separately). </w:t>
            </w:r>
          </w:p>
        </w:tc>
      </w:tr>
      <w:tr w:rsidR="00BF3DF9" w:rsidRPr="00463667" w14:paraId="4D61A7E2" w14:textId="77777777" w:rsidTr="00C56CA6">
        <w:tc>
          <w:tcPr>
            <w:tcW w:w="1800" w:type="dxa"/>
          </w:tcPr>
          <w:p w14:paraId="03674130" w14:textId="77777777" w:rsidR="00BF3DF9" w:rsidRPr="00463667" w:rsidRDefault="00BF3DF9" w:rsidP="00C56CA6">
            <w:pPr>
              <w:pStyle w:val="MarginSubhead"/>
              <w:rPr>
                <w:szCs w:val="20"/>
              </w:rPr>
            </w:pPr>
            <w:r w:rsidRPr="00463667">
              <w:rPr>
                <w:szCs w:val="20"/>
              </w:rPr>
              <w:t>Ages</w:t>
            </w:r>
          </w:p>
        </w:tc>
        <w:tc>
          <w:tcPr>
            <w:tcW w:w="8010" w:type="dxa"/>
          </w:tcPr>
          <w:p w14:paraId="2B3C8FB4" w14:textId="77777777" w:rsidR="00BF3DF9" w:rsidRPr="00463667" w:rsidRDefault="00BF3DF9" w:rsidP="00C56CA6">
            <w:pPr>
              <w:pStyle w:val="Body"/>
            </w:pPr>
            <w:r w:rsidRPr="00463667">
              <w:t xml:space="preserve">18–75 years as of December 31 of the measurement year. </w:t>
            </w:r>
          </w:p>
        </w:tc>
      </w:tr>
      <w:tr w:rsidR="00BF3DF9" w:rsidRPr="00463667" w14:paraId="2ADA50A2" w14:textId="77777777" w:rsidTr="00C56CA6">
        <w:tc>
          <w:tcPr>
            <w:tcW w:w="1800" w:type="dxa"/>
          </w:tcPr>
          <w:p w14:paraId="36726B7C" w14:textId="77777777" w:rsidR="00BF3DF9" w:rsidRPr="00463667" w:rsidRDefault="00BF3DF9" w:rsidP="00C56CA6">
            <w:pPr>
              <w:pStyle w:val="MarginSubhead"/>
              <w:rPr>
                <w:szCs w:val="20"/>
              </w:rPr>
            </w:pPr>
            <w:r w:rsidRPr="00463667">
              <w:rPr>
                <w:szCs w:val="20"/>
              </w:rPr>
              <w:t>Continuous enrollment</w:t>
            </w:r>
          </w:p>
        </w:tc>
        <w:tc>
          <w:tcPr>
            <w:tcW w:w="8010" w:type="dxa"/>
          </w:tcPr>
          <w:p w14:paraId="5E923A7A" w14:textId="77777777" w:rsidR="00BF3DF9" w:rsidRPr="00463667" w:rsidRDefault="00BF3DF9" w:rsidP="00C56CA6">
            <w:pPr>
              <w:pStyle w:val="Body"/>
            </w:pPr>
            <w:r w:rsidRPr="00463667">
              <w:t>The measurement year and the year prior to the measurement year.</w:t>
            </w:r>
          </w:p>
        </w:tc>
      </w:tr>
      <w:tr w:rsidR="00BF3DF9" w:rsidRPr="00463667" w14:paraId="74425573" w14:textId="77777777" w:rsidTr="00C56CA6">
        <w:tc>
          <w:tcPr>
            <w:tcW w:w="1800" w:type="dxa"/>
          </w:tcPr>
          <w:p w14:paraId="1454296D" w14:textId="77777777" w:rsidR="00BF3DF9" w:rsidRPr="00463667" w:rsidRDefault="00BF3DF9" w:rsidP="00C56CA6">
            <w:pPr>
              <w:pStyle w:val="MarginSubhead"/>
              <w:rPr>
                <w:szCs w:val="20"/>
              </w:rPr>
            </w:pPr>
            <w:r w:rsidRPr="00463667">
              <w:rPr>
                <w:szCs w:val="20"/>
              </w:rPr>
              <w:t>Allowable gap</w:t>
            </w:r>
          </w:p>
        </w:tc>
        <w:tc>
          <w:tcPr>
            <w:tcW w:w="8010" w:type="dxa"/>
          </w:tcPr>
          <w:p w14:paraId="7BC5F484" w14:textId="77777777" w:rsidR="00BF3DF9" w:rsidRPr="00463667" w:rsidRDefault="00BF3DF9" w:rsidP="00C56CA6">
            <w:pPr>
              <w:pStyle w:val="Body"/>
            </w:pPr>
            <w:r w:rsidRPr="00463667">
              <w:t xml:space="preserve">No more than one gap in enrollment of up to 45 days during each year of continuous enrollment. To determine continuous enrollment for a Medicaid beneficiary for whom enrollment is verified monthly, the member may not have more than a 1-month gap in coverage (i.e., a member whose coverage lapses for 2 months [60 days] is not considered continuously enrolled). </w:t>
            </w:r>
          </w:p>
        </w:tc>
      </w:tr>
      <w:tr w:rsidR="00BF3DF9" w:rsidRPr="00463667" w14:paraId="1DA08AD1" w14:textId="77777777" w:rsidTr="00C56CA6">
        <w:tc>
          <w:tcPr>
            <w:tcW w:w="1800" w:type="dxa"/>
          </w:tcPr>
          <w:p w14:paraId="2FD51364" w14:textId="77777777" w:rsidR="00BF3DF9" w:rsidRPr="00463667" w:rsidRDefault="00BF3DF9" w:rsidP="00C56CA6">
            <w:pPr>
              <w:pStyle w:val="MarginSubhead"/>
              <w:rPr>
                <w:szCs w:val="20"/>
              </w:rPr>
            </w:pPr>
            <w:r w:rsidRPr="00463667">
              <w:rPr>
                <w:szCs w:val="20"/>
              </w:rPr>
              <w:t>Anchor date</w:t>
            </w:r>
          </w:p>
        </w:tc>
        <w:tc>
          <w:tcPr>
            <w:tcW w:w="8010" w:type="dxa"/>
          </w:tcPr>
          <w:p w14:paraId="1C55AB7D" w14:textId="77777777" w:rsidR="00BF3DF9" w:rsidRPr="00463667" w:rsidRDefault="00BF3DF9" w:rsidP="00C56CA6">
            <w:pPr>
              <w:pStyle w:val="Body"/>
            </w:pPr>
            <w:r w:rsidRPr="00463667">
              <w:t>December 31 of the measurement year.</w:t>
            </w:r>
          </w:p>
        </w:tc>
      </w:tr>
      <w:tr w:rsidR="00BF3DF9" w:rsidRPr="00463667" w14:paraId="680980B8" w14:textId="77777777" w:rsidTr="00C56CA6">
        <w:tc>
          <w:tcPr>
            <w:tcW w:w="1800" w:type="dxa"/>
          </w:tcPr>
          <w:p w14:paraId="32FA3471" w14:textId="77777777" w:rsidR="00BF3DF9" w:rsidRPr="00463667" w:rsidRDefault="00BF3DF9" w:rsidP="00C56CA6">
            <w:pPr>
              <w:pStyle w:val="MarginSubhead"/>
              <w:rPr>
                <w:szCs w:val="20"/>
              </w:rPr>
            </w:pPr>
            <w:r w:rsidRPr="00463667">
              <w:rPr>
                <w:szCs w:val="20"/>
              </w:rPr>
              <w:t>Benefit</w:t>
            </w:r>
          </w:p>
        </w:tc>
        <w:tc>
          <w:tcPr>
            <w:tcW w:w="8010" w:type="dxa"/>
          </w:tcPr>
          <w:p w14:paraId="43BA9596" w14:textId="77777777" w:rsidR="00BF3DF9" w:rsidRPr="00463667" w:rsidRDefault="00BF3DF9" w:rsidP="00C56CA6">
            <w:pPr>
              <w:pStyle w:val="Body"/>
            </w:pPr>
            <w:r w:rsidRPr="00463667">
              <w:t>Medical.</w:t>
            </w:r>
          </w:p>
        </w:tc>
      </w:tr>
      <w:tr w:rsidR="00BF3DF9" w:rsidRPr="00463667" w14:paraId="3A2542D6" w14:textId="77777777" w:rsidTr="00C56CA6">
        <w:tc>
          <w:tcPr>
            <w:tcW w:w="1800" w:type="dxa"/>
          </w:tcPr>
          <w:p w14:paraId="4F9BFBE5" w14:textId="77777777" w:rsidR="00BF3DF9" w:rsidRPr="00463667" w:rsidRDefault="00BF3DF9" w:rsidP="00C56CA6">
            <w:pPr>
              <w:pStyle w:val="MarginSubhead"/>
              <w:rPr>
                <w:szCs w:val="20"/>
              </w:rPr>
            </w:pPr>
            <w:r w:rsidRPr="00463667">
              <w:rPr>
                <w:szCs w:val="20"/>
              </w:rPr>
              <w:t>Event/ diagnosis</w:t>
            </w:r>
          </w:p>
        </w:tc>
        <w:tc>
          <w:tcPr>
            <w:tcW w:w="8010" w:type="dxa"/>
          </w:tcPr>
          <w:p w14:paraId="2E1B4CFF" w14:textId="77777777" w:rsidR="00BF3DF9" w:rsidRPr="00463667" w:rsidRDefault="00BF3DF9" w:rsidP="00C56CA6">
            <w:pPr>
              <w:pStyle w:val="Body"/>
            </w:pPr>
            <w:r w:rsidRPr="00463667">
              <w:t xml:space="preserve">Members are identified for the eligible population by event or by diagnosis. The organization must use </w:t>
            </w:r>
            <w:r w:rsidRPr="00463667">
              <w:rPr>
                <w:i/>
              </w:rPr>
              <w:t>both</w:t>
            </w:r>
            <w:r w:rsidRPr="00463667">
              <w:t xml:space="preserve"> to identify the eligible population, but a member need only be identified in one to be included in the measure.</w:t>
            </w:r>
          </w:p>
          <w:p w14:paraId="68658D14" w14:textId="77777777" w:rsidR="00BF3DF9" w:rsidRPr="00463667" w:rsidRDefault="00BF3DF9" w:rsidP="00C56CA6">
            <w:pPr>
              <w:pStyle w:val="Body"/>
              <w:rPr>
                <w:szCs w:val="20"/>
              </w:rPr>
            </w:pPr>
            <w:r w:rsidRPr="00463667">
              <w:rPr>
                <w:i/>
                <w:szCs w:val="20"/>
              </w:rPr>
              <w:t>Event.</w:t>
            </w:r>
            <w:r w:rsidRPr="00463667">
              <w:rPr>
                <w:szCs w:val="20"/>
              </w:rPr>
              <w:t xml:space="preserve"> Any of the following during the year prior to the measurement year meet criteria:</w:t>
            </w:r>
          </w:p>
          <w:p w14:paraId="4FC00EF0" w14:textId="6365E395" w:rsidR="0002592A" w:rsidRDefault="00BF3DF9" w:rsidP="00966C97">
            <w:pPr>
              <w:pStyle w:val="Bullet"/>
              <w:tabs>
                <w:tab w:val="num" w:pos="576"/>
              </w:tabs>
              <w:spacing w:before="60"/>
            </w:pPr>
            <w:r w:rsidRPr="00463667">
              <w:rPr>
                <w:i/>
                <w:iCs/>
              </w:rPr>
              <w:t>AMI</w:t>
            </w:r>
            <w:r w:rsidRPr="00463667">
              <w:t>. Discharged from an inpatient setting with an AMI (</w:t>
            </w:r>
            <w:r w:rsidRPr="00463667">
              <w:rPr>
                <w:u w:val="single"/>
              </w:rPr>
              <w:t>AMI Value Set</w:t>
            </w:r>
            <w:r w:rsidRPr="00463667">
              <w:t xml:space="preserve">). </w:t>
            </w:r>
            <w:r w:rsidR="0002592A">
              <w:t xml:space="preserve"> To identify discharges:</w:t>
            </w:r>
          </w:p>
          <w:p w14:paraId="1609F4E4" w14:textId="77777777" w:rsidR="0002592A" w:rsidRDefault="0002592A" w:rsidP="00966C97">
            <w:pPr>
              <w:pStyle w:val="Bullet"/>
              <w:numPr>
                <w:ilvl w:val="0"/>
                <w:numId w:val="38"/>
              </w:numPr>
              <w:spacing w:before="60"/>
              <w:ind w:left="792"/>
            </w:pPr>
            <w:r>
              <w:t>Identify all acute and nonacute inpatient stays (</w:t>
            </w:r>
            <w:r w:rsidRPr="00243294">
              <w:rPr>
                <w:u w:val="single"/>
              </w:rPr>
              <w:t>Inpatient Stay Value Set</w:t>
            </w:r>
            <w:r>
              <w:t>).</w:t>
            </w:r>
          </w:p>
          <w:p w14:paraId="1704914B" w14:textId="77777777" w:rsidR="0002592A" w:rsidRPr="00FB05E0" w:rsidRDefault="0002592A" w:rsidP="00966C97">
            <w:pPr>
              <w:pStyle w:val="Bullet"/>
              <w:numPr>
                <w:ilvl w:val="0"/>
                <w:numId w:val="38"/>
              </w:numPr>
              <w:spacing w:before="60"/>
              <w:ind w:left="792"/>
            </w:pPr>
            <w:r>
              <w:t>Identify the discharge date for the stay.</w:t>
            </w:r>
          </w:p>
          <w:p w14:paraId="21C72C40" w14:textId="35DADBFE" w:rsidR="0002592A" w:rsidRDefault="00BF3DF9" w:rsidP="0002592A">
            <w:pPr>
              <w:pStyle w:val="Bullet"/>
              <w:tabs>
                <w:tab w:val="num" w:pos="576"/>
              </w:tabs>
            </w:pPr>
            <w:r w:rsidRPr="00463667">
              <w:rPr>
                <w:rFonts w:cs="Arial"/>
                <w:i/>
                <w:iCs/>
              </w:rPr>
              <w:t>CABG</w:t>
            </w:r>
            <w:r w:rsidRPr="00463667">
              <w:rPr>
                <w:rFonts w:cs="Arial"/>
              </w:rPr>
              <w:t>. Discharged from an inpatient setting with a CABG (</w:t>
            </w:r>
            <w:r w:rsidRPr="00463667">
              <w:rPr>
                <w:rFonts w:cs="Arial"/>
                <w:u w:val="single"/>
              </w:rPr>
              <w:t>CABG Value Set</w:t>
            </w:r>
            <w:r w:rsidRPr="00463667">
              <w:rPr>
                <w:rFonts w:cs="Arial"/>
              </w:rPr>
              <w:t xml:space="preserve">). </w:t>
            </w:r>
            <w:r w:rsidR="00F3111D">
              <w:br/>
            </w:r>
            <w:r w:rsidR="0002592A">
              <w:t>To identify discharges:</w:t>
            </w:r>
          </w:p>
          <w:p w14:paraId="70F95FAD" w14:textId="77777777" w:rsidR="0002592A" w:rsidRDefault="0002592A" w:rsidP="00966C97">
            <w:pPr>
              <w:pStyle w:val="Bullet"/>
              <w:numPr>
                <w:ilvl w:val="0"/>
                <w:numId w:val="39"/>
              </w:numPr>
              <w:spacing w:before="60"/>
              <w:ind w:left="792"/>
            </w:pPr>
            <w:r>
              <w:t>Identify all acute and nonacute inpatient stays (</w:t>
            </w:r>
            <w:r w:rsidRPr="00CE7F62">
              <w:rPr>
                <w:u w:val="single"/>
              </w:rPr>
              <w:t>Inpatient Stay Value Set</w:t>
            </w:r>
            <w:r>
              <w:t>).</w:t>
            </w:r>
          </w:p>
          <w:p w14:paraId="29D8542E" w14:textId="77777777" w:rsidR="0002592A" w:rsidRPr="00FB05E0" w:rsidRDefault="0002592A" w:rsidP="00966C97">
            <w:pPr>
              <w:pStyle w:val="Bullet"/>
              <w:numPr>
                <w:ilvl w:val="0"/>
                <w:numId w:val="39"/>
              </w:numPr>
              <w:spacing w:before="60"/>
              <w:ind w:left="792"/>
            </w:pPr>
            <w:r>
              <w:t>Identify the discharge date for the stay.</w:t>
            </w:r>
          </w:p>
          <w:p w14:paraId="498FA506" w14:textId="77777777" w:rsidR="00BF3DF9" w:rsidRPr="00463667" w:rsidRDefault="00BF3DF9" w:rsidP="00C56CA6">
            <w:pPr>
              <w:pStyle w:val="Bullet"/>
              <w:tabs>
                <w:tab w:val="clear" w:pos="576"/>
              </w:tabs>
            </w:pPr>
            <w:r w:rsidRPr="00463667">
              <w:rPr>
                <w:i/>
              </w:rPr>
              <w:t>PCI</w:t>
            </w:r>
            <w:r w:rsidRPr="00463667">
              <w:t>. Members who had PCI (</w:t>
            </w:r>
            <w:r w:rsidRPr="00463667">
              <w:rPr>
                <w:u w:val="single"/>
              </w:rPr>
              <w:t>PCI Value Set</w:t>
            </w:r>
            <w:r w:rsidRPr="00463667">
              <w:t xml:space="preserve">) in any setting (e.g., inpatient, outpatient, ED). </w:t>
            </w:r>
          </w:p>
          <w:p w14:paraId="4895E955" w14:textId="7EC3338F" w:rsidR="00BF3DF9" w:rsidRPr="00463667" w:rsidRDefault="00BF3DF9" w:rsidP="00966C97">
            <w:pPr>
              <w:pStyle w:val="Body"/>
            </w:pPr>
          </w:p>
        </w:tc>
      </w:tr>
    </w:tbl>
    <w:p w14:paraId="237FDEA0" w14:textId="77777777" w:rsidR="00966C97" w:rsidRPr="00463667" w:rsidRDefault="00966C97" w:rsidP="00966C97">
      <w:pPr>
        <w:pStyle w:val="SubHead"/>
        <w:sectPr w:rsidR="00966C97" w:rsidRPr="00463667" w:rsidSect="00C56CA6">
          <w:headerReference w:type="even" r:id="rId48"/>
          <w:headerReference w:type="default" r:id="rId49"/>
          <w:pgSz w:w="12240" w:h="15840" w:code="1"/>
          <w:pgMar w:top="1080" w:right="1080" w:bottom="1080" w:left="1440" w:header="720" w:footer="720" w:gutter="0"/>
          <w:cols w:space="720"/>
        </w:sectPr>
      </w:pPr>
    </w:p>
    <w:tbl>
      <w:tblPr>
        <w:tblW w:w="9810" w:type="dxa"/>
        <w:tblInd w:w="18" w:type="dxa"/>
        <w:tblLayout w:type="fixed"/>
        <w:tblLook w:val="0000" w:firstRow="0" w:lastRow="0" w:firstColumn="0" w:lastColumn="0" w:noHBand="0" w:noVBand="0"/>
      </w:tblPr>
      <w:tblGrid>
        <w:gridCol w:w="1800"/>
        <w:gridCol w:w="8010"/>
      </w:tblGrid>
      <w:tr w:rsidR="00966C97" w:rsidRPr="00463667" w14:paraId="3BFBF6F4" w14:textId="77777777" w:rsidTr="00C56CA6">
        <w:tc>
          <w:tcPr>
            <w:tcW w:w="1800" w:type="dxa"/>
          </w:tcPr>
          <w:p w14:paraId="7EE70340" w14:textId="77777777" w:rsidR="00966C97" w:rsidRPr="00463667" w:rsidRDefault="00966C97" w:rsidP="00C56CA6">
            <w:pPr>
              <w:pStyle w:val="MarginSubhead"/>
              <w:rPr>
                <w:szCs w:val="20"/>
              </w:rPr>
            </w:pPr>
          </w:p>
        </w:tc>
        <w:tc>
          <w:tcPr>
            <w:tcW w:w="8010" w:type="dxa"/>
          </w:tcPr>
          <w:p w14:paraId="219DECB0" w14:textId="77777777" w:rsidR="00966C97" w:rsidRPr="00463667" w:rsidRDefault="00966C97" w:rsidP="00966C97">
            <w:pPr>
              <w:pStyle w:val="Body"/>
              <w:spacing w:before="0"/>
            </w:pPr>
            <w:r w:rsidRPr="00463667">
              <w:rPr>
                <w:i/>
              </w:rPr>
              <w:t>Diagnosis.</w:t>
            </w:r>
            <w:r w:rsidRPr="00463667">
              <w:t xml:space="preserve"> Identify members as having IVD who met at least either of the following criteria during both the measurement year and the year prior to the measurement year. Criteria need not be the same across both years.</w:t>
            </w:r>
          </w:p>
          <w:p w14:paraId="428DD99B" w14:textId="77777777" w:rsidR="00966C97" w:rsidRPr="00463667" w:rsidRDefault="00966C97" w:rsidP="00966C97">
            <w:pPr>
              <w:pStyle w:val="Bullet"/>
              <w:spacing w:before="60"/>
            </w:pPr>
            <w:r w:rsidRPr="00463667">
              <w:t>At least one outpatient visit (</w:t>
            </w:r>
            <w:r w:rsidRPr="00463667">
              <w:rPr>
                <w:u w:val="single"/>
              </w:rPr>
              <w:t>Outpatient Value Set</w:t>
            </w:r>
            <w:r w:rsidRPr="00463667">
              <w:t>) with an IVD diagnosis (</w:t>
            </w:r>
            <w:r w:rsidRPr="00463667">
              <w:rPr>
                <w:u w:val="single"/>
              </w:rPr>
              <w:t>IVD Value Set</w:t>
            </w:r>
            <w:r w:rsidRPr="00463667">
              <w:t>).</w:t>
            </w:r>
          </w:p>
          <w:p w14:paraId="7F74B977" w14:textId="56E1D597" w:rsidR="00966C97" w:rsidRPr="00463667" w:rsidRDefault="00966C97" w:rsidP="00966C97">
            <w:pPr>
              <w:pStyle w:val="Bullet"/>
            </w:pPr>
            <w:r w:rsidRPr="00463667">
              <w:t>At least one acute inpatient visit (</w:t>
            </w:r>
            <w:r w:rsidRPr="00463667">
              <w:rPr>
                <w:u w:val="single"/>
              </w:rPr>
              <w:t>Acute Inpatient Value Set</w:t>
            </w:r>
            <w:r w:rsidRPr="00463667">
              <w:t>) with an IVD diagnosis (</w:t>
            </w:r>
            <w:r w:rsidRPr="00463667">
              <w:rPr>
                <w:u w:val="single"/>
              </w:rPr>
              <w:t>IVD Value Set</w:t>
            </w:r>
            <w:r w:rsidRPr="00463667">
              <w:t>).</w:t>
            </w:r>
          </w:p>
        </w:tc>
      </w:tr>
    </w:tbl>
    <w:p w14:paraId="0C9093F6" w14:textId="77777777" w:rsidR="00BF3DF9" w:rsidRPr="00463667" w:rsidRDefault="00BF3DF9" w:rsidP="00966C97">
      <w:pPr>
        <w:pStyle w:val="SubHead20"/>
        <w:rPr>
          <w:szCs w:val="22"/>
        </w:rPr>
      </w:pPr>
      <w:r w:rsidRPr="00463667">
        <w:t xml:space="preserve">Exclusions </w:t>
      </w:r>
      <w:r w:rsidRPr="00463667">
        <w:rPr>
          <w:i/>
          <w:szCs w:val="22"/>
        </w:rPr>
        <w:t>(required)</w:t>
      </w:r>
    </w:p>
    <w:p w14:paraId="2188E975" w14:textId="77777777" w:rsidR="00BF3DF9" w:rsidRPr="00463667" w:rsidRDefault="00BF3DF9" w:rsidP="00BF3DF9">
      <w:pPr>
        <w:pStyle w:val="Body"/>
        <w:rPr>
          <w:i/>
        </w:rPr>
      </w:pPr>
      <w:r w:rsidRPr="00463667">
        <w:t xml:space="preserve">Refer to </w:t>
      </w:r>
      <w:r w:rsidRPr="00463667">
        <w:rPr>
          <w:i/>
        </w:rPr>
        <w:t>Required Exclusions</w:t>
      </w:r>
      <w:r w:rsidRPr="00463667">
        <w:t xml:space="preserve"> in the </w:t>
      </w:r>
      <w:r w:rsidRPr="00463667">
        <w:rPr>
          <w:i/>
        </w:rPr>
        <w:t>Guidelines for Relative Resource Use.</w:t>
      </w:r>
    </w:p>
    <w:p w14:paraId="1C7103F9" w14:textId="77777777" w:rsidR="00BF3DF9" w:rsidRPr="00463667" w:rsidRDefault="00BF3DF9" w:rsidP="00BF3DF9">
      <w:pPr>
        <w:pStyle w:val="ReverseHead"/>
      </w:pPr>
      <w:r w:rsidRPr="00463667">
        <w:t>Categorization of Eligible Population</w:t>
      </w:r>
    </w:p>
    <w:tbl>
      <w:tblPr>
        <w:tblW w:w="9720" w:type="dxa"/>
        <w:tblLayout w:type="fixed"/>
        <w:tblLook w:val="0000" w:firstRow="0" w:lastRow="0" w:firstColumn="0" w:lastColumn="0" w:noHBand="0" w:noVBand="0"/>
      </w:tblPr>
      <w:tblGrid>
        <w:gridCol w:w="1800"/>
        <w:gridCol w:w="7920"/>
      </w:tblGrid>
      <w:tr w:rsidR="00BF3DF9" w:rsidRPr="00463667" w14:paraId="4B3D0732" w14:textId="77777777" w:rsidTr="004A26C9">
        <w:trPr>
          <w:trHeight w:val="615"/>
        </w:trPr>
        <w:tc>
          <w:tcPr>
            <w:tcW w:w="1800" w:type="dxa"/>
          </w:tcPr>
          <w:p w14:paraId="36B23276" w14:textId="77777777" w:rsidR="00BF3DF9" w:rsidRPr="00463667" w:rsidRDefault="00BF3DF9" w:rsidP="00C56CA6">
            <w:pPr>
              <w:pStyle w:val="MarginSubhead"/>
            </w:pPr>
            <w:r w:rsidRPr="00463667">
              <w:t>Major clinical condition</w:t>
            </w:r>
          </w:p>
        </w:tc>
        <w:tc>
          <w:tcPr>
            <w:tcW w:w="7920" w:type="dxa"/>
          </w:tcPr>
          <w:p w14:paraId="6D46ABE3" w14:textId="77777777" w:rsidR="00BF3DF9" w:rsidRPr="00463667" w:rsidRDefault="00BF3DF9" w:rsidP="00C56CA6">
            <w:pPr>
              <w:pStyle w:val="Body"/>
            </w:pPr>
            <w:r w:rsidRPr="00463667">
              <w:t>Cardiovascular condition.</w:t>
            </w:r>
          </w:p>
        </w:tc>
      </w:tr>
      <w:tr w:rsidR="00BF3DF9" w:rsidRPr="00463667" w14:paraId="052CE2EF" w14:textId="77777777" w:rsidTr="004A26C9">
        <w:tc>
          <w:tcPr>
            <w:tcW w:w="1800" w:type="dxa"/>
          </w:tcPr>
          <w:p w14:paraId="7F49DA02" w14:textId="77777777" w:rsidR="00BF3DF9" w:rsidRPr="00463667" w:rsidRDefault="00BF3DF9" w:rsidP="00C56CA6">
            <w:pPr>
              <w:pStyle w:val="MarginSubhead"/>
            </w:pPr>
            <w:r w:rsidRPr="00463667">
              <w:t>Risk Group</w:t>
            </w:r>
          </w:p>
        </w:tc>
        <w:tc>
          <w:tcPr>
            <w:tcW w:w="7920" w:type="dxa"/>
          </w:tcPr>
          <w:p w14:paraId="4F3D7E8E" w14:textId="77777777" w:rsidR="00BF3DF9" w:rsidRPr="00463667" w:rsidRDefault="00BF3DF9" w:rsidP="00C56CA6">
            <w:pPr>
              <w:pStyle w:val="Body"/>
            </w:pPr>
            <w:r w:rsidRPr="00463667">
              <w:t xml:space="preserve">Refer to the </w:t>
            </w:r>
            <w:r w:rsidRPr="00463667">
              <w:rPr>
                <w:i/>
              </w:rPr>
              <w:t xml:space="preserve">RRU Risk Adjustment </w:t>
            </w:r>
            <w:r w:rsidRPr="00463667">
              <w:t xml:space="preserve">in the </w:t>
            </w:r>
            <w:r w:rsidRPr="00463667">
              <w:rPr>
                <w:i/>
              </w:rPr>
              <w:t>Guidelines for Relative Resource Use.</w:t>
            </w:r>
          </w:p>
        </w:tc>
      </w:tr>
    </w:tbl>
    <w:p w14:paraId="260A9A08" w14:textId="77777777" w:rsidR="00BF3DF9" w:rsidRPr="00463667" w:rsidRDefault="00BF3DF9" w:rsidP="00BF3DF9">
      <w:pPr>
        <w:pStyle w:val="ReverseHead"/>
      </w:pPr>
      <w:r w:rsidRPr="00463667">
        <w:t>Standard Cost Calculations</w:t>
      </w:r>
    </w:p>
    <w:p w14:paraId="7FC3E903" w14:textId="08CDBD05" w:rsidR="00BF3DF9" w:rsidRPr="00463667" w:rsidRDefault="00BF3DF9" w:rsidP="00BF3DF9">
      <w:pPr>
        <w:pStyle w:val="Body"/>
        <w:rPr>
          <w:rFonts w:cs="Arial"/>
          <w:szCs w:val="20"/>
        </w:rPr>
      </w:pPr>
      <w:r w:rsidRPr="00463667">
        <w:rPr>
          <w:rFonts w:cs="Arial"/>
          <w:szCs w:val="20"/>
        </w:rPr>
        <w:t xml:space="preserve">The organization reports total standard costs of all services for which the </w:t>
      </w:r>
      <w:r w:rsidRPr="00463667">
        <w:t xml:space="preserve">organization </w:t>
      </w:r>
      <w:r w:rsidRPr="00463667">
        <w:rPr>
          <w:rFonts w:cs="Arial"/>
          <w:szCs w:val="20"/>
        </w:rPr>
        <w:t xml:space="preserve">has paid or expects to pay for the eligible population during the treatment period. Total standard costs are assigned by matching codes for services rendered to codes listed in the NCQA SPTs (the tables will be posted to NCQA’s Web site by November </w:t>
      </w:r>
      <w:r w:rsidR="0083581E">
        <w:rPr>
          <w:rFonts w:cs="Arial"/>
          <w:szCs w:val="20"/>
        </w:rPr>
        <w:t>2</w:t>
      </w:r>
      <w:r w:rsidRPr="00463667">
        <w:rPr>
          <w:rFonts w:cs="Arial"/>
          <w:szCs w:val="20"/>
        </w:rPr>
        <w:t xml:space="preserve">, </w:t>
      </w:r>
      <w:r w:rsidR="0083581E">
        <w:rPr>
          <w:rFonts w:cs="Arial"/>
          <w:szCs w:val="20"/>
        </w:rPr>
        <w:t>2015</w:t>
      </w:r>
      <w:r w:rsidRPr="00463667">
        <w:rPr>
          <w:rFonts w:cs="Arial"/>
          <w:szCs w:val="20"/>
        </w:rPr>
        <w:t xml:space="preserve">). </w:t>
      </w:r>
    </w:p>
    <w:tbl>
      <w:tblPr>
        <w:tblW w:w="9792" w:type="dxa"/>
        <w:tblInd w:w="18" w:type="dxa"/>
        <w:tblLayout w:type="fixed"/>
        <w:tblLook w:val="0000" w:firstRow="0" w:lastRow="0" w:firstColumn="0" w:lastColumn="0" w:noHBand="0" w:noVBand="0"/>
      </w:tblPr>
      <w:tblGrid>
        <w:gridCol w:w="1782"/>
        <w:gridCol w:w="4068"/>
        <w:gridCol w:w="3942"/>
      </w:tblGrid>
      <w:tr w:rsidR="00BF3DF9" w:rsidRPr="00463667" w14:paraId="5515AE54" w14:textId="77777777" w:rsidTr="004A26C9">
        <w:tc>
          <w:tcPr>
            <w:tcW w:w="1782" w:type="dxa"/>
            <w:vMerge w:val="restart"/>
          </w:tcPr>
          <w:p w14:paraId="19CF1C91" w14:textId="77777777" w:rsidR="00BF3DF9" w:rsidRPr="00463667" w:rsidRDefault="00BF3DF9" w:rsidP="00C56CA6">
            <w:pPr>
              <w:pStyle w:val="MarginSubhead"/>
            </w:pPr>
            <w:r w:rsidRPr="00463667">
              <w:t>Apply standard price</w:t>
            </w:r>
          </w:p>
        </w:tc>
        <w:tc>
          <w:tcPr>
            <w:tcW w:w="4068" w:type="dxa"/>
          </w:tcPr>
          <w:p w14:paraId="39879F8C" w14:textId="77777777" w:rsidR="00BF3DF9" w:rsidRPr="00463667" w:rsidRDefault="00BF3DF9" w:rsidP="00C56CA6">
            <w:pPr>
              <w:pStyle w:val="Body"/>
            </w:pPr>
            <w:r w:rsidRPr="00463667">
              <w:t>SPTs categorize services as follows:</w:t>
            </w:r>
          </w:p>
          <w:p w14:paraId="23009288" w14:textId="77777777" w:rsidR="00BF3DF9" w:rsidRPr="00463667" w:rsidRDefault="00BF3DF9" w:rsidP="00C56CA6">
            <w:pPr>
              <w:pStyle w:val="Bullet"/>
              <w:spacing w:before="100"/>
            </w:pPr>
            <w:r w:rsidRPr="00463667">
              <w:t>Inpatient Facility.</w:t>
            </w:r>
          </w:p>
          <w:p w14:paraId="6802289F" w14:textId="77777777" w:rsidR="00BF3DF9" w:rsidRPr="00463667" w:rsidRDefault="00BF3DF9" w:rsidP="00C56CA6">
            <w:pPr>
              <w:pStyle w:val="Bullet"/>
              <w:spacing w:before="100"/>
            </w:pPr>
            <w:r w:rsidRPr="00463667">
              <w:t>E&amp;M:</w:t>
            </w:r>
          </w:p>
          <w:p w14:paraId="35DD44F6" w14:textId="77777777" w:rsidR="00BF3DF9" w:rsidRPr="00463667" w:rsidRDefault="00BF3DF9" w:rsidP="00C56CA6">
            <w:pPr>
              <w:pStyle w:val="Dash"/>
            </w:pPr>
            <w:r w:rsidRPr="00463667">
              <w:t>Inpatient Services.</w:t>
            </w:r>
          </w:p>
          <w:p w14:paraId="04AB6C1C" w14:textId="77777777" w:rsidR="00BF3DF9" w:rsidRPr="00463667" w:rsidRDefault="00BF3DF9" w:rsidP="00C56CA6">
            <w:pPr>
              <w:pStyle w:val="Dash"/>
            </w:pPr>
            <w:r w:rsidRPr="00463667">
              <w:t>Outpatient Services.</w:t>
            </w:r>
          </w:p>
          <w:p w14:paraId="3F5F2060" w14:textId="77777777" w:rsidR="00BF3DF9" w:rsidRPr="00463667" w:rsidRDefault="00BF3DF9" w:rsidP="00C56CA6">
            <w:pPr>
              <w:pStyle w:val="Bullet"/>
              <w:spacing w:before="100"/>
            </w:pPr>
            <w:r w:rsidRPr="00463667">
              <w:t>Laboratory Services.</w:t>
            </w:r>
          </w:p>
        </w:tc>
        <w:tc>
          <w:tcPr>
            <w:tcW w:w="3942" w:type="dxa"/>
          </w:tcPr>
          <w:p w14:paraId="3F69D12D" w14:textId="77777777" w:rsidR="00BF3DF9" w:rsidRPr="00463667" w:rsidRDefault="00BF3DF9" w:rsidP="00C56CA6">
            <w:pPr>
              <w:pStyle w:val="Body"/>
            </w:pPr>
          </w:p>
          <w:p w14:paraId="598A7E11" w14:textId="77777777" w:rsidR="00BF3DF9" w:rsidRPr="00463667" w:rsidRDefault="00BF3DF9" w:rsidP="00C56CA6">
            <w:pPr>
              <w:pStyle w:val="ProcessBullet"/>
              <w:spacing w:before="100"/>
            </w:pPr>
            <w:r w:rsidRPr="00463667">
              <w:t xml:space="preserve">Surgery and Procedure: </w:t>
            </w:r>
          </w:p>
          <w:p w14:paraId="31134066" w14:textId="77777777" w:rsidR="00BF3DF9" w:rsidRPr="00463667" w:rsidRDefault="00BF3DF9" w:rsidP="00C56CA6">
            <w:pPr>
              <w:pStyle w:val="ProcessDash"/>
            </w:pPr>
            <w:r w:rsidRPr="00463667">
              <w:t>Inpatient Services.</w:t>
            </w:r>
          </w:p>
          <w:p w14:paraId="4A9A43F3" w14:textId="77777777" w:rsidR="00BF3DF9" w:rsidRPr="00463667" w:rsidRDefault="00BF3DF9" w:rsidP="00C56CA6">
            <w:pPr>
              <w:pStyle w:val="ProcessDash"/>
            </w:pPr>
            <w:r w:rsidRPr="00463667">
              <w:t>Outpatient Services.</w:t>
            </w:r>
          </w:p>
          <w:p w14:paraId="1B2D9247" w14:textId="77777777" w:rsidR="00BF3DF9" w:rsidRPr="00463667" w:rsidRDefault="00BF3DF9" w:rsidP="00C56CA6">
            <w:pPr>
              <w:pStyle w:val="ProcessBullet"/>
              <w:spacing w:before="100"/>
            </w:pPr>
            <w:r w:rsidRPr="00463667">
              <w:t>Imaging Services.</w:t>
            </w:r>
          </w:p>
          <w:p w14:paraId="3E516ED5" w14:textId="77777777" w:rsidR="00BF3DF9" w:rsidRPr="00463667" w:rsidRDefault="00BF3DF9" w:rsidP="00C56CA6">
            <w:pPr>
              <w:pStyle w:val="ProcessBullet"/>
              <w:spacing w:before="100"/>
            </w:pPr>
            <w:r w:rsidRPr="00463667">
              <w:t>Pharmacy.</w:t>
            </w:r>
          </w:p>
        </w:tc>
      </w:tr>
      <w:tr w:rsidR="00BF3DF9" w:rsidRPr="00463667" w14:paraId="31BFC0D2" w14:textId="77777777" w:rsidTr="004A26C9">
        <w:tc>
          <w:tcPr>
            <w:tcW w:w="1782" w:type="dxa"/>
            <w:vMerge/>
          </w:tcPr>
          <w:p w14:paraId="3BCDBB43" w14:textId="77777777" w:rsidR="00BF3DF9" w:rsidRPr="00463667" w:rsidRDefault="00BF3DF9" w:rsidP="00C56CA6">
            <w:pPr>
              <w:pStyle w:val="MarginSubhead"/>
            </w:pPr>
          </w:p>
        </w:tc>
        <w:tc>
          <w:tcPr>
            <w:tcW w:w="8010" w:type="dxa"/>
            <w:gridSpan w:val="2"/>
          </w:tcPr>
          <w:p w14:paraId="5E95BEA6" w14:textId="77777777" w:rsidR="00BF3DF9" w:rsidRPr="00463667" w:rsidRDefault="00BF3DF9" w:rsidP="00C56CA6">
            <w:pPr>
              <w:pStyle w:val="Body"/>
            </w:pPr>
            <w:r w:rsidRPr="00463667">
              <w:t xml:space="preserve">Count all services listed in the SPTs rendered to members in the eligible population during the treatment period. Refer to the </w:t>
            </w:r>
            <w:r w:rsidRPr="00463667">
              <w:rPr>
                <w:i/>
              </w:rPr>
              <w:t>Calculating Standard Cost</w:t>
            </w:r>
            <w:r w:rsidRPr="00463667">
              <w:t xml:space="preserve"> instructions in the </w:t>
            </w:r>
            <w:r w:rsidRPr="00463667">
              <w:rPr>
                <w:i/>
              </w:rPr>
              <w:t xml:space="preserve">Guidelines for Relative Resource Use </w:t>
            </w:r>
            <w:r w:rsidRPr="00463667">
              <w:t>for steps on categorizing services and linking service data to NCQA’s SPTs.</w:t>
            </w:r>
          </w:p>
        </w:tc>
      </w:tr>
      <w:tr w:rsidR="00BF3DF9" w:rsidRPr="00463667" w14:paraId="2EF6A24D" w14:textId="77777777" w:rsidTr="004A26C9">
        <w:tc>
          <w:tcPr>
            <w:tcW w:w="1782" w:type="dxa"/>
          </w:tcPr>
          <w:p w14:paraId="2454FBF4" w14:textId="77777777" w:rsidR="00BF3DF9" w:rsidRPr="00463667" w:rsidRDefault="00BF3DF9" w:rsidP="00C56CA6">
            <w:pPr>
              <w:pStyle w:val="MarginSubhead"/>
            </w:pPr>
            <w:r w:rsidRPr="00463667">
              <w:t>Calculate total cost</w:t>
            </w:r>
          </w:p>
        </w:tc>
        <w:tc>
          <w:tcPr>
            <w:tcW w:w="8010" w:type="dxa"/>
            <w:gridSpan w:val="2"/>
          </w:tcPr>
          <w:p w14:paraId="6B5273F0" w14:textId="77777777" w:rsidR="00BF3DF9" w:rsidRPr="00463667" w:rsidRDefault="00BF3DF9" w:rsidP="00C56CA6">
            <w:pPr>
              <w:pStyle w:val="Body"/>
            </w:pPr>
            <w:r w:rsidRPr="00463667">
              <w:t xml:space="preserve">Sum the total standard cost for each eligible member. Within each service category, </w:t>
            </w:r>
            <w:r w:rsidRPr="00463667">
              <w:br/>
              <w:t xml:space="preserve">if a member’s standard cost exceeds the service category cap amount, report the </w:t>
            </w:r>
            <w:r w:rsidRPr="00463667">
              <w:br/>
              <w:t xml:space="preserve">total standard cost specified in the NCQA Cost Cap Amounts table (released with </w:t>
            </w:r>
            <w:r w:rsidRPr="00463667">
              <w:br/>
              <w:t>the SPTs).</w:t>
            </w:r>
          </w:p>
          <w:p w14:paraId="5536B626" w14:textId="77777777" w:rsidR="00BF3DF9" w:rsidRPr="00463667" w:rsidRDefault="00BF3DF9" w:rsidP="00C56CA6">
            <w:pPr>
              <w:pStyle w:val="Body"/>
              <w:rPr>
                <w:rFonts w:cs="Arial"/>
                <w:szCs w:val="20"/>
              </w:rPr>
            </w:pPr>
            <w:r w:rsidRPr="00463667">
              <w:rPr>
                <w:rFonts w:cs="Arial"/>
                <w:szCs w:val="20"/>
              </w:rPr>
              <w:t>Sum and report the total standard cost for the eligible population in each service category by member cohort.</w:t>
            </w:r>
          </w:p>
        </w:tc>
      </w:tr>
    </w:tbl>
    <w:p w14:paraId="60881E9B" w14:textId="77777777" w:rsidR="00966C97" w:rsidRDefault="00966C97" w:rsidP="00966C97">
      <w:pPr>
        <w:sectPr w:rsidR="00966C97" w:rsidSect="00C56CA6">
          <w:headerReference w:type="even" r:id="rId50"/>
          <w:headerReference w:type="default" r:id="rId51"/>
          <w:pgSz w:w="12240" w:h="15840" w:code="1"/>
          <w:pgMar w:top="1080" w:right="1080" w:bottom="1080" w:left="1440" w:header="720" w:footer="720" w:gutter="0"/>
          <w:cols w:space="720"/>
        </w:sectPr>
      </w:pPr>
    </w:p>
    <w:p w14:paraId="46BD3D49" w14:textId="1AD7B6AF" w:rsidR="00BF3DF9" w:rsidRPr="00463667" w:rsidRDefault="00BF3DF9" w:rsidP="00966C97">
      <w:pPr>
        <w:pStyle w:val="ReverseHead"/>
        <w:spacing w:before="0"/>
      </w:pPr>
      <w:r w:rsidRPr="00463667">
        <w:lastRenderedPageBreak/>
        <w:t>Service Frequency Calculations</w:t>
      </w:r>
    </w:p>
    <w:tbl>
      <w:tblPr>
        <w:tblW w:w="9792" w:type="dxa"/>
        <w:tblInd w:w="18" w:type="dxa"/>
        <w:tblLayout w:type="fixed"/>
        <w:tblLook w:val="0000" w:firstRow="0" w:lastRow="0" w:firstColumn="0" w:lastColumn="0" w:noHBand="0" w:noVBand="0"/>
      </w:tblPr>
      <w:tblGrid>
        <w:gridCol w:w="1872"/>
        <w:gridCol w:w="7920"/>
      </w:tblGrid>
      <w:tr w:rsidR="00966C97" w:rsidRPr="00463667" w14:paraId="0842458C" w14:textId="77777777" w:rsidTr="00966C97">
        <w:tc>
          <w:tcPr>
            <w:tcW w:w="1872" w:type="dxa"/>
          </w:tcPr>
          <w:p w14:paraId="64E50723" w14:textId="77777777" w:rsidR="00966C97" w:rsidRPr="00463667" w:rsidRDefault="00966C97" w:rsidP="00C56CA6">
            <w:pPr>
              <w:pStyle w:val="MarginSubhead"/>
              <w:ind w:left="187"/>
              <w:rPr>
                <w:rFonts w:cs="Arial"/>
                <w:szCs w:val="20"/>
              </w:rPr>
            </w:pPr>
            <w:r w:rsidRPr="00463667">
              <w:rPr>
                <w:rFonts w:cs="Arial"/>
                <w:szCs w:val="20"/>
              </w:rPr>
              <w:t xml:space="preserve">Total frequency of service </w:t>
            </w:r>
          </w:p>
        </w:tc>
        <w:tc>
          <w:tcPr>
            <w:tcW w:w="7920" w:type="dxa"/>
            <w:vMerge w:val="restart"/>
          </w:tcPr>
          <w:p w14:paraId="414FBFF4" w14:textId="77777777" w:rsidR="00966C97" w:rsidRPr="00463667" w:rsidRDefault="00966C97" w:rsidP="00C56CA6">
            <w:pPr>
              <w:pStyle w:val="Body"/>
              <w:rPr>
                <w:rFonts w:cs="Arial"/>
                <w:szCs w:val="20"/>
              </w:rPr>
            </w:pPr>
            <w:r w:rsidRPr="00463667">
              <w:rPr>
                <w:rFonts w:cs="Arial"/>
                <w:szCs w:val="20"/>
              </w:rPr>
              <w:t xml:space="preserve">Service frequency counts are reported for all services for which the </w:t>
            </w:r>
            <w:r w:rsidRPr="00463667">
              <w:t xml:space="preserve">organization </w:t>
            </w:r>
            <w:r w:rsidRPr="00463667">
              <w:rPr>
                <w:rFonts w:cs="Arial"/>
                <w:szCs w:val="20"/>
              </w:rPr>
              <w:t>has paid or expects to pay for the eligible population during the treatment period. The measure captures each eligible member’s services rendered during the treatment period for the following utilization categories:</w:t>
            </w:r>
          </w:p>
          <w:p w14:paraId="2B83BF3F" w14:textId="77777777" w:rsidR="00966C97" w:rsidRPr="00463667" w:rsidRDefault="00966C97" w:rsidP="00966C97">
            <w:pPr>
              <w:pStyle w:val="Bullet"/>
              <w:tabs>
                <w:tab w:val="clear" w:pos="576"/>
              </w:tabs>
              <w:spacing w:before="60"/>
            </w:pPr>
            <w:r w:rsidRPr="00463667">
              <w:t>Acute Medicine: Discharges, Days.</w:t>
            </w:r>
          </w:p>
          <w:p w14:paraId="784C91ED" w14:textId="77777777" w:rsidR="00966C97" w:rsidRPr="00463667" w:rsidRDefault="00966C97" w:rsidP="00966C97">
            <w:pPr>
              <w:pStyle w:val="Bullet"/>
              <w:tabs>
                <w:tab w:val="clear" w:pos="576"/>
              </w:tabs>
              <w:spacing w:before="60"/>
            </w:pPr>
            <w:r w:rsidRPr="00463667">
              <w:t>Acute Surgery: Discharges, Days.</w:t>
            </w:r>
          </w:p>
          <w:p w14:paraId="2C871A39" w14:textId="77777777" w:rsidR="00966C97" w:rsidRPr="00463667" w:rsidRDefault="00966C97" w:rsidP="00966C97">
            <w:pPr>
              <w:pStyle w:val="Bullet"/>
              <w:tabs>
                <w:tab w:val="clear" w:pos="576"/>
              </w:tabs>
              <w:spacing w:before="60"/>
            </w:pPr>
            <w:r w:rsidRPr="00463667">
              <w:t>Nonacute: Discharges, Days.</w:t>
            </w:r>
          </w:p>
          <w:p w14:paraId="63CE14C4" w14:textId="77777777" w:rsidR="00966C97" w:rsidRPr="00463667" w:rsidRDefault="00966C97" w:rsidP="00966C97">
            <w:pPr>
              <w:pStyle w:val="Bullet"/>
              <w:tabs>
                <w:tab w:val="clear" w:pos="576"/>
              </w:tabs>
              <w:spacing w:before="60"/>
            </w:pPr>
            <w:r w:rsidRPr="00463667">
              <w:t>ED Discharges.</w:t>
            </w:r>
          </w:p>
          <w:p w14:paraId="73FF9EFB" w14:textId="77777777" w:rsidR="00966C97" w:rsidRPr="00463667" w:rsidRDefault="00966C97" w:rsidP="00966C97">
            <w:pPr>
              <w:pStyle w:val="Bullet"/>
              <w:tabs>
                <w:tab w:val="clear" w:pos="576"/>
              </w:tabs>
              <w:spacing w:before="60"/>
            </w:pPr>
            <w:r w:rsidRPr="00463667">
              <w:t>Pharmacy Utilization:</w:t>
            </w:r>
          </w:p>
          <w:p w14:paraId="30830616" w14:textId="77777777" w:rsidR="00966C97" w:rsidRPr="00463667" w:rsidRDefault="00966C97" w:rsidP="00966C97">
            <w:pPr>
              <w:pStyle w:val="Dash"/>
              <w:spacing w:before="30"/>
            </w:pPr>
            <w:r w:rsidRPr="00463667">
              <w:t>Name brand only (N1).</w:t>
            </w:r>
          </w:p>
          <w:p w14:paraId="2D8D3A0F" w14:textId="77777777" w:rsidR="00966C97" w:rsidRPr="00463667" w:rsidRDefault="00966C97" w:rsidP="00966C97">
            <w:pPr>
              <w:pStyle w:val="Dash"/>
              <w:spacing w:before="30"/>
            </w:pPr>
            <w:r w:rsidRPr="00463667">
              <w:t>Name brand—Generic exists (N2).</w:t>
            </w:r>
          </w:p>
          <w:p w14:paraId="1DF9108B" w14:textId="77777777" w:rsidR="00966C97" w:rsidRPr="00463667" w:rsidRDefault="00966C97" w:rsidP="00966C97">
            <w:pPr>
              <w:pStyle w:val="Dash"/>
              <w:spacing w:before="30"/>
            </w:pPr>
            <w:r w:rsidRPr="00463667">
              <w:t>Generic only (G1).</w:t>
            </w:r>
          </w:p>
          <w:p w14:paraId="76FC55B9" w14:textId="77777777" w:rsidR="00966C97" w:rsidRPr="00463667" w:rsidRDefault="00966C97" w:rsidP="00966C97">
            <w:pPr>
              <w:pStyle w:val="Dash"/>
              <w:spacing w:before="30"/>
              <w:rPr>
                <w:rFonts w:cs="Arial"/>
                <w:szCs w:val="20"/>
              </w:rPr>
            </w:pPr>
            <w:r w:rsidRPr="00463667">
              <w:t>Generic name—Name brand exists (G2).</w:t>
            </w:r>
          </w:p>
          <w:p w14:paraId="49718102" w14:textId="77777777" w:rsidR="00966C97" w:rsidRPr="00463667" w:rsidRDefault="00966C97" w:rsidP="00C56CA6">
            <w:pPr>
              <w:pStyle w:val="Body"/>
              <w:rPr>
                <w:b/>
                <w:i/>
              </w:rPr>
            </w:pPr>
            <w:r w:rsidRPr="00463667">
              <w:rPr>
                <w:b/>
                <w:i/>
              </w:rPr>
              <w:t>Other Condition-Specific Categories</w:t>
            </w:r>
          </w:p>
          <w:p w14:paraId="226F0BA9" w14:textId="77777777" w:rsidR="00966C97" w:rsidRPr="00463667" w:rsidRDefault="00966C97" w:rsidP="00966C97">
            <w:pPr>
              <w:pStyle w:val="Bullet"/>
              <w:spacing w:before="60"/>
            </w:pPr>
            <w:r w:rsidRPr="00463667">
              <w:t>Cardiac Catheterization.</w:t>
            </w:r>
          </w:p>
          <w:p w14:paraId="191F1562" w14:textId="77777777" w:rsidR="00966C97" w:rsidRPr="00463667" w:rsidRDefault="00966C97" w:rsidP="00966C97">
            <w:pPr>
              <w:pStyle w:val="Bullet"/>
              <w:spacing w:before="60"/>
            </w:pPr>
            <w:r w:rsidRPr="00463667">
              <w:t>PCI.</w:t>
            </w:r>
          </w:p>
          <w:p w14:paraId="588412E9" w14:textId="77777777" w:rsidR="00966C97" w:rsidRPr="00463667" w:rsidRDefault="00966C97" w:rsidP="00966C97">
            <w:pPr>
              <w:pStyle w:val="Bullet"/>
              <w:spacing w:before="60"/>
            </w:pPr>
            <w:r w:rsidRPr="00463667">
              <w:t>CABG.</w:t>
            </w:r>
          </w:p>
          <w:p w14:paraId="5DD66B54" w14:textId="77777777" w:rsidR="00966C97" w:rsidRPr="00463667" w:rsidRDefault="00966C97" w:rsidP="00966C97">
            <w:pPr>
              <w:pStyle w:val="Bullet"/>
              <w:spacing w:before="60"/>
            </w:pPr>
            <w:r w:rsidRPr="00463667">
              <w:t>Carotid Endarterectomy.</w:t>
            </w:r>
          </w:p>
          <w:p w14:paraId="05E06AEF" w14:textId="77777777" w:rsidR="00966C97" w:rsidRPr="00463667" w:rsidRDefault="00966C97" w:rsidP="00966C97">
            <w:pPr>
              <w:pStyle w:val="Bullet"/>
              <w:spacing w:before="60"/>
            </w:pPr>
            <w:r w:rsidRPr="00463667">
              <w:t>Carotid Artery Stenosis Diagnostic Test.</w:t>
            </w:r>
          </w:p>
          <w:p w14:paraId="0D72F824" w14:textId="77777777" w:rsidR="00966C97" w:rsidRPr="00463667" w:rsidRDefault="00966C97" w:rsidP="00966C97">
            <w:pPr>
              <w:pStyle w:val="Bullet"/>
              <w:spacing w:before="60"/>
            </w:pPr>
            <w:r w:rsidRPr="00463667">
              <w:t>Cardiac Computed Tomography.</w:t>
            </w:r>
          </w:p>
          <w:p w14:paraId="0EA64217" w14:textId="77777777" w:rsidR="00966C97" w:rsidRPr="00463667" w:rsidRDefault="00966C97" w:rsidP="00966C97">
            <w:pPr>
              <w:pStyle w:val="Bullet"/>
              <w:spacing w:before="60"/>
            </w:pPr>
            <w:r w:rsidRPr="00463667">
              <w:t>CAD Diagnostic Test Using EBCT/Nuclear Imaging Stress Test.</w:t>
            </w:r>
          </w:p>
          <w:p w14:paraId="381E94E1" w14:textId="1B422B00" w:rsidR="00966C97" w:rsidRPr="00463667" w:rsidRDefault="00966C97" w:rsidP="00C56CA6">
            <w:pPr>
              <w:pStyle w:val="Body"/>
            </w:pPr>
            <w:r w:rsidRPr="00463667">
              <w:t xml:space="preserve">Refer to the instructions in the </w:t>
            </w:r>
            <w:r w:rsidRPr="00463667">
              <w:rPr>
                <w:i/>
              </w:rPr>
              <w:t>Guidelines for Relative Resource Use</w:t>
            </w:r>
            <w:r w:rsidRPr="00463667">
              <w:t xml:space="preserve">. The </w:t>
            </w:r>
            <w:r w:rsidRPr="00463667">
              <w:rPr>
                <w:i/>
              </w:rPr>
              <w:t>Pharmacy Utilization</w:t>
            </w:r>
            <w:r w:rsidRPr="00463667">
              <w:t xml:space="preserve"> categories are included in Table SPT—Pharm.</w:t>
            </w:r>
          </w:p>
        </w:tc>
      </w:tr>
      <w:tr w:rsidR="00966C97" w:rsidRPr="00463667" w14:paraId="5E74B93A" w14:textId="77777777" w:rsidTr="00966C97">
        <w:tc>
          <w:tcPr>
            <w:tcW w:w="1872" w:type="dxa"/>
          </w:tcPr>
          <w:p w14:paraId="59A77D79" w14:textId="77777777" w:rsidR="00966C97" w:rsidRPr="00463667" w:rsidRDefault="00966C97" w:rsidP="00C56CA6">
            <w:pPr>
              <w:pStyle w:val="MarginSubhead"/>
              <w:ind w:left="187"/>
              <w:rPr>
                <w:rFonts w:cs="Arial"/>
                <w:szCs w:val="20"/>
              </w:rPr>
            </w:pPr>
          </w:p>
        </w:tc>
        <w:tc>
          <w:tcPr>
            <w:tcW w:w="7920" w:type="dxa"/>
            <w:vMerge/>
          </w:tcPr>
          <w:p w14:paraId="1B5D1ED6" w14:textId="442BEA73" w:rsidR="00966C97" w:rsidRPr="00463667" w:rsidRDefault="00966C97" w:rsidP="00C56CA6">
            <w:pPr>
              <w:pStyle w:val="Body"/>
            </w:pPr>
          </w:p>
        </w:tc>
      </w:tr>
      <w:tr w:rsidR="00BF3DF9" w:rsidRPr="00463667" w14:paraId="48F4F16B" w14:textId="77777777" w:rsidTr="00966C97">
        <w:trPr>
          <w:cantSplit/>
        </w:trPr>
        <w:tc>
          <w:tcPr>
            <w:tcW w:w="1872" w:type="dxa"/>
          </w:tcPr>
          <w:p w14:paraId="3EF2DCD5" w14:textId="77777777" w:rsidR="00BF3DF9" w:rsidRPr="00463667" w:rsidRDefault="00BF3DF9" w:rsidP="00C56CA6">
            <w:pPr>
              <w:pStyle w:val="MarginSubhead"/>
              <w:ind w:left="187"/>
              <w:rPr>
                <w:rFonts w:cs="Arial"/>
                <w:szCs w:val="20"/>
              </w:rPr>
            </w:pPr>
            <w:r w:rsidRPr="00463667">
              <w:rPr>
                <w:rFonts w:cs="Arial"/>
                <w:szCs w:val="20"/>
              </w:rPr>
              <w:t xml:space="preserve">Inpatient Facility </w:t>
            </w:r>
          </w:p>
        </w:tc>
        <w:tc>
          <w:tcPr>
            <w:tcW w:w="7920" w:type="dxa"/>
          </w:tcPr>
          <w:p w14:paraId="060EAD67" w14:textId="77777777" w:rsidR="00BF3DF9" w:rsidRPr="00463667" w:rsidRDefault="00BF3DF9" w:rsidP="00C56CA6">
            <w:pPr>
              <w:pStyle w:val="Body"/>
              <w:rPr>
                <w:rFonts w:cs="Arial"/>
                <w:strike/>
                <w:szCs w:val="20"/>
              </w:rPr>
            </w:pPr>
            <w:r w:rsidRPr="00463667">
              <w:rPr>
                <w:rFonts w:cs="Arial"/>
                <w:szCs w:val="20"/>
              </w:rPr>
              <w:t xml:space="preserve">This category measures the number of acute and nonacute inpatient facility discharges and days, regardless of diagnosis. Count each discharge once. </w:t>
            </w:r>
            <w:r w:rsidRPr="00463667">
              <w:t xml:space="preserve">Include data from any institution that provides acute or long-term/specialty nonacute care. </w:t>
            </w:r>
          </w:p>
          <w:p w14:paraId="7C1EE99C" w14:textId="77777777" w:rsidR="00BF3DF9" w:rsidRPr="00463667" w:rsidRDefault="00BF3DF9" w:rsidP="00C56CA6">
            <w:pPr>
              <w:pStyle w:val="Body"/>
              <w:rPr>
                <w:rFonts w:cs="Arial"/>
                <w:szCs w:val="20"/>
              </w:rPr>
            </w:pPr>
            <w:r w:rsidRPr="00463667">
              <w:rPr>
                <w:rFonts w:cs="Arial"/>
                <w:szCs w:val="20"/>
              </w:rPr>
              <w:t xml:space="preserve">Refer to the </w:t>
            </w:r>
            <w:r w:rsidRPr="00463667">
              <w:rPr>
                <w:rFonts w:cs="Arial"/>
                <w:i/>
                <w:szCs w:val="20"/>
              </w:rPr>
              <w:t xml:space="preserve">Guidelines for </w:t>
            </w:r>
            <w:r w:rsidRPr="00463667">
              <w:rPr>
                <w:i/>
              </w:rPr>
              <w:t xml:space="preserve">Relative </w:t>
            </w:r>
            <w:r w:rsidRPr="00463667">
              <w:rPr>
                <w:rFonts w:cs="Arial"/>
                <w:i/>
                <w:szCs w:val="20"/>
              </w:rPr>
              <w:t xml:space="preserve">Resource Use </w:t>
            </w:r>
            <w:r w:rsidRPr="00463667">
              <w:rPr>
                <w:rFonts w:cs="Arial"/>
                <w:szCs w:val="20"/>
              </w:rPr>
              <w:t xml:space="preserve">to identify acute inpatient (including medicine and surgery) and nonacute discharges and days. </w:t>
            </w:r>
          </w:p>
        </w:tc>
      </w:tr>
      <w:tr w:rsidR="00BF3DF9" w:rsidRPr="00463667" w14:paraId="3A8D8FD2" w14:textId="77777777" w:rsidTr="00966C97">
        <w:tc>
          <w:tcPr>
            <w:tcW w:w="1872" w:type="dxa"/>
          </w:tcPr>
          <w:p w14:paraId="77DE7780" w14:textId="77777777" w:rsidR="00BF3DF9" w:rsidRPr="00463667" w:rsidRDefault="00BF3DF9" w:rsidP="00C56CA6">
            <w:pPr>
              <w:pStyle w:val="MarginSubhead"/>
              <w:ind w:left="187"/>
              <w:rPr>
                <w:rFonts w:cs="Arial"/>
                <w:szCs w:val="20"/>
              </w:rPr>
            </w:pPr>
            <w:r w:rsidRPr="00463667">
              <w:rPr>
                <w:rFonts w:cs="Arial"/>
                <w:szCs w:val="20"/>
              </w:rPr>
              <w:t>ED Discharges</w:t>
            </w:r>
          </w:p>
        </w:tc>
        <w:tc>
          <w:tcPr>
            <w:tcW w:w="7920" w:type="dxa"/>
          </w:tcPr>
          <w:p w14:paraId="2C9B5D57" w14:textId="77777777" w:rsidR="00BF3DF9" w:rsidRPr="00463667" w:rsidRDefault="00BF3DF9" w:rsidP="00C56CA6">
            <w:pPr>
              <w:pStyle w:val="Body"/>
              <w:rPr>
                <w:rFonts w:cs="Arial"/>
                <w:szCs w:val="20"/>
              </w:rPr>
            </w:pPr>
            <w:r w:rsidRPr="00463667">
              <w:rPr>
                <w:rFonts w:cs="Arial"/>
                <w:szCs w:val="20"/>
              </w:rPr>
              <w:t xml:space="preserve">This category measures use of ED services. </w:t>
            </w:r>
          </w:p>
          <w:p w14:paraId="5F58A58D" w14:textId="77777777" w:rsidR="00BF3DF9" w:rsidRPr="00463667" w:rsidRDefault="00BF3DF9" w:rsidP="00C56CA6">
            <w:pPr>
              <w:pStyle w:val="Body"/>
              <w:rPr>
                <w:rFonts w:cs="Arial"/>
                <w:szCs w:val="20"/>
              </w:rPr>
            </w:pPr>
            <w:r w:rsidRPr="00463667">
              <w:rPr>
                <w:rFonts w:cs="Arial"/>
                <w:szCs w:val="20"/>
              </w:rPr>
              <w:t>Count each visit to an ED during the treatment period that does not result in an inpatient stay that was paid, or expected to be paid, by the organization, regardless of the intensity of care required during the stay or the length of stay. Count only one ED visit per date of service. Do not count visits to urgent care centers. Services for members admitted to the hospital from an ED visit are included in the Inpatient Facility category only.</w:t>
            </w:r>
          </w:p>
          <w:p w14:paraId="66D3EEFB" w14:textId="77777777" w:rsidR="00BF3DF9" w:rsidRPr="00463667" w:rsidRDefault="00BF3DF9" w:rsidP="00C56CA6">
            <w:pPr>
              <w:pStyle w:val="Body"/>
              <w:spacing w:before="160"/>
            </w:pPr>
            <w:r w:rsidRPr="00463667">
              <w:t>Identify ED visits using either of the following:</w:t>
            </w:r>
          </w:p>
          <w:p w14:paraId="6B840E70" w14:textId="77777777" w:rsidR="00BF3DF9" w:rsidRPr="00463667" w:rsidRDefault="00BF3DF9" w:rsidP="00966C97">
            <w:pPr>
              <w:pStyle w:val="Bullet"/>
              <w:spacing w:before="60"/>
            </w:pPr>
            <w:r w:rsidRPr="00463667">
              <w:t>An ED visit (</w:t>
            </w:r>
            <w:r w:rsidRPr="00463667">
              <w:rPr>
                <w:u w:val="single"/>
              </w:rPr>
              <w:t>ED Value Set</w:t>
            </w:r>
            <w:r w:rsidRPr="00463667">
              <w:t>).</w:t>
            </w:r>
          </w:p>
          <w:p w14:paraId="442AD72C" w14:textId="77777777" w:rsidR="00BF3DF9" w:rsidRPr="00463667" w:rsidRDefault="00BF3DF9" w:rsidP="00966C97">
            <w:pPr>
              <w:pStyle w:val="Bullet"/>
              <w:spacing w:before="60"/>
              <w:rPr>
                <w:rFonts w:cs="Arial"/>
                <w:szCs w:val="20"/>
              </w:rPr>
            </w:pPr>
            <w:r w:rsidRPr="00463667">
              <w:t>A procedure code (</w:t>
            </w:r>
            <w:r w:rsidRPr="00463667">
              <w:rPr>
                <w:u w:val="single"/>
              </w:rPr>
              <w:t>ED Procedure Code Value Set</w:t>
            </w:r>
            <w:r w:rsidRPr="00463667">
              <w:t>) with an ED place of service code (</w:t>
            </w:r>
            <w:r w:rsidRPr="00463667">
              <w:rPr>
                <w:u w:val="single"/>
              </w:rPr>
              <w:t>ED POS Value Set</w:t>
            </w:r>
            <w:r w:rsidRPr="00463667">
              <w:t>).</w:t>
            </w:r>
          </w:p>
        </w:tc>
      </w:tr>
    </w:tbl>
    <w:p w14:paraId="34DC5893" w14:textId="77777777" w:rsidR="00966C97" w:rsidRDefault="00966C97">
      <w:pPr>
        <w:sectPr w:rsidR="00966C97" w:rsidSect="00C56CA6">
          <w:headerReference w:type="default" r:id="rId52"/>
          <w:pgSz w:w="12240" w:h="15840" w:code="1"/>
          <w:pgMar w:top="1080" w:right="1080" w:bottom="1080" w:left="1440" w:header="720" w:footer="720" w:gutter="0"/>
          <w:cols w:space="720"/>
        </w:sectPr>
      </w:pPr>
    </w:p>
    <w:tbl>
      <w:tblPr>
        <w:tblW w:w="9792" w:type="dxa"/>
        <w:tblInd w:w="18" w:type="dxa"/>
        <w:tblLayout w:type="fixed"/>
        <w:tblLook w:val="0000" w:firstRow="0" w:lastRow="0" w:firstColumn="0" w:lastColumn="0" w:noHBand="0" w:noVBand="0"/>
      </w:tblPr>
      <w:tblGrid>
        <w:gridCol w:w="2142"/>
        <w:gridCol w:w="7650"/>
      </w:tblGrid>
      <w:tr w:rsidR="00BF3DF9" w:rsidRPr="00463667" w14:paraId="368ED2B8" w14:textId="77777777" w:rsidTr="00C06600">
        <w:tc>
          <w:tcPr>
            <w:tcW w:w="2142" w:type="dxa"/>
          </w:tcPr>
          <w:p w14:paraId="63D34726" w14:textId="77777777" w:rsidR="00BF3DF9" w:rsidRPr="00463667" w:rsidRDefault="00BF3DF9" w:rsidP="00966C97">
            <w:pPr>
              <w:pStyle w:val="MarginSubhead"/>
              <w:spacing w:before="0"/>
              <w:ind w:left="187"/>
              <w:rPr>
                <w:rFonts w:cs="Arial"/>
                <w:szCs w:val="20"/>
              </w:rPr>
            </w:pPr>
            <w:r w:rsidRPr="00463667">
              <w:rPr>
                <w:rFonts w:cs="Arial"/>
                <w:szCs w:val="20"/>
              </w:rPr>
              <w:lastRenderedPageBreak/>
              <w:t>Pharmacy Utilization</w:t>
            </w:r>
          </w:p>
        </w:tc>
        <w:tc>
          <w:tcPr>
            <w:tcW w:w="7650" w:type="dxa"/>
          </w:tcPr>
          <w:p w14:paraId="3B5D712B" w14:textId="77777777" w:rsidR="00BF3DF9" w:rsidRPr="00463667" w:rsidRDefault="00BF3DF9" w:rsidP="00966C97">
            <w:pPr>
              <w:pStyle w:val="Body"/>
              <w:spacing w:before="0"/>
              <w:rPr>
                <w:rFonts w:cs="Arial"/>
                <w:szCs w:val="20"/>
              </w:rPr>
            </w:pPr>
            <w:r w:rsidRPr="00463667">
              <w:rPr>
                <w:rFonts w:cs="Arial"/>
                <w:szCs w:val="20"/>
              </w:rPr>
              <w:t>Use Table SPT—Pharm to identify the prescription categories for each drug dispensed in the treatment period.</w:t>
            </w:r>
          </w:p>
          <w:p w14:paraId="0ACB5BD6" w14:textId="77777777" w:rsidR="00BF3DF9" w:rsidRPr="00463667" w:rsidRDefault="00BF3DF9" w:rsidP="00C56CA6">
            <w:pPr>
              <w:pStyle w:val="Body"/>
              <w:rPr>
                <w:rFonts w:cs="Arial"/>
                <w:szCs w:val="20"/>
              </w:rPr>
            </w:pPr>
            <w:r w:rsidRPr="00463667">
              <w:rPr>
                <w:rFonts w:cs="Arial"/>
                <w:szCs w:val="20"/>
              </w:rPr>
              <w:t>Sum and report the number of prescriptions in each of the four categories in the Pharmacy—Total Service Frequency by Prescription Category table.</w:t>
            </w:r>
          </w:p>
        </w:tc>
      </w:tr>
    </w:tbl>
    <w:p w14:paraId="6EEE3F07" w14:textId="77777777" w:rsidR="00BF3DF9" w:rsidRPr="00463667" w:rsidRDefault="00BF3DF9" w:rsidP="00966C97">
      <w:pPr>
        <w:pStyle w:val="SubHead20"/>
      </w:pPr>
      <w:r w:rsidRPr="00463667">
        <w:t>Other Condition-Specific Categories</w:t>
      </w:r>
    </w:p>
    <w:p w14:paraId="44F4DCA3" w14:textId="77777777" w:rsidR="00BF3DF9" w:rsidRPr="00463667" w:rsidRDefault="00BF3DF9" w:rsidP="00BF3DF9">
      <w:pPr>
        <w:tabs>
          <w:tab w:val="left" w:pos="2268"/>
        </w:tabs>
        <w:autoSpaceDE w:val="0"/>
        <w:autoSpaceDN w:val="0"/>
        <w:adjustRightInd w:val="0"/>
        <w:spacing w:before="180"/>
        <w:ind w:left="18"/>
      </w:pPr>
      <w:r w:rsidRPr="00463667">
        <w:t xml:space="preserve">Use the information below and refer to the instructions in the </w:t>
      </w:r>
      <w:r w:rsidRPr="00463667">
        <w:rPr>
          <w:i/>
        </w:rPr>
        <w:t xml:space="preserve">Guidelines for Relative Resource Use. </w:t>
      </w:r>
    </w:p>
    <w:tbl>
      <w:tblPr>
        <w:tblW w:w="9747" w:type="dxa"/>
        <w:tblLayout w:type="fixed"/>
        <w:tblLook w:val="0000" w:firstRow="0" w:lastRow="0" w:firstColumn="0" w:lastColumn="0" w:noHBand="0" w:noVBand="0"/>
      </w:tblPr>
      <w:tblGrid>
        <w:gridCol w:w="2160"/>
        <w:gridCol w:w="7587"/>
      </w:tblGrid>
      <w:tr w:rsidR="00BF3DF9" w:rsidRPr="00463667" w14:paraId="1DEB670B" w14:textId="77777777" w:rsidTr="00CF45D6">
        <w:tc>
          <w:tcPr>
            <w:tcW w:w="2160" w:type="dxa"/>
          </w:tcPr>
          <w:p w14:paraId="00C1450A" w14:textId="77777777" w:rsidR="00BF3DF9" w:rsidRPr="00463667" w:rsidRDefault="00BF3DF9" w:rsidP="00C56CA6">
            <w:pPr>
              <w:pStyle w:val="MarginSubhead"/>
            </w:pPr>
            <w:r w:rsidRPr="00463667">
              <w:t>Cardiac Catheterization</w:t>
            </w:r>
          </w:p>
        </w:tc>
        <w:tc>
          <w:tcPr>
            <w:tcW w:w="7587" w:type="dxa"/>
          </w:tcPr>
          <w:p w14:paraId="118252B9" w14:textId="77777777" w:rsidR="00BF3DF9" w:rsidRPr="00463667" w:rsidRDefault="00BF3DF9" w:rsidP="00C56CA6">
            <w:pPr>
              <w:pStyle w:val="Body"/>
            </w:pPr>
            <w:r w:rsidRPr="00463667">
              <w:t>Cardiac catheterization (</w:t>
            </w:r>
            <w:r w:rsidRPr="00463667">
              <w:rPr>
                <w:u w:val="single"/>
              </w:rPr>
              <w:t>Cardiac Catheterization Value Set</w:t>
            </w:r>
            <w:r w:rsidRPr="00463667">
              <w:t>). Report all cardiac catheterizations performed separately. Do not report a cardiac catheterization performed in conjunction with (i.e., on the same date of service as) a PCI in the cardiac catheterization rate; report only the PCI.</w:t>
            </w:r>
          </w:p>
          <w:p w14:paraId="4FAC3EA0" w14:textId="77777777" w:rsidR="00BF3DF9" w:rsidRPr="00463667" w:rsidRDefault="00BF3DF9" w:rsidP="00C56CA6">
            <w:pPr>
              <w:pStyle w:val="Body"/>
            </w:pPr>
            <w:r w:rsidRPr="00463667">
              <w:t>Do not report PCI or cardiac catheterization performed in conjunction with (i.e., on the same date of service as) a CABG in the PCI or the cardiac catheterization rate; report only the CABG.</w:t>
            </w:r>
          </w:p>
        </w:tc>
      </w:tr>
      <w:tr w:rsidR="00BF3DF9" w:rsidRPr="00463667" w14:paraId="4D056BF0" w14:textId="77777777" w:rsidTr="00CF45D6">
        <w:tc>
          <w:tcPr>
            <w:tcW w:w="2160" w:type="dxa"/>
          </w:tcPr>
          <w:p w14:paraId="6ADCC3CC" w14:textId="77777777" w:rsidR="00BF3DF9" w:rsidRPr="00463667" w:rsidRDefault="00BF3DF9" w:rsidP="00C56CA6">
            <w:pPr>
              <w:pStyle w:val="MarginSubhead"/>
            </w:pPr>
            <w:r w:rsidRPr="00463667">
              <w:t>PCI</w:t>
            </w:r>
          </w:p>
        </w:tc>
        <w:tc>
          <w:tcPr>
            <w:tcW w:w="7587" w:type="dxa"/>
          </w:tcPr>
          <w:p w14:paraId="325048CB" w14:textId="77777777" w:rsidR="00BF3DF9" w:rsidRPr="00463667" w:rsidRDefault="00BF3DF9" w:rsidP="00C56CA6">
            <w:pPr>
              <w:pStyle w:val="Body"/>
            </w:pPr>
            <w:r w:rsidRPr="00463667">
              <w:t>Percutaneous coronary intervention (</w:t>
            </w:r>
            <w:r w:rsidRPr="00463667">
              <w:rPr>
                <w:u w:val="single"/>
              </w:rPr>
              <w:t>PCI Value Set</w:t>
            </w:r>
            <w:r w:rsidRPr="00463667">
              <w:t>).</w:t>
            </w:r>
            <w:r w:rsidRPr="00463667">
              <w:rPr>
                <w:i/>
              </w:rPr>
              <w:t xml:space="preserve"> </w:t>
            </w:r>
            <w:r w:rsidRPr="00463667">
              <w:t>Report all PCIs performed separately. Do not report PCI or cardiac catheterization performed in conjunction with (i.e., on the same date of service as) a CABG in the PCI or the cardiac catheterization rate; report only the CABG.</w:t>
            </w:r>
          </w:p>
        </w:tc>
      </w:tr>
      <w:tr w:rsidR="00BF3DF9" w:rsidRPr="00463667" w14:paraId="2CC79E0B" w14:textId="77777777" w:rsidTr="00CF45D6">
        <w:tc>
          <w:tcPr>
            <w:tcW w:w="2160" w:type="dxa"/>
          </w:tcPr>
          <w:p w14:paraId="640AA802" w14:textId="77777777" w:rsidR="00BF3DF9" w:rsidRPr="00463667" w:rsidRDefault="00BF3DF9" w:rsidP="00C56CA6">
            <w:pPr>
              <w:pStyle w:val="MarginSubhead"/>
            </w:pPr>
            <w:r w:rsidRPr="00463667">
              <w:t>CABG</w:t>
            </w:r>
          </w:p>
        </w:tc>
        <w:tc>
          <w:tcPr>
            <w:tcW w:w="7587" w:type="dxa"/>
          </w:tcPr>
          <w:p w14:paraId="07DC3C0E" w14:textId="77777777" w:rsidR="00BF3DF9" w:rsidRPr="00463667" w:rsidRDefault="00BF3DF9" w:rsidP="00C56CA6">
            <w:pPr>
              <w:pStyle w:val="Body"/>
            </w:pPr>
            <w:r w:rsidRPr="00463667">
              <w:t>Coronary artery bypass graft (</w:t>
            </w:r>
            <w:r w:rsidRPr="00463667">
              <w:rPr>
                <w:u w:val="single"/>
              </w:rPr>
              <w:t>CABG Value Set</w:t>
            </w:r>
            <w:r w:rsidRPr="00463667">
              <w:t>). Coronary artery bypass graft. Report each CABG only once for each date of service per patient, regardless of the number of arteries involved or the number or types of grafts involved.</w:t>
            </w:r>
          </w:p>
          <w:p w14:paraId="26F8AB12" w14:textId="77777777" w:rsidR="00BF3DF9" w:rsidRPr="00463667" w:rsidRDefault="00BF3DF9" w:rsidP="00C56CA6">
            <w:pPr>
              <w:pStyle w:val="Body"/>
            </w:pPr>
            <w:r w:rsidRPr="00463667">
              <w:t>Do not report PCI or cardiac catheterization performed in conjunction with (i.e., on the same date of service as) a CABG in the PCI or the cardiac catheterization rate; report only the CABG.</w:t>
            </w:r>
          </w:p>
        </w:tc>
      </w:tr>
      <w:tr w:rsidR="00BF3DF9" w:rsidRPr="00463667" w14:paraId="35DA9868" w14:textId="77777777" w:rsidTr="00CF45D6">
        <w:trPr>
          <w:cantSplit/>
        </w:trPr>
        <w:tc>
          <w:tcPr>
            <w:tcW w:w="2160" w:type="dxa"/>
          </w:tcPr>
          <w:p w14:paraId="0106D0EF" w14:textId="77777777" w:rsidR="00BF3DF9" w:rsidRPr="00463667" w:rsidRDefault="00BF3DF9" w:rsidP="00C56CA6">
            <w:pPr>
              <w:pStyle w:val="MarginSubhead"/>
            </w:pPr>
            <w:r w:rsidRPr="00463667">
              <w:t>Carotid Endarterectomy</w:t>
            </w:r>
          </w:p>
        </w:tc>
        <w:tc>
          <w:tcPr>
            <w:tcW w:w="7587" w:type="dxa"/>
          </w:tcPr>
          <w:p w14:paraId="7D8A187E" w14:textId="77777777" w:rsidR="00BF3DF9" w:rsidRPr="00463667" w:rsidRDefault="00BF3DF9" w:rsidP="00C56CA6">
            <w:pPr>
              <w:pStyle w:val="Body"/>
            </w:pPr>
            <w:r w:rsidRPr="00463667">
              <w:t>Carotid endarterectomy (</w:t>
            </w:r>
            <w:r w:rsidRPr="00463667">
              <w:rPr>
                <w:u w:val="single"/>
              </w:rPr>
              <w:t>Carotid Endarterectomy Value Set</w:t>
            </w:r>
            <w:r w:rsidRPr="00463667">
              <w:t>). Report the number of carotid endarterectomies.</w:t>
            </w:r>
          </w:p>
        </w:tc>
      </w:tr>
      <w:tr w:rsidR="00BF3DF9" w:rsidRPr="00463667" w14:paraId="5DE4AC63" w14:textId="77777777" w:rsidTr="00CF45D6">
        <w:tc>
          <w:tcPr>
            <w:tcW w:w="2160" w:type="dxa"/>
          </w:tcPr>
          <w:p w14:paraId="1E158BC0" w14:textId="77777777" w:rsidR="00BF3DF9" w:rsidRPr="00463667" w:rsidRDefault="00BF3DF9" w:rsidP="00C56CA6">
            <w:pPr>
              <w:pStyle w:val="MarginSubhead"/>
            </w:pPr>
            <w:r w:rsidRPr="00463667">
              <w:t>CAS Diagnostic Test</w:t>
            </w:r>
          </w:p>
        </w:tc>
        <w:tc>
          <w:tcPr>
            <w:tcW w:w="7587" w:type="dxa"/>
          </w:tcPr>
          <w:p w14:paraId="3B9F008B" w14:textId="77777777" w:rsidR="00BF3DF9" w:rsidRPr="00463667" w:rsidRDefault="00BF3DF9" w:rsidP="00C56CA6">
            <w:pPr>
              <w:pStyle w:val="Body"/>
            </w:pPr>
            <w:r w:rsidRPr="00463667">
              <w:t>Carotid artery stenosis diagnostic test (</w:t>
            </w:r>
            <w:r w:rsidRPr="00463667">
              <w:rPr>
                <w:u w:val="single"/>
              </w:rPr>
              <w:t>CAS Tests Value Set</w:t>
            </w:r>
            <w:r w:rsidRPr="00463667">
              <w:t>). Report the number of CAS diagnostic tests.</w:t>
            </w:r>
          </w:p>
        </w:tc>
      </w:tr>
      <w:tr w:rsidR="00BF3DF9" w:rsidRPr="00463667" w14:paraId="36F9AE02" w14:textId="77777777" w:rsidTr="00CF45D6">
        <w:tc>
          <w:tcPr>
            <w:tcW w:w="2160" w:type="dxa"/>
          </w:tcPr>
          <w:p w14:paraId="28B62E47" w14:textId="77777777" w:rsidR="00BF3DF9" w:rsidRPr="00463667" w:rsidRDefault="00BF3DF9" w:rsidP="00C56CA6">
            <w:pPr>
              <w:pStyle w:val="MarginSubhead"/>
            </w:pPr>
            <w:r w:rsidRPr="00463667">
              <w:t>Cardiac CT</w:t>
            </w:r>
          </w:p>
        </w:tc>
        <w:tc>
          <w:tcPr>
            <w:tcW w:w="7587" w:type="dxa"/>
          </w:tcPr>
          <w:p w14:paraId="701A2B3D" w14:textId="77777777" w:rsidR="00BF3DF9" w:rsidRPr="00463667" w:rsidRDefault="00BF3DF9" w:rsidP="00C56CA6">
            <w:pPr>
              <w:pStyle w:val="Body"/>
            </w:pPr>
            <w:r w:rsidRPr="00463667">
              <w:t>Cardiac computed tomography (</w:t>
            </w:r>
            <w:r w:rsidRPr="00463667">
              <w:rPr>
                <w:u w:val="single"/>
              </w:rPr>
              <w:t>Cardiac CT Value Set</w:t>
            </w:r>
            <w:r w:rsidRPr="00463667">
              <w:t>). Report the number of cardiac CTs.</w:t>
            </w:r>
          </w:p>
        </w:tc>
      </w:tr>
      <w:tr w:rsidR="00BF3DF9" w:rsidRPr="00463667" w14:paraId="1BED3E69" w14:textId="77777777" w:rsidTr="00CF45D6">
        <w:tc>
          <w:tcPr>
            <w:tcW w:w="2160" w:type="dxa"/>
          </w:tcPr>
          <w:p w14:paraId="23955D77" w14:textId="77777777" w:rsidR="00BF3DF9" w:rsidRPr="00463667" w:rsidRDefault="00BF3DF9" w:rsidP="00C56CA6">
            <w:pPr>
              <w:pStyle w:val="MarginSubhead"/>
            </w:pPr>
            <w:r w:rsidRPr="00463667">
              <w:t>CAD Diagnostic Test Using EBCT/ Nuclear Imaging Stress Tests</w:t>
            </w:r>
          </w:p>
        </w:tc>
        <w:tc>
          <w:tcPr>
            <w:tcW w:w="7587" w:type="dxa"/>
          </w:tcPr>
          <w:p w14:paraId="342F76CC" w14:textId="77777777" w:rsidR="00BF3DF9" w:rsidRPr="00463667" w:rsidRDefault="00BF3DF9" w:rsidP="00C56CA6">
            <w:pPr>
              <w:pStyle w:val="Body"/>
            </w:pPr>
            <w:r w:rsidRPr="00463667">
              <w:t>Coronary artery disease diagnostic tests using EBCT and nuclear imaging stress tests (</w:t>
            </w:r>
            <w:r w:rsidRPr="00463667">
              <w:rPr>
                <w:u w:val="single"/>
              </w:rPr>
              <w:t>CAD Tests Value Set</w:t>
            </w:r>
            <w:r w:rsidRPr="00463667">
              <w:t>). Report the number of CAD diagnostic tests using EBCT and nuclear imaging stress tests.</w:t>
            </w:r>
          </w:p>
        </w:tc>
      </w:tr>
    </w:tbl>
    <w:p w14:paraId="77E20B0F" w14:textId="77777777" w:rsidR="00966C97" w:rsidRDefault="00966C97" w:rsidP="00966C97">
      <w:pPr>
        <w:sectPr w:rsidR="00966C97" w:rsidSect="00C56CA6">
          <w:headerReference w:type="default" r:id="rId53"/>
          <w:pgSz w:w="12240" w:h="15840" w:code="1"/>
          <w:pgMar w:top="1080" w:right="1080" w:bottom="1080" w:left="1440" w:header="720" w:footer="720" w:gutter="0"/>
          <w:cols w:space="720"/>
        </w:sectPr>
      </w:pPr>
    </w:p>
    <w:p w14:paraId="778014DD" w14:textId="043ECA42" w:rsidR="00BF3DF9" w:rsidRPr="00463667" w:rsidRDefault="00BF3DF9" w:rsidP="00966C97">
      <w:pPr>
        <w:pStyle w:val="ReverseHead"/>
        <w:spacing w:before="0"/>
      </w:pPr>
      <w:r w:rsidRPr="00463667">
        <w:lastRenderedPageBreak/>
        <w:t>Data Elements for Reporting</w:t>
      </w:r>
    </w:p>
    <w:p w14:paraId="07AD5082" w14:textId="77777777" w:rsidR="00BF3DF9" w:rsidRPr="00463667" w:rsidRDefault="00BF3DF9" w:rsidP="00BF3DF9">
      <w:pPr>
        <w:pStyle w:val="TableHeadNotCondensed"/>
        <w:ind w:left="2070" w:hanging="2070"/>
      </w:pPr>
      <w:r w:rsidRPr="00463667">
        <w:t>Table RCA-A-1/2/3:</w:t>
      </w:r>
      <w:r w:rsidRPr="00463667">
        <w:tab/>
        <w:t xml:space="preserve">Data Elements for Relative Resource Use for People </w:t>
      </w:r>
      <w:r w:rsidRPr="00463667">
        <w:br/>
        <w:t>With Cardiovascular Conditions</w:t>
      </w:r>
    </w:p>
    <w:tbl>
      <w:tblPr>
        <w:tblW w:w="7740" w:type="dxa"/>
        <w:tblInd w:w="-10" w:type="dxa"/>
        <w:tblCellMar>
          <w:left w:w="0" w:type="dxa"/>
          <w:right w:w="0" w:type="dxa"/>
        </w:tblCellMar>
        <w:tblLook w:val="04A0" w:firstRow="1" w:lastRow="0" w:firstColumn="1" w:lastColumn="0" w:noHBand="0" w:noVBand="1"/>
      </w:tblPr>
      <w:tblGrid>
        <w:gridCol w:w="3245"/>
        <w:gridCol w:w="4495"/>
      </w:tblGrid>
      <w:tr w:rsidR="00BF3DF9" w:rsidRPr="00463667" w14:paraId="51440944" w14:textId="77777777" w:rsidTr="00974E25">
        <w:trPr>
          <w:trHeight w:val="300"/>
        </w:trPr>
        <w:tc>
          <w:tcPr>
            <w:tcW w:w="3245" w:type="dxa"/>
            <w:tcBorders>
              <w:top w:val="single" w:sz="8" w:space="0" w:color="auto"/>
              <w:left w:val="single" w:sz="8" w:space="0" w:color="auto"/>
              <w:bottom w:val="single" w:sz="4" w:space="0" w:color="auto"/>
              <w:right w:val="single" w:sz="6" w:space="0" w:color="FFFFFF"/>
            </w:tcBorders>
            <w:shd w:val="clear" w:color="auto" w:fill="000000"/>
            <w:noWrap/>
            <w:tcMar>
              <w:top w:w="0" w:type="dxa"/>
              <w:left w:w="108" w:type="dxa"/>
              <w:bottom w:w="0" w:type="dxa"/>
              <w:right w:w="108" w:type="dxa"/>
            </w:tcMar>
            <w:vAlign w:val="bottom"/>
            <w:hideMark/>
          </w:tcPr>
          <w:p w14:paraId="1EF64633" w14:textId="77777777" w:rsidR="00BF3DF9" w:rsidRPr="00463667" w:rsidRDefault="00BF3DF9" w:rsidP="00C56CA6">
            <w:pPr>
              <w:pStyle w:val="TableHead"/>
              <w:rPr>
                <w:color w:val="auto"/>
              </w:rPr>
            </w:pPr>
            <w:r w:rsidRPr="00463667">
              <w:rPr>
                <w:color w:val="auto"/>
              </w:rPr>
              <w:t>Metadata ID</w:t>
            </w:r>
          </w:p>
        </w:tc>
        <w:tc>
          <w:tcPr>
            <w:tcW w:w="4495" w:type="dxa"/>
            <w:tcBorders>
              <w:top w:val="single" w:sz="8" w:space="0" w:color="auto"/>
              <w:left w:val="single" w:sz="6" w:space="0" w:color="FFFFFF"/>
              <w:bottom w:val="single" w:sz="4" w:space="0" w:color="auto"/>
              <w:right w:val="single" w:sz="8" w:space="0" w:color="auto"/>
            </w:tcBorders>
            <w:shd w:val="clear" w:color="auto" w:fill="000000"/>
            <w:noWrap/>
            <w:tcMar>
              <w:top w:w="0" w:type="dxa"/>
              <w:left w:w="108" w:type="dxa"/>
              <w:bottom w:w="0" w:type="dxa"/>
              <w:right w:w="108" w:type="dxa"/>
            </w:tcMar>
            <w:vAlign w:val="bottom"/>
            <w:hideMark/>
          </w:tcPr>
          <w:p w14:paraId="68EFC421" w14:textId="77777777" w:rsidR="00BF3DF9" w:rsidRPr="00463667" w:rsidRDefault="00BF3DF9" w:rsidP="00C56CA6">
            <w:pPr>
              <w:pStyle w:val="TableHead"/>
              <w:rPr>
                <w:color w:val="auto"/>
              </w:rPr>
            </w:pPr>
            <w:r w:rsidRPr="00463667">
              <w:rPr>
                <w:color w:val="auto"/>
              </w:rPr>
              <w:t>Metadata Specification Name</w:t>
            </w:r>
          </w:p>
        </w:tc>
      </w:tr>
      <w:tr w:rsidR="00BF3DF9" w:rsidRPr="00463667" w14:paraId="77AA5449" w14:textId="77777777" w:rsidTr="00974E25">
        <w:trPr>
          <w:trHeight w:val="300"/>
        </w:trPr>
        <w:tc>
          <w:tcPr>
            <w:tcW w:w="324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3A246965" w14:textId="77777777" w:rsidR="00BF3DF9" w:rsidRPr="00463667" w:rsidRDefault="00BF3DF9" w:rsidP="00C56CA6">
            <w:pPr>
              <w:pStyle w:val="TableText"/>
            </w:pPr>
            <w:r w:rsidRPr="00463667">
              <w:t>EligiblePopulation</w:t>
            </w:r>
          </w:p>
        </w:tc>
        <w:tc>
          <w:tcPr>
            <w:tcW w:w="449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21EC0C8D" w14:textId="77777777" w:rsidR="00BF3DF9" w:rsidRPr="00463667" w:rsidRDefault="00BF3DF9" w:rsidP="00C56CA6">
            <w:pPr>
              <w:pStyle w:val="TableText"/>
            </w:pPr>
            <w:r w:rsidRPr="00463667">
              <w:t>Eligible Population</w:t>
            </w:r>
          </w:p>
        </w:tc>
      </w:tr>
      <w:tr w:rsidR="00BF3DF9" w:rsidRPr="00463667" w14:paraId="48B0B748" w14:textId="77777777" w:rsidTr="00974E25">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5C707745" w14:textId="77777777" w:rsidR="00BF3DF9" w:rsidRPr="00463667" w:rsidRDefault="00BF3DF9" w:rsidP="00C56CA6">
            <w:pPr>
              <w:pStyle w:val="TableText"/>
            </w:pPr>
            <w:r w:rsidRPr="00463667">
              <w:t>Exclusions</w:t>
            </w:r>
          </w:p>
        </w:tc>
        <w:tc>
          <w:tcPr>
            <w:tcW w:w="449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619C6A8E" w14:textId="77777777" w:rsidR="00BF3DF9" w:rsidRPr="00463667" w:rsidRDefault="00BF3DF9" w:rsidP="00C56CA6">
            <w:pPr>
              <w:pStyle w:val="TableText"/>
            </w:pPr>
            <w:r w:rsidRPr="00463667">
              <w:t>Exclusions</w:t>
            </w:r>
          </w:p>
        </w:tc>
      </w:tr>
      <w:tr w:rsidR="00BF3DF9" w:rsidRPr="00463667" w14:paraId="7A239A75" w14:textId="77777777" w:rsidTr="00974E25">
        <w:trPr>
          <w:trHeight w:val="300"/>
        </w:trPr>
        <w:tc>
          <w:tcPr>
            <w:tcW w:w="324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3E741C00" w14:textId="77777777" w:rsidR="00BF3DF9" w:rsidRPr="00463667" w:rsidRDefault="00BF3DF9" w:rsidP="00C56CA6">
            <w:pPr>
              <w:pStyle w:val="TableText"/>
            </w:pPr>
            <w:r w:rsidRPr="00463667">
              <w:t>NameBrandOnlyCount</w:t>
            </w:r>
          </w:p>
        </w:tc>
        <w:tc>
          <w:tcPr>
            <w:tcW w:w="449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0762F37C" w14:textId="77777777" w:rsidR="00BF3DF9" w:rsidRPr="00463667" w:rsidRDefault="00BF3DF9" w:rsidP="00C56CA6">
            <w:pPr>
              <w:pStyle w:val="TableText"/>
            </w:pPr>
            <w:r w:rsidRPr="00463667">
              <w:t>Pharmacy: Name Brand only (N1)</w:t>
            </w:r>
          </w:p>
        </w:tc>
      </w:tr>
      <w:tr w:rsidR="00BF3DF9" w:rsidRPr="00463667" w14:paraId="75F776D1" w14:textId="77777777" w:rsidTr="00974E25">
        <w:trPr>
          <w:trHeight w:val="300"/>
        </w:trPr>
        <w:tc>
          <w:tcPr>
            <w:tcW w:w="324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42E98678" w14:textId="77777777" w:rsidR="00BF3DF9" w:rsidRPr="00463667" w:rsidRDefault="00BF3DF9" w:rsidP="00C56CA6">
            <w:pPr>
              <w:pStyle w:val="TableText"/>
            </w:pPr>
            <w:r w:rsidRPr="00463667">
              <w:t>NameBrandGenericExistsCount</w:t>
            </w:r>
          </w:p>
        </w:tc>
        <w:tc>
          <w:tcPr>
            <w:tcW w:w="449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13D88F20" w14:textId="77777777" w:rsidR="00BF3DF9" w:rsidRPr="00463667" w:rsidRDefault="00BF3DF9" w:rsidP="00C56CA6">
            <w:pPr>
              <w:pStyle w:val="TableText"/>
            </w:pPr>
            <w:r w:rsidRPr="00463667">
              <w:t>Pharmacy: Name Brand—Generic Exists (N2)</w:t>
            </w:r>
          </w:p>
        </w:tc>
      </w:tr>
      <w:tr w:rsidR="00BF3DF9" w:rsidRPr="00463667" w14:paraId="085F62C2" w14:textId="77777777" w:rsidTr="00974E25">
        <w:trPr>
          <w:trHeight w:val="300"/>
        </w:trPr>
        <w:tc>
          <w:tcPr>
            <w:tcW w:w="324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319638F9" w14:textId="77777777" w:rsidR="00BF3DF9" w:rsidRPr="00463667" w:rsidRDefault="00BF3DF9" w:rsidP="00C56CA6">
            <w:pPr>
              <w:pStyle w:val="TableText"/>
            </w:pPr>
            <w:r w:rsidRPr="00463667">
              <w:t>GenericOnlyCount</w:t>
            </w:r>
          </w:p>
        </w:tc>
        <w:tc>
          <w:tcPr>
            <w:tcW w:w="449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6B146479" w14:textId="77777777" w:rsidR="00BF3DF9" w:rsidRPr="00463667" w:rsidRDefault="00BF3DF9" w:rsidP="00C56CA6">
            <w:pPr>
              <w:pStyle w:val="TableText"/>
            </w:pPr>
            <w:r w:rsidRPr="00463667">
              <w:t>Pharmacy: Generic Only (G1)</w:t>
            </w:r>
          </w:p>
        </w:tc>
      </w:tr>
      <w:tr w:rsidR="00BF3DF9" w:rsidRPr="00463667" w14:paraId="0DF06DE3" w14:textId="77777777" w:rsidTr="00974E25">
        <w:trPr>
          <w:trHeight w:val="300"/>
        </w:trPr>
        <w:tc>
          <w:tcPr>
            <w:tcW w:w="324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4E5C5610" w14:textId="77777777" w:rsidR="00BF3DF9" w:rsidRPr="00463667" w:rsidRDefault="00BF3DF9" w:rsidP="00C56CA6">
            <w:pPr>
              <w:pStyle w:val="TableText"/>
            </w:pPr>
            <w:r w:rsidRPr="00463667">
              <w:t>GenericNameBrandExistsCount</w:t>
            </w:r>
          </w:p>
        </w:tc>
        <w:tc>
          <w:tcPr>
            <w:tcW w:w="449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475E7662" w14:textId="77777777" w:rsidR="00BF3DF9" w:rsidRPr="00463667" w:rsidRDefault="00BF3DF9" w:rsidP="00C56CA6">
            <w:pPr>
              <w:pStyle w:val="TableText"/>
            </w:pPr>
            <w:r w:rsidRPr="00463667">
              <w:t>Pharmacy: Generic—Name Brand Exists (G2)</w:t>
            </w:r>
          </w:p>
        </w:tc>
      </w:tr>
    </w:tbl>
    <w:p w14:paraId="31EAC432" w14:textId="77777777" w:rsidR="00BF3DF9" w:rsidRPr="00463667" w:rsidRDefault="00BF3DF9" w:rsidP="00966C97">
      <w:pPr>
        <w:pStyle w:val="TableHeadNotCondensed"/>
        <w:ind w:left="2070" w:hanging="2070"/>
      </w:pPr>
      <w:r w:rsidRPr="00463667">
        <w:t>Table RCA-B-1/2/3:</w:t>
      </w:r>
      <w:r w:rsidRPr="00463667">
        <w:tab/>
        <w:t xml:space="preserve">Data Elements for Relative Resource Use for People </w:t>
      </w:r>
      <w:r w:rsidRPr="00463667">
        <w:br/>
        <w:t>With Cardiovascular Conditions</w:t>
      </w:r>
    </w:p>
    <w:tbl>
      <w:tblPr>
        <w:tblW w:w="431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791"/>
        <w:gridCol w:w="859"/>
        <w:gridCol w:w="878"/>
        <w:gridCol w:w="4854"/>
      </w:tblGrid>
      <w:tr w:rsidR="00BF3DF9" w:rsidRPr="00463667" w14:paraId="5E015D41" w14:textId="77777777" w:rsidTr="00484C42">
        <w:trPr>
          <w:cantSplit/>
        </w:trPr>
        <w:tc>
          <w:tcPr>
            <w:tcW w:w="593" w:type="pct"/>
            <w:tcBorders>
              <w:right w:val="single" w:sz="6" w:space="0" w:color="FFFFFF"/>
            </w:tcBorders>
            <w:shd w:val="clear" w:color="auto" w:fill="000000"/>
            <w:vAlign w:val="bottom"/>
          </w:tcPr>
          <w:p w14:paraId="16757A3F" w14:textId="77777777" w:rsidR="00BF3DF9" w:rsidRPr="00463667" w:rsidRDefault="00BF3DF9" w:rsidP="00C56CA6">
            <w:pPr>
              <w:pStyle w:val="TableHead"/>
              <w:rPr>
                <w:color w:val="auto"/>
              </w:rPr>
            </w:pPr>
            <w:r w:rsidRPr="00463667">
              <w:rPr>
                <w:color w:val="auto"/>
              </w:rPr>
              <w:t>Gender</w:t>
            </w:r>
          </w:p>
        </w:tc>
        <w:tc>
          <w:tcPr>
            <w:tcW w:w="472" w:type="pct"/>
            <w:tcBorders>
              <w:left w:val="single" w:sz="6" w:space="0" w:color="FFFFFF"/>
              <w:right w:val="single" w:sz="6" w:space="0" w:color="FFFFFF"/>
            </w:tcBorders>
            <w:shd w:val="clear" w:color="auto" w:fill="000000"/>
            <w:vAlign w:val="bottom"/>
          </w:tcPr>
          <w:p w14:paraId="33DF92B0" w14:textId="77777777" w:rsidR="00BF3DF9" w:rsidRPr="00463667" w:rsidRDefault="00BF3DF9" w:rsidP="00C56CA6">
            <w:pPr>
              <w:pStyle w:val="TableHead"/>
              <w:rPr>
                <w:color w:val="auto"/>
              </w:rPr>
            </w:pPr>
            <w:r w:rsidRPr="00463667">
              <w:rPr>
                <w:color w:val="auto"/>
              </w:rPr>
              <w:t>Age</w:t>
            </w:r>
          </w:p>
        </w:tc>
        <w:tc>
          <w:tcPr>
            <w:tcW w:w="513" w:type="pct"/>
            <w:tcBorders>
              <w:left w:val="single" w:sz="6" w:space="0" w:color="FFFFFF"/>
              <w:right w:val="single" w:sz="6" w:space="0" w:color="FFFFFF"/>
            </w:tcBorders>
            <w:shd w:val="clear" w:color="auto" w:fill="000000"/>
            <w:vAlign w:val="bottom"/>
          </w:tcPr>
          <w:p w14:paraId="230B2E93" w14:textId="77777777" w:rsidR="00BF3DF9" w:rsidRPr="00463667" w:rsidRDefault="00BF3DF9" w:rsidP="00C56CA6">
            <w:pPr>
              <w:pStyle w:val="TableHead"/>
              <w:rPr>
                <w:color w:val="auto"/>
              </w:rPr>
            </w:pPr>
            <w:r w:rsidRPr="00463667">
              <w:rPr>
                <w:color w:val="auto"/>
              </w:rPr>
              <w:t>Risk Group</w:t>
            </w:r>
          </w:p>
        </w:tc>
        <w:tc>
          <w:tcPr>
            <w:tcW w:w="524" w:type="pct"/>
            <w:tcBorders>
              <w:left w:val="single" w:sz="6" w:space="0" w:color="FFFFFF"/>
              <w:right w:val="single" w:sz="6" w:space="0" w:color="FFFFFF"/>
            </w:tcBorders>
            <w:shd w:val="clear" w:color="auto" w:fill="000000"/>
            <w:vAlign w:val="bottom"/>
          </w:tcPr>
          <w:p w14:paraId="7F067F8F" w14:textId="77777777" w:rsidR="00BF3DF9" w:rsidRPr="00463667" w:rsidRDefault="00BF3DF9" w:rsidP="00C56CA6">
            <w:pPr>
              <w:pStyle w:val="TableHead"/>
              <w:rPr>
                <w:color w:val="auto"/>
              </w:rPr>
            </w:pPr>
            <w:r w:rsidRPr="00463667">
              <w:rPr>
                <w:color w:val="auto"/>
              </w:rPr>
              <w:t>Type</w:t>
            </w:r>
          </w:p>
        </w:tc>
        <w:tc>
          <w:tcPr>
            <w:tcW w:w="2898" w:type="pct"/>
            <w:tcBorders>
              <w:left w:val="single" w:sz="6" w:space="0" w:color="FFFFFF"/>
            </w:tcBorders>
            <w:shd w:val="clear" w:color="auto" w:fill="000000"/>
            <w:vAlign w:val="bottom"/>
          </w:tcPr>
          <w:p w14:paraId="3758A010" w14:textId="77777777" w:rsidR="00BF3DF9" w:rsidRPr="00463667" w:rsidRDefault="00BF3DF9" w:rsidP="00C56CA6">
            <w:pPr>
              <w:pStyle w:val="TableHead"/>
              <w:rPr>
                <w:color w:val="auto"/>
              </w:rPr>
            </w:pPr>
            <w:r w:rsidRPr="00463667">
              <w:rPr>
                <w:color w:val="auto"/>
              </w:rPr>
              <w:t>Metric Specification Name</w:t>
            </w:r>
          </w:p>
        </w:tc>
      </w:tr>
      <w:tr w:rsidR="00BF3DF9" w:rsidRPr="00463667" w14:paraId="604BC888" w14:textId="77777777" w:rsidTr="00484C42">
        <w:trPr>
          <w:cantSplit/>
        </w:trPr>
        <w:tc>
          <w:tcPr>
            <w:tcW w:w="593" w:type="pct"/>
            <w:vAlign w:val="center"/>
          </w:tcPr>
          <w:p w14:paraId="75635F7A" w14:textId="77777777" w:rsidR="00BF3DF9" w:rsidRPr="00463667" w:rsidRDefault="00BF3DF9" w:rsidP="00C56CA6">
            <w:pPr>
              <w:pStyle w:val="TableText"/>
            </w:pPr>
            <w:r w:rsidRPr="00463667">
              <w:t>Male</w:t>
            </w:r>
          </w:p>
        </w:tc>
        <w:tc>
          <w:tcPr>
            <w:tcW w:w="472" w:type="pct"/>
            <w:vAlign w:val="center"/>
          </w:tcPr>
          <w:p w14:paraId="0052B57F" w14:textId="77777777" w:rsidR="00BF3DF9" w:rsidRPr="00463667" w:rsidRDefault="00BF3DF9" w:rsidP="00C56CA6">
            <w:pPr>
              <w:pStyle w:val="TableText"/>
            </w:pPr>
            <w:r w:rsidRPr="00463667">
              <w:t>18-44</w:t>
            </w:r>
          </w:p>
        </w:tc>
        <w:tc>
          <w:tcPr>
            <w:tcW w:w="513" w:type="pct"/>
            <w:vAlign w:val="center"/>
          </w:tcPr>
          <w:p w14:paraId="00098B74" w14:textId="77777777" w:rsidR="00BF3DF9" w:rsidRPr="00463667" w:rsidRDefault="00BF3DF9" w:rsidP="00C56CA6">
            <w:pPr>
              <w:pStyle w:val="TableText"/>
              <w:ind w:left="317"/>
            </w:pPr>
            <w:r w:rsidRPr="00463667">
              <w:t>1</w:t>
            </w:r>
          </w:p>
        </w:tc>
        <w:tc>
          <w:tcPr>
            <w:tcW w:w="524" w:type="pct"/>
            <w:vAlign w:val="center"/>
          </w:tcPr>
          <w:p w14:paraId="09378B1B" w14:textId="77777777" w:rsidR="00BF3DF9" w:rsidRPr="00463667" w:rsidRDefault="00BF3DF9" w:rsidP="00C56CA6">
            <w:pPr>
              <w:pStyle w:val="TableText"/>
            </w:pPr>
            <w:r w:rsidRPr="00463667">
              <w:t>Cost</w:t>
            </w:r>
          </w:p>
        </w:tc>
        <w:tc>
          <w:tcPr>
            <w:tcW w:w="2898" w:type="pct"/>
            <w:vAlign w:val="center"/>
          </w:tcPr>
          <w:p w14:paraId="32E041DF" w14:textId="77777777" w:rsidR="00BF3DF9" w:rsidRPr="00463667" w:rsidRDefault="00BF3DF9" w:rsidP="00C56CA6">
            <w:pPr>
              <w:pStyle w:val="TableText"/>
            </w:pPr>
            <w:r w:rsidRPr="00463667">
              <w:t>Inpatient Facility</w:t>
            </w:r>
          </w:p>
        </w:tc>
      </w:tr>
      <w:tr w:rsidR="00BF3DF9" w:rsidRPr="00463667" w14:paraId="6A9EE65F" w14:textId="77777777" w:rsidTr="00484C42">
        <w:trPr>
          <w:cantSplit/>
        </w:trPr>
        <w:tc>
          <w:tcPr>
            <w:tcW w:w="593" w:type="pct"/>
            <w:vAlign w:val="center"/>
          </w:tcPr>
          <w:p w14:paraId="5659018D" w14:textId="77777777" w:rsidR="00BF3DF9" w:rsidRPr="00463667" w:rsidRDefault="00BF3DF9" w:rsidP="00C56CA6">
            <w:pPr>
              <w:pStyle w:val="TableText"/>
            </w:pPr>
            <w:r w:rsidRPr="00463667">
              <w:t>Female</w:t>
            </w:r>
          </w:p>
        </w:tc>
        <w:tc>
          <w:tcPr>
            <w:tcW w:w="472" w:type="pct"/>
            <w:vAlign w:val="center"/>
          </w:tcPr>
          <w:p w14:paraId="2F9D7536" w14:textId="77777777" w:rsidR="00BF3DF9" w:rsidRPr="00463667" w:rsidRDefault="00BF3DF9" w:rsidP="00C56CA6">
            <w:pPr>
              <w:pStyle w:val="TableText"/>
            </w:pPr>
            <w:r w:rsidRPr="00463667">
              <w:t>45-54</w:t>
            </w:r>
          </w:p>
        </w:tc>
        <w:tc>
          <w:tcPr>
            <w:tcW w:w="513" w:type="pct"/>
            <w:vAlign w:val="center"/>
          </w:tcPr>
          <w:p w14:paraId="46A65D2D" w14:textId="77777777" w:rsidR="00BF3DF9" w:rsidRPr="00463667" w:rsidRDefault="00BF3DF9" w:rsidP="00C56CA6">
            <w:pPr>
              <w:pStyle w:val="TableText"/>
              <w:ind w:left="317"/>
            </w:pPr>
            <w:r w:rsidRPr="00463667">
              <w:t>2</w:t>
            </w:r>
          </w:p>
        </w:tc>
        <w:tc>
          <w:tcPr>
            <w:tcW w:w="524" w:type="pct"/>
            <w:vAlign w:val="center"/>
          </w:tcPr>
          <w:p w14:paraId="775168E7" w14:textId="77777777" w:rsidR="00BF3DF9" w:rsidRPr="00463667" w:rsidRDefault="00BF3DF9" w:rsidP="00C56CA6">
            <w:pPr>
              <w:pStyle w:val="TableText"/>
            </w:pPr>
            <w:r w:rsidRPr="00463667">
              <w:t>Cost</w:t>
            </w:r>
          </w:p>
        </w:tc>
        <w:tc>
          <w:tcPr>
            <w:tcW w:w="2898" w:type="pct"/>
            <w:vAlign w:val="center"/>
          </w:tcPr>
          <w:p w14:paraId="093252CB" w14:textId="77777777" w:rsidR="00BF3DF9" w:rsidRPr="00463667" w:rsidRDefault="00BF3DF9" w:rsidP="00C56CA6">
            <w:pPr>
              <w:pStyle w:val="TableText"/>
            </w:pPr>
            <w:r w:rsidRPr="00463667">
              <w:t>E&amp;M Inpatient Services</w:t>
            </w:r>
          </w:p>
        </w:tc>
      </w:tr>
      <w:tr w:rsidR="00BF3DF9" w:rsidRPr="00463667" w14:paraId="07B0A8E4" w14:textId="77777777" w:rsidTr="00484C42">
        <w:trPr>
          <w:cantSplit/>
        </w:trPr>
        <w:tc>
          <w:tcPr>
            <w:tcW w:w="593" w:type="pct"/>
            <w:tcBorders>
              <w:left w:val="nil"/>
              <w:bottom w:val="nil"/>
            </w:tcBorders>
            <w:vAlign w:val="center"/>
          </w:tcPr>
          <w:p w14:paraId="6CF8C64A" w14:textId="77777777" w:rsidR="00BF3DF9" w:rsidRPr="00463667" w:rsidRDefault="00BF3DF9" w:rsidP="00C56CA6">
            <w:pPr>
              <w:pStyle w:val="TableText"/>
            </w:pPr>
          </w:p>
        </w:tc>
        <w:tc>
          <w:tcPr>
            <w:tcW w:w="472" w:type="pct"/>
            <w:vAlign w:val="center"/>
          </w:tcPr>
          <w:p w14:paraId="1EDC07C9" w14:textId="77777777" w:rsidR="00BF3DF9" w:rsidRPr="00463667" w:rsidRDefault="00BF3DF9" w:rsidP="00C56CA6">
            <w:pPr>
              <w:pStyle w:val="TableText"/>
            </w:pPr>
            <w:r w:rsidRPr="00463667">
              <w:t>55-64</w:t>
            </w:r>
          </w:p>
        </w:tc>
        <w:tc>
          <w:tcPr>
            <w:tcW w:w="513" w:type="pct"/>
            <w:vAlign w:val="center"/>
          </w:tcPr>
          <w:p w14:paraId="7A236A14" w14:textId="77777777" w:rsidR="00BF3DF9" w:rsidRPr="00463667" w:rsidRDefault="00BF3DF9" w:rsidP="00C56CA6">
            <w:pPr>
              <w:pStyle w:val="TableText"/>
              <w:ind w:left="317"/>
            </w:pPr>
            <w:r w:rsidRPr="00463667">
              <w:t>3</w:t>
            </w:r>
          </w:p>
        </w:tc>
        <w:tc>
          <w:tcPr>
            <w:tcW w:w="524" w:type="pct"/>
            <w:vAlign w:val="center"/>
          </w:tcPr>
          <w:p w14:paraId="3BA98D15" w14:textId="77777777" w:rsidR="00BF3DF9" w:rsidRPr="00463667" w:rsidRDefault="00BF3DF9" w:rsidP="00C56CA6">
            <w:pPr>
              <w:pStyle w:val="TableText"/>
            </w:pPr>
            <w:r w:rsidRPr="00463667">
              <w:t>Cost</w:t>
            </w:r>
          </w:p>
        </w:tc>
        <w:tc>
          <w:tcPr>
            <w:tcW w:w="2898" w:type="pct"/>
            <w:vAlign w:val="center"/>
          </w:tcPr>
          <w:p w14:paraId="7296365E" w14:textId="77777777" w:rsidR="00BF3DF9" w:rsidRPr="00463667" w:rsidRDefault="00BF3DF9" w:rsidP="00C56CA6">
            <w:pPr>
              <w:pStyle w:val="TableText"/>
            </w:pPr>
            <w:r w:rsidRPr="00463667">
              <w:t>E&amp;M Outpatient Services</w:t>
            </w:r>
          </w:p>
        </w:tc>
      </w:tr>
      <w:tr w:rsidR="00BF3DF9" w:rsidRPr="00463667" w14:paraId="6AC57337" w14:textId="77777777" w:rsidTr="00484C42">
        <w:trPr>
          <w:cantSplit/>
        </w:trPr>
        <w:tc>
          <w:tcPr>
            <w:tcW w:w="593" w:type="pct"/>
            <w:tcBorders>
              <w:top w:val="nil"/>
              <w:left w:val="nil"/>
              <w:bottom w:val="nil"/>
              <w:right w:val="nil"/>
            </w:tcBorders>
            <w:vAlign w:val="center"/>
          </w:tcPr>
          <w:p w14:paraId="1F4BE64E" w14:textId="77777777" w:rsidR="00BF3DF9" w:rsidRPr="00463667" w:rsidRDefault="00BF3DF9" w:rsidP="00C56CA6">
            <w:pPr>
              <w:pStyle w:val="TableText"/>
            </w:pPr>
          </w:p>
        </w:tc>
        <w:tc>
          <w:tcPr>
            <w:tcW w:w="472" w:type="pct"/>
            <w:tcBorders>
              <w:bottom w:val="single" w:sz="4" w:space="0" w:color="auto"/>
            </w:tcBorders>
            <w:vAlign w:val="center"/>
          </w:tcPr>
          <w:p w14:paraId="3DCF1002" w14:textId="77777777" w:rsidR="00BF3DF9" w:rsidRPr="00463667" w:rsidRDefault="00BF3DF9" w:rsidP="00C56CA6">
            <w:pPr>
              <w:pStyle w:val="TableText"/>
            </w:pPr>
            <w:r w:rsidRPr="00463667">
              <w:t>65-75</w:t>
            </w:r>
          </w:p>
        </w:tc>
        <w:tc>
          <w:tcPr>
            <w:tcW w:w="513" w:type="pct"/>
            <w:vAlign w:val="center"/>
          </w:tcPr>
          <w:p w14:paraId="4BA5F61E" w14:textId="77777777" w:rsidR="00BF3DF9" w:rsidRPr="00463667" w:rsidRDefault="00BF3DF9" w:rsidP="00C56CA6">
            <w:pPr>
              <w:pStyle w:val="TableText"/>
              <w:ind w:left="317"/>
            </w:pPr>
            <w:r w:rsidRPr="00463667">
              <w:t>4</w:t>
            </w:r>
          </w:p>
        </w:tc>
        <w:tc>
          <w:tcPr>
            <w:tcW w:w="524" w:type="pct"/>
            <w:vAlign w:val="center"/>
          </w:tcPr>
          <w:p w14:paraId="38DFAB20" w14:textId="77777777" w:rsidR="00BF3DF9" w:rsidRPr="00463667" w:rsidRDefault="00BF3DF9" w:rsidP="00C56CA6">
            <w:pPr>
              <w:pStyle w:val="TableText"/>
            </w:pPr>
            <w:r w:rsidRPr="00463667">
              <w:t>Cost</w:t>
            </w:r>
          </w:p>
        </w:tc>
        <w:tc>
          <w:tcPr>
            <w:tcW w:w="2898" w:type="pct"/>
            <w:vAlign w:val="center"/>
          </w:tcPr>
          <w:p w14:paraId="77B4B660" w14:textId="77777777" w:rsidR="00BF3DF9" w:rsidRPr="00463667" w:rsidRDefault="00BF3DF9" w:rsidP="00C56CA6">
            <w:pPr>
              <w:pStyle w:val="TableText"/>
            </w:pPr>
            <w:r w:rsidRPr="00463667">
              <w:t>Surgery &amp; Procedure Inpatient Services</w:t>
            </w:r>
          </w:p>
        </w:tc>
      </w:tr>
      <w:tr w:rsidR="00BF3DF9" w:rsidRPr="00463667" w14:paraId="135C37BE" w14:textId="77777777" w:rsidTr="00484C42">
        <w:trPr>
          <w:cantSplit/>
        </w:trPr>
        <w:tc>
          <w:tcPr>
            <w:tcW w:w="593" w:type="pct"/>
            <w:tcBorders>
              <w:top w:val="nil"/>
              <w:left w:val="nil"/>
              <w:bottom w:val="nil"/>
              <w:right w:val="nil"/>
            </w:tcBorders>
            <w:vAlign w:val="center"/>
          </w:tcPr>
          <w:p w14:paraId="33E1E604" w14:textId="77777777" w:rsidR="00BF3DF9" w:rsidRPr="00463667" w:rsidRDefault="00BF3DF9" w:rsidP="00C56CA6">
            <w:pPr>
              <w:pStyle w:val="TableText"/>
            </w:pPr>
          </w:p>
        </w:tc>
        <w:tc>
          <w:tcPr>
            <w:tcW w:w="472" w:type="pct"/>
            <w:tcBorders>
              <w:left w:val="nil"/>
              <w:bottom w:val="nil"/>
            </w:tcBorders>
            <w:vAlign w:val="center"/>
          </w:tcPr>
          <w:p w14:paraId="7C41E39E" w14:textId="77777777" w:rsidR="00BF3DF9" w:rsidRPr="00463667" w:rsidRDefault="00BF3DF9" w:rsidP="00C56CA6">
            <w:pPr>
              <w:pStyle w:val="TableText"/>
            </w:pPr>
          </w:p>
        </w:tc>
        <w:tc>
          <w:tcPr>
            <w:tcW w:w="513" w:type="pct"/>
            <w:vAlign w:val="center"/>
          </w:tcPr>
          <w:p w14:paraId="06C61F23" w14:textId="77777777" w:rsidR="00BF3DF9" w:rsidRPr="00463667" w:rsidRDefault="00BF3DF9" w:rsidP="00C56CA6">
            <w:pPr>
              <w:pStyle w:val="TableText"/>
              <w:ind w:left="317"/>
            </w:pPr>
            <w:r w:rsidRPr="00463667">
              <w:t>5</w:t>
            </w:r>
          </w:p>
        </w:tc>
        <w:tc>
          <w:tcPr>
            <w:tcW w:w="524" w:type="pct"/>
            <w:vAlign w:val="center"/>
          </w:tcPr>
          <w:p w14:paraId="79A52334" w14:textId="77777777" w:rsidR="00BF3DF9" w:rsidRPr="00463667" w:rsidRDefault="00BF3DF9" w:rsidP="00C56CA6">
            <w:pPr>
              <w:pStyle w:val="TableText"/>
            </w:pPr>
            <w:r w:rsidRPr="00463667">
              <w:t>Cost</w:t>
            </w:r>
          </w:p>
        </w:tc>
        <w:tc>
          <w:tcPr>
            <w:tcW w:w="2898" w:type="pct"/>
            <w:vAlign w:val="center"/>
          </w:tcPr>
          <w:p w14:paraId="4F448983" w14:textId="77777777" w:rsidR="00BF3DF9" w:rsidRPr="00463667" w:rsidRDefault="00BF3DF9" w:rsidP="00C56CA6">
            <w:pPr>
              <w:pStyle w:val="TableText"/>
            </w:pPr>
            <w:r w:rsidRPr="00463667">
              <w:t>Surgery &amp; Procedure Outpatient Services</w:t>
            </w:r>
          </w:p>
        </w:tc>
      </w:tr>
      <w:tr w:rsidR="00BF3DF9" w:rsidRPr="00463667" w14:paraId="5FEDA112" w14:textId="77777777" w:rsidTr="00484C42">
        <w:trPr>
          <w:cantSplit/>
        </w:trPr>
        <w:tc>
          <w:tcPr>
            <w:tcW w:w="593" w:type="pct"/>
            <w:tcBorders>
              <w:top w:val="nil"/>
              <w:left w:val="nil"/>
              <w:bottom w:val="nil"/>
              <w:right w:val="nil"/>
            </w:tcBorders>
            <w:vAlign w:val="center"/>
          </w:tcPr>
          <w:p w14:paraId="53D31CA2" w14:textId="77777777" w:rsidR="00BF3DF9" w:rsidRPr="00463667" w:rsidRDefault="00BF3DF9" w:rsidP="00C56CA6">
            <w:pPr>
              <w:pStyle w:val="TableText"/>
            </w:pPr>
          </w:p>
        </w:tc>
        <w:tc>
          <w:tcPr>
            <w:tcW w:w="472" w:type="pct"/>
            <w:tcBorders>
              <w:top w:val="nil"/>
              <w:left w:val="nil"/>
              <w:bottom w:val="nil"/>
            </w:tcBorders>
            <w:vAlign w:val="center"/>
          </w:tcPr>
          <w:p w14:paraId="64FE5DEC" w14:textId="77777777" w:rsidR="00BF3DF9" w:rsidRPr="00463667" w:rsidRDefault="00BF3DF9" w:rsidP="00C56CA6">
            <w:pPr>
              <w:pStyle w:val="TableText"/>
            </w:pPr>
          </w:p>
        </w:tc>
        <w:tc>
          <w:tcPr>
            <w:tcW w:w="513" w:type="pct"/>
            <w:vAlign w:val="center"/>
          </w:tcPr>
          <w:p w14:paraId="0D66163B" w14:textId="77777777" w:rsidR="00BF3DF9" w:rsidRPr="00463667" w:rsidRDefault="00BF3DF9" w:rsidP="00C56CA6">
            <w:pPr>
              <w:pStyle w:val="TableText"/>
              <w:ind w:left="317"/>
            </w:pPr>
            <w:r w:rsidRPr="00463667">
              <w:t>6</w:t>
            </w:r>
          </w:p>
        </w:tc>
        <w:tc>
          <w:tcPr>
            <w:tcW w:w="524" w:type="pct"/>
            <w:vAlign w:val="center"/>
          </w:tcPr>
          <w:p w14:paraId="206F93B4" w14:textId="77777777" w:rsidR="00BF3DF9" w:rsidRPr="00463667" w:rsidRDefault="00BF3DF9" w:rsidP="00C56CA6">
            <w:pPr>
              <w:pStyle w:val="TableText"/>
            </w:pPr>
            <w:r w:rsidRPr="00463667">
              <w:t>Cost</w:t>
            </w:r>
          </w:p>
        </w:tc>
        <w:tc>
          <w:tcPr>
            <w:tcW w:w="2898" w:type="pct"/>
            <w:vAlign w:val="center"/>
          </w:tcPr>
          <w:p w14:paraId="738211B1" w14:textId="77777777" w:rsidR="00BF3DF9" w:rsidRPr="00463667" w:rsidRDefault="00BF3DF9" w:rsidP="00C56CA6">
            <w:pPr>
              <w:pStyle w:val="TableText"/>
            </w:pPr>
            <w:r w:rsidRPr="00463667">
              <w:t>Imaging Services</w:t>
            </w:r>
          </w:p>
        </w:tc>
      </w:tr>
      <w:tr w:rsidR="00BF3DF9" w:rsidRPr="00463667" w14:paraId="3C5CFCC2" w14:textId="77777777" w:rsidTr="00484C42">
        <w:trPr>
          <w:cantSplit/>
        </w:trPr>
        <w:tc>
          <w:tcPr>
            <w:tcW w:w="593" w:type="pct"/>
            <w:tcBorders>
              <w:top w:val="nil"/>
              <w:left w:val="nil"/>
              <w:bottom w:val="nil"/>
              <w:right w:val="nil"/>
            </w:tcBorders>
            <w:vAlign w:val="center"/>
          </w:tcPr>
          <w:p w14:paraId="3A490D6D" w14:textId="77777777" w:rsidR="00BF3DF9" w:rsidRPr="00463667" w:rsidRDefault="00BF3DF9" w:rsidP="00C56CA6">
            <w:pPr>
              <w:pStyle w:val="TableText"/>
            </w:pPr>
          </w:p>
        </w:tc>
        <w:tc>
          <w:tcPr>
            <w:tcW w:w="472" w:type="pct"/>
            <w:tcBorders>
              <w:top w:val="nil"/>
              <w:left w:val="nil"/>
              <w:bottom w:val="nil"/>
            </w:tcBorders>
            <w:vAlign w:val="center"/>
          </w:tcPr>
          <w:p w14:paraId="1F94D8EE" w14:textId="77777777" w:rsidR="00BF3DF9" w:rsidRPr="00463667" w:rsidRDefault="00BF3DF9" w:rsidP="00C56CA6">
            <w:pPr>
              <w:pStyle w:val="TableText"/>
            </w:pPr>
          </w:p>
        </w:tc>
        <w:tc>
          <w:tcPr>
            <w:tcW w:w="513" w:type="pct"/>
            <w:vAlign w:val="center"/>
          </w:tcPr>
          <w:p w14:paraId="2C52DD22" w14:textId="77777777" w:rsidR="00BF3DF9" w:rsidRPr="00463667" w:rsidRDefault="00BF3DF9" w:rsidP="00C56CA6">
            <w:pPr>
              <w:pStyle w:val="TableText"/>
              <w:ind w:left="317"/>
            </w:pPr>
            <w:r w:rsidRPr="00463667">
              <w:t>7</w:t>
            </w:r>
          </w:p>
        </w:tc>
        <w:tc>
          <w:tcPr>
            <w:tcW w:w="524" w:type="pct"/>
            <w:vAlign w:val="center"/>
          </w:tcPr>
          <w:p w14:paraId="01FA1D73" w14:textId="77777777" w:rsidR="00BF3DF9" w:rsidRPr="00463667" w:rsidRDefault="00BF3DF9" w:rsidP="00C56CA6">
            <w:pPr>
              <w:pStyle w:val="TableText"/>
            </w:pPr>
            <w:r w:rsidRPr="00463667">
              <w:t>Cost</w:t>
            </w:r>
          </w:p>
        </w:tc>
        <w:tc>
          <w:tcPr>
            <w:tcW w:w="2898" w:type="pct"/>
            <w:vAlign w:val="center"/>
          </w:tcPr>
          <w:p w14:paraId="73486BD0" w14:textId="77777777" w:rsidR="00BF3DF9" w:rsidRPr="00463667" w:rsidRDefault="00BF3DF9" w:rsidP="00C56CA6">
            <w:pPr>
              <w:pStyle w:val="TableText"/>
            </w:pPr>
            <w:r w:rsidRPr="00463667">
              <w:t>Laboratory Services</w:t>
            </w:r>
          </w:p>
        </w:tc>
      </w:tr>
      <w:tr w:rsidR="00BF3DF9" w:rsidRPr="00463667" w14:paraId="245C77B0" w14:textId="77777777" w:rsidTr="00484C42">
        <w:trPr>
          <w:cantSplit/>
        </w:trPr>
        <w:tc>
          <w:tcPr>
            <w:tcW w:w="593" w:type="pct"/>
            <w:tcBorders>
              <w:top w:val="nil"/>
              <w:left w:val="nil"/>
              <w:bottom w:val="nil"/>
              <w:right w:val="nil"/>
            </w:tcBorders>
            <w:vAlign w:val="center"/>
          </w:tcPr>
          <w:p w14:paraId="56596223" w14:textId="77777777" w:rsidR="00BF3DF9" w:rsidRPr="00463667" w:rsidRDefault="00BF3DF9" w:rsidP="00C56CA6">
            <w:pPr>
              <w:pStyle w:val="TableText"/>
            </w:pPr>
          </w:p>
        </w:tc>
        <w:tc>
          <w:tcPr>
            <w:tcW w:w="472" w:type="pct"/>
            <w:tcBorders>
              <w:top w:val="nil"/>
              <w:left w:val="nil"/>
              <w:bottom w:val="nil"/>
            </w:tcBorders>
            <w:vAlign w:val="center"/>
          </w:tcPr>
          <w:p w14:paraId="3E16B361" w14:textId="77777777" w:rsidR="00BF3DF9" w:rsidRPr="00463667" w:rsidRDefault="00BF3DF9" w:rsidP="00C56CA6">
            <w:pPr>
              <w:pStyle w:val="TableText"/>
            </w:pPr>
          </w:p>
        </w:tc>
        <w:tc>
          <w:tcPr>
            <w:tcW w:w="513" w:type="pct"/>
            <w:vAlign w:val="center"/>
          </w:tcPr>
          <w:p w14:paraId="07EC61D7" w14:textId="77777777" w:rsidR="00BF3DF9" w:rsidRPr="00463667" w:rsidRDefault="00BF3DF9" w:rsidP="00C56CA6">
            <w:pPr>
              <w:pStyle w:val="TableText"/>
              <w:ind w:left="317"/>
            </w:pPr>
            <w:r w:rsidRPr="00463667">
              <w:t>8</w:t>
            </w:r>
          </w:p>
        </w:tc>
        <w:tc>
          <w:tcPr>
            <w:tcW w:w="524" w:type="pct"/>
            <w:vAlign w:val="center"/>
          </w:tcPr>
          <w:p w14:paraId="1272212B" w14:textId="77777777" w:rsidR="00BF3DF9" w:rsidRPr="00463667" w:rsidRDefault="00BF3DF9" w:rsidP="00C56CA6">
            <w:pPr>
              <w:pStyle w:val="TableText"/>
            </w:pPr>
            <w:r w:rsidRPr="00463667">
              <w:t>Cost</w:t>
            </w:r>
          </w:p>
        </w:tc>
        <w:tc>
          <w:tcPr>
            <w:tcW w:w="2898" w:type="pct"/>
            <w:vAlign w:val="center"/>
          </w:tcPr>
          <w:p w14:paraId="3F6F1A9B" w14:textId="77777777" w:rsidR="00BF3DF9" w:rsidRPr="00463667" w:rsidRDefault="00BF3DF9" w:rsidP="00C56CA6">
            <w:pPr>
              <w:pStyle w:val="TableText"/>
            </w:pPr>
            <w:r w:rsidRPr="00463667">
              <w:t>Pharmacy</w:t>
            </w:r>
          </w:p>
        </w:tc>
      </w:tr>
      <w:tr w:rsidR="00BF3DF9" w:rsidRPr="00463667" w14:paraId="14F42439" w14:textId="77777777" w:rsidTr="00484C42">
        <w:trPr>
          <w:cantSplit/>
        </w:trPr>
        <w:tc>
          <w:tcPr>
            <w:tcW w:w="593" w:type="pct"/>
            <w:tcBorders>
              <w:top w:val="nil"/>
              <w:left w:val="nil"/>
              <w:bottom w:val="nil"/>
              <w:right w:val="nil"/>
            </w:tcBorders>
            <w:vAlign w:val="center"/>
          </w:tcPr>
          <w:p w14:paraId="0A686A71" w14:textId="77777777" w:rsidR="00BF3DF9" w:rsidRPr="00463667" w:rsidRDefault="00BF3DF9" w:rsidP="00C56CA6">
            <w:pPr>
              <w:pStyle w:val="TableText"/>
            </w:pPr>
          </w:p>
        </w:tc>
        <w:tc>
          <w:tcPr>
            <w:tcW w:w="472" w:type="pct"/>
            <w:tcBorders>
              <w:top w:val="nil"/>
              <w:left w:val="nil"/>
              <w:bottom w:val="nil"/>
            </w:tcBorders>
            <w:vAlign w:val="center"/>
          </w:tcPr>
          <w:p w14:paraId="62C819CF" w14:textId="77777777" w:rsidR="00BF3DF9" w:rsidRPr="00463667" w:rsidRDefault="00BF3DF9" w:rsidP="00C56CA6">
            <w:pPr>
              <w:pStyle w:val="TableText"/>
            </w:pPr>
          </w:p>
        </w:tc>
        <w:tc>
          <w:tcPr>
            <w:tcW w:w="513" w:type="pct"/>
            <w:vAlign w:val="center"/>
          </w:tcPr>
          <w:p w14:paraId="31931336" w14:textId="77777777" w:rsidR="00BF3DF9" w:rsidRPr="00463667" w:rsidRDefault="00BF3DF9" w:rsidP="00C56CA6">
            <w:pPr>
              <w:pStyle w:val="TableText"/>
              <w:ind w:left="317"/>
            </w:pPr>
            <w:r w:rsidRPr="00463667">
              <w:t>9</w:t>
            </w:r>
          </w:p>
        </w:tc>
        <w:tc>
          <w:tcPr>
            <w:tcW w:w="524" w:type="pct"/>
            <w:vAlign w:val="center"/>
          </w:tcPr>
          <w:p w14:paraId="7254BF81" w14:textId="77777777" w:rsidR="00BF3DF9" w:rsidRPr="00463667" w:rsidRDefault="00BF3DF9" w:rsidP="00C56CA6">
            <w:pPr>
              <w:pStyle w:val="TableText"/>
            </w:pPr>
            <w:r w:rsidRPr="00463667">
              <w:t>Count</w:t>
            </w:r>
          </w:p>
        </w:tc>
        <w:tc>
          <w:tcPr>
            <w:tcW w:w="2898" w:type="pct"/>
            <w:vAlign w:val="center"/>
          </w:tcPr>
          <w:p w14:paraId="38439D3E" w14:textId="77777777" w:rsidR="00BF3DF9" w:rsidRPr="00463667" w:rsidRDefault="00BF3DF9" w:rsidP="00C56CA6">
            <w:pPr>
              <w:pStyle w:val="TableText"/>
            </w:pPr>
            <w:r w:rsidRPr="00463667">
              <w:t>Inpatient Facility: Acute Inpatient: Medical Days</w:t>
            </w:r>
          </w:p>
        </w:tc>
      </w:tr>
      <w:tr w:rsidR="00BF3DF9" w:rsidRPr="00463667" w14:paraId="2540C3B0" w14:textId="77777777" w:rsidTr="00484C42">
        <w:trPr>
          <w:cantSplit/>
        </w:trPr>
        <w:tc>
          <w:tcPr>
            <w:tcW w:w="593" w:type="pct"/>
            <w:tcBorders>
              <w:top w:val="nil"/>
              <w:left w:val="nil"/>
              <w:bottom w:val="nil"/>
              <w:right w:val="nil"/>
            </w:tcBorders>
            <w:vAlign w:val="center"/>
          </w:tcPr>
          <w:p w14:paraId="751E6A3B" w14:textId="77777777" w:rsidR="00BF3DF9" w:rsidRPr="00463667" w:rsidRDefault="00BF3DF9" w:rsidP="00C56CA6">
            <w:pPr>
              <w:pStyle w:val="TableText"/>
            </w:pPr>
          </w:p>
        </w:tc>
        <w:tc>
          <w:tcPr>
            <w:tcW w:w="472" w:type="pct"/>
            <w:tcBorders>
              <w:top w:val="nil"/>
              <w:left w:val="nil"/>
              <w:bottom w:val="nil"/>
            </w:tcBorders>
            <w:vAlign w:val="center"/>
          </w:tcPr>
          <w:p w14:paraId="2ADE5D3C" w14:textId="77777777" w:rsidR="00BF3DF9" w:rsidRPr="00463667" w:rsidRDefault="00BF3DF9" w:rsidP="00C56CA6">
            <w:pPr>
              <w:pStyle w:val="TableText"/>
            </w:pPr>
          </w:p>
        </w:tc>
        <w:tc>
          <w:tcPr>
            <w:tcW w:w="513" w:type="pct"/>
          </w:tcPr>
          <w:p w14:paraId="2FAB8DC1" w14:textId="77777777" w:rsidR="00BF3DF9" w:rsidRPr="00463667" w:rsidRDefault="00BF3DF9" w:rsidP="00C56CA6">
            <w:pPr>
              <w:pStyle w:val="TableText"/>
              <w:ind w:left="216"/>
            </w:pPr>
            <w:r w:rsidRPr="00463667">
              <w:t>10</w:t>
            </w:r>
          </w:p>
        </w:tc>
        <w:tc>
          <w:tcPr>
            <w:tcW w:w="524" w:type="pct"/>
          </w:tcPr>
          <w:p w14:paraId="6369FF7A" w14:textId="77777777" w:rsidR="00BF3DF9" w:rsidRPr="00463667" w:rsidRDefault="00BF3DF9" w:rsidP="00C56CA6">
            <w:pPr>
              <w:pStyle w:val="TableText"/>
            </w:pPr>
            <w:r w:rsidRPr="00463667">
              <w:t>Count</w:t>
            </w:r>
          </w:p>
        </w:tc>
        <w:tc>
          <w:tcPr>
            <w:tcW w:w="2898" w:type="pct"/>
            <w:vAlign w:val="center"/>
          </w:tcPr>
          <w:p w14:paraId="747AC768" w14:textId="77777777" w:rsidR="00BF3DF9" w:rsidRPr="00463667" w:rsidRDefault="00BF3DF9" w:rsidP="00C56CA6">
            <w:pPr>
              <w:pStyle w:val="TableText"/>
            </w:pPr>
            <w:r w:rsidRPr="00463667">
              <w:t>Inpatient Facility: Acute Inpatient: Medical Discharges</w:t>
            </w:r>
          </w:p>
        </w:tc>
      </w:tr>
      <w:tr w:rsidR="00BF3DF9" w:rsidRPr="00463667" w14:paraId="3C304476" w14:textId="77777777" w:rsidTr="00484C42">
        <w:trPr>
          <w:cantSplit/>
        </w:trPr>
        <w:tc>
          <w:tcPr>
            <w:tcW w:w="593" w:type="pct"/>
            <w:tcBorders>
              <w:top w:val="nil"/>
              <w:left w:val="nil"/>
              <w:bottom w:val="nil"/>
              <w:right w:val="nil"/>
            </w:tcBorders>
            <w:vAlign w:val="center"/>
          </w:tcPr>
          <w:p w14:paraId="40A007C9" w14:textId="77777777" w:rsidR="00BF3DF9" w:rsidRPr="00463667" w:rsidRDefault="00BF3DF9" w:rsidP="00C56CA6">
            <w:pPr>
              <w:pStyle w:val="TableText"/>
            </w:pPr>
          </w:p>
        </w:tc>
        <w:tc>
          <w:tcPr>
            <w:tcW w:w="472" w:type="pct"/>
            <w:tcBorders>
              <w:top w:val="nil"/>
              <w:left w:val="nil"/>
              <w:bottom w:val="nil"/>
            </w:tcBorders>
            <w:vAlign w:val="center"/>
          </w:tcPr>
          <w:p w14:paraId="5657837C" w14:textId="77777777" w:rsidR="00BF3DF9" w:rsidRPr="00463667" w:rsidRDefault="00BF3DF9" w:rsidP="00C56CA6">
            <w:pPr>
              <w:pStyle w:val="TableText"/>
            </w:pPr>
          </w:p>
        </w:tc>
        <w:tc>
          <w:tcPr>
            <w:tcW w:w="513" w:type="pct"/>
          </w:tcPr>
          <w:p w14:paraId="765C013D" w14:textId="77777777" w:rsidR="00BF3DF9" w:rsidRPr="00463667" w:rsidRDefault="00BF3DF9" w:rsidP="00C56CA6">
            <w:pPr>
              <w:pStyle w:val="TableText"/>
              <w:ind w:left="216"/>
            </w:pPr>
            <w:r w:rsidRPr="00463667">
              <w:t>11</w:t>
            </w:r>
          </w:p>
        </w:tc>
        <w:tc>
          <w:tcPr>
            <w:tcW w:w="524" w:type="pct"/>
          </w:tcPr>
          <w:p w14:paraId="42A86F28" w14:textId="77777777" w:rsidR="00BF3DF9" w:rsidRPr="00463667" w:rsidRDefault="00BF3DF9" w:rsidP="00C56CA6">
            <w:pPr>
              <w:pStyle w:val="TableText"/>
            </w:pPr>
            <w:r w:rsidRPr="00463667">
              <w:t>Count</w:t>
            </w:r>
          </w:p>
        </w:tc>
        <w:tc>
          <w:tcPr>
            <w:tcW w:w="2898" w:type="pct"/>
            <w:vAlign w:val="center"/>
          </w:tcPr>
          <w:p w14:paraId="52BD1DE2" w14:textId="77777777" w:rsidR="00BF3DF9" w:rsidRPr="00463667" w:rsidRDefault="00BF3DF9" w:rsidP="00C56CA6">
            <w:pPr>
              <w:pStyle w:val="TableText"/>
            </w:pPr>
            <w:r w:rsidRPr="00463667">
              <w:t>Inpatient Facility: Acute Inpatient: Surgery Days</w:t>
            </w:r>
          </w:p>
        </w:tc>
      </w:tr>
      <w:tr w:rsidR="00BF3DF9" w:rsidRPr="00463667" w14:paraId="2351770B" w14:textId="77777777" w:rsidTr="00484C42">
        <w:trPr>
          <w:cantSplit/>
        </w:trPr>
        <w:tc>
          <w:tcPr>
            <w:tcW w:w="593" w:type="pct"/>
            <w:tcBorders>
              <w:top w:val="nil"/>
              <w:left w:val="nil"/>
              <w:bottom w:val="nil"/>
              <w:right w:val="nil"/>
            </w:tcBorders>
            <w:vAlign w:val="center"/>
          </w:tcPr>
          <w:p w14:paraId="22BF4925" w14:textId="77777777" w:rsidR="00BF3DF9" w:rsidRPr="00463667" w:rsidRDefault="00BF3DF9" w:rsidP="00C56CA6">
            <w:pPr>
              <w:pStyle w:val="TableText"/>
            </w:pPr>
          </w:p>
        </w:tc>
        <w:tc>
          <w:tcPr>
            <w:tcW w:w="472" w:type="pct"/>
            <w:tcBorders>
              <w:top w:val="nil"/>
              <w:left w:val="nil"/>
              <w:bottom w:val="nil"/>
            </w:tcBorders>
            <w:vAlign w:val="center"/>
          </w:tcPr>
          <w:p w14:paraId="1F65E7F6" w14:textId="77777777" w:rsidR="00BF3DF9" w:rsidRPr="00463667" w:rsidRDefault="00BF3DF9" w:rsidP="00C56CA6">
            <w:pPr>
              <w:pStyle w:val="TableText"/>
            </w:pPr>
          </w:p>
        </w:tc>
        <w:tc>
          <w:tcPr>
            <w:tcW w:w="513" w:type="pct"/>
          </w:tcPr>
          <w:p w14:paraId="238081D7" w14:textId="77777777" w:rsidR="00BF3DF9" w:rsidRPr="00463667" w:rsidRDefault="00BF3DF9" w:rsidP="00C56CA6">
            <w:pPr>
              <w:pStyle w:val="TableText"/>
              <w:ind w:left="216"/>
            </w:pPr>
            <w:r w:rsidRPr="00463667">
              <w:t>12</w:t>
            </w:r>
          </w:p>
        </w:tc>
        <w:tc>
          <w:tcPr>
            <w:tcW w:w="524" w:type="pct"/>
          </w:tcPr>
          <w:p w14:paraId="1401D4CC" w14:textId="77777777" w:rsidR="00BF3DF9" w:rsidRPr="00463667" w:rsidRDefault="00BF3DF9" w:rsidP="00C56CA6">
            <w:pPr>
              <w:pStyle w:val="TableText"/>
            </w:pPr>
            <w:r w:rsidRPr="00463667">
              <w:t>Count</w:t>
            </w:r>
          </w:p>
        </w:tc>
        <w:tc>
          <w:tcPr>
            <w:tcW w:w="2898" w:type="pct"/>
            <w:vAlign w:val="center"/>
          </w:tcPr>
          <w:p w14:paraId="254D58B9" w14:textId="77777777" w:rsidR="00BF3DF9" w:rsidRPr="00463667" w:rsidRDefault="00BF3DF9" w:rsidP="00C56CA6">
            <w:pPr>
              <w:pStyle w:val="TableText"/>
            </w:pPr>
            <w:r w:rsidRPr="00463667">
              <w:t>Inpatient Facility: Acute Inpatient: Surgery Discharges</w:t>
            </w:r>
          </w:p>
        </w:tc>
      </w:tr>
      <w:tr w:rsidR="00BF3DF9" w:rsidRPr="00463667" w14:paraId="4E5AF32D" w14:textId="77777777" w:rsidTr="00484C42">
        <w:trPr>
          <w:cantSplit/>
        </w:trPr>
        <w:tc>
          <w:tcPr>
            <w:tcW w:w="593" w:type="pct"/>
            <w:tcBorders>
              <w:top w:val="nil"/>
              <w:left w:val="nil"/>
              <w:bottom w:val="nil"/>
              <w:right w:val="nil"/>
            </w:tcBorders>
            <w:vAlign w:val="center"/>
          </w:tcPr>
          <w:p w14:paraId="07509F91" w14:textId="77777777" w:rsidR="00BF3DF9" w:rsidRPr="00463667" w:rsidRDefault="00BF3DF9" w:rsidP="00C56CA6">
            <w:pPr>
              <w:pStyle w:val="TableText"/>
            </w:pPr>
          </w:p>
        </w:tc>
        <w:tc>
          <w:tcPr>
            <w:tcW w:w="472" w:type="pct"/>
            <w:tcBorders>
              <w:top w:val="nil"/>
              <w:left w:val="nil"/>
              <w:bottom w:val="nil"/>
            </w:tcBorders>
            <w:vAlign w:val="center"/>
          </w:tcPr>
          <w:p w14:paraId="3B06247D" w14:textId="77777777" w:rsidR="00BF3DF9" w:rsidRPr="00463667" w:rsidRDefault="00BF3DF9" w:rsidP="00C56CA6">
            <w:pPr>
              <w:pStyle w:val="TableText"/>
            </w:pPr>
          </w:p>
        </w:tc>
        <w:tc>
          <w:tcPr>
            <w:tcW w:w="513" w:type="pct"/>
            <w:tcBorders>
              <w:bottom w:val="single" w:sz="4" w:space="0" w:color="auto"/>
            </w:tcBorders>
            <w:vAlign w:val="center"/>
          </w:tcPr>
          <w:p w14:paraId="75B2ACB1" w14:textId="77777777" w:rsidR="00BF3DF9" w:rsidRPr="00463667" w:rsidRDefault="00BF3DF9" w:rsidP="00C56CA6">
            <w:pPr>
              <w:pStyle w:val="TableText"/>
              <w:ind w:left="216"/>
            </w:pPr>
            <w:r w:rsidRPr="00463667">
              <w:t>13</w:t>
            </w:r>
          </w:p>
        </w:tc>
        <w:tc>
          <w:tcPr>
            <w:tcW w:w="524" w:type="pct"/>
            <w:vAlign w:val="center"/>
          </w:tcPr>
          <w:p w14:paraId="629807F9" w14:textId="77777777" w:rsidR="00BF3DF9" w:rsidRPr="00463667" w:rsidRDefault="00BF3DF9" w:rsidP="00C56CA6">
            <w:pPr>
              <w:pStyle w:val="TableText"/>
            </w:pPr>
            <w:r w:rsidRPr="00463667">
              <w:t>Count</w:t>
            </w:r>
          </w:p>
        </w:tc>
        <w:tc>
          <w:tcPr>
            <w:tcW w:w="2898" w:type="pct"/>
            <w:vAlign w:val="center"/>
          </w:tcPr>
          <w:p w14:paraId="7D76B717" w14:textId="77777777" w:rsidR="00BF3DF9" w:rsidRPr="00463667" w:rsidRDefault="00BF3DF9" w:rsidP="00C56CA6">
            <w:pPr>
              <w:pStyle w:val="TableText"/>
            </w:pPr>
            <w:r w:rsidRPr="00463667">
              <w:t>Inpatient Facility: Nonacute: Days</w:t>
            </w:r>
          </w:p>
        </w:tc>
      </w:tr>
      <w:tr w:rsidR="00BF3DF9" w:rsidRPr="00463667" w14:paraId="32E43C9C" w14:textId="77777777" w:rsidTr="00484C42">
        <w:trPr>
          <w:cantSplit/>
        </w:trPr>
        <w:tc>
          <w:tcPr>
            <w:tcW w:w="593" w:type="pct"/>
            <w:tcBorders>
              <w:top w:val="nil"/>
              <w:left w:val="nil"/>
              <w:bottom w:val="nil"/>
              <w:right w:val="nil"/>
            </w:tcBorders>
            <w:vAlign w:val="center"/>
          </w:tcPr>
          <w:p w14:paraId="122FEF13" w14:textId="77777777" w:rsidR="00BF3DF9" w:rsidRPr="00463667" w:rsidRDefault="00BF3DF9" w:rsidP="00C56CA6">
            <w:pPr>
              <w:pStyle w:val="TableText"/>
            </w:pPr>
          </w:p>
        </w:tc>
        <w:tc>
          <w:tcPr>
            <w:tcW w:w="472" w:type="pct"/>
            <w:tcBorders>
              <w:top w:val="nil"/>
              <w:left w:val="nil"/>
              <w:bottom w:val="nil"/>
              <w:right w:val="nil"/>
            </w:tcBorders>
            <w:vAlign w:val="center"/>
          </w:tcPr>
          <w:p w14:paraId="53F36AB1" w14:textId="77777777" w:rsidR="00BF3DF9" w:rsidRPr="00463667" w:rsidRDefault="00BF3DF9" w:rsidP="00C56CA6">
            <w:pPr>
              <w:pStyle w:val="TableText"/>
            </w:pPr>
          </w:p>
        </w:tc>
        <w:tc>
          <w:tcPr>
            <w:tcW w:w="513" w:type="pct"/>
            <w:tcBorders>
              <w:left w:val="nil"/>
              <w:bottom w:val="nil"/>
            </w:tcBorders>
            <w:vAlign w:val="center"/>
          </w:tcPr>
          <w:p w14:paraId="3C50EA62" w14:textId="77777777" w:rsidR="00BF3DF9" w:rsidRPr="00463667" w:rsidRDefault="00BF3DF9" w:rsidP="00C56CA6">
            <w:pPr>
              <w:pStyle w:val="TableText"/>
            </w:pPr>
          </w:p>
        </w:tc>
        <w:tc>
          <w:tcPr>
            <w:tcW w:w="524" w:type="pct"/>
            <w:vAlign w:val="center"/>
          </w:tcPr>
          <w:p w14:paraId="073C8287" w14:textId="77777777" w:rsidR="00BF3DF9" w:rsidRPr="00463667" w:rsidRDefault="00BF3DF9" w:rsidP="00C56CA6">
            <w:pPr>
              <w:pStyle w:val="TableText"/>
            </w:pPr>
            <w:r w:rsidRPr="00463667">
              <w:t>Count</w:t>
            </w:r>
          </w:p>
        </w:tc>
        <w:tc>
          <w:tcPr>
            <w:tcW w:w="2898" w:type="pct"/>
            <w:vAlign w:val="center"/>
          </w:tcPr>
          <w:p w14:paraId="37682F1D" w14:textId="77777777" w:rsidR="00BF3DF9" w:rsidRPr="00463667" w:rsidRDefault="00BF3DF9" w:rsidP="00C56CA6">
            <w:pPr>
              <w:pStyle w:val="TableText"/>
            </w:pPr>
            <w:r w:rsidRPr="00463667">
              <w:t>Inpatient Facility: Nonacute: Discharges</w:t>
            </w:r>
          </w:p>
        </w:tc>
      </w:tr>
      <w:tr w:rsidR="00BF3DF9" w:rsidRPr="00463667" w14:paraId="66DFFC8C" w14:textId="77777777" w:rsidTr="00484C42">
        <w:trPr>
          <w:cantSplit/>
        </w:trPr>
        <w:tc>
          <w:tcPr>
            <w:tcW w:w="593" w:type="pct"/>
            <w:tcBorders>
              <w:top w:val="nil"/>
              <w:left w:val="nil"/>
              <w:bottom w:val="nil"/>
              <w:right w:val="nil"/>
            </w:tcBorders>
            <w:vAlign w:val="center"/>
          </w:tcPr>
          <w:p w14:paraId="78F5F4AD" w14:textId="77777777" w:rsidR="00BF3DF9" w:rsidRPr="00463667" w:rsidRDefault="00BF3DF9" w:rsidP="00C56CA6">
            <w:pPr>
              <w:pStyle w:val="TableText"/>
            </w:pPr>
          </w:p>
        </w:tc>
        <w:tc>
          <w:tcPr>
            <w:tcW w:w="472" w:type="pct"/>
            <w:tcBorders>
              <w:top w:val="nil"/>
              <w:left w:val="nil"/>
              <w:bottom w:val="nil"/>
              <w:right w:val="nil"/>
            </w:tcBorders>
            <w:vAlign w:val="center"/>
          </w:tcPr>
          <w:p w14:paraId="0EB8800B" w14:textId="77777777" w:rsidR="00BF3DF9" w:rsidRPr="00463667" w:rsidRDefault="00BF3DF9" w:rsidP="00C56CA6">
            <w:pPr>
              <w:pStyle w:val="TableText"/>
            </w:pPr>
          </w:p>
        </w:tc>
        <w:tc>
          <w:tcPr>
            <w:tcW w:w="513" w:type="pct"/>
            <w:tcBorders>
              <w:top w:val="nil"/>
              <w:left w:val="nil"/>
              <w:bottom w:val="nil"/>
            </w:tcBorders>
            <w:vAlign w:val="center"/>
          </w:tcPr>
          <w:p w14:paraId="5714EEC0" w14:textId="77777777" w:rsidR="00BF3DF9" w:rsidRPr="00463667" w:rsidRDefault="00BF3DF9" w:rsidP="00C56CA6">
            <w:pPr>
              <w:pStyle w:val="TableText"/>
            </w:pPr>
          </w:p>
        </w:tc>
        <w:tc>
          <w:tcPr>
            <w:tcW w:w="524" w:type="pct"/>
            <w:vAlign w:val="center"/>
          </w:tcPr>
          <w:p w14:paraId="591823E6" w14:textId="77777777" w:rsidR="00BF3DF9" w:rsidRPr="00463667" w:rsidRDefault="00BF3DF9" w:rsidP="00C56CA6">
            <w:pPr>
              <w:pStyle w:val="TableText"/>
            </w:pPr>
            <w:r w:rsidRPr="00463667">
              <w:t>Count</w:t>
            </w:r>
          </w:p>
        </w:tc>
        <w:tc>
          <w:tcPr>
            <w:tcW w:w="2898" w:type="pct"/>
            <w:vAlign w:val="center"/>
          </w:tcPr>
          <w:p w14:paraId="0E261AD4" w14:textId="77777777" w:rsidR="00BF3DF9" w:rsidRPr="00463667" w:rsidRDefault="00BF3DF9" w:rsidP="00C56CA6">
            <w:pPr>
              <w:pStyle w:val="TableText"/>
            </w:pPr>
            <w:r w:rsidRPr="00463667">
              <w:t>ED Discharges</w:t>
            </w:r>
          </w:p>
        </w:tc>
      </w:tr>
      <w:tr w:rsidR="00BF3DF9" w:rsidRPr="00463667" w14:paraId="403633C6" w14:textId="77777777" w:rsidTr="00484C42">
        <w:trPr>
          <w:cantSplit/>
        </w:trPr>
        <w:tc>
          <w:tcPr>
            <w:tcW w:w="593" w:type="pct"/>
            <w:tcBorders>
              <w:top w:val="nil"/>
              <w:left w:val="nil"/>
              <w:bottom w:val="nil"/>
              <w:right w:val="nil"/>
            </w:tcBorders>
            <w:vAlign w:val="center"/>
          </w:tcPr>
          <w:p w14:paraId="39E87647" w14:textId="77777777" w:rsidR="00BF3DF9" w:rsidRPr="00463667" w:rsidRDefault="00BF3DF9" w:rsidP="00C56CA6">
            <w:pPr>
              <w:pStyle w:val="TableText"/>
            </w:pPr>
          </w:p>
        </w:tc>
        <w:tc>
          <w:tcPr>
            <w:tcW w:w="472" w:type="pct"/>
            <w:tcBorders>
              <w:top w:val="nil"/>
              <w:left w:val="nil"/>
              <w:bottom w:val="nil"/>
              <w:right w:val="nil"/>
            </w:tcBorders>
            <w:vAlign w:val="center"/>
          </w:tcPr>
          <w:p w14:paraId="260E5F75" w14:textId="77777777" w:rsidR="00BF3DF9" w:rsidRPr="00463667" w:rsidRDefault="00BF3DF9" w:rsidP="00C56CA6">
            <w:pPr>
              <w:pStyle w:val="TableText"/>
            </w:pPr>
          </w:p>
        </w:tc>
        <w:tc>
          <w:tcPr>
            <w:tcW w:w="513" w:type="pct"/>
            <w:tcBorders>
              <w:top w:val="nil"/>
              <w:left w:val="nil"/>
              <w:bottom w:val="nil"/>
            </w:tcBorders>
            <w:vAlign w:val="center"/>
          </w:tcPr>
          <w:p w14:paraId="1070C0EE" w14:textId="77777777" w:rsidR="00BF3DF9" w:rsidRPr="00463667" w:rsidRDefault="00BF3DF9" w:rsidP="00C56CA6">
            <w:pPr>
              <w:pStyle w:val="TableText"/>
            </w:pPr>
          </w:p>
        </w:tc>
        <w:tc>
          <w:tcPr>
            <w:tcW w:w="524" w:type="pct"/>
            <w:vAlign w:val="center"/>
          </w:tcPr>
          <w:p w14:paraId="50A6317E" w14:textId="77777777" w:rsidR="00BF3DF9" w:rsidRPr="00463667" w:rsidRDefault="00BF3DF9" w:rsidP="00C56CA6">
            <w:pPr>
              <w:pStyle w:val="TableText"/>
            </w:pPr>
            <w:r w:rsidRPr="00463667">
              <w:t>Count</w:t>
            </w:r>
          </w:p>
        </w:tc>
        <w:tc>
          <w:tcPr>
            <w:tcW w:w="2898" w:type="pct"/>
            <w:vAlign w:val="center"/>
          </w:tcPr>
          <w:p w14:paraId="12C5901C" w14:textId="77777777" w:rsidR="00BF3DF9" w:rsidRPr="00463667" w:rsidRDefault="00BF3DF9" w:rsidP="00C56CA6">
            <w:pPr>
              <w:pStyle w:val="TableText"/>
            </w:pPr>
            <w:r w:rsidRPr="00463667">
              <w:t>Cardiac Catheterization</w:t>
            </w:r>
          </w:p>
        </w:tc>
      </w:tr>
      <w:tr w:rsidR="00BF3DF9" w:rsidRPr="00463667" w14:paraId="1EEC6199" w14:textId="77777777" w:rsidTr="00484C42">
        <w:trPr>
          <w:cantSplit/>
        </w:trPr>
        <w:tc>
          <w:tcPr>
            <w:tcW w:w="593" w:type="pct"/>
            <w:tcBorders>
              <w:top w:val="nil"/>
              <w:left w:val="nil"/>
              <w:bottom w:val="nil"/>
              <w:right w:val="nil"/>
            </w:tcBorders>
            <w:vAlign w:val="center"/>
          </w:tcPr>
          <w:p w14:paraId="7A6D1635" w14:textId="77777777" w:rsidR="00BF3DF9" w:rsidRPr="00463667" w:rsidRDefault="00BF3DF9" w:rsidP="00C56CA6">
            <w:pPr>
              <w:pStyle w:val="TableText"/>
            </w:pPr>
          </w:p>
        </w:tc>
        <w:tc>
          <w:tcPr>
            <w:tcW w:w="472" w:type="pct"/>
            <w:tcBorders>
              <w:top w:val="nil"/>
              <w:left w:val="nil"/>
              <w:bottom w:val="nil"/>
              <w:right w:val="nil"/>
            </w:tcBorders>
            <w:vAlign w:val="center"/>
          </w:tcPr>
          <w:p w14:paraId="45F9E2F1" w14:textId="77777777" w:rsidR="00BF3DF9" w:rsidRPr="00463667" w:rsidRDefault="00BF3DF9" w:rsidP="00C56CA6">
            <w:pPr>
              <w:pStyle w:val="TableText"/>
            </w:pPr>
          </w:p>
        </w:tc>
        <w:tc>
          <w:tcPr>
            <w:tcW w:w="513" w:type="pct"/>
            <w:tcBorders>
              <w:top w:val="nil"/>
              <w:left w:val="nil"/>
              <w:bottom w:val="nil"/>
            </w:tcBorders>
            <w:vAlign w:val="center"/>
          </w:tcPr>
          <w:p w14:paraId="1E8422C7" w14:textId="77777777" w:rsidR="00BF3DF9" w:rsidRPr="00463667" w:rsidRDefault="00BF3DF9" w:rsidP="00C56CA6">
            <w:pPr>
              <w:pStyle w:val="TableText"/>
            </w:pPr>
          </w:p>
        </w:tc>
        <w:tc>
          <w:tcPr>
            <w:tcW w:w="524" w:type="pct"/>
            <w:vAlign w:val="center"/>
          </w:tcPr>
          <w:p w14:paraId="4E36DCFF" w14:textId="77777777" w:rsidR="00BF3DF9" w:rsidRPr="00463667" w:rsidRDefault="00BF3DF9" w:rsidP="00C56CA6">
            <w:pPr>
              <w:pStyle w:val="TableText"/>
            </w:pPr>
            <w:r w:rsidRPr="00463667">
              <w:t>Count</w:t>
            </w:r>
          </w:p>
        </w:tc>
        <w:tc>
          <w:tcPr>
            <w:tcW w:w="2898" w:type="pct"/>
            <w:vAlign w:val="center"/>
          </w:tcPr>
          <w:p w14:paraId="29C8FF06" w14:textId="77777777" w:rsidR="00BF3DF9" w:rsidRPr="00463667" w:rsidRDefault="00BF3DF9" w:rsidP="00C56CA6">
            <w:pPr>
              <w:pStyle w:val="TableText"/>
            </w:pPr>
            <w:r w:rsidRPr="00463667">
              <w:t>PCI</w:t>
            </w:r>
          </w:p>
        </w:tc>
      </w:tr>
      <w:tr w:rsidR="00BF3DF9" w:rsidRPr="00463667" w14:paraId="014A8B19" w14:textId="77777777" w:rsidTr="00484C42">
        <w:trPr>
          <w:cantSplit/>
        </w:trPr>
        <w:tc>
          <w:tcPr>
            <w:tcW w:w="593" w:type="pct"/>
            <w:tcBorders>
              <w:top w:val="nil"/>
              <w:left w:val="nil"/>
              <w:bottom w:val="nil"/>
              <w:right w:val="nil"/>
            </w:tcBorders>
            <w:vAlign w:val="center"/>
          </w:tcPr>
          <w:p w14:paraId="6D68EAF1" w14:textId="77777777" w:rsidR="00BF3DF9" w:rsidRPr="00463667" w:rsidRDefault="00BF3DF9" w:rsidP="00C56CA6">
            <w:pPr>
              <w:pStyle w:val="TableText"/>
            </w:pPr>
          </w:p>
        </w:tc>
        <w:tc>
          <w:tcPr>
            <w:tcW w:w="472" w:type="pct"/>
            <w:tcBorders>
              <w:top w:val="nil"/>
              <w:left w:val="nil"/>
              <w:bottom w:val="nil"/>
              <w:right w:val="nil"/>
            </w:tcBorders>
            <w:vAlign w:val="center"/>
          </w:tcPr>
          <w:p w14:paraId="6D0A20E0" w14:textId="77777777" w:rsidR="00BF3DF9" w:rsidRPr="00463667" w:rsidRDefault="00BF3DF9" w:rsidP="00C56CA6">
            <w:pPr>
              <w:pStyle w:val="TableText"/>
            </w:pPr>
          </w:p>
        </w:tc>
        <w:tc>
          <w:tcPr>
            <w:tcW w:w="513" w:type="pct"/>
            <w:tcBorders>
              <w:top w:val="nil"/>
              <w:left w:val="nil"/>
              <w:bottom w:val="nil"/>
            </w:tcBorders>
            <w:vAlign w:val="center"/>
          </w:tcPr>
          <w:p w14:paraId="389C1EFF" w14:textId="77777777" w:rsidR="00BF3DF9" w:rsidRPr="00463667" w:rsidRDefault="00BF3DF9" w:rsidP="00C56CA6">
            <w:pPr>
              <w:pStyle w:val="TableText"/>
            </w:pPr>
          </w:p>
        </w:tc>
        <w:tc>
          <w:tcPr>
            <w:tcW w:w="524" w:type="pct"/>
            <w:vAlign w:val="center"/>
          </w:tcPr>
          <w:p w14:paraId="585DEC96" w14:textId="77777777" w:rsidR="00BF3DF9" w:rsidRPr="00463667" w:rsidRDefault="00BF3DF9" w:rsidP="00C56CA6">
            <w:pPr>
              <w:pStyle w:val="TableText"/>
            </w:pPr>
            <w:r w:rsidRPr="00463667">
              <w:t>Count</w:t>
            </w:r>
          </w:p>
        </w:tc>
        <w:tc>
          <w:tcPr>
            <w:tcW w:w="2898" w:type="pct"/>
            <w:vAlign w:val="center"/>
          </w:tcPr>
          <w:p w14:paraId="264A0911" w14:textId="77777777" w:rsidR="00BF3DF9" w:rsidRPr="00463667" w:rsidRDefault="00BF3DF9" w:rsidP="00C56CA6">
            <w:pPr>
              <w:pStyle w:val="TableText"/>
            </w:pPr>
            <w:r w:rsidRPr="00463667">
              <w:t>CABG</w:t>
            </w:r>
          </w:p>
        </w:tc>
      </w:tr>
      <w:tr w:rsidR="00BF3DF9" w:rsidRPr="00463667" w14:paraId="69E0C10C" w14:textId="77777777" w:rsidTr="00484C42">
        <w:trPr>
          <w:cantSplit/>
        </w:trPr>
        <w:tc>
          <w:tcPr>
            <w:tcW w:w="593" w:type="pct"/>
            <w:tcBorders>
              <w:top w:val="nil"/>
              <w:left w:val="nil"/>
              <w:bottom w:val="nil"/>
              <w:right w:val="nil"/>
            </w:tcBorders>
            <w:vAlign w:val="center"/>
          </w:tcPr>
          <w:p w14:paraId="23C70138" w14:textId="77777777" w:rsidR="00BF3DF9" w:rsidRPr="00463667" w:rsidRDefault="00BF3DF9" w:rsidP="00C56CA6">
            <w:pPr>
              <w:pStyle w:val="TableText"/>
            </w:pPr>
          </w:p>
        </w:tc>
        <w:tc>
          <w:tcPr>
            <w:tcW w:w="472" w:type="pct"/>
            <w:tcBorders>
              <w:top w:val="nil"/>
              <w:left w:val="nil"/>
              <w:bottom w:val="nil"/>
              <w:right w:val="nil"/>
            </w:tcBorders>
            <w:vAlign w:val="center"/>
          </w:tcPr>
          <w:p w14:paraId="24869198" w14:textId="77777777" w:rsidR="00BF3DF9" w:rsidRPr="00463667" w:rsidRDefault="00BF3DF9" w:rsidP="00C56CA6">
            <w:pPr>
              <w:pStyle w:val="TableText"/>
            </w:pPr>
          </w:p>
        </w:tc>
        <w:tc>
          <w:tcPr>
            <w:tcW w:w="513" w:type="pct"/>
            <w:tcBorders>
              <w:top w:val="nil"/>
              <w:left w:val="nil"/>
              <w:bottom w:val="nil"/>
            </w:tcBorders>
            <w:vAlign w:val="center"/>
          </w:tcPr>
          <w:p w14:paraId="598C47CD" w14:textId="77777777" w:rsidR="00BF3DF9" w:rsidRPr="00463667" w:rsidRDefault="00BF3DF9" w:rsidP="00C56CA6">
            <w:pPr>
              <w:pStyle w:val="TableText"/>
            </w:pPr>
          </w:p>
        </w:tc>
        <w:tc>
          <w:tcPr>
            <w:tcW w:w="524" w:type="pct"/>
            <w:vAlign w:val="center"/>
          </w:tcPr>
          <w:p w14:paraId="75AB61EB" w14:textId="77777777" w:rsidR="00BF3DF9" w:rsidRPr="00463667" w:rsidRDefault="00BF3DF9" w:rsidP="00C56CA6">
            <w:pPr>
              <w:pStyle w:val="TableText"/>
            </w:pPr>
            <w:r w:rsidRPr="00463667">
              <w:t>Count</w:t>
            </w:r>
          </w:p>
        </w:tc>
        <w:tc>
          <w:tcPr>
            <w:tcW w:w="2898" w:type="pct"/>
            <w:vAlign w:val="center"/>
          </w:tcPr>
          <w:p w14:paraId="4AD85FD1" w14:textId="77777777" w:rsidR="00BF3DF9" w:rsidRPr="00463667" w:rsidRDefault="00BF3DF9" w:rsidP="00C56CA6">
            <w:pPr>
              <w:pStyle w:val="TableText"/>
            </w:pPr>
            <w:r w:rsidRPr="00463667">
              <w:t>Carotid Endarterectomy</w:t>
            </w:r>
          </w:p>
        </w:tc>
      </w:tr>
      <w:tr w:rsidR="00BF3DF9" w:rsidRPr="00463667" w14:paraId="5FAACF46" w14:textId="77777777" w:rsidTr="00484C42">
        <w:trPr>
          <w:cantSplit/>
        </w:trPr>
        <w:tc>
          <w:tcPr>
            <w:tcW w:w="593" w:type="pct"/>
            <w:tcBorders>
              <w:top w:val="nil"/>
              <w:left w:val="nil"/>
              <w:bottom w:val="nil"/>
              <w:right w:val="nil"/>
            </w:tcBorders>
            <w:vAlign w:val="center"/>
          </w:tcPr>
          <w:p w14:paraId="6E5AC751" w14:textId="77777777" w:rsidR="00BF3DF9" w:rsidRPr="00463667" w:rsidRDefault="00BF3DF9" w:rsidP="00C56CA6">
            <w:pPr>
              <w:pStyle w:val="TableText"/>
            </w:pPr>
          </w:p>
        </w:tc>
        <w:tc>
          <w:tcPr>
            <w:tcW w:w="472" w:type="pct"/>
            <w:tcBorders>
              <w:top w:val="nil"/>
              <w:left w:val="nil"/>
              <w:bottom w:val="nil"/>
              <w:right w:val="nil"/>
            </w:tcBorders>
            <w:vAlign w:val="center"/>
          </w:tcPr>
          <w:p w14:paraId="2B9D6616" w14:textId="77777777" w:rsidR="00BF3DF9" w:rsidRPr="00463667" w:rsidRDefault="00BF3DF9" w:rsidP="00C56CA6">
            <w:pPr>
              <w:pStyle w:val="TableText"/>
            </w:pPr>
          </w:p>
        </w:tc>
        <w:tc>
          <w:tcPr>
            <w:tcW w:w="513" w:type="pct"/>
            <w:tcBorders>
              <w:top w:val="nil"/>
              <w:left w:val="nil"/>
              <w:bottom w:val="nil"/>
            </w:tcBorders>
            <w:vAlign w:val="center"/>
          </w:tcPr>
          <w:p w14:paraId="506236FA" w14:textId="77777777" w:rsidR="00BF3DF9" w:rsidRPr="00463667" w:rsidRDefault="00BF3DF9" w:rsidP="00C56CA6">
            <w:pPr>
              <w:pStyle w:val="TableText"/>
            </w:pPr>
          </w:p>
        </w:tc>
        <w:tc>
          <w:tcPr>
            <w:tcW w:w="524" w:type="pct"/>
            <w:vAlign w:val="center"/>
          </w:tcPr>
          <w:p w14:paraId="62E3FE9E" w14:textId="77777777" w:rsidR="00BF3DF9" w:rsidRPr="00463667" w:rsidRDefault="00BF3DF9" w:rsidP="00C56CA6">
            <w:pPr>
              <w:pStyle w:val="TableText"/>
            </w:pPr>
            <w:r w:rsidRPr="00463667">
              <w:t>Count</w:t>
            </w:r>
          </w:p>
        </w:tc>
        <w:tc>
          <w:tcPr>
            <w:tcW w:w="2898" w:type="pct"/>
            <w:vAlign w:val="center"/>
          </w:tcPr>
          <w:p w14:paraId="5FABDF85" w14:textId="77777777" w:rsidR="00BF3DF9" w:rsidRPr="00463667" w:rsidRDefault="00BF3DF9" w:rsidP="00C56CA6">
            <w:pPr>
              <w:pStyle w:val="TableText"/>
            </w:pPr>
            <w:r w:rsidRPr="00463667">
              <w:t>Carotid Artery Stenosis Diagnostic Test</w:t>
            </w:r>
          </w:p>
        </w:tc>
      </w:tr>
      <w:tr w:rsidR="00BF3DF9" w:rsidRPr="00463667" w14:paraId="25CEA7A6" w14:textId="77777777" w:rsidTr="00484C42">
        <w:trPr>
          <w:cantSplit/>
        </w:trPr>
        <w:tc>
          <w:tcPr>
            <w:tcW w:w="593" w:type="pct"/>
            <w:tcBorders>
              <w:top w:val="nil"/>
              <w:left w:val="nil"/>
              <w:bottom w:val="nil"/>
              <w:right w:val="nil"/>
            </w:tcBorders>
            <w:vAlign w:val="center"/>
          </w:tcPr>
          <w:p w14:paraId="36DEA817" w14:textId="77777777" w:rsidR="00BF3DF9" w:rsidRPr="00463667" w:rsidRDefault="00BF3DF9" w:rsidP="00C56CA6">
            <w:pPr>
              <w:pStyle w:val="TableText"/>
            </w:pPr>
          </w:p>
        </w:tc>
        <w:tc>
          <w:tcPr>
            <w:tcW w:w="472" w:type="pct"/>
            <w:tcBorders>
              <w:top w:val="nil"/>
              <w:left w:val="nil"/>
              <w:bottom w:val="nil"/>
              <w:right w:val="nil"/>
            </w:tcBorders>
            <w:vAlign w:val="center"/>
          </w:tcPr>
          <w:p w14:paraId="16E35745" w14:textId="77777777" w:rsidR="00BF3DF9" w:rsidRPr="00463667" w:rsidRDefault="00BF3DF9" w:rsidP="00C56CA6">
            <w:pPr>
              <w:pStyle w:val="TableText"/>
            </w:pPr>
          </w:p>
        </w:tc>
        <w:tc>
          <w:tcPr>
            <w:tcW w:w="513" w:type="pct"/>
            <w:tcBorders>
              <w:top w:val="nil"/>
              <w:left w:val="nil"/>
              <w:bottom w:val="nil"/>
            </w:tcBorders>
            <w:vAlign w:val="center"/>
          </w:tcPr>
          <w:p w14:paraId="2A97AE89" w14:textId="77777777" w:rsidR="00BF3DF9" w:rsidRPr="00463667" w:rsidRDefault="00BF3DF9" w:rsidP="00C56CA6">
            <w:pPr>
              <w:pStyle w:val="TableText"/>
            </w:pPr>
          </w:p>
        </w:tc>
        <w:tc>
          <w:tcPr>
            <w:tcW w:w="524" w:type="pct"/>
            <w:vAlign w:val="center"/>
          </w:tcPr>
          <w:p w14:paraId="180F87A7" w14:textId="77777777" w:rsidR="00BF3DF9" w:rsidRPr="00463667" w:rsidRDefault="00BF3DF9" w:rsidP="00C56CA6">
            <w:pPr>
              <w:pStyle w:val="TableText"/>
            </w:pPr>
            <w:r w:rsidRPr="00463667">
              <w:t>Count</w:t>
            </w:r>
          </w:p>
        </w:tc>
        <w:tc>
          <w:tcPr>
            <w:tcW w:w="2898" w:type="pct"/>
            <w:vAlign w:val="center"/>
          </w:tcPr>
          <w:p w14:paraId="26D3C8E4" w14:textId="77777777" w:rsidR="00BF3DF9" w:rsidRPr="00463667" w:rsidRDefault="00BF3DF9" w:rsidP="00C56CA6">
            <w:pPr>
              <w:pStyle w:val="TableText"/>
            </w:pPr>
            <w:r w:rsidRPr="00463667">
              <w:t>Cardiac Computed Tomography</w:t>
            </w:r>
          </w:p>
        </w:tc>
      </w:tr>
      <w:tr w:rsidR="00BF3DF9" w:rsidRPr="00463667" w14:paraId="0BB5A19A" w14:textId="77777777" w:rsidTr="00484C42">
        <w:trPr>
          <w:cantSplit/>
        </w:trPr>
        <w:tc>
          <w:tcPr>
            <w:tcW w:w="593" w:type="pct"/>
            <w:tcBorders>
              <w:top w:val="nil"/>
              <w:left w:val="nil"/>
              <w:bottom w:val="nil"/>
              <w:right w:val="nil"/>
            </w:tcBorders>
            <w:vAlign w:val="center"/>
          </w:tcPr>
          <w:p w14:paraId="04025676" w14:textId="77777777" w:rsidR="00BF3DF9" w:rsidRPr="00463667" w:rsidRDefault="00BF3DF9" w:rsidP="00C56CA6">
            <w:pPr>
              <w:pStyle w:val="TableText"/>
            </w:pPr>
          </w:p>
        </w:tc>
        <w:tc>
          <w:tcPr>
            <w:tcW w:w="472" w:type="pct"/>
            <w:tcBorders>
              <w:top w:val="nil"/>
              <w:left w:val="nil"/>
              <w:bottom w:val="nil"/>
              <w:right w:val="nil"/>
            </w:tcBorders>
            <w:vAlign w:val="center"/>
          </w:tcPr>
          <w:p w14:paraId="68BBA775" w14:textId="77777777" w:rsidR="00BF3DF9" w:rsidRPr="00463667" w:rsidRDefault="00BF3DF9" w:rsidP="00C56CA6">
            <w:pPr>
              <w:pStyle w:val="TableText"/>
            </w:pPr>
          </w:p>
        </w:tc>
        <w:tc>
          <w:tcPr>
            <w:tcW w:w="513" w:type="pct"/>
            <w:tcBorders>
              <w:top w:val="nil"/>
              <w:left w:val="nil"/>
              <w:bottom w:val="nil"/>
            </w:tcBorders>
            <w:vAlign w:val="center"/>
          </w:tcPr>
          <w:p w14:paraId="0214355C" w14:textId="77777777" w:rsidR="00BF3DF9" w:rsidRPr="00463667" w:rsidRDefault="00BF3DF9" w:rsidP="00C56CA6">
            <w:pPr>
              <w:pStyle w:val="TableText"/>
            </w:pPr>
          </w:p>
        </w:tc>
        <w:tc>
          <w:tcPr>
            <w:tcW w:w="524" w:type="pct"/>
          </w:tcPr>
          <w:p w14:paraId="5C4FB594" w14:textId="77777777" w:rsidR="00BF3DF9" w:rsidRPr="00463667" w:rsidRDefault="00BF3DF9" w:rsidP="00C56CA6">
            <w:pPr>
              <w:pStyle w:val="TableText"/>
            </w:pPr>
            <w:r w:rsidRPr="00463667">
              <w:t>Count</w:t>
            </w:r>
          </w:p>
        </w:tc>
        <w:tc>
          <w:tcPr>
            <w:tcW w:w="2898" w:type="pct"/>
            <w:vAlign w:val="center"/>
          </w:tcPr>
          <w:p w14:paraId="78F5E095" w14:textId="77777777" w:rsidR="00BF3DF9" w:rsidRPr="00463667" w:rsidRDefault="00BF3DF9" w:rsidP="00C56CA6">
            <w:pPr>
              <w:pStyle w:val="TableText"/>
            </w:pPr>
            <w:r w:rsidRPr="00463667">
              <w:t>CAD Diagnostic Test Using EBCT/Nuclear Imaging Stress Test</w:t>
            </w:r>
          </w:p>
        </w:tc>
      </w:tr>
      <w:tr w:rsidR="00BF3DF9" w:rsidRPr="00463667" w14:paraId="756250D7" w14:textId="77777777" w:rsidTr="00484C42">
        <w:trPr>
          <w:cantSplit/>
        </w:trPr>
        <w:tc>
          <w:tcPr>
            <w:tcW w:w="593" w:type="pct"/>
            <w:tcBorders>
              <w:top w:val="nil"/>
              <w:left w:val="nil"/>
              <w:bottom w:val="nil"/>
              <w:right w:val="nil"/>
            </w:tcBorders>
            <w:vAlign w:val="center"/>
          </w:tcPr>
          <w:p w14:paraId="520552F5" w14:textId="77777777" w:rsidR="00BF3DF9" w:rsidRPr="00463667" w:rsidRDefault="00BF3DF9" w:rsidP="00C56CA6">
            <w:pPr>
              <w:pStyle w:val="TableText"/>
            </w:pPr>
          </w:p>
        </w:tc>
        <w:tc>
          <w:tcPr>
            <w:tcW w:w="472" w:type="pct"/>
            <w:tcBorders>
              <w:top w:val="nil"/>
              <w:left w:val="nil"/>
              <w:bottom w:val="nil"/>
              <w:right w:val="nil"/>
            </w:tcBorders>
            <w:vAlign w:val="center"/>
          </w:tcPr>
          <w:p w14:paraId="314C5BD1" w14:textId="77777777" w:rsidR="00BF3DF9" w:rsidRPr="00463667" w:rsidRDefault="00BF3DF9" w:rsidP="00C56CA6">
            <w:pPr>
              <w:pStyle w:val="TableText"/>
            </w:pPr>
          </w:p>
        </w:tc>
        <w:tc>
          <w:tcPr>
            <w:tcW w:w="513" w:type="pct"/>
            <w:tcBorders>
              <w:top w:val="nil"/>
              <w:left w:val="nil"/>
              <w:bottom w:val="nil"/>
            </w:tcBorders>
            <w:vAlign w:val="center"/>
          </w:tcPr>
          <w:p w14:paraId="596B4075" w14:textId="77777777" w:rsidR="00BF3DF9" w:rsidRPr="00463667" w:rsidRDefault="00BF3DF9" w:rsidP="00C56CA6">
            <w:pPr>
              <w:pStyle w:val="TableText"/>
            </w:pPr>
          </w:p>
        </w:tc>
        <w:tc>
          <w:tcPr>
            <w:tcW w:w="524" w:type="pct"/>
            <w:vAlign w:val="center"/>
          </w:tcPr>
          <w:p w14:paraId="0294B90D" w14:textId="77777777" w:rsidR="00BF3DF9" w:rsidRPr="00463667" w:rsidRDefault="00BF3DF9" w:rsidP="00C56CA6">
            <w:pPr>
              <w:pStyle w:val="TableText"/>
            </w:pPr>
            <w:r w:rsidRPr="00463667">
              <w:t>Mem</w:t>
            </w:r>
          </w:p>
        </w:tc>
        <w:tc>
          <w:tcPr>
            <w:tcW w:w="2898" w:type="pct"/>
            <w:vAlign w:val="center"/>
          </w:tcPr>
          <w:p w14:paraId="1E8BD475" w14:textId="77777777" w:rsidR="00BF3DF9" w:rsidRPr="00463667" w:rsidRDefault="00BF3DF9" w:rsidP="00C56CA6">
            <w:pPr>
              <w:pStyle w:val="TableText"/>
            </w:pPr>
            <w:r w:rsidRPr="00463667">
              <w:t>Member Months Medical</w:t>
            </w:r>
          </w:p>
        </w:tc>
      </w:tr>
      <w:tr w:rsidR="00BF3DF9" w:rsidRPr="00463667" w14:paraId="44EF0587" w14:textId="77777777" w:rsidTr="00484C42">
        <w:trPr>
          <w:cantSplit/>
        </w:trPr>
        <w:tc>
          <w:tcPr>
            <w:tcW w:w="593" w:type="pct"/>
            <w:tcBorders>
              <w:top w:val="nil"/>
              <w:left w:val="nil"/>
              <w:bottom w:val="nil"/>
              <w:right w:val="nil"/>
            </w:tcBorders>
            <w:vAlign w:val="center"/>
          </w:tcPr>
          <w:p w14:paraId="57C42BC2" w14:textId="77777777" w:rsidR="00BF3DF9" w:rsidRPr="00463667" w:rsidRDefault="00BF3DF9" w:rsidP="00C56CA6">
            <w:pPr>
              <w:spacing w:before="40" w:after="40" w:line="200" w:lineRule="exact"/>
              <w:rPr>
                <w:rFonts w:ascii="Arial Narrow" w:hAnsi="Arial Narrow"/>
                <w:sz w:val="19"/>
                <w:szCs w:val="19"/>
              </w:rPr>
            </w:pPr>
          </w:p>
        </w:tc>
        <w:tc>
          <w:tcPr>
            <w:tcW w:w="472" w:type="pct"/>
            <w:tcBorders>
              <w:top w:val="nil"/>
              <w:left w:val="nil"/>
              <w:bottom w:val="nil"/>
              <w:right w:val="nil"/>
            </w:tcBorders>
            <w:vAlign w:val="center"/>
          </w:tcPr>
          <w:p w14:paraId="1BCFA1CC" w14:textId="77777777" w:rsidR="00BF3DF9" w:rsidRPr="00463667" w:rsidRDefault="00BF3DF9" w:rsidP="00C56CA6">
            <w:pPr>
              <w:spacing w:before="40" w:after="40" w:line="200" w:lineRule="exact"/>
              <w:rPr>
                <w:rFonts w:ascii="Arial Narrow" w:hAnsi="Arial Narrow"/>
                <w:sz w:val="19"/>
                <w:szCs w:val="19"/>
              </w:rPr>
            </w:pPr>
          </w:p>
        </w:tc>
        <w:tc>
          <w:tcPr>
            <w:tcW w:w="513" w:type="pct"/>
            <w:tcBorders>
              <w:top w:val="nil"/>
              <w:left w:val="nil"/>
              <w:bottom w:val="nil"/>
            </w:tcBorders>
            <w:vAlign w:val="center"/>
          </w:tcPr>
          <w:p w14:paraId="077ECD4E" w14:textId="77777777" w:rsidR="00BF3DF9" w:rsidRPr="00463667" w:rsidRDefault="00BF3DF9" w:rsidP="00C56CA6">
            <w:pPr>
              <w:spacing w:before="40" w:after="40" w:line="200" w:lineRule="exact"/>
              <w:rPr>
                <w:rFonts w:ascii="Arial Narrow" w:hAnsi="Arial Narrow"/>
                <w:sz w:val="19"/>
                <w:szCs w:val="19"/>
              </w:rPr>
            </w:pPr>
          </w:p>
        </w:tc>
        <w:tc>
          <w:tcPr>
            <w:tcW w:w="524" w:type="pct"/>
            <w:vAlign w:val="center"/>
          </w:tcPr>
          <w:p w14:paraId="2696D3AC" w14:textId="77777777" w:rsidR="00BF3DF9" w:rsidRPr="00463667" w:rsidRDefault="00BF3DF9" w:rsidP="00C56CA6">
            <w:pPr>
              <w:spacing w:before="40" w:after="40" w:line="200" w:lineRule="exact"/>
              <w:rPr>
                <w:rFonts w:ascii="Arial Narrow" w:hAnsi="Arial Narrow"/>
                <w:sz w:val="19"/>
                <w:szCs w:val="19"/>
              </w:rPr>
            </w:pPr>
            <w:r w:rsidRPr="00463667">
              <w:rPr>
                <w:rFonts w:ascii="Arial Narrow" w:hAnsi="Arial Narrow"/>
                <w:sz w:val="19"/>
                <w:szCs w:val="19"/>
              </w:rPr>
              <w:t>Mem</w:t>
            </w:r>
          </w:p>
        </w:tc>
        <w:tc>
          <w:tcPr>
            <w:tcW w:w="2898" w:type="pct"/>
            <w:vAlign w:val="center"/>
          </w:tcPr>
          <w:p w14:paraId="03433904" w14:textId="77777777" w:rsidR="00BF3DF9" w:rsidRPr="00463667" w:rsidRDefault="00BF3DF9" w:rsidP="00C56CA6">
            <w:pPr>
              <w:spacing w:before="40" w:after="40" w:line="200" w:lineRule="exact"/>
              <w:rPr>
                <w:rFonts w:ascii="Arial Narrow" w:hAnsi="Arial Narrow"/>
                <w:sz w:val="19"/>
                <w:szCs w:val="19"/>
              </w:rPr>
            </w:pPr>
            <w:r w:rsidRPr="00463667">
              <w:rPr>
                <w:rFonts w:ascii="Arial Narrow" w:hAnsi="Arial Narrow"/>
                <w:sz w:val="19"/>
                <w:szCs w:val="19"/>
              </w:rPr>
              <w:t>Member Months Pharmacy</w:t>
            </w:r>
          </w:p>
        </w:tc>
      </w:tr>
    </w:tbl>
    <w:p w14:paraId="20B3D2EE" w14:textId="77777777" w:rsidR="00BF3DF9" w:rsidRPr="00463667" w:rsidRDefault="00BF3DF9" w:rsidP="00BF3DF9">
      <w:pPr>
        <w:sectPr w:rsidR="00BF3DF9" w:rsidRPr="00463667" w:rsidSect="00C56CA6">
          <w:pgSz w:w="12240" w:h="15840" w:code="1"/>
          <w:pgMar w:top="1080" w:right="1080" w:bottom="1080" w:left="1440" w:header="720" w:footer="720" w:gutter="0"/>
          <w:cols w:space="720"/>
        </w:sectPr>
      </w:pPr>
    </w:p>
    <w:p w14:paraId="2DAFB87F" w14:textId="77777777" w:rsidR="00BF3DF9" w:rsidRPr="00463667" w:rsidRDefault="00BF3DF9" w:rsidP="00CF45D6">
      <w:pPr>
        <w:pStyle w:val="TableHeadNotCondensed"/>
        <w:spacing w:before="0"/>
        <w:ind w:left="2070" w:hanging="2070"/>
      </w:pPr>
      <w:r w:rsidRPr="00463667">
        <w:lastRenderedPageBreak/>
        <w:t>Table RCA-C-1/2/3:</w:t>
      </w:r>
      <w:r w:rsidRPr="00463667">
        <w:tab/>
        <w:t xml:space="preserve">Data Elements for Relative Resource Use for People With </w:t>
      </w:r>
      <w:r w:rsidRPr="00463667">
        <w:br/>
        <w:t>Cardiovascular Conditions</w:t>
      </w:r>
    </w:p>
    <w:tbl>
      <w:tblPr>
        <w:tblW w:w="7830" w:type="dxa"/>
        <w:tblInd w:w="-10" w:type="dxa"/>
        <w:tblCellMar>
          <w:left w:w="0" w:type="dxa"/>
          <w:right w:w="0" w:type="dxa"/>
        </w:tblCellMar>
        <w:tblLook w:val="04A0" w:firstRow="1" w:lastRow="0" w:firstColumn="1" w:lastColumn="0" w:noHBand="0" w:noVBand="1"/>
      </w:tblPr>
      <w:tblGrid>
        <w:gridCol w:w="7830"/>
      </w:tblGrid>
      <w:tr w:rsidR="00BF3DF9" w:rsidRPr="00463667" w14:paraId="12950227" w14:textId="77777777" w:rsidTr="00484C42">
        <w:trPr>
          <w:trHeight w:val="300"/>
        </w:trPr>
        <w:tc>
          <w:tcPr>
            <w:tcW w:w="7830" w:type="dxa"/>
            <w:tcBorders>
              <w:top w:val="single" w:sz="8" w:space="0" w:color="auto"/>
              <w:left w:val="single" w:sz="8" w:space="0" w:color="auto"/>
              <w:bottom w:val="single" w:sz="4" w:space="0" w:color="auto"/>
              <w:right w:val="single" w:sz="4" w:space="0" w:color="auto"/>
            </w:tcBorders>
            <w:shd w:val="clear" w:color="auto" w:fill="000000"/>
            <w:noWrap/>
            <w:tcMar>
              <w:top w:w="0" w:type="dxa"/>
              <w:left w:w="108" w:type="dxa"/>
              <w:bottom w:w="0" w:type="dxa"/>
              <w:right w:w="108" w:type="dxa"/>
            </w:tcMar>
            <w:vAlign w:val="bottom"/>
            <w:hideMark/>
          </w:tcPr>
          <w:p w14:paraId="4945B747" w14:textId="77777777" w:rsidR="00BF3DF9" w:rsidRPr="00463667" w:rsidRDefault="00BF3DF9" w:rsidP="00C56CA6">
            <w:pPr>
              <w:pStyle w:val="TableHead"/>
              <w:rPr>
                <w:color w:val="auto"/>
              </w:rPr>
            </w:pPr>
            <w:r w:rsidRPr="00463667">
              <w:rPr>
                <w:color w:val="auto"/>
              </w:rPr>
              <w:t>Data Element</w:t>
            </w:r>
          </w:p>
        </w:tc>
      </w:tr>
      <w:tr w:rsidR="00BF3DF9" w:rsidRPr="00463667" w14:paraId="4827E62F"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9804019" w14:textId="77777777" w:rsidR="00BF3DF9" w:rsidRPr="00463667" w:rsidRDefault="00BF3DF9" w:rsidP="00C56CA6">
            <w:pPr>
              <w:pStyle w:val="TableText"/>
            </w:pPr>
            <w:r w:rsidRPr="00463667">
              <w:t>Eligible Population</w:t>
            </w:r>
          </w:p>
        </w:tc>
      </w:tr>
      <w:tr w:rsidR="00BF3DF9" w:rsidRPr="00463667" w14:paraId="1B0750D2"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3DB67084" w14:textId="77777777" w:rsidR="00BF3DF9" w:rsidRPr="00463667" w:rsidRDefault="00BF3DF9" w:rsidP="00C56CA6">
            <w:pPr>
              <w:pStyle w:val="TableText"/>
            </w:pPr>
            <w:r w:rsidRPr="00463667">
              <w:t>Exclusions</w:t>
            </w:r>
          </w:p>
        </w:tc>
      </w:tr>
      <w:tr w:rsidR="00BF3DF9" w:rsidRPr="00463667" w14:paraId="59D843AE"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02B44C1A" w14:textId="77777777" w:rsidR="00BF3DF9" w:rsidRPr="00463667" w:rsidRDefault="00BF3DF9" w:rsidP="00C56CA6">
            <w:pPr>
              <w:pStyle w:val="TableText"/>
            </w:pPr>
            <w:r w:rsidRPr="00463667">
              <w:t xml:space="preserve">Eligible Population per 1,000 MY Medical </w:t>
            </w:r>
          </w:p>
        </w:tc>
      </w:tr>
      <w:tr w:rsidR="00BF3DF9" w:rsidRPr="00463667" w14:paraId="73EBE9A2"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58A959EE" w14:textId="77777777" w:rsidR="00BF3DF9" w:rsidRPr="00463667" w:rsidRDefault="00BF3DF9" w:rsidP="00C56CA6">
            <w:pPr>
              <w:pStyle w:val="TableText"/>
            </w:pPr>
            <w:r w:rsidRPr="00463667">
              <w:t>Eligible Population per 1,000 MY Pharmacy</w:t>
            </w:r>
          </w:p>
        </w:tc>
      </w:tr>
      <w:tr w:rsidR="00BF3DF9" w:rsidRPr="00463667" w14:paraId="02D92F80"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3C6ED474" w14:textId="77777777" w:rsidR="00BF3DF9" w:rsidRPr="00463667" w:rsidRDefault="00BF3DF9" w:rsidP="00C56CA6">
            <w:pPr>
              <w:pStyle w:val="TableText"/>
            </w:pPr>
            <w:r w:rsidRPr="00463667">
              <w:t>Name Brand Only Count (N1)</w:t>
            </w:r>
          </w:p>
        </w:tc>
      </w:tr>
      <w:tr w:rsidR="00BF3DF9" w:rsidRPr="00463667" w14:paraId="55661801"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0FFEE4E" w14:textId="77777777" w:rsidR="00BF3DF9" w:rsidRPr="00463667" w:rsidRDefault="00BF3DF9" w:rsidP="00C56CA6">
            <w:pPr>
              <w:pStyle w:val="TableText"/>
            </w:pPr>
            <w:r w:rsidRPr="00463667">
              <w:t>Name Brand Generic Exists Count (N2)</w:t>
            </w:r>
          </w:p>
        </w:tc>
      </w:tr>
      <w:tr w:rsidR="00BF3DF9" w:rsidRPr="00463667" w14:paraId="3288EABC"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48B3BDE6" w14:textId="77777777" w:rsidR="00BF3DF9" w:rsidRPr="00463667" w:rsidRDefault="00BF3DF9" w:rsidP="00C56CA6">
            <w:pPr>
              <w:pStyle w:val="TableText"/>
            </w:pPr>
            <w:r w:rsidRPr="00463667">
              <w:t>Generic Only Count (G1)</w:t>
            </w:r>
          </w:p>
        </w:tc>
      </w:tr>
      <w:tr w:rsidR="00BF3DF9" w:rsidRPr="00463667" w14:paraId="671C4406"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49A20164" w14:textId="77777777" w:rsidR="00BF3DF9" w:rsidRPr="00463667" w:rsidRDefault="00BF3DF9" w:rsidP="00C56CA6">
            <w:pPr>
              <w:pStyle w:val="TableText"/>
            </w:pPr>
            <w:r w:rsidRPr="00463667">
              <w:t>Generic Name Brand Exists Count (G2)</w:t>
            </w:r>
          </w:p>
        </w:tc>
      </w:tr>
      <w:tr w:rsidR="00BF3DF9" w:rsidRPr="00463667" w14:paraId="0CB78A0A"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426A8D32" w14:textId="77777777" w:rsidR="00BF3DF9" w:rsidRPr="00463667" w:rsidRDefault="00BF3DF9" w:rsidP="00C56CA6">
            <w:pPr>
              <w:pStyle w:val="TableText"/>
            </w:pPr>
            <w:r w:rsidRPr="00463667">
              <w:t>Total Prescriptions (N1+N2+G1+G2)</w:t>
            </w:r>
          </w:p>
        </w:tc>
      </w:tr>
      <w:tr w:rsidR="00BF3DF9" w:rsidRPr="00463667" w14:paraId="7D2DABD3"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7837510F" w14:textId="77777777" w:rsidR="00BF3DF9" w:rsidRPr="00463667" w:rsidRDefault="00BF3DF9" w:rsidP="00C56CA6">
            <w:pPr>
              <w:pStyle w:val="TableText"/>
            </w:pPr>
            <w:r w:rsidRPr="00463667">
              <w:t>Generic Utilization Rate [(G1 + G2)/(N2+G1+G2)]</w:t>
            </w:r>
          </w:p>
        </w:tc>
      </w:tr>
      <w:tr w:rsidR="00BF3DF9" w:rsidRPr="00463667" w14:paraId="2DBADA46"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5C25B5C3" w14:textId="77777777" w:rsidR="00BF3DF9" w:rsidRPr="00463667" w:rsidRDefault="00BF3DF9" w:rsidP="00C56CA6">
            <w:pPr>
              <w:pStyle w:val="TableText"/>
            </w:pPr>
            <w:r w:rsidRPr="00463667">
              <w:t>Generic Substitution Rate [(G2)/(N2+G2)]</w:t>
            </w:r>
          </w:p>
        </w:tc>
      </w:tr>
      <w:tr w:rsidR="00BF3DF9" w:rsidRPr="00463667" w14:paraId="68D29CDE"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74548080" w14:textId="77777777" w:rsidR="00BF3DF9" w:rsidRPr="00463667" w:rsidRDefault="00BF3DF9" w:rsidP="00C56CA6">
            <w:pPr>
              <w:pStyle w:val="TableText"/>
            </w:pPr>
            <w:r w:rsidRPr="00463667">
              <w:t>Overall Generic Utilization [(G1+G2)/(N1+N2+G1+G2)]</w:t>
            </w:r>
          </w:p>
        </w:tc>
      </w:tr>
      <w:tr w:rsidR="00BF3DF9" w:rsidRPr="00463667" w14:paraId="05130A19"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2D8DFEA" w14:textId="77777777" w:rsidR="00BF3DF9" w:rsidRPr="00463667" w:rsidRDefault="00BF3DF9" w:rsidP="00C56CA6">
            <w:pPr>
              <w:pStyle w:val="TableText"/>
            </w:pPr>
            <w:r w:rsidRPr="00463667">
              <w:t>Inpatient Facility PMPM</w:t>
            </w:r>
          </w:p>
        </w:tc>
      </w:tr>
      <w:tr w:rsidR="00BF3DF9" w:rsidRPr="00463667" w14:paraId="62E37208"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46771EBF" w14:textId="77777777" w:rsidR="00BF3DF9" w:rsidRPr="00463667" w:rsidRDefault="00BF3DF9" w:rsidP="00C56CA6">
            <w:pPr>
              <w:pStyle w:val="TableText"/>
            </w:pPr>
            <w:r w:rsidRPr="00463667">
              <w:t>E&amp;M Inpatient Services PMPM</w:t>
            </w:r>
          </w:p>
        </w:tc>
      </w:tr>
      <w:tr w:rsidR="00BF3DF9" w:rsidRPr="00463667" w14:paraId="24F7F5F9"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4A9A8548" w14:textId="77777777" w:rsidR="00BF3DF9" w:rsidRPr="00463667" w:rsidRDefault="00BF3DF9" w:rsidP="00C56CA6">
            <w:pPr>
              <w:pStyle w:val="TableText"/>
            </w:pPr>
            <w:r w:rsidRPr="00463667">
              <w:t>E&amp;M Outpatient Services PMPM</w:t>
            </w:r>
          </w:p>
        </w:tc>
      </w:tr>
      <w:tr w:rsidR="00BF3DF9" w:rsidRPr="00463667" w14:paraId="4B388CAB"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57A40AA0" w14:textId="77777777" w:rsidR="00BF3DF9" w:rsidRPr="00463667" w:rsidRDefault="00BF3DF9" w:rsidP="00C56CA6">
            <w:pPr>
              <w:pStyle w:val="TableText"/>
            </w:pPr>
            <w:r w:rsidRPr="00463667">
              <w:t>Surgery &amp; Procedure Inpatient Services PMPM</w:t>
            </w:r>
          </w:p>
        </w:tc>
      </w:tr>
      <w:tr w:rsidR="00BF3DF9" w:rsidRPr="00463667" w14:paraId="6FE0DBAD"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53794F37" w14:textId="77777777" w:rsidR="00BF3DF9" w:rsidRPr="00463667" w:rsidRDefault="00BF3DF9" w:rsidP="00C56CA6">
            <w:pPr>
              <w:pStyle w:val="TableText"/>
            </w:pPr>
            <w:r w:rsidRPr="00463667">
              <w:t>Surgery &amp; Procedure Outpatient Services PMPM</w:t>
            </w:r>
          </w:p>
        </w:tc>
      </w:tr>
      <w:tr w:rsidR="00BF3DF9" w:rsidRPr="00463667" w14:paraId="7BA1E73A"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20586EDD" w14:textId="77777777" w:rsidR="00BF3DF9" w:rsidRPr="00463667" w:rsidRDefault="00BF3DF9" w:rsidP="00C56CA6">
            <w:pPr>
              <w:pStyle w:val="TableText"/>
            </w:pPr>
            <w:r w:rsidRPr="00463667">
              <w:t>Imaging Services PMPM</w:t>
            </w:r>
          </w:p>
        </w:tc>
      </w:tr>
      <w:tr w:rsidR="00BF3DF9" w:rsidRPr="00463667" w14:paraId="1D581636"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0D309F33" w14:textId="77777777" w:rsidR="00BF3DF9" w:rsidRPr="00463667" w:rsidRDefault="00BF3DF9" w:rsidP="00C56CA6">
            <w:pPr>
              <w:pStyle w:val="TableText"/>
            </w:pPr>
            <w:r w:rsidRPr="00463667">
              <w:t>Laboratory Services PMPM</w:t>
            </w:r>
          </w:p>
        </w:tc>
      </w:tr>
      <w:tr w:rsidR="00BF3DF9" w:rsidRPr="00463667" w14:paraId="051604A9"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5758CF50" w14:textId="77777777" w:rsidR="00BF3DF9" w:rsidRPr="00463667" w:rsidRDefault="00BF3DF9" w:rsidP="00C56CA6">
            <w:pPr>
              <w:pStyle w:val="TableText"/>
            </w:pPr>
            <w:r w:rsidRPr="00463667">
              <w:t>Pharmacy PMPM</w:t>
            </w:r>
          </w:p>
        </w:tc>
      </w:tr>
      <w:tr w:rsidR="00BF3DF9" w:rsidRPr="00463667" w14:paraId="5889E9E6"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38BD7DA5" w14:textId="77777777" w:rsidR="00BF3DF9" w:rsidRPr="00463667" w:rsidRDefault="00BF3DF9" w:rsidP="00C56CA6">
            <w:pPr>
              <w:pStyle w:val="TableText"/>
            </w:pPr>
            <w:r w:rsidRPr="00463667">
              <w:t>Inpatient Facility: Acute Inpatient: Medical Days per 1,000 MY</w:t>
            </w:r>
          </w:p>
        </w:tc>
      </w:tr>
      <w:tr w:rsidR="00BF3DF9" w:rsidRPr="00463667" w14:paraId="2DB37176"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3DDEF6EB" w14:textId="77777777" w:rsidR="00BF3DF9" w:rsidRPr="00463667" w:rsidRDefault="00BF3DF9" w:rsidP="00C56CA6">
            <w:pPr>
              <w:pStyle w:val="TableText"/>
            </w:pPr>
            <w:r w:rsidRPr="00463667">
              <w:t>Inpatient Facility: Acute Inpatient: Medical Discharges per 1,000 MY</w:t>
            </w:r>
          </w:p>
        </w:tc>
      </w:tr>
      <w:tr w:rsidR="00BF3DF9" w:rsidRPr="00463667" w14:paraId="245C24FF"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58147868" w14:textId="77777777" w:rsidR="00BF3DF9" w:rsidRPr="00463667" w:rsidRDefault="00BF3DF9" w:rsidP="00C56CA6">
            <w:pPr>
              <w:pStyle w:val="TableText"/>
            </w:pPr>
            <w:r w:rsidRPr="00463667">
              <w:t>Inpatient Facility: Acute Inpatient: Surgery Days per 1,000 MY</w:t>
            </w:r>
          </w:p>
        </w:tc>
      </w:tr>
      <w:tr w:rsidR="00BF3DF9" w:rsidRPr="00463667" w14:paraId="7A2A10DA"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E03FDBC" w14:textId="77777777" w:rsidR="00BF3DF9" w:rsidRPr="00463667" w:rsidRDefault="00BF3DF9" w:rsidP="00C56CA6">
            <w:pPr>
              <w:pStyle w:val="TableText"/>
            </w:pPr>
            <w:r w:rsidRPr="00463667">
              <w:t>Inpatient Facility: Acute Inpatient: Surgery Discharges per 1,000 MY</w:t>
            </w:r>
          </w:p>
        </w:tc>
      </w:tr>
      <w:tr w:rsidR="00BF3DF9" w:rsidRPr="00463667" w14:paraId="2834291A"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3AD56944" w14:textId="77777777" w:rsidR="00BF3DF9" w:rsidRPr="00463667" w:rsidRDefault="00BF3DF9" w:rsidP="00C56CA6">
            <w:pPr>
              <w:pStyle w:val="TableText"/>
            </w:pPr>
            <w:r w:rsidRPr="00463667">
              <w:t>Inpatient Facility: Nonacute Days per 1,000 MY</w:t>
            </w:r>
          </w:p>
        </w:tc>
      </w:tr>
      <w:tr w:rsidR="00BF3DF9" w:rsidRPr="00463667" w14:paraId="11F4ED6B"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4198449" w14:textId="77777777" w:rsidR="00BF3DF9" w:rsidRPr="00463667" w:rsidRDefault="00BF3DF9" w:rsidP="00C56CA6">
            <w:pPr>
              <w:pStyle w:val="TableText"/>
            </w:pPr>
            <w:r w:rsidRPr="00463667">
              <w:t>Inpatient Facility: Nonacute Discharges per 1,000 MY</w:t>
            </w:r>
          </w:p>
        </w:tc>
      </w:tr>
      <w:tr w:rsidR="00BF3DF9" w:rsidRPr="00463667" w14:paraId="76EA9250"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C44CFF3" w14:textId="77777777" w:rsidR="00BF3DF9" w:rsidRPr="00463667" w:rsidRDefault="00BF3DF9" w:rsidP="00C56CA6">
            <w:pPr>
              <w:pStyle w:val="TableText"/>
            </w:pPr>
            <w:r w:rsidRPr="00463667">
              <w:t>Inpatient Facility Acute Medical ALOS</w:t>
            </w:r>
          </w:p>
        </w:tc>
      </w:tr>
      <w:tr w:rsidR="00BF3DF9" w:rsidRPr="00463667" w14:paraId="211D1F8F"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1FFBFCC7" w14:textId="77777777" w:rsidR="00BF3DF9" w:rsidRPr="00463667" w:rsidRDefault="00BF3DF9" w:rsidP="00C56CA6">
            <w:pPr>
              <w:pStyle w:val="TableText"/>
            </w:pPr>
            <w:r w:rsidRPr="00463667">
              <w:t>Inpatient Facility Acute Surgery ALOS</w:t>
            </w:r>
          </w:p>
        </w:tc>
      </w:tr>
      <w:tr w:rsidR="00BF3DF9" w:rsidRPr="00463667" w14:paraId="295D0D6F"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5506C70" w14:textId="77777777" w:rsidR="00BF3DF9" w:rsidRPr="00463667" w:rsidRDefault="00BF3DF9" w:rsidP="00C56CA6">
            <w:pPr>
              <w:pStyle w:val="TableText"/>
            </w:pPr>
            <w:r w:rsidRPr="00463667">
              <w:t>Inpatient Facility Nonacute ALOS</w:t>
            </w:r>
          </w:p>
        </w:tc>
      </w:tr>
      <w:tr w:rsidR="00BF3DF9" w:rsidRPr="00463667" w14:paraId="31F3BF4C"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1D921D4" w14:textId="77777777" w:rsidR="00BF3DF9" w:rsidRPr="00463667" w:rsidRDefault="00BF3DF9" w:rsidP="00C56CA6">
            <w:pPr>
              <w:pStyle w:val="TableText"/>
            </w:pPr>
            <w:r w:rsidRPr="00463667">
              <w:t xml:space="preserve">Total Inpatient Facility Acute ALOS </w:t>
            </w:r>
          </w:p>
        </w:tc>
      </w:tr>
      <w:tr w:rsidR="00BF3DF9" w:rsidRPr="00463667" w14:paraId="37A9411C"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6EFE950F" w14:textId="77777777" w:rsidR="00BF3DF9" w:rsidRPr="00463667" w:rsidRDefault="00BF3DF9" w:rsidP="00C56CA6">
            <w:pPr>
              <w:pStyle w:val="TableText"/>
            </w:pPr>
            <w:r w:rsidRPr="00463667">
              <w:t>Total Inpatient Facility ALOS</w:t>
            </w:r>
          </w:p>
        </w:tc>
      </w:tr>
      <w:tr w:rsidR="00BF3DF9" w:rsidRPr="00463667" w14:paraId="1BFF56C5"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3338EEF" w14:textId="77777777" w:rsidR="00BF3DF9" w:rsidRPr="00463667" w:rsidRDefault="00BF3DF9" w:rsidP="00C56CA6">
            <w:pPr>
              <w:pStyle w:val="TableText"/>
            </w:pPr>
            <w:r w:rsidRPr="00463667">
              <w:t>ED Discharges per 1,000 MY Medical</w:t>
            </w:r>
          </w:p>
        </w:tc>
      </w:tr>
      <w:tr w:rsidR="00BF3DF9" w:rsidRPr="00463667" w14:paraId="67FB99D6"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2DB0856E" w14:textId="77777777" w:rsidR="00BF3DF9" w:rsidRPr="00463667" w:rsidRDefault="00BF3DF9" w:rsidP="00C56CA6">
            <w:pPr>
              <w:pStyle w:val="TableText"/>
            </w:pPr>
            <w:r w:rsidRPr="00463667">
              <w:t>Cardiac Catheterization per 1,000 MY Medical</w:t>
            </w:r>
          </w:p>
        </w:tc>
      </w:tr>
      <w:tr w:rsidR="00BF3DF9" w:rsidRPr="00463667" w14:paraId="32ED4DBF"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3A498E85" w14:textId="77777777" w:rsidR="00BF3DF9" w:rsidRPr="00463667" w:rsidRDefault="00BF3DF9" w:rsidP="00C56CA6">
            <w:pPr>
              <w:pStyle w:val="TableText"/>
            </w:pPr>
            <w:r w:rsidRPr="00463667">
              <w:t>PCI per 1,000 MY Medical</w:t>
            </w:r>
          </w:p>
        </w:tc>
      </w:tr>
      <w:tr w:rsidR="00BF3DF9" w:rsidRPr="00463667" w14:paraId="42526C3A"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54CC7286" w14:textId="77777777" w:rsidR="00BF3DF9" w:rsidRPr="00463667" w:rsidRDefault="00BF3DF9" w:rsidP="00C56CA6">
            <w:pPr>
              <w:pStyle w:val="TableText"/>
            </w:pPr>
            <w:r w:rsidRPr="00463667">
              <w:t>CABG per 1,000 MY Medical</w:t>
            </w:r>
          </w:p>
        </w:tc>
      </w:tr>
      <w:tr w:rsidR="00BF3DF9" w:rsidRPr="00463667" w14:paraId="2268078C"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6F0EB5F9" w14:textId="77777777" w:rsidR="00BF3DF9" w:rsidRPr="00463667" w:rsidRDefault="00BF3DF9" w:rsidP="00C56CA6">
            <w:pPr>
              <w:pStyle w:val="TableText"/>
            </w:pPr>
            <w:r w:rsidRPr="00463667">
              <w:t>Carotid Endarterectomy per 1,000 MY Medical</w:t>
            </w:r>
          </w:p>
        </w:tc>
      </w:tr>
      <w:tr w:rsidR="00BF3DF9" w:rsidRPr="00463667" w14:paraId="01895854"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0BF64387" w14:textId="77777777" w:rsidR="00BF3DF9" w:rsidRPr="00463667" w:rsidRDefault="00BF3DF9" w:rsidP="00C56CA6">
            <w:pPr>
              <w:pStyle w:val="TableText"/>
            </w:pPr>
            <w:r w:rsidRPr="00463667">
              <w:t>Carotid Artery Stenosis Diagnostic Test per 1,000 MY Medical</w:t>
            </w:r>
          </w:p>
        </w:tc>
      </w:tr>
      <w:tr w:rsidR="00BF3DF9" w:rsidRPr="00463667" w14:paraId="793425DB"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0D0E5088" w14:textId="77777777" w:rsidR="00BF3DF9" w:rsidRPr="00463667" w:rsidRDefault="00BF3DF9" w:rsidP="00C56CA6">
            <w:pPr>
              <w:pStyle w:val="TableText"/>
            </w:pPr>
            <w:r w:rsidRPr="00463667">
              <w:t>Cardiac Computed Tomography per 1,000 MY Medical</w:t>
            </w:r>
          </w:p>
        </w:tc>
      </w:tr>
      <w:tr w:rsidR="00BF3DF9" w:rsidRPr="00463667" w14:paraId="08EAF92A"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609D2D98" w14:textId="77777777" w:rsidR="00BF3DF9" w:rsidRPr="00463667" w:rsidRDefault="00BF3DF9" w:rsidP="00C56CA6">
            <w:pPr>
              <w:pStyle w:val="TableText"/>
            </w:pPr>
            <w:r w:rsidRPr="00463667">
              <w:t>CAD Diagnostic Test Using EBCT/Nuclear Imaging Stress Tests per 1,000 MY Medical</w:t>
            </w:r>
          </w:p>
        </w:tc>
      </w:tr>
    </w:tbl>
    <w:p w14:paraId="396564AC" w14:textId="77777777" w:rsidR="00BF3DF9" w:rsidRPr="00463667" w:rsidRDefault="00BF3DF9" w:rsidP="00BF3DF9">
      <w:pPr>
        <w:pStyle w:val="Note"/>
      </w:pPr>
      <w:r w:rsidRPr="00463667">
        <w:rPr>
          <w:b/>
          <w:szCs w:val="20"/>
        </w:rPr>
        <w:t>Note:</w:t>
      </w:r>
      <w:r w:rsidRPr="00463667">
        <w:t xml:space="preserve"> This table indicates the calculated fields that NCQA provides for the age-gender-risk totals. </w:t>
      </w:r>
    </w:p>
    <w:p w14:paraId="01D3FEF8" w14:textId="77777777" w:rsidR="00BF3DF9" w:rsidRPr="00463667" w:rsidRDefault="00BF3DF9" w:rsidP="00BF3DF9">
      <w:pPr>
        <w:pStyle w:val="Note"/>
        <w:sectPr w:rsidR="00BF3DF9" w:rsidRPr="00463667" w:rsidSect="00C56CA6">
          <w:pgSz w:w="12240" w:h="15840" w:code="1"/>
          <w:pgMar w:top="1080" w:right="1080" w:bottom="1080" w:left="1440" w:header="720" w:footer="720" w:gutter="0"/>
          <w:cols w:space="720"/>
        </w:sectPr>
      </w:pPr>
    </w:p>
    <w:bookmarkStart w:id="24" w:name="_Toc400546209"/>
    <w:p w14:paraId="3CE91376" w14:textId="68CC1B86" w:rsidR="00BF3DF9" w:rsidRPr="00463667" w:rsidRDefault="00EF7C1A" w:rsidP="00BF3DF9">
      <w:pPr>
        <w:pStyle w:val="Heading2"/>
        <w:tabs>
          <w:tab w:val="center" w:pos="4860"/>
          <w:tab w:val="right" w:pos="9720"/>
        </w:tabs>
        <w:rPr>
          <w:szCs w:val="28"/>
        </w:rPr>
      </w:pPr>
      <w:r>
        <w:rPr>
          <w:szCs w:val="28"/>
        </w:rPr>
        <w:lastRenderedPageBreak/>
        <w:fldChar w:fldCharType="begin"/>
      </w:r>
      <w:r>
        <w:rPr>
          <w:szCs w:val="28"/>
        </w:rPr>
        <w:instrText xml:space="preserve"> HYPERLINK  \l "TOC" </w:instrText>
      </w:r>
      <w:r>
        <w:rPr>
          <w:szCs w:val="28"/>
        </w:rPr>
        <w:fldChar w:fldCharType="separate"/>
      </w:r>
      <w:r w:rsidR="00BF3DF9" w:rsidRPr="00EF7C1A">
        <w:rPr>
          <w:szCs w:val="28"/>
        </w:rPr>
        <w:t>Relative Resource Use for People With Hypertension (RHY)</w:t>
      </w:r>
      <w:bookmarkEnd w:id="24"/>
      <w:r>
        <w:rPr>
          <w:szCs w:val="28"/>
        </w:rPr>
        <w:fldChar w:fldCharType="end"/>
      </w:r>
    </w:p>
    <w:p w14:paraId="549C6584" w14:textId="55898941" w:rsidR="00BF3DF9" w:rsidRPr="00463667" w:rsidRDefault="00BF3DF9" w:rsidP="00724140">
      <w:pPr>
        <w:pStyle w:val="SOC"/>
        <w:rPr>
          <w:i/>
        </w:rPr>
      </w:pPr>
      <w:r w:rsidRPr="00463667">
        <w:t xml:space="preserve">Summary of Changes to HEDIS </w:t>
      </w:r>
      <w:r w:rsidR="0083581E">
        <w:t>2016</w:t>
      </w:r>
    </w:p>
    <w:p w14:paraId="12361A28" w14:textId="0EA885B7" w:rsidR="00BF3DF9" w:rsidRPr="00463667" w:rsidRDefault="00375147" w:rsidP="00CF45D6">
      <w:pPr>
        <w:pStyle w:val="ProcessBullet"/>
        <w:rPr>
          <w:i/>
          <w:iCs/>
        </w:rPr>
      </w:pPr>
      <w:r>
        <w:t>No changes to this measure.</w:t>
      </w:r>
    </w:p>
    <w:p w14:paraId="409632FE" w14:textId="77777777" w:rsidR="00BF3DF9" w:rsidRPr="00463667" w:rsidRDefault="00BF3DF9" w:rsidP="00724140">
      <w:pPr>
        <w:pStyle w:val="ReverseHead"/>
      </w:pPr>
      <w:r w:rsidRPr="00463667">
        <w:t>Description</w:t>
      </w:r>
    </w:p>
    <w:p w14:paraId="5D2F1888" w14:textId="77777777" w:rsidR="00BF3DF9" w:rsidRPr="00463667" w:rsidRDefault="00BF3DF9" w:rsidP="00BF3DF9">
      <w:pPr>
        <w:pStyle w:val="Body"/>
      </w:pPr>
      <w:r w:rsidRPr="00463667">
        <w:t>The relative resource use by members with hypertension during the measurement year.</w:t>
      </w:r>
    </w:p>
    <w:p w14:paraId="72CD0693" w14:textId="77777777" w:rsidR="00BF3DF9" w:rsidRPr="00463667" w:rsidRDefault="00BF3DF9" w:rsidP="00724140">
      <w:pPr>
        <w:pStyle w:val="ReverseHead"/>
      </w:pPr>
      <w:r w:rsidRPr="00463667">
        <w:t xml:space="preserve">Eligible Population </w:t>
      </w:r>
    </w:p>
    <w:p w14:paraId="3E822831" w14:textId="77777777" w:rsidR="00BF3DF9" w:rsidRPr="00463667" w:rsidRDefault="00BF3DF9" w:rsidP="00BF3DF9">
      <w:pPr>
        <w:pStyle w:val="Note"/>
      </w:pPr>
      <w:r w:rsidRPr="00463667">
        <w:rPr>
          <w:b/>
        </w:rPr>
        <w:t>Note:</w:t>
      </w:r>
      <w:r w:rsidRPr="00463667">
        <w:t xml:space="preserve"> </w:t>
      </w:r>
      <w:r w:rsidRPr="00463667">
        <w:rPr>
          <w:szCs w:val="20"/>
        </w:rPr>
        <w:t>Organizations must report the quality measure (CBP) when reporting RHY.</w:t>
      </w:r>
    </w:p>
    <w:tbl>
      <w:tblPr>
        <w:tblW w:w="9702" w:type="dxa"/>
        <w:tblInd w:w="18" w:type="dxa"/>
        <w:tblLayout w:type="fixed"/>
        <w:tblLook w:val="0000" w:firstRow="0" w:lastRow="0" w:firstColumn="0" w:lastColumn="0" w:noHBand="0" w:noVBand="0"/>
      </w:tblPr>
      <w:tblGrid>
        <w:gridCol w:w="1800"/>
        <w:gridCol w:w="7902"/>
      </w:tblGrid>
      <w:tr w:rsidR="00BF3DF9" w:rsidRPr="00463667" w14:paraId="6CFE4B54" w14:textId="77777777" w:rsidTr="00C56CA6">
        <w:tc>
          <w:tcPr>
            <w:tcW w:w="1800" w:type="dxa"/>
          </w:tcPr>
          <w:p w14:paraId="224CC422" w14:textId="77777777" w:rsidR="00BF3DF9" w:rsidRPr="00463667" w:rsidRDefault="00BF3DF9" w:rsidP="00C56CA6">
            <w:pPr>
              <w:pStyle w:val="MarginSubhead"/>
            </w:pPr>
            <w:r w:rsidRPr="00463667">
              <w:t>Product line</w:t>
            </w:r>
          </w:p>
        </w:tc>
        <w:tc>
          <w:tcPr>
            <w:tcW w:w="7902" w:type="dxa"/>
          </w:tcPr>
          <w:p w14:paraId="760D0824" w14:textId="77777777" w:rsidR="00BF3DF9" w:rsidRPr="00463667" w:rsidRDefault="00BF3DF9" w:rsidP="00C56CA6">
            <w:pPr>
              <w:pStyle w:val="Body"/>
            </w:pPr>
            <w:r w:rsidRPr="00463667">
              <w:t>Commercial, Medicaid, Medicare</w:t>
            </w:r>
            <w:r w:rsidRPr="00463667">
              <w:rPr>
                <w:i/>
              </w:rPr>
              <w:t xml:space="preserve"> </w:t>
            </w:r>
            <w:r w:rsidRPr="00463667">
              <w:t xml:space="preserve">(report each product line separately). </w:t>
            </w:r>
          </w:p>
        </w:tc>
      </w:tr>
      <w:tr w:rsidR="00BF3DF9" w:rsidRPr="00463667" w14:paraId="4E662292" w14:textId="77777777" w:rsidTr="00C56CA6">
        <w:tc>
          <w:tcPr>
            <w:tcW w:w="1800" w:type="dxa"/>
          </w:tcPr>
          <w:p w14:paraId="729CD843" w14:textId="77777777" w:rsidR="00BF3DF9" w:rsidRPr="00463667" w:rsidRDefault="00BF3DF9" w:rsidP="00C56CA6">
            <w:pPr>
              <w:pStyle w:val="MarginSubhead"/>
            </w:pPr>
            <w:r w:rsidRPr="00463667">
              <w:t>Ages</w:t>
            </w:r>
          </w:p>
        </w:tc>
        <w:tc>
          <w:tcPr>
            <w:tcW w:w="7902" w:type="dxa"/>
          </w:tcPr>
          <w:p w14:paraId="06218133" w14:textId="77777777" w:rsidR="00BF3DF9" w:rsidRPr="00463667" w:rsidRDefault="00BF3DF9" w:rsidP="00C56CA6">
            <w:pPr>
              <w:pStyle w:val="Body"/>
            </w:pPr>
            <w:r w:rsidRPr="00463667">
              <w:t xml:space="preserve">18–85 years as of December 31 of the measurement year. </w:t>
            </w:r>
          </w:p>
        </w:tc>
      </w:tr>
      <w:tr w:rsidR="00BF3DF9" w:rsidRPr="00463667" w14:paraId="4812FABD" w14:textId="77777777" w:rsidTr="00C56CA6">
        <w:tc>
          <w:tcPr>
            <w:tcW w:w="1800" w:type="dxa"/>
          </w:tcPr>
          <w:p w14:paraId="3F4918DA" w14:textId="77777777" w:rsidR="00BF3DF9" w:rsidRPr="00463667" w:rsidRDefault="00BF3DF9" w:rsidP="00C56CA6">
            <w:pPr>
              <w:pStyle w:val="MarginSubhead"/>
            </w:pPr>
            <w:r w:rsidRPr="00463667">
              <w:t>Continuous enrollment</w:t>
            </w:r>
          </w:p>
        </w:tc>
        <w:tc>
          <w:tcPr>
            <w:tcW w:w="7902" w:type="dxa"/>
          </w:tcPr>
          <w:p w14:paraId="724B268E" w14:textId="77777777" w:rsidR="00BF3DF9" w:rsidRPr="00463667" w:rsidRDefault="00BF3DF9" w:rsidP="00C56CA6">
            <w:pPr>
              <w:pStyle w:val="Body"/>
            </w:pPr>
            <w:r w:rsidRPr="00463667">
              <w:t xml:space="preserve">The measurement year. </w:t>
            </w:r>
          </w:p>
        </w:tc>
      </w:tr>
      <w:tr w:rsidR="00BF3DF9" w:rsidRPr="00463667" w14:paraId="4B003321" w14:textId="77777777" w:rsidTr="00C56CA6">
        <w:tc>
          <w:tcPr>
            <w:tcW w:w="1800" w:type="dxa"/>
          </w:tcPr>
          <w:p w14:paraId="1B2A06E5" w14:textId="77777777" w:rsidR="00BF3DF9" w:rsidRPr="00463667" w:rsidRDefault="00BF3DF9" w:rsidP="00C56CA6">
            <w:pPr>
              <w:pStyle w:val="MarginSubhead"/>
            </w:pPr>
            <w:r w:rsidRPr="00463667">
              <w:t>Allowable gap</w:t>
            </w:r>
          </w:p>
        </w:tc>
        <w:tc>
          <w:tcPr>
            <w:tcW w:w="7902" w:type="dxa"/>
          </w:tcPr>
          <w:p w14:paraId="365737B0" w14:textId="77777777" w:rsidR="00BF3DF9" w:rsidRPr="00463667" w:rsidRDefault="00BF3DF9" w:rsidP="00C56CA6">
            <w:pPr>
              <w:pStyle w:val="Body"/>
            </w:pPr>
            <w:r w:rsidRPr="00463667">
              <w:t xml:space="preserve">No more than one gap in enrollment of up to 45 days during the measurement year. </w:t>
            </w:r>
            <w:r w:rsidRPr="00463667">
              <w:br/>
              <w:t xml:space="preserve">To determine continuous enrollment for a Medicaid beneficiary for whom enrollment is verified monthly, the member may not have more than a 1-month gap in coverage </w:t>
            </w:r>
            <w:r w:rsidRPr="00463667">
              <w:br/>
              <w:t>(i.e., a member whose coverage lapses for 2 months [60 days] is not considered continuously enrolled).</w:t>
            </w:r>
          </w:p>
        </w:tc>
      </w:tr>
      <w:tr w:rsidR="00BF3DF9" w:rsidRPr="00463667" w14:paraId="01DFD708" w14:textId="77777777" w:rsidTr="00C56CA6">
        <w:tc>
          <w:tcPr>
            <w:tcW w:w="1800" w:type="dxa"/>
          </w:tcPr>
          <w:p w14:paraId="61B64ACF" w14:textId="77777777" w:rsidR="00BF3DF9" w:rsidRPr="00463667" w:rsidRDefault="00BF3DF9" w:rsidP="00C56CA6">
            <w:pPr>
              <w:pStyle w:val="MarginSubhead"/>
            </w:pPr>
            <w:r w:rsidRPr="00463667">
              <w:t>Anchor date</w:t>
            </w:r>
          </w:p>
        </w:tc>
        <w:tc>
          <w:tcPr>
            <w:tcW w:w="7902" w:type="dxa"/>
          </w:tcPr>
          <w:p w14:paraId="2960CE87" w14:textId="77777777" w:rsidR="00BF3DF9" w:rsidRPr="00463667" w:rsidRDefault="00BF3DF9" w:rsidP="00C56CA6">
            <w:pPr>
              <w:pStyle w:val="Body"/>
            </w:pPr>
            <w:r w:rsidRPr="00463667">
              <w:t>December 31 of the measurement year.</w:t>
            </w:r>
          </w:p>
        </w:tc>
      </w:tr>
      <w:tr w:rsidR="00BF3DF9" w:rsidRPr="00463667" w14:paraId="15547348" w14:textId="77777777" w:rsidTr="00C56CA6">
        <w:tc>
          <w:tcPr>
            <w:tcW w:w="1800" w:type="dxa"/>
          </w:tcPr>
          <w:p w14:paraId="0348F40C" w14:textId="77777777" w:rsidR="00BF3DF9" w:rsidRPr="00463667" w:rsidRDefault="00BF3DF9" w:rsidP="00C56CA6">
            <w:pPr>
              <w:pStyle w:val="MarginSubhead"/>
            </w:pPr>
            <w:r w:rsidRPr="00463667">
              <w:t>Benefit</w:t>
            </w:r>
          </w:p>
        </w:tc>
        <w:tc>
          <w:tcPr>
            <w:tcW w:w="7902" w:type="dxa"/>
          </w:tcPr>
          <w:p w14:paraId="20C7354C" w14:textId="77777777" w:rsidR="00BF3DF9" w:rsidRPr="00463667" w:rsidRDefault="00BF3DF9" w:rsidP="00C56CA6">
            <w:pPr>
              <w:pStyle w:val="Body"/>
            </w:pPr>
            <w:r w:rsidRPr="00463667">
              <w:t>Medical.</w:t>
            </w:r>
          </w:p>
        </w:tc>
      </w:tr>
      <w:tr w:rsidR="00BF3DF9" w:rsidRPr="00463667" w14:paraId="7819E4C4" w14:textId="77777777" w:rsidTr="00C56CA6">
        <w:tc>
          <w:tcPr>
            <w:tcW w:w="1800" w:type="dxa"/>
          </w:tcPr>
          <w:p w14:paraId="63D758B6" w14:textId="77777777" w:rsidR="00BF3DF9" w:rsidRPr="00463667" w:rsidRDefault="00BF3DF9" w:rsidP="00C56CA6">
            <w:pPr>
              <w:pStyle w:val="MarginSubhead"/>
              <w:spacing w:before="160"/>
              <w:rPr>
                <w:szCs w:val="20"/>
              </w:rPr>
            </w:pPr>
            <w:r w:rsidRPr="00463667">
              <w:rPr>
                <w:szCs w:val="20"/>
              </w:rPr>
              <w:t>Event/ diagnosis</w:t>
            </w:r>
          </w:p>
        </w:tc>
        <w:tc>
          <w:tcPr>
            <w:tcW w:w="7902" w:type="dxa"/>
          </w:tcPr>
          <w:p w14:paraId="577329DD" w14:textId="77777777" w:rsidR="00BF3DF9" w:rsidRPr="00463667" w:rsidRDefault="00BF3DF9" w:rsidP="00C56CA6">
            <w:pPr>
              <w:pStyle w:val="Body"/>
            </w:pPr>
            <w:r w:rsidRPr="00463667">
              <w:t>Members are identified as hypertensive if they had at least two outpatient visits (</w:t>
            </w:r>
            <w:r w:rsidRPr="00463667">
              <w:rPr>
                <w:u w:val="single"/>
              </w:rPr>
              <w:t>Outpatient Value Set</w:t>
            </w:r>
            <w:r w:rsidRPr="00463667">
              <w:t>), observation visits (</w:t>
            </w:r>
            <w:r w:rsidRPr="00463667">
              <w:rPr>
                <w:u w:val="single"/>
              </w:rPr>
              <w:t>Observation Value Set</w:t>
            </w:r>
            <w:r w:rsidRPr="00463667">
              <w:t>), nonacute inpatient encounters (</w:t>
            </w:r>
            <w:r w:rsidRPr="00463667">
              <w:rPr>
                <w:u w:val="single"/>
              </w:rPr>
              <w:t>Nonacute Inpatient Value Set</w:t>
            </w:r>
            <w:r w:rsidRPr="00463667">
              <w:t>), acute inpatient encounters (</w:t>
            </w:r>
            <w:r w:rsidRPr="00463667">
              <w:rPr>
                <w:u w:val="single"/>
              </w:rPr>
              <w:t>Acute Inpatient Value Set</w:t>
            </w:r>
            <w:r w:rsidRPr="00463667">
              <w:t>) or ED visits (</w:t>
            </w:r>
            <w:r w:rsidRPr="00463667">
              <w:rPr>
                <w:u w:val="single"/>
              </w:rPr>
              <w:t>ED Value Set</w:t>
            </w:r>
            <w:r w:rsidRPr="00463667">
              <w:t>), on different dates of service during the measurement year, with any diagnosis of hypertension (</w:t>
            </w:r>
            <w:r w:rsidRPr="00126F76">
              <w:rPr>
                <w:u w:val="single"/>
              </w:rPr>
              <w:t xml:space="preserve">Essential </w:t>
            </w:r>
            <w:r w:rsidRPr="00463667">
              <w:rPr>
                <w:u w:val="single"/>
              </w:rPr>
              <w:t>Hypertension Value Set</w:t>
            </w:r>
            <w:r w:rsidRPr="00463667">
              <w:t>). Visit type need not be the same for the two encounters.</w:t>
            </w:r>
          </w:p>
        </w:tc>
      </w:tr>
    </w:tbl>
    <w:p w14:paraId="146A191C" w14:textId="77777777" w:rsidR="00BF3DF9" w:rsidRPr="00463667" w:rsidRDefault="00BF3DF9" w:rsidP="00724140">
      <w:pPr>
        <w:pStyle w:val="SubHead20"/>
        <w:rPr>
          <w:szCs w:val="22"/>
        </w:rPr>
      </w:pPr>
      <w:r w:rsidRPr="00463667">
        <w:rPr>
          <w:szCs w:val="22"/>
        </w:rPr>
        <w:t xml:space="preserve">Exclusions </w:t>
      </w:r>
      <w:r w:rsidRPr="00463667">
        <w:rPr>
          <w:i/>
          <w:szCs w:val="22"/>
        </w:rPr>
        <w:t>(optional)</w:t>
      </w:r>
    </w:p>
    <w:p w14:paraId="4551FBD9" w14:textId="77777777" w:rsidR="00BF3DF9" w:rsidRPr="00463667" w:rsidRDefault="00BF3DF9" w:rsidP="00BF3DF9">
      <w:pPr>
        <w:pStyle w:val="ProcessBullet"/>
        <w:spacing w:before="180"/>
        <w:rPr>
          <w:b/>
          <w:i/>
        </w:rPr>
      </w:pPr>
      <w:r w:rsidRPr="00463667">
        <w:t>Members with evidence of ESRD (</w:t>
      </w:r>
      <w:r w:rsidRPr="00463667">
        <w:rPr>
          <w:u w:val="single"/>
        </w:rPr>
        <w:t>ESRD Value Set</w:t>
      </w:r>
      <w:r w:rsidRPr="00463667">
        <w:t xml:space="preserve">; </w:t>
      </w:r>
      <w:r w:rsidRPr="00463667">
        <w:rPr>
          <w:u w:val="single"/>
        </w:rPr>
        <w:t>ESRD Obsolete Value Set</w:t>
      </w:r>
      <w:r w:rsidRPr="00463667">
        <w:t>) or kidney transplant (</w:t>
      </w:r>
      <w:r w:rsidRPr="00463667">
        <w:rPr>
          <w:u w:val="single"/>
        </w:rPr>
        <w:t>Kidney Transplant Value Set</w:t>
      </w:r>
      <w:r w:rsidRPr="00463667">
        <w:t>) on or before December 31 of the measurement year.</w:t>
      </w:r>
      <w:r w:rsidRPr="00463667">
        <w:rPr>
          <w:b/>
          <w:i/>
        </w:rPr>
        <w:t xml:space="preserve"> </w:t>
      </w:r>
    </w:p>
    <w:p w14:paraId="753781E8" w14:textId="77777777" w:rsidR="00BF3DF9" w:rsidRPr="00463667" w:rsidRDefault="00BF3DF9" w:rsidP="00BF3DF9">
      <w:pPr>
        <w:pStyle w:val="Note"/>
        <w:spacing w:before="60"/>
        <w:ind w:left="216"/>
      </w:pPr>
      <w:r w:rsidRPr="00463667">
        <w:rPr>
          <w:b/>
        </w:rPr>
        <w:t>Note:</w:t>
      </w:r>
      <w:r w:rsidRPr="00463667">
        <w:t xml:space="preserve"> The required exclusion criterion is limited to ESRD or kidney transplant during the measurement year. Some members who meet the optional exclusion criteria for ESRD might not meet the required exclusion criteria. </w:t>
      </w:r>
    </w:p>
    <w:p w14:paraId="6D7F8575" w14:textId="77777777" w:rsidR="00BF3DF9" w:rsidRPr="00463667" w:rsidRDefault="00BF3DF9" w:rsidP="00BF3DF9">
      <w:pPr>
        <w:pStyle w:val="ProcessBullet"/>
      </w:pPr>
      <w:r w:rsidRPr="00463667">
        <w:t>Members with any diagnosis of pregnancy (</w:t>
      </w:r>
      <w:r w:rsidRPr="00463667">
        <w:rPr>
          <w:u w:val="single"/>
        </w:rPr>
        <w:t>Pregnancy Value Set</w:t>
      </w:r>
      <w:r w:rsidRPr="00463667">
        <w:t>) during the measurement year.</w:t>
      </w:r>
    </w:p>
    <w:p w14:paraId="502FD429" w14:textId="77777777" w:rsidR="00BF3DF9" w:rsidRPr="00463667" w:rsidRDefault="00BF3DF9" w:rsidP="00724140">
      <w:pPr>
        <w:pStyle w:val="SubHead20"/>
        <w:rPr>
          <w:szCs w:val="22"/>
        </w:rPr>
      </w:pPr>
      <w:r w:rsidRPr="00463667">
        <w:rPr>
          <w:szCs w:val="22"/>
        </w:rPr>
        <w:t xml:space="preserve">Exclusions </w:t>
      </w:r>
      <w:r w:rsidRPr="00463667">
        <w:rPr>
          <w:i/>
          <w:szCs w:val="22"/>
        </w:rPr>
        <w:t>(required)</w:t>
      </w:r>
    </w:p>
    <w:p w14:paraId="55EB1012" w14:textId="77777777" w:rsidR="00BF3DF9" w:rsidRPr="00463667" w:rsidRDefault="00BF3DF9" w:rsidP="00BF3DF9">
      <w:pPr>
        <w:pStyle w:val="Body"/>
        <w:rPr>
          <w:i/>
        </w:rPr>
      </w:pPr>
      <w:r w:rsidRPr="00463667">
        <w:t xml:space="preserve">Refer to </w:t>
      </w:r>
      <w:r w:rsidRPr="00463667">
        <w:rPr>
          <w:i/>
        </w:rPr>
        <w:t>Required Exclusions</w:t>
      </w:r>
      <w:r w:rsidRPr="00463667">
        <w:t xml:space="preserve"> in the </w:t>
      </w:r>
      <w:r w:rsidRPr="00463667">
        <w:rPr>
          <w:i/>
        </w:rPr>
        <w:t>Guidelines for Relative Resource Use.</w:t>
      </w:r>
    </w:p>
    <w:p w14:paraId="35D460F3" w14:textId="77777777" w:rsidR="00BF3DF9" w:rsidRPr="00463667" w:rsidRDefault="00BF3DF9" w:rsidP="00BF3DF9">
      <w:pPr>
        <w:sectPr w:rsidR="00BF3DF9" w:rsidRPr="00463667" w:rsidSect="00C56CA6">
          <w:headerReference w:type="even" r:id="rId54"/>
          <w:headerReference w:type="default" r:id="rId55"/>
          <w:pgSz w:w="12240" w:h="15840" w:code="1"/>
          <w:pgMar w:top="1080" w:right="1080" w:bottom="1080" w:left="1440" w:header="720" w:footer="720" w:gutter="0"/>
          <w:cols w:space="720"/>
        </w:sectPr>
      </w:pPr>
    </w:p>
    <w:p w14:paraId="2F981F06" w14:textId="77777777" w:rsidR="00BF3DF9" w:rsidRPr="00463667" w:rsidRDefault="00BF3DF9" w:rsidP="00724140">
      <w:pPr>
        <w:pStyle w:val="SubHead20"/>
        <w:spacing w:before="0"/>
        <w:rPr>
          <w:i/>
        </w:rPr>
      </w:pPr>
      <w:r w:rsidRPr="00463667">
        <w:rPr>
          <w:i/>
        </w:rPr>
        <w:lastRenderedPageBreak/>
        <w:t>Note</w:t>
      </w:r>
    </w:p>
    <w:p w14:paraId="79EAED5C" w14:textId="77777777" w:rsidR="00BF3DF9" w:rsidRPr="00463667" w:rsidRDefault="00BF3DF9" w:rsidP="00BF3DF9">
      <w:pPr>
        <w:pStyle w:val="ProcessBullet"/>
        <w:rPr>
          <w:rFonts w:ascii="Arial Narrow" w:hAnsi="Arial Narrow" w:cs="Arial Narrow"/>
          <w:i/>
        </w:rPr>
      </w:pPr>
      <w:r w:rsidRPr="00463667">
        <w:rPr>
          <w:i/>
        </w:rPr>
        <w:t xml:space="preserve">If any CBP optional exclusion included in both CBP and RHY is applied to the CBP measure, apply that same optional exclusion to the RHY measure. </w:t>
      </w:r>
    </w:p>
    <w:p w14:paraId="44A0EDDD" w14:textId="77777777" w:rsidR="00BF3DF9" w:rsidRPr="00463667" w:rsidRDefault="00BF3DF9" w:rsidP="00BF3DF9">
      <w:pPr>
        <w:pStyle w:val="ProcessBullet"/>
        <w:rPr>
          <w:rFonts w:ascii="Arial Narrow" w:hAnsi="Arial Narrow" w:cs="Arial Narrow"/>
          <w:i/>
        </w:rPr>
      </w:pPr>
      <w:r w:rsidRPr="00463667">
        <w:rPr>
          <w:i/>
        </w:rPr>
        <w:t>If any CBP optional exclusion included in both CBP and RHY is not applied to the CBP measure, do not apply that optional exclusion to the RHY measure.</w:t>
      </w:r>
      <w:r w:rsidRPr="00463667">
        <w:rPr>
          <w:rFonts w:ascii="Arial Narrow" w:hAnsi="Arial Narrow" w:cs="Arial Narrow"/>
          <w:i/>
        </w:rPr>
        <w:t xml:space="preserve"> </w:t>
      </w:r>
    </w:p>
    <w:p w14:paraId="6CD21278" w14:textId="77777777" w:rsidR="00BF3DF9" w:rsidRPr="00463667" w:rsidRDefault="00BF3DF9" w:rsidP="00BF3DF9">
      <w:pPr>
        <w:pStyle w:val="ProcessBullet"/>
        <w:rPr>
          <w:rFonts w:ascii="Arial Narrow" w:hAnsi="Arial Narrow" w:cs="Arial Narrow"/>
          <w:i/>
        </w:rPr>
      </w:pPr>
      <w:r w:rsidRPr="00463667">
        <w:rPr>
          <w:i/>
        </w:rPr>
        <w:t>Because RHY is administrative-only, do not exclude members from this measure based on exclusions found during chart review for the CBP measure. They must be included in RHY, whether or not they were excluded during chart review for CBP.</w:t>
      </w:r>
    </w:p>
    <w:p w14:paraId="521B87F8" w14:textId="77777777" w:rsidR="00BF3DF9" w:rsidRPr="00463667" w:rsidRDefault="00BF3DF9" w:rsidP="00724140">
      <w:pPr>
        <w:pStyle w:val="ReverseHead"/>
      </w:pPr>
      <w:r w:rsidRPr="00463667">
        <w:t>Categorization of Eligible Population</w:t>
      </w:r>
    </w:p>
    <w:tbl>
      <w:tblPr>
        <w:tblW w:w="9810" w:type="dxa"/>
        <w:tblInd w:w="18" w:type="dxa"/>
        <w:tblLayout w:type="fixed"/>
        <w:tblLook w:val="0000" w:firstRow="0" w:lastRow="0" w:firstColumn="0" w:lastColumn="0" w:noHBand="0" w:noVBand="0"/>
      </w:tblPr>
      <w:tblGrid>
        <w:gridCol w:w="1800"/>
        <w:gridCol w:w="8010"/>
      </w:tblGrid>
      <w:tr w:rsidR="00BF3DF9" w:rsidRPr="00463667" w14:paraId="28074E77" w14:textId="77777777" w:rsidTr="00C56CA6">
        <w:tc>
          <w:tcPr>
            <w:tcW w:w="1800" w:type="dxa"/>
          </w:tcPr>
          <w:p w14:paraId="053C1109" w14:textId="77777777" w:rsidR="00BF3DF9" w:rsidRPr="00463667" w:rsidRDefault="00BF3DF9" w:rsidP="00C56CA6">
            <w:pPr>
              <w:pStyle w:val="MarginSubhead"/>
            </w:pPr>
            <w:r w:rsidRPr="00463667">
              <w:t>Major clinical category</w:t>
            </w:r>
          </w:p>
        </w:tc>
        <w:tc>
          <w:tcPr>
            <w:tcW w:w="8010" w:type="dxa"/>
          </w:tcPr>
          <w:p w14:paraId="6C6634DF" w14:textId="77777777" w:rsidR="00BF3DF9" w:rsidRPr="00463667" w:rsidRDefault="00BF3DF9" w:rsidP="00C56CA6">
            <w:pPr>
              <w:pStyle w:val="Body"/>
            </w:pPr>
            <w:r w:rsidRPr="00463667">
              <w:t>Hypertension.</w:t>
            </w:r>
          </w:p>
        </w:tc>
      </w:tr>
      <w:tr w:rsidR="00BF3DF9" w:rsidRPr="00463667" w14:paraId="7FD50789" w14:textId="77777777" w:rsidTr="00724140">
        <w:tc>
          <w:tcPr>
            <w:tcW w:w="1800" w:type="dxa"/>
          </w:tcPr>
          <w:p w14:paraId="3B5A0405" w14:textId="77777777" w:rsidR="00BF3DF9" w:rsidRPr="00463667" w:rsidRDefault="00BF3DF9" w:rsidP="00C56CA6">
            <w:pPr>
              <w:pStyle w:val="MarginSubhead"/>
            </w:pPr>
            <w:r w:rsidRPr="00463667">
              <w:t>Risk Group</w:t>
            </w:r>
          </w:p>
        </w:tc>
        <w:tc>
          <w:tcPr>
            <w:tcW w:w="8010" w:type="dxa"/>
          </w:tcPr>
          <w:p w14:paraId="07591706" w14:textId="77777777" w:rsidR="00BF3DF9" w:rsidRPr="00463667" w:rsidRDefault="00BF3DF9" w:rsidP="00C56CA6">
            <w:pPr>
              <w:pStyle w:val="Body"/>
            </w:pPr>
            <w:r w:rsidRPr="00463667">
              <w:t xml:space="preserve">Refer to </w:t>
            </w:r>
            <w:r w:rsidRPr="00463667">
              <w:rPr>
                <w:i/>
              </w:rPr>
              <w:t xml:space="preserve">RRU Risk Adjustment </w:t>
            </w:r>
            <w:r w:rsidRPr="00463667">
              <w:t xml:space="preserve">in the </w:t>
            </w:r>
            <w:r w:rsidRPr="00463667">
              <w:rPr>
                <w:i/>
              </w:rPr>
              <w:t>Guidelines for Relative Resource Use.</w:t>
            </w:r>
          </w:p>
        </w:tc>
      </w:tr>
    </w:tbl>
    <w:p w14:paraId="2A8F021D" w14:textId="77777777" w:rsidR="00BF3DF9" w:rsidRPr="00463667" w:rsidRDefault="00BF3DF9" w:rsidP="00724140">
      <w:pPr>
        <w:pStyle w:val="ReverseHead"/>
      </w:pPr>
      <w:r w:rsidRPr="00463667">
        <w:t>Standard Cost Calculations</w:t>
      </w:r>
    </w:p>
    <w:p w14:paraId="4B50E960" w14:textId="4191DEBA" w:rsidR="00BF3DF9" w:rsidRPr="00463667" w:rsidRDefault="00BF3DF9" w:rsidP="00BF3DF9">
      <w:pPr>
        <w:pStyle w:val="Body"/>
        <w:rPr>
          <w:rFonts w:cs="Arial"/>
          <w:szCs w:val="20"/>
        </w:rPr>
      </w:pPr>
      <w:r w:rsidRPr="00463667">
        <w:rPr>
          <w:rFonts w:cs="Arial"/>
          <w:szCs w:val="20"/>
        </w:rPr>
        <w:t xml:space="preserve">The organization reports total standard costs of all services for which the </w:t>
      </w:r>
      <w:r w:rsidRPr="00463667">
        <w:t xml:space="preserve">organization </w:t>
      </w:r>
      <w:r w:rsidRPr="00463667">
        <w:rPr>
          <w:rFonts w:cs="Arial"/>
          <w:szCs w:val="20"/>
        </w:rPr>
        <w:t xml:space="preserve">has paid or expects to pay for the eligible population during the treatment period. Total standard costs are assigned by matching codes for services rendered to codes listed in the NCQA SPTs (the tables will be posted to NCQA’s Web site by November </w:t>
      </w:r>
      <w:r w:rsidR="0083581E">
        <w:rPr>
          <w:rFonts w:cs="Arial"/>
          <w:szCs w:val="20"/>
        </w:rPr>
        <w:t>2</w:t>
      </w:r>
      <w:r w:rsidRPr="00463667">
        <w:rPr>
          <w:rFonts w:cs="Arial"/>
          <w:szCs w:val="20"/>
        </w:rPr>
        <w:t xml:space="preserve">, </w:t>
      </w:r>
      <w:r w:rsidR="0083581E">
        <w:rPr>
          <w:rFonts w:cs="Arial"/>
          <w:szCs w:val="20"/>
        </w:rPr>
        <w:t>2015</w:t>
      </w:r>
      <w:r w:rsidRPr="00463667">
        <w:rPr>
          <w:rFonts w:cs="Arial"/>
          <w:szCs w:val="20"/>
        </w:rPr>
        <w:t xml:space="preserve">). </w:t>
      </w:r>
    </w:p>
    <w:tbl>
      <w:tblPr>
        <w:tblW w:w="9702" w:type="dxa"/>
        <w:tblInd w:w="18" w:type="dxa"/>
        <w:tblLayout w:type="fixed"/>
        <w:tblLook w:val="0000" w:firstRow="0" w:lastRow="0" w:firstColumn="0" w:lastColumn="0" w:noHBand="0" w:noVBand="0"/>
      </w:tblPr>
      <w:tblGrid>
        <w:gridCol w:w="1782"/>
        <w:gridCol w:w="4068"/>
        <w:gridCol w:w="3852"/>
      </w:tblGrid>
      <w:tr w:rsidR="00BF3DF9" w:rsidRPr="00463667" w14:paraId="774960BC" w14:textId="77777777" w:rsidTr="00F3111D">
        <w:tc>
          <w:tcPr>
            <w:tcW w:w="1782" w:type="dxa"/>
            <w:vMerge w:val="restart"/>
          </w:tcPr>
          <w:p w14:paraId="7A15F5B7" w14:textId="77777777" w:rsidR="00BF3DF9" w:rsidRPr="00463667" w:rsidRDefault="00BF3DF9" w:rsidP="00C56CA6">
            <w:pPr>
              <w:pStyle w:val="MarginSubhead"/>
            </w:pPr>
            <w:r w:rsidRPr="00463667">
              <w:t>Apply standard price</w:t>
            </w:r>
          </w:p>
        </w:tc>
        <w:tc>
          <w:tcPr>
            <w:tcW w:w="4068" w:type="dxa"/>
          </w:tcPr>
          <w:p w14:paraId="378078A0" w14:textId="77777777" w:rsidR="00BF3DF9" w:rsidRPr="00463667" w:rsidRDefault="00BF3DF9" w:rsidP="00C56CA6">
            <w:pPr>
              <w:pStyle w:val="Body"/>
            </w:pPr>
            <w:r w:rsidRPr="00463667">
              <w:t>SPTs categorize services as follows:</w:t>
            </w:r>
          </w:p>
          <w:p w14:paraId="56A05170" w14:textId="77777777" w:rsidR="00BF3DF9" w:rsidRPr="00463667" w:rsidRDefault="00BF3DF9" w:rsidP="00C56CA6">
            <w:pPr>
              <w:pStyle w:val="Bullet"/>
              <w:spacing w:before="100"/>
            </w:pPr>
            <w:r w:rsidRPr="00463667">
              <w:t>Inpatient Facility.</w:t>
            </w:r>
          </w:p>
          <w:p w14:paraId="5F61222F" w14:textId="77777777" w:rsidR="00BF3DF9" w:rsidRPr="00463667" w:rsidRDefault="00BF3DF9" w:rsidP="00C56CA6">
            <w:pPr>
              <w:pStyle w:val="Bullet"/>
              <w:spacing w:before="100"/>
            </w:pPr>
            <w:r w:rsidRPr="00463667">
              <w:t>E&amp;M.</w:t>
            </w:r>
          </w:p>
          <w:p w14:paraId="2C693F84" w14:textId="77777777" w:rsidR="00BF3DF9" w:rsidRPr="00463667" w:rsidRDefault="00BF3DF9" w:rsidP="00C56CA6">
            <w:pPr>
              <w:pStyle w:val="Dash"/>
            </w:pPr>
            <w:r w:rsidRPr="00463667">
              <w:t>Inpatient Services.</w:t>
            </w:r>
          </w:p>
          <w:p w14:paraId="5CB667A5" w14:textId="77777777" w:rsidR="00BF3DF9" w:rsidRPr="00463667" w:rsidRDefault="00BF3DF9" w:rsidP="00C56CA6">
            <w:pPr>
              <w:pStyle w:val="Dash"/>
            </w:pPr>
            <w:r w:rsidRPr="00463667">
              <w:t>Outpatient Services.</w:t>
            </w:r>
          </w:p>
          <w:p w14:paraId="5CB303B9" w14:textId="77777777" w:rsidR="00BF3DF9" w:rsidRPr="00463667" w:rsidRDefault="00BF3DF9" w:rsidP="00C56CA6">
            <w:pPr>
              <w:pStyle w:val="Bullet"/>
              <w:spacing w:before="100"/>
            </w:pPr>
            <w:r w:rsidRPr="00463667">
              <w:t>Laboratory Services.</w:t>
            </w:r>
          </w:p>
        </w:tc>
        <w:tc>
          <w:tcPr>
            <w:tcW w:w="3852" w:type="dxa"/>
          </w:tcPr>
          <w:p w14:paraId="5AA2C7CB" w14:textId="77777777" w:rsidR="00BF3DF9" w:rsidRPr="00463667" w:rsidRDefault="00BF3DF9" w:rsidP="00C56CA6">
            <w:pPr>
              <w:pStyle w:val="Body"/>
            </w:pPr>
          </w:p>
          <w:p w14:paraId="31D78CB1" w14:textId="77777777" w:rsidR="00BF3DF9" w:rsidRPr="00463667" w:rsidRDefault="00BF3DF9" w:rsidP="00C56CA6">
            <w:pPr>
              <w:pStyle w:val="ProcessBullet"/>
              <w:spacing w:before="100"/>
            </w:pPr>
            <w:r w:rsidRPr="00463667">
              <w:t xml:space="preserve">Surgery and Procedure. </w:t>
            </w:r>
          </w:p>
          <w:p w14:paraId="353D22E4" w14:textId="77777777" w:rsidR="00BF3DF9" w:rsidRPr="00463667" w:rsidRDefault="00BF3DF9" w:rsidP="00C56CA6">
            <w:pPr>
              <w:pStyle w:val="ProcessDash"/>
            </w:pPr>
            <w:r w:rsidRPr="00463667">
              <w:t>Inpatient Services.</w:t>
            </w:r>
          </w:p>
          <w:p w14:paraId="05704E56" w14:textId="77777777" w:rsidR="00BF3DF9" w:rsidRPr="00463667" w:rsidRDefault="00BF3DF9" w:rsidP="00C56CA6">
            <w:pPr>
              <w:pStyle w:val="ProcessDash"/>
            </w:pPr>
            <w:r w:rsidRPr="00463667">
              <w:t>Outpatient Services.</w:t>
            </w:r>
          </w:p>
          <w:p w14:paraId="4079F3FC" w14:textId="77777777" w:rsidR="00BF3DF9" w:rsidRPr="00463667" w:rsidRDefault="00BF3DF9" w:rsidP="00C56CA6">
            <w:pPr>
              <w:pStyle w:val="ProcessBullet"/>
              <w:spacing w:before="100"/>
            </w:pPr>
            <w:r w:rsidRPr="00463667">
              <w:t>Imaging Services.</w:t>
            </w:r>
          </w:p>
          <w:p w14:paraId="2191F3F9" w14:textId="77777777" w:rsidR="00BF3DF9" w:rsidRPr="00463667" w:rsidRDefault="00BF3DF9" w:rsidP="00C56CA6">
            <w:pPr>
              <w:pStyle w:val="ProcessBullet"/>
              <w:spacing w:before="100"/>
            </w:pPr>
            <w:r w:rsidRPr="00463667">
              <w:t>Pharmacy.</w:t>
            </w:r>
          </w:p>
        </w:tc>
      </w:tr>
      <w:tr w:rsidR="00BF3DF9" w:rsidRPr="00463667" w14:paraId="23E57525" w14:textId="77777777" w:rsidTr="00F3111D">
        <w:tc>
          <w:tcPr>
            <w:tcW w:w="1782" w:type="dxa"/>
            <w:vMerge/>
          </w:tcPr>
          <w:p w14:paraId="5510FEDC" w14:textId="77777777" w:rsidR="00BF3DF9" w:rsidRPr="00463667" w:rsidRDefault="00BF3DF9" w:rsidP="00C56CA6">
            <w:pPr>
              <w:pStyle w:val="MarginSubhead"/>
            </w:pPr>
          </w:p>
        </w:tc>
        <w:tc>
          <w:tcPr>
            <w:tcW w:w="7920" w:type="dxa"/>
            <w:gridSpan w:val="2"/>
          </w:tcPr>
          <w:p w14:paraId="080E33CA" w14:textId="77777777" w:rsidR="00BF3DF9" w:rsidRPr="00463667" w:rsidRDefault="00BF3DF9" w:rsidP="00C56CA6">
            <w:pPr>
              <w:pStyle w:val="Body"/>
            </w:pPr>
            <w:r w:rsidRPr="00463667">
              <w:t xml:space="preserve">Count all services listed in the SPTs rendered to members in the eligible population during the treatment period. Refer to the </w:t>
            </w:r>
            <w:r w:rsidRPr="00463667">
              <w:rPr>
                <w:i/>
              </w:rPr>
              <w:t>Calculating Standard Cost</w:t>
            </w:r>
            <w:r w:rsidRPr="00463667">
              <w:t xml:space="preserve"> instructions in the </w:t>
            </w:r>
            <w:r w:rsidRPr="00463667">
              <w:rPr>
                <w:i/>
              </w:rPr>
              <w:t xml:space="preserve">Guidelines for Relative Resource Use </w:t>
            </w:r>
            <w:r w:rsidRPr="00463667">
              <w:t>for steps on categorizing services and linking service data to the NCQA SPTs.</w:t>
            </w:r>
          </w:p>
        </w:tc>
      </w:tr>
      <w:tr w:rsidR="00BF3DF9" w:rsidRPr="00463667" w14:paraId="1ACAE78B" w14:textId="77777777" w:rsidTr="00F3111D">
        <w:tc>
          <w:tcPr>
            <w:tcW w:w="1782" w:type="dxa"/>
          </w:tcPr>
          <w:p w14:paraId="34CBDF17" w14:textId="77777777" w:rsidR="00BF3DF9" w:rsidRPr="00463667" w:rsidRDefault="00BF3DF9" w:rsidP="00C56CA6">
            <w:pPr>
              <w:pStyle w:val="MarginSubhead"/>
            </w:pPr>
            <w:r w:rsidRPr="00463667">
              <w:t>Calculate total cost</w:t>
            </w:r>
          </w:p>
        </w:tc>
        <w:tc>
          <w:tcPr>
            <w:tcW w:w="7920" w:type="dxa"/>
            <w:gridSpan w:val="2"/>
          </w:tcPr>
          <w:p w14:paraId="0C3A363F" w14:textId="77777777" w:rsidR="00BF3DF9" w:rsidRPr="00463667" w:rsidRDefault="00BF3DF9" w:rsidP="00C56CA6">
            <w:pPr>
              <w:pStyle w:val="Body"/>
              <w:rPr>
                <w:rFonts w:cs="Arial"/>
                <w:szCs w:val="20"/>
              </w:rPr>
            </w:pPr>
            <w:r w:rsidRPr="00463667">
              <w:t>Sum the total standard cost for each eligible member. For each service category, if a member’s standard cost exceeds the service category cap amount, report the total standard cost specified in the NCQA Cost Cap Amounts table (released with the SPTs</w:t>
            </w:r>
            <w:r w:rsidRPr="00463667">
              <w:rPr>
                <w:rFonts w:cs="Arial"/>
                <w:szCs w:val="20"/>
              </w:rPr>
              <w:t>).</w:t>
            </w:r>
          </w:p>
          <w:p w14:paraId="303FCDE7" w14:textId="77777777" w:rsidR="00BF3DF9" w:rsidRPr="00463667" w:rsidRDefault="00BF3DF9" w:rsidP="00C56CA6">
            <w:pPr>
              <w:pStyle w:val="Body"/>
              <w:rPr>
                <w:rFonts w:cs="Arial"/>
                <w:szCs w:val="20"/>
              </w:rPr>
            </w:pPr>
            <w:r w:rsidRPr="00463667">
              <w:rPr>
                <w:rFonts w:cs="Arial"/>
                <w:szCs w:val="20"/>
              </w:rPr>
              <w:t>Sum and report the total standard cost for the eligible population in each service category by member cohort.</w:t>
            </w:r>
          </w:p>
        </w:tc>
      </w:tr>
    </w:tbl>
    <w:p w14:paraId="7521840D" w14:textId="77777777" w:rsidR="00BF3DF9" w:rsidRPr="00463667" w:rsidRDefault="00BF3DF9" w:rsidP="00BF3DF9">
      <w:pPr>
        <w:sectPr w:rsidR="00BF3DF9" w:rsidRPr="00463667" w:rsidSect="00C56CA6">
          <w:headerReference w:type="even" r:id="rId56"/>
          <w:headerReference w:type="default" r:id="rId57"/>
          <w:pgSz w:w="12240" w:h="15840" w:code="1"/>
          <w:pgMar w:top="1080" w:right="1080" w:bottom="1080" w:left="1440" w:header="720" w:footer="720" w:gutter="0"/>
          <w:cols w:space="720"/>
        </w:sectPr>
      </w:pPr>
    </w:p>
    <w:p w14:paraId="21D3EEA5" w14:textId="77777777" w:rsidR="00BF3DF9" w:rsidRPr="00463667" w:rsidRDefault="00BF3DF9" w:rsidP="00724140">
      <w:pPr>
        <w:pStyle w:val="ReverseHead"/>
        <w:spacing w:before="0"/>
      </w:pPr>
      <w:r w:rsidRPr="00463667">
        <w:lastRenderedPageBreak/>
        <w:t>Service Frequency Calculations</w:t>
      </w:r>
    </w:p>
    <w:tbl>
      <w:tblPr>
        <w:tblW w:w="9720" w:type="dxa"/>
        <w:tblLayout w:type="fixed"/>
        <w:tblLook w:val="0000" w:firstRow="0" w:lastRow="0" w:firstColumn="0" w:lastColumn="0" w:noHBand="0" w:noVBand="0"/>
      </w:tblPr>
      <w:tblGrid>
        <w:gridCol w:w="1908"/>
        <w:gridCol w:w="7812"/>
      </w:tblGrid>
      <w:tr w:rsidR="00BF3DF9" w:rsidRPr="00463667" w14:paraId="3D80D178" w14:textId="77777777" w:rsidTr="00966C97">
        <w:tc>
          <w:tcPr>
            <w:tcW w:w="1908" w:type="dxa"/>
          </w:tcPr>
          <w:p w14:paraId="5A76F699" w14:textId="77777777" w:rsidR="00BF3DF9" w:rsidRPr="00463667" w:rsidRDefault="00BF3DF9" w:rsidP="00C56CA6">
            <w:pPr>
              <w:pStyle w:val="MarginSubhead"/>
            </w:pPr>
            <w:r w:rsidRPr="00463667">
              <w:t>Total service frequency</w:t>
            </w:r>
          </w:p>
        </w:tc>
        <w:tc>
          <w:tcPr>
            <w:tcW w:w="7812" w:type="dxa"/>
          </w:tcPr>
          <w:p w14:paraId="20DF3070" w14:textId="77777777" w:rsidR="00BF3DF9" w:rsidRPr="00463667" w:rsidRDefault="00BF3DF9" w:rsidP="00C56CA6">
            <w:pPr>
              <w:pStyle w:val="Body"/>
              <w:rPr>
                <w:rFonts w:cs="Arial"/>
                <w:szCs w:val="20"/>
              </w:rPr>
            </w:pPr>
            <w:r w:rsidRPr="00463667">
              <w:rPr>
                <w:rFonts w:cs="Arial"/>
                <w:szCs w:val="20"/>
              </w:rPr>
              <w:t xml:space="preserve">Service frequency counts are reported for all services for which the </w:t>
            </w:r>
            <w:r w:rsidRPr="00463667">
              <w:t xml:space="preserve">organization </w:t>
            </w:r>
            <w:r w:rsidRPr="00463667">
              <w:rPr>
                <w:rFonts w:cs="Arial"/>
                <w:szCs w:val="20"/>
              </w:rPr>
              <w:t xml:space="preserve">has paid or expects to pay for the eligible population during the treatment period. The measure captures each eligible member’s services rendered during the treatment period for the following service categories. </w:t>
            </w:r>
          </w:p>
          <w:p w14:paraId="2D51FEE6" w14:textId="77777777" w:rsidR="00BF3DF9" w:rsidRPr="00463667" w:rsidRDefault="00BF3DF9" w:rsidP="00966C97">
            <w:pPr>
              <w:pStyle w:val="Bullet"/>
              <w:tabs>
                <w:tab w:val="clear" w:pos="576"/>
              </w:tabs>
              <w:spacing w:before="60"/>
            </w:pPr>
            <w:r w:rsidRPr="00463667">
              <w:t xml:space="preserve">Acute Medicine: Discharges, Days. </w:t>
            </w:r>
          </w:p>
          <w:p w14:paraId="3DAC7899" w14:textId="77777777" w:rsidR="00BF3DF9" w:rsidRPr="00463667" w:rsidRDefault="00BF3DF9" w:rsidP="00966C97">
            <w:pPr>
              <w:pStyle w:val="Bullet"/>
              <w:tabs>
                <w:tab w:val="clear" w:pos="576"/>
              </w:tabs>
              <w:spacing w:before="60"/>
            </w:pPr>
            <w:r w:rsidRPr="00463667">
              <w:t>Acute Surgery: Discharges, Days.</w:t>
            </w:r>
          </w:p>
          <w:p w14:paraId="1C9B6485" w14:textId="77777777" w:rsidR="00BF3DF9" w:rsidRPr="00463667" w:rsidRDefault="00BF3DF9" w:rsidP="00966C97">
            <w:pPr>
              <w:pStyle w:val="Bullet"/>
              <w:tabs>
                <w:tab w:val="clear" w:pos="576"/>
              </w:tabs>
              <w:spacing w:before="60"/>
            </w:pPr>
            <w:r w:rsidRPr="00463667">
              <w:t>Nonacute: Discharges, Days.</w:t>
            </w:r>
          </w:p>
          <w:p w14:paraId="106BFB1E" w14:textId="77777777" w:rsidR="00BF3DF9" w:rsidRPr="00463667" w:rsidRDefault="00BF3DF9" w:rsidP="00966C97">
            <w:pPr>
              <w:pStyle w:val="Bullet"/>
              <w:tabs>
                <w:tab w:val="clear" w:pos="576"/>
              </w:tabs>
              <w:spacing w:before="60"/>
            </w:pPr>
            <w:r w:rsidRPr="00463667">
              <w:t>ED Discharges.</w:t>
            </w:r>
          </w:p>
          <w:p w14:paraId="198D553D" w14:textId="77777777" w:rsidR="00BF3DF9" w:rsidRPr="00463667" w:rsidRDefault="00BF3DF9" w:rsidP="00966C97">
            <w:pPr>
              <w:pStyle w:val="Bullet"/>
              <w:spacing w:before="60"/>
            </w:pPr>
            <w:r w:rsidRPr="00463667">
              <w:t>Pharmacy Utilization.</w:t>
            </w:r>
          </w:p>
          <w:p w14:paraId="5E0BC67F" w14:textId="77777777" w:rsidR="00BF3DF9" w:rsidRPr="00463667" w:rsidRDefault="00BF3DF9" w:rsidP="00966C97">
            <w:pPr>
              <w:pStyle w:val="Dash"/>
              <w:spacing w:before="30"/>
            </w:pPr>
            <w:r w:rsidRPr="00463667">
              <w:t>Name brand only (N1).</w:t>
            </w:r>
          </w:p>
          <w:p w14:paraId="04CADEF7" w14:textId="77777777" w:rsidR="00BF3DF9" w:rsidRPr="00463667" w:rsidRDefault="00BF3DF9" w:rsidP="00966C97">
            <w:pPr>
              <w:pStyle w:val="Dash"/>
              <w:spacing w:before="30"/>
            </w:pPr>
            <w:r w:rsidRPr="00463667">
              <w:t>Name brand—Generic exists (N2).</w:t>
            </w:r>
          </w:p>
          <w:p w14:paraId="75D861A0" w14:textId="77777777" w:rsidR="00BF3DF9" w:rsidRPr="00463667" w:rsidRDefault="00BF3DF9" w:rsidP="00966C97">
            <w:pPr>
              <w:pStyle w:val="Dash"/>
              <w:spacing w:before="30"/>
            </w:pPr>
            <w:r w:rsidRPr="00463667">
              <w:t>Generic only (G1).</w:t>
            </w:r>
          </w:p>
          <w:p w14:paraId="0926244D" w14:textId="77777777" w:rsidR="00BF3DF9" w:rsidRPr="00463667" w:rsidRDefault="00BF3DF9" w:rsidP="00966C97">
            <w:pPr>
              <w:pStyle w:val="Dash"/>
              <w:spacing w:before="30"/>
            </w:pPr>
            <w:r w:rsidRPr="00463667">
              <w:t>Generic name—Name brand exists (G2).</w:t>
            </w:r>
          </w:p>
          <w:p w14:paraId="174B441D" w14:textId="77777777" w:rsidR="00BF3DF9" w:rsidRPr="00463667" w:rsidRDefault="00BF3DF9" w:rsidP="00C56CA6">
            <w:pPr>
              <w:pStyle w:val="Body"/>
            </w:pPr>
            <w:r w:rsidRPr="00463667">
              <w:t xml:space="preserve">Refer to the instructions in the </w:t>
            </w:r>
            <w:r w:rsidRPr="00463667">
              <w:rPr>
                <w:i/>
              </w:rPr>
              <w:t xml:space="preserve">Guidelines for Relative Resource Use. </w:t>
            </w:r>
            <w:r w:rsidRPr="00463667">
              <w:t>The Pharmacy Utilization categories are included in Table SPT—Pharm.</w:t>
            </w:r>
          </w:p>
        </w:tc>
      </w:tr>
      <w:tr w:rsidR="00BF3DF9" w:rsidRPr="00463667" w14:paraId="75F64B1F" w14:textId="77777777" w:rsidTr="00C56CA6">
        <w:tc>
          <w:tcPr>
            <w:tcW w:w="1908" w:type="dxa"/>
          </w:tcPr>
          <w:p w14:paraId="11F0C6A2" w14:textId="77777777" w:rsidR="00BF3DF9" w:rsidRPr="00463667" w:rsidRDefault="00BF3DF9" w:rsidP="00C56CA6">
            <w:pPr>
              <w:pStyle w:val="MarginSubhead"/>
            </w:pPr>
            <w:r w:rsidRPr="00463667">
              <w:t xml:space="preserve">Inpatient Facility </w:t>
            </w:r>
          </w:p>
        </w:tc>
        <w:tc>
          <w:tcPr>
            <w:tcW w:w="7812" w:type="dxa"/>
          </w:tcPr>
          <w:p w14:paraId="5D00E6C1" w14:textId="77777777" w:rsidR="00BF3DF9" w:rsidRPr="00463667" w:rsidRDefault="00BF3DF9" w:rsidP="00C56CA6">
            <w:pPr>
              <w:pStyle w:val="Body"/>
            </w:pPr>
            <w:r w:rsidRPr="00463667">
              <w:rPr>
                <w:rFonts w:cs="Arial"/>
                <w:szCs w:val="20"/>
              </w:rPr>
              <w:t xml:space="preserve">This category measures the number of acute and nonacute inpatient facility discharges and days, regardless of diagnosis. Count each discharge once. </w:t>
            </w:r>
            <w:r w:rsidRPr="00463667">
              <w:t xml:space="preserve">Include data from any institution that provides acute or long-term/specialty nonacute care. </w:t>
            </w:r>
          </w:p>
          <w:p w14:paraId="06A152E8" w14:textId="77777777" w:rsidR="00BF3DF9" w:rsidRPr="00463667" w:rsidRDefault="00BF3DF9" w:rsidP="00C56CA6">
            <w:pPr>
              <w:pStyle w:val="Body"/>
            </w:pPr>
            <w:r w:rsidRPr="00463667">
              <w:rPr>
                <w:rFonts w:cs="Arial"/>
                <w:szCs w:val="20"/>
              </w:rPr>
              <w:t xml:space="preserve">Refer to the </w:t>
            </w:r>
            <w:r w:rsidRPr="00463667">
              <w:rPr>
                <w:rFonts w:cs="Arial"/>
                <w:i/>
                <w:szCs w:val="20"/>
              </w:rPr>
              <w:t xml:space="preserve">Guidelines for </w:t>
            </w:r>
            <w:r w:rsidRPr="00463667">
              <w:rPr>
                <w:i/>
              </w:rPr>
              <w:t xml:space="preserve">Relative </w:t>
            </w:r>
            <w:r w:rsidRPr="00463667">
              <w:rPr>
                <w:rFonts w:cs="Arial"/>
                <w:i/>
                <w:szCs w:val="20"/>
              </w:rPr>
              <w:t xml:space="preserve">Resource Use </w:t>
            </w:r>
            <w:r w:rsidRPr="00463667">
              <w:rPr>
                <w:rFonts w:cs="Arial"/>
                <w:szCs w:val="20"/>
              </w:rPr>
              <w:t xml:space="preserve">to identify acute inpatient (including medicine and surgery) and nonacute discharges and days. </w:t>
            </w:r>
          </w:p>
        </w:tc>
      </w:tr>
      <w:tr w:rsidR="00BF3DF9" w:rsidRPr="00463667" w14:paraId="5C5E0CC8" w14:textId="77777777" w:rsidTr="00C56CA6">
        <w:tc>
          <w:tcPr>
            <w:tcW w:w="1908" w:type="dxa"/>
          </w:tcPr>
          <w:p w14:paraId="04ACD0FD" w14:textId="77777777" w:rsidR="00BF3DF9" w:rsidRPr="00463667" w:rsidRDefault="00BF3DF9" w:rsidP="00C56CA6">
            <w:pPr>
              <w:pStyle w:val="MarginSubhead"/>
            </w:pPr>
            <w:r w:rsidRPr="00463667">
              <w:t>ED Discharges</w:t>
            </w:r>
          </w:p>
        </w:tc>
        <w:tc>
          <w:tcPr>
            <w:tcW w:w="7812" w:type="dxa"/>
          </w:tcPr>
          <w:p w14:paraId="74DA1C99" w14:textId="77777777" w:rsidR="00BF3DF9" w:rsidRPr="00463667" w:rsidRDefault="00BF3DF9" w:rsidP="00C56CA6">
            <w:pPr>
              <w:pStyle w:val="Body"/>
            </w:pPr>
            <w:r w:rsidRPr="00463667">
              <w:t xml:space="preserve">This category measures use of ED services. </w:t>
            </w:r>
          </w:p>
          <w:p w14:paraId="6E881D9A" w14:textId="77777777" w:rsidR="00BF3DF9" w:rsidRPr="00463667" w:rsidRDefault="00BF3DF9" w:rsidP="00C56CA6">
            <w:pPr>
              <w:pStyle w:val="Body"/>
            </w:pPr>
            <w:r w:rsidRPr="00463667">
              <w:t xml:space="preserve">Count each visit to an ED during the treatment period that does not result in </w:t>
            </w:r>
            <w:r w:rsidRPr="00463667">
              <w:rPr>
                <w:rFonts w:cs="Arial"/>
                <w:szCs w:val="20"/>
              </w:rPr>
              <w:t>an inpatient stay that was paid, or expected to be paid, by the organization</w:t>
            </w:r>
            <w:r w:rsidRPr="00463667">
              <w:t xml:space="preserve">, regardless of the intensity of care required during the stay or the length of stay. Count only one ED visit per date of service. Do not count visits to urgent care centers. Services for members admitted to the hospital from an ED visit are included in the </w:t>
            </w:r>
            <w:r w:rsidRPr="00463667">
              <w:rPr>
                <w:i/>
              </w:rPr>
              <w:t>Inpatient Facility</w:t>
            </w:r>
            <w:r w:rsidRPr="00463667">
              <w:t xml:space="preserve"> category only.</w:t>
            </w:r>
          </w:p>
          <w:p w14:paraId="76E49F3E" w14:textId="77777777" w:rsidR="00BF3DF9" w:rsidRPr="00463667" w:rsidRDefault="00BF3DF9" w:rsidP="00C56CA6">
            <w:pPr>
              <w:pStyle w:val="Body"/>
              <w:spacing w:before="160"/>
            </w:pPr>
            <w:r w:rsidRPr="00463667">
              <w:t>Identify ED visits using either of the following:</w:t>
            </w:r>
          </w:p>
          <w:p w14:paraId="3BBE08EE" w14:textId="77777777" w:rsidR="00BF3DF9" w:rsidRPr="00463667" w:rsidRDefault="00BF3DF9" w:rsidP="00966C97">
            <w:pPr>
              <w:pStyle w:val="Bullet"/>
              <w:spacing w:before="60"/>
            </w:pPr>
            <w:r w:rsidRPr="00463667">
              <w:t>An ED visit (</w:t>
            </w:r>
            <w:r w:rsidRPr="00463667">
              <w:rPr>
                <w:u w:val="single"/>
              </w:rPr>
              <w:t>ED Value Set</w:t>
            </w:r>
            <w:r w:rsidRPr="00463667">
              <w:t>).</w:t>
            </w:r>
          </w:p>
          <w:p w14:paraId="04697299" w14:textId="77777777" w:rsidR="00BF3DF9" w:rsidRPr="00463667" w:rsidRDefault="00BF3DF9" w:rsidP="00966C97">
            <w:pPr>
              <w:pStyle w:val="Bullet"/>
              <w:spacing w:before="60"/>
            </w:pPr>
            <w:r w:rsidRPr="00463667">
              <w:t>A procedure code (</w:t>
            </w:r>
            <w:r w:rsidRPr="00463667">
              <w:rPr>
                <w:u w:val="single"/>
              </w:rPr>
              <w:t>ED Procedure Code Value Set</w:t>
            </w:r>
            <w:r w:rsidRPr="00463667">
              <w:t>) with an ED place of service code (</w:t>
            </w:r>
            <w:r w:rsidRPr="00463667">
              <w:rPr>
                <w:u w:val="single"/>
              </w:rPr>
              <w:t>ED POS Value Set</w:t>
            </w:r>
            <w:r w:rsidRPr="00463667">
              <w:t>).</w:t>
            </w:r>
          </w:p>
        </w:tc>
      </w:tr>
      <w:tr w:rsidR="00BF3DF9" w:rsidRPr="00463667" w14:paraId="4961B86E" w14:textId="77777777" w:rsidTr="00C56CA6">
        <w:tc>
          <w:tcPr>
            <w:tcW w:w="1908" w:type="dxa"/>
          </w:tcPr>
          <w:p w14:paraId="1F1D2D26" w14:textId="77777777" w:rsidR="00BF3DF9" w:rsidRPr="00463667" w:rsidRDefault="00BF3DF9" w:rsidP="00C56CA6">
            <w:pPr>
              <w:pStyle w:val="MarginSubhead"/>
            </w:pPr>
            <w:r w:rsidRPr="00463667">
              <w:t>Pharmacy Utilization</w:t>
            </w:r>
          </w:p>
        </w:tc>
        <w:tc>
          <w:tcPr>
            <w:tcW w:w="7812" w:type="dxa"/>
          </w:tcPr>
          <w:p w14:paraId="3D59D223" w14:textId="77777777" w:rsidR="00BF3DF9" w:rsidRPr="00463667" w:rsidRDefault="00BF3DF9" w:rsidP="00C56CA6">
            <w:pPr>
              <w:pStyle w:val="Body"/>
            </w:pPr>
            <w:r w:rsidRPr="00463667">
              <w:t>Use Table SPT—Pharm to identify the prescription categories for each drug dispensed in the treatment period.</w:t>
            </w:r>
          </w:p>
          <w:p w14:paraId="39DF5F8F" w14:textId="77777777" w:rsidR="00BF3DF9" w:rsidRPr="00463667" w:rsidRDefault="00BF3DF9" w:rsidP="00C56CA6">
            <w:pPr>
              <w:pStyle w:val="Body"/>
            </w:pPr>
            <w:r w:rsidRPr="00463667">
              <w:t>Sum and report the number of prescriptions in each of the four categories in the Pharmacy—Total Service Frequency by Prescription Category table.</w:t>
            </w:r>
          </w:p>
        </w:tc>
      </w:tr>
    </w:tbl>
    <w:p w14:paraId="44ED38BD" w14:textId="77777777" w:rsidR="00BF3DF9" w:rsidRPr="00463667" w:rsidRDefault="00BF3DF9" w:rsidP="00BF3DF9">
      <w:pPr>
        <w:rPr>
          <w:b/>
        </w:rPr>
        <w:sectPr w:rsidR="00BF3DF9" w:rsidRPr="00463667" w:rsidSect="00C56CA6">
          <w:pgSz w:w="12240" w:h="15840" w:code="1"/>
          <w:pgMar w:top="1080" w:right="1080" w:bottom="1080" w:left="1440" w:header="720" w:footer="720" w:gutter="0"/>
          <w:cols w:space="720"/>
        </w:sectPr>
      </w:pPr>
    </w:p>
    <w:p w14:paraId="5BA69043" w14:textId="77777777" w:rsidR="00BF3DF9" w:rsidRPr="00463667" w:rsidRDefault="00BF3DF9" w:rsidP="00724140">
      <w:pPr>
        <w:pStyle w:val="ReverseHead"/>
        <w:spacing w:before="0"/>
      </w:pPr>
      <w:r w:rsidRPr="00463667">
        <w:lastRenderedPageBreak/>
        <w:t>Data Elements for Reporting</w:t>
      </w:r>
    </w:p>
    <w:p w14:paraId="1FF93FDF" w14:textId="3281BBB8" w:rsidR="00BF3DF9" w:rsidRPr="00463667" w:rsidRDefault="00966C97" w:rsidP="00752BC5">
      <w:pPr>
        <w:pStyle w:val="TableHeadNotCondensed"/>
        <w:ind w:left="2070" w:hanging="2070"/>
      </w:pPr>
      <w:r>
        <w:t>Table RHY-A-1/2/3:</w:t>
      </w:r>
      <w:r>
        <w:tab/>
      </w:r>
      <w:r w:rsidR="00BF3DF9" w:rsidRPr="00463667">
        <w:t xml:space="preserve">Data Elements for Relative Resource Use for People </w:t>
      </w:r>
      <w:r>
        <w:br/>
      </w:r>
      <w:r w:rsidR="00BF3DF9" w:rsidRPr="00463667">
        <w:t>With Hypertension</w:t>
      </w:r>
    </w:p>
    <w:tbl>
      <w:tblPr>
        <w:tblW w:w="7740" w:type="dxa"/>
        <w:tblInd w:w="-10" w:type="dxa"/>
        <w:tblCellMar>
          <w:left w:w="0" w:type="dxa"/>
          <w:right w:w="0" w:type="dxa"/>
        </w:tblCellMar>
        <w:tblLook w:val="04A0" w:firstRow="1" w:lastRow="0" w:firstColumn="1" w:lastColumn="0" w:noHBand="0" w:noVBand="1"/>
      </w:tblPr>
      <w:tblGrid>
        <w:gridCol w:w="3245"/>
        <w:gridCol w:w="4495"/>
      </w:tblGrid>
      <w:tr w:rsidR="00BF3DF9" w:rsidRPr="00463667" w14:paraId="533A1021" w14:textId="77777777" w:rsidTr="00484C42">
        <w:trPr>
          <w:trHeight w:val="300"/>
        </w:trPr>
        <w:tc>
          <w:tcPr>
            <w:tcW w:w="3245" w:type="dxa"/>
            <w:tcBorders>
              <w:top w:val="single" w:sz="8" w:space="0" w:color="auto"/>
              <w:left w:val="single" w:sz="8" w:space="0" w:color="auto"/>
              <w:bottom w:val="single" w:sz="4" w:space="0" w:color="auto"/>
              <w:right w:val="single" w:sz="6" w:space="0" w:color="FFFFFF"/>
            </w:tcBorders>
            <w:shd w:val="clear" w:color="auto" w:fill="000000"/>
            <w:noWrap/>
            <w:tcMar>
              <w:top w:w="0" w:type="dxa"/>
              <w:left w:w="108" w:type="dxa"/>
              <w:bottom w:w="0" w:type="dxa"/>
              <w:right w:w="108" w:type="dxa"/>
            </w:tcMar>
            <w:vAlign w:val="bottom"/>
            <w:hideMark/>
          </w:tcPr>
          <w:p w14:paraId="38140635" w14:textId="77777777" w:rsidR="00BF3DF9" w:rsidRPr="00463667" w:rsidRDefault="00BF3DF9" w:rsidP="00C56CA6">
            <w:pPr>
              <w:pStyle w:val="TableHead"/>
              <w:rPr>
                <w:color w:val="auto"/>
              </w:rPr>
            </w:pPr>
            <w:r w:rsidRPr="00463667">
              <w:rPr>
                <w:color w:val="auto"/>
              </w:rPr>
              <w:t>Metadata ID</w:t>
            </w:r>
          </w:p>
        </w:tc>
        <w:tc>
          <w:tcPr>
            <w:tcW w:w="4495" w:type="dxa"/>
            <w:tcBorders>
              <w:top w:val="single" w:sz="8" w:space="0" w:color="auto"/>
              <w:left w:val="single" w:sz="6" w:space="0" w:color="FFFFFF"/>
              <w:bottom w:val="single" w:sz="4" w:space="0" w:color="auto"/>
              <w:right w:val="single" w:sz="8" w:space="0" w:color="auto"/>
            </w:tcBorders>
            <w:shd w:val="clear" w:color="auto" w:fill="000000"/>
            <w:noWrap/>
            <w:tcMar>
              <w:top w:w="0" w:type="dxa"/>
              <w:left w:w="108" w:type="dxa"/>
              <w:bottom w:w="0" w:type="dxa"/>
              <w:right w:w="108" w:type="dxa"/>
            </w:tcMar>
            <w:vAlign w:val="bottom"/>
            <w:hideMark/>
          </w:tcPr>
          <w:p w14:paraId="733F01EF" w14:textId="77777777" w:rsidR="00BF3DF9" w:rsidRPr="00463667" w:rsidRDefault="00BF3DF9" w:rsidP="00C56CA6">
            <w:pPr>
              <w:pStyle w:val="TableHead"/>
              <w:rPr>
                <w:color w:val="auto"/>
              </w:rPr>
            </w:pPr>
            <w:r w:rsidRPr="00463667">
              <w:rPr>
                <w:color w:val="auto"/>
              </w:rPr>
              <w:t>Metadata Specification Name</w:t>
            </w:r>
          </w:p>
        </w:tc>
      </w:tr>
      <w:tr w:rsidR="00BF3DF9" w:rsidRPr="00463667" w14:paraId="0A1998FD" w14:textId="77777777" w:rsidTr="00484C42">
        <w:tc>
          <w:tcPr>
            <w:tcW w:w="324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7589A7D0" w14:textId="77777777" w:rsidR="00BF3DF9" w:rsidRPr="00463667" w:rsidRDefault="00BF3DF9" w:rsidP="00C56CA6">
            <w:pPr>
              <w:pStyle w:val="TableText"/>
            </w:pPr>
            <w:r w:rsidRPr="00463667">
              <w:t>EligiblePopulation</w:t>
            </w:r>
          </w:p>
        </w:tc>
        <w:tc>
          <w:tcPr>
            <w:tcW w:w="449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3CF7D0FF" w14:textId="77777777" w:rsidR="00BF3DF9" w:rsidRPr="00463667" w:rsidRDefault="00BF3DF9" w:rsidP="00C56CA6">
            <w:pPr>
              <w:pStyle w:val="TableText"/>
            </w:pPr>
            <w:r w:rsidRPr="00463667">
              <w:t>Eligible Population</w:t>
            </w:r>
          </w:p>
        </w:tc>
      </w:tr>
      <w:tr w:rsidR="00BF3DF9" w:rsidRPr="00463667" w14:paraId="40CB59B5" w14:textId="77777777" w:rsidTr="00484C42">
        <w:tc>
          <w:tcPr>
            <w:tcW w:w="324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130EC6EE" w14:textId="77777777" w:rsidR="00BF3DF9" w:rsidRPr="00463667" w:rsidRDefault="00BF3DF9" w:rsidP="00C56CA6">
            <w:pPr>
              <w:pStyle w:val="TableText"/>
            </w:pPr>
            <w:r w:rsidRPr="00463667">
              <w:t>Exclusions</w:t>
            </w:r>
          </w:p>
        </w:tc>
        <w:tc>
          <w:tcPr>
            <w:tcW w:w="449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38F24199" w14:textId="77777777" w:rsidR="00BF3DF9" w:rsidRPr="00463667" w:rsidRDefault="00BF3DF9" w:rsidP="00C56CA6">
            <w:pPr>
              <w:pStyle w:val="TableText"/>
            </w:pPr>
            <w:r w:rsidRPr="00463667">
              <w:t>Exclusions</w:t>
            </w:r>
          </w:p>
        </w:tc>
      </w:tr>
      <w:tr w:rsidR="00BF3DF9" w:rsidRPr="00463667" w14:paraId="7DFDC4B6" w14:textId="77777777" w:rsidTr="00484C42">
        <w:tc>
          <w:tcPr>
            <w:tcW w:w="324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543D4766" w14:textId="77777777" w:rsidR="00BF3DF9" w:rsidRPr="00463667" w:rsidRDefault="00BF3DF9" w:rsidP="00C56CA6">
            <w:pPr>
              <w:pStyle w:val="TableText"/>
            </w:pPr>
            <w:r w:rsidRPr="00463667">
              <w:t>NameBrandOnlyCount</w:t>
            </w:r>
          </w:p>
        </w:tc>
        <w:tc>
          <w:tcPr>
            <w:tcW w:w="449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4DE8FB4E" w14:textId="77777777" w:rsidR="00BF3DF9" w:rsidRPr="00463667" w:rsidRDefault="00BF3DF9" w:rsidP="00C56CA6">
            <w:pPr>
              <w:pStyle w:val="TableText"/>
            </w:pPr>
            <w:r w:rsidRPr="00463667">
              <w:t>Pharmacy: Name Brand only (N1)</w:t>
            </w:r>
          </w:p>
        </w:tc>
      </w:tr>
      <w:tr w:rsidR="00BF3DF9" w:rsidRPr="00463667" w14:paraId="3CCC40B5" w14:textId="77777777" w:rsidTr="00484C42">
        <w:tc>
          <w:tcPr>
            <w:tcW w:w="324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0B70711B" w14:textId="77777777" w:rsidR="00BF3DF9" w:rsidRPr="00463667" w:rsidRDefault="00BF3DF9" w:rsidP="00C56CA6">
            <w:pPr>
              <w:pStyle w:val="TableText"/>
            </w:pPr>
            <w:r w:rsidRPr="00463667">
              <w:t>NameBrandGenericExistsCount</w:t>
            </w:r>
          </w:p>
        </w:tc>
        <w:tc>
          <w:tcPr>
            <w:tcW w:w="449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73AFDD5D" w14:textId="77777777" w:rsidR="00BF3DF9" w:rsidRPr="00463667" w:rsidRDefault="00BF3DF9" w:rsidP="00C56CA6">
            <w:pPr>
              <w:pStyle w:val="TableText"/>
            </w:pPr>
            <w:r w:rsidRPr="00463667">
              <w:t>Pharmacy: Name Brand—Generic Exists (N2)</w:t>
            </w:r>
          </w:p>
        </w:tc>
      </w:tr>
      <w:tr w:rsidR="00BF3DF9" w:rsidRPr="00463667" w14:paraId="17781937" w14:textId="77777777" w:rsidTr="00484C42">
        <w:tc>
          <w:tcPr>
            <w:tcW w:w="324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02DB266A" w14:textId="77777777" w:rsidR="00BF3DF9" w:rsidRPr="00463667" w:rsidRDefault="00BF3DF9" w:rsidP="00C56CA6">
            <w:pPr>
              <w:pStyle w:val="TableText"/>
            </w:pPr>
            <w:r w:rsidRPr="00463667">
              <w:t>GenericOnlyCount</w:t>
            </w:r>
          </w:p>
        </w:tc>
        <w:tc>
          <w:tcPr>
            <w:tcW w:w="449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2C5D6F00" w14:textId="77777777" w:rsidR="00BF3DF9" w:rsidRPr="00463667" w:rsidRDefault="00BF3DF9" w:rsidP="00C56CA6">
            <w:pPr>
              <w:pStyle w:val="TableText"/>
            </w:pPr>
            <w:r w:rsidRPr="00463667">
              <w:t>Pharmacy: Generic Only (G1)</w:t>
            </w:r>
          </w:p>
        </w:tc>
      </w:tr>
      <w:tr w:rsidR="00BF3DF9" w:rsidRPr="00463667" w14:paraId="1619FB43" w14:textId="77777777" w:rsidTr="00484C42">
        <w:tc>
          <w:tcPr>
            <w:tcW w:w="324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756BFEA9" w14:textId="77777777" w:rsidR="00BF3DF9" w:rsidRPr="00463667" w:rsidRDefault="00BF3DF9" w:rsidP="00C56CA6">
            <w:pPr>
              <w:pStyle w:val="TableText"/>
            </w:pPr>
            <w:r w:rsidRPr="00463667">
              <w:t>GenericNameBrandExistsCount</w:t>
            </w:r>
          </w:p>
        </w:tc>
        <w:tc>
          <w:tcPr>
            <w:tcW w:w="449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4B1595A0" w14:textId="77777777" w:rsidR="00BF3DF9" w:rsidRPr="00463667" w:rsidRDefault="00BF3DF9" w:rsidP="00C56CA6">
            <w:pPr>
              <w:pStyle w:val="TableText"/>
            </w:pPr>
            <w:r w:rsidRPr="00463667">
              <w:t>Pharmacy: Generic—Name Brand Exists (G2)</w:t>
            </w:r>
          </w:p>
        </w:tc>
      </w:tr>
    </w:tbl>
    <w:p w14:paraId="7DC8EE89" w14:textId="4406CB51" w:rsidR="00BF3DF9" w:rsidRPr="00463667" w:rsidRDefault="00BF3DF9" w:rsidP="00752BC5">
      <w:pPr>
        <w:pStyle w:val="TableHeadNotCondensed"/>
        <w:ind w:left="2070" w:hanging="2070"/>
      </w:pPr>
      <w:r w:rsidRPr="00463667">
        <w:t>Table RHY-B-1/2/3:</w:t>
      </w:r>
      <w:r w:rsidR="00966C97">
        <w:tab/>
      </w:r>
      <w:r w:rsidRPr="00463667">
        <w:t xml:space="preserve">Data Elements for Relative Resource Use for People </w:t>
      </w:r>
      <w:r w:rsidR="00966C97">
        <w:br/>
      </w:r>
      <w:r w:rsidRPr="00463667">
        <w:t>With Hypertension</w:t>
      </w:r>
    </w:p>
    <w:tbl>
      <w:tblPr>
        <w:tblW w:w="399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
        <w:gridCol w:w="790"/>
        <w:gridCol w:w="863"/>
        <w:gridCol w:w="877"/>
        <w:gridCol w:w="4225"/>
      </w:tblGrid>
      <w:tr w:rsidR="00BF3DF9" w:rsidRPr="00463667" w14:paraId="5EEF1393" w14:textId="77777777" w:rsidTr="00484C42">
        <w:trPr>
          <w:cantSplit/>
        </w:trPr>
        <w:tc>
          <w:tcPr>
            <w:tcW w:w="641" w:type="pct"/>
            <w:tcBorders>
              <w:right w:val="single" w:sz="6" w:space="0" w:color="FFFFFF"/>
            </w:tcBorders>
            <w:shd w:val="clear" w:color="auto" w:fill="000000"/>
            <w:vAlign w:val="bottom"/>
          </w:tcPr>
          <w:p w14:paraId="2073FCA0" w14:textId="77777777" w:rsidR="00BF3DF9" w:rsidRPr="00463667" w:rsidRDefault="00BF3DF9" w:rsidP="00C56CA6">
            <w:pPr>
              <w:pStyle w:val="TableHead"/>
              <w:rPr>
                <w:color w:val="auto"/>
              </w:rPr>
            </w:pPr>
            <w:r w:rsidRPr="00463667">
              <w:rPr>
                <w:color w:val="auto"/>
              </w:rPr>
              <w:t>Gender</w:t>
            </w:r>
          </w:p>
        </w:tc>
        <w:tc>
          <w:tcPr>
            <w:tcW w:w="510" w:type="pct"/>
            <w:tcBorders>
              <w:left w:val="single" w:sz="6" w:space="0" w:color="FFFFFF"/>
              <w:right w:val="single" w:sz="6" w:space="0" w:color="FFFFFF"/>
            </w:tcBorders>
            <w:shd w:val="clear" w:color="auto" w:fill="000000"/>
            <w:vAlign w:val="bottom"/>
          </w:tcPr>
          <w:p w14:paraId="1CAF4D89" w14:textId="77777777" w:rsidR="00BF3DF9" w:rsidRPr="00463667" w:rsidRDefault="00BF3DF9" w:rsidP="00C56CA6">
            <w:pPr>
              <w:pStyle w:val="TableHead"/>
              <w:rPr>
                <w:color w:val="auto"/>
              </w:rPr>
            </w:pPr>
            <w:r w:rsidRPr="00463667">
              <w:rPr>
                <w:color w:val="auto"/>
              </w:rPr>
              <w:t>Age</w:t>
            </w:r>
          </w:p>
        </w:tc>
        <w:tc>
          <w:tcPr>
            <w:tcW w:w="557" w:type="pct"/>
            <w:tcBorders>
              <w:left w:val="single" w:sz="6" w:space="0" w:color="FFFFFF"/>
              <w:right w:val="single" w:sz="6" w:space="0" w:color="FFFFFF"/>
            </w:tcBorders>
            <w:shd w:val="clear" w:color="auto" w:fill="000000"/>
            <w:vAlign w:val="bottom"/>
          </w:tcPr>
          <w:p w14:paraId="0C3E3838" w14:textId="77777777" w:rsidR="00BF3DF9" w:rsidRPr="00463667" w:rsidRDefault="00BF3DF9" w:rsidP="00C56CA6">
            <w:pPr>
              <w:pStyle w:val="TableHead"/>
              <w:rPr>
                <w:color w:val="auto"/>
              </w:rPr>
            </w:pPr>
            <w:r w:rsidRPr="00463667">
              <w:rPr>
                <w:color w:val="auto"/>
              </w:rPr>
              <w:t>Risk Group</w:t>
            </w:r>
          </w:p>
        </w:tc>
        <w:tc>
          <w:tcPr>
            <w:tcW w:w="566" w:type="pct"/>
            <w:tcBorders>
              <w:left w:val="single" w:sz="6" w:space="0" w:color="FFFFFF"/>
              <w:right w:val="single" w:sz="6" w:space="0" w:color="FFFFFF"/>
            </w:tcBorders>
            <w:shd w:val="clear" w:color="auto" w:fill="000000"/>
            <w:vAlign w:val="bottom"/>
          </w:tcPr>
          <w:p w14:paraId="49FF7FB4" w14:textId="77777777" w:rsidR="00BF3DF9" w:rsidRPr="00463667" w:rsidRDefault="00BF3DF9" w:rsidP="00C56CA6">
            <w:pPr>
              <w:pStyle w:val="TableHead"/>
              <w:rPr>
                <w:color w:val="auto"/>
              </w:rPr>
            </w:pPr>
            <w:r w:rsidRPr="00463667">
              <w:rPr>
                <w:color w:val="auto"/>
              </w:rPr>
              <w:t>Type</w:t>
            </w:r>
          </w:p>
        </w:tc>
        <w:tc>
          <w:tcPr>
            <w:tcW w:w="2726" w:type="pct"/>
            <w:tcBorders>
              <w:left w:val="single" w:sz="6" w:space="0" w:color="FFFFFF"/>
            </w:tcBorders>
            <w:shd w:val="clear" w:color="auto" w:fill="000000"/>
            <w:vAlign w:val="bottom"/>
          </w:tcPr>
          <w:p w14:paraId="69D3018B" w14:textId="77777777" w:rsidR="00BF3DF9" w:rsidRPr="00463667" w:rsidRDefault="00BF3DF9" w:rsidP="00C56CA6">
            <w:pPr>
              <w:pStyle w:val="TableHead"/>
              <w:rPr>
                <w:color w:val="auto"/>
              </w:rPr>
            </w:pPr>
            <w:r w:rsidRPr="00463667">
              <w:rPr>
                <w:color w:val="auto"/>
              </w:rPr>
              <w:t>Metric Specification Name</w:t>
            </w:r>
          </w:p>
        </w:tc>
      </w:tr>
      <w:tr w:rsidR="00BF3DF9" w:rsidRPr="00463667" w14:paraId="78F994A2" w14:textId="77777777" w:rsidTr="00484C42">
        <w:trPr>
          <w:cantSplit/>
        </w:trPr>
        <w:tc>
          <w:tcPr>
            <w:tcW w:w="641" w:type="pct"/>
          </w:tcPr>
          <w:p w14:paraId="14CEE5B1" w14:textId="77777777" w:rsidR="00BF3DF9" w:rsidRPr="00463667" w:rsidRDefault="00BF3DF9" w:rsidP="00C56CA6">
            <w:pPr>
              <w:pStyle w:val="TableText"/>
            </w:pPr>
            <w:r w:rsidRPr="00463667">
              <w:t>Male</w:t>
            </w:r>
          </w:p>
        </w:tc>
        <w:tc>
          <w:tcPr>
            <w:tcW w:w="510" w:type="pct"/>
          </w:tcPr>
          <w:p w14:paraId="604E715E" w14:textId="77777777" w:rsidR="00BF3DF9" w:rsidRPr="00463667" w:rsidRDefault="00BF3DF9" w:rsidP="00C56CA6">
            <w:pPr>
              <w:pStyle w:val="TableText"/>
            </w:pPr>
            <w:r w:rsidRPr="00463667">
              <w:t>18-44</w:t>
            </w:r>
          </w:p>
        </w:tc>
        <w:tc>
          <w:tcPr>
            <w:tcW w:w="557" w:type="pct"/>
          </w:tcPr>
          <w:p w14:paraId="3C601A96" w14:textId="77777777" w:rsidR="00BF3DF9" w:rsidRPr="00463667" w:rsidRDefault="00BF3DF9" w:rsidP="00C56CA6">
            <w:pPr>
              <w:pStyle w:val="TableText"/>
              <w:ind w:left="317"/>
            </w:pPr>
            <w:r w:rsidRPr="00463667">
              <w:t>1</w:t>
            </w:r>
          </w:p>
        </w:tc>
        <w:tc>
          <w:tcPr>
            <w:tcW w:w="566" w:type="pct"/>
          </w:tcPr>
          <w:p w14:paraId="4DE8B47F" w14:textId="77777777" w:rsidR="00BF3DF9" w:rsidRPr="00463667" w:rsidRDefault="00BF3DF9" w:rsidP="00C56CA6">
            <w:pPr>
              <w:pStyle w:val="TableText"/>
            </w:pPr>
            <w:r w:rsidRPr="00463667">
              <w:t>Cost</w:t>
            </w:r>
          </w:p>
        </w:tc>
        <w:tc>
          <w:tcPr>
            <w:tcW w:w="2726" w:type="pct"/>
          </w:tcPr>
          <w:p w14:paraId="73615B54" w14:textId="77777777" w:rsidR="00BF3DF9" w:rsidRPr="00463667" w:rsidRDefault="00BF3DF9" w:rsidP="00C56CA6">
            <w:pPr>
              <w:pStyle w:val="TableText"/>
            </w:pPr>
            <w:r w:rsidRPr="00463667">
              <w:t>Inpatient Facility</w:t>
            </w:r>
          </w:p>
        </w:tc>
      </w:tr>
      <w:tr w:rsidR="00BF3DF9" w:rsidRPr="00463667" w14:paraId="3C008E25" w14:textId="77777777" w:rsidTr="00484C42">
        <w:trPr>
          <w:cantSplit/>
        </w:trPr>
        <w:tc>
          <w:tcPr>
            <w:tcW w:w="641" w:type="pct"/>
          </w:tcPr>
          <w:p w14:paraId="19C7F314" w14:textId="77777777" w:rsidR="00BF3DF9" w:rsidRPr="00463667" w:rsidRDefault="00BF3DF9" w:rsidP="00C56CA6">
            <w:pPr>
              <w:pStyle w:val="TableText"/>
            </w:pPr>
            <w:r w:rsidRPr="00463667">
              <w:t>Female</w:t>
            </w:r>
          </w:p>
        </w:tc>
        <w:tc>
          <w:tcPr>
            <w:tcW w:w="510" w:type="pct"/>
          </w:tcPr>
          <w:p w14:paraId="26C51338" w14:textId="77777777" w:rsidR="00BF3DF9" w:rsidRPr="00463667" w:rsidRDefault="00BF3DF9" w:rsidP="00C56CA6">
            <w:pPr>
              <w:pStyle w:val="TableText"/>
            </w:pPr>
            <w:r w:rsidRPr="00463667">
              <w:t>45-54</w:t>
            </w:r>
          </w:p>
        </w:tc>
        <w:tc>
          <w:tcPr>
            <w:tcW w:w="557" w:type="pct"/>
          </w:tcPr>
          <w:p w14:paraId="717F13B9" w14:textId="77777777" w:rsidR="00BF3DF9" w:rsidRPr="00463667" w:rsidRDefault="00BF3DF9" w:rsidP="00C56CA6">
            <w:pPr>
              <w:pStyle w:val="TableText"/>
              <w:ind w:left="317"/>
            </w:pPr>
            <w:r w:rsidRPr="00463667">
              <w:t>2</w:t>
            </w:r>
          </w:p>
        </w:tc>
        <w:tc>
          <w:tcPr>
            <w:tcW w:w="566" w:type="pct"/>
          </w:tcPr>
          <w:p w14:paraId="33248BE1" w14:textId="77777777" w:rsidR="00BF3DF9" w:rsidRPr="00463667" w:rsidRDefault="00BF3DF9" w:rsidP="00C56CA6">
            <w:pPr>
              <w:pStyle w:val="TableText"/>
            </w:pPr>
            <w:r w:rsidRPr="00463667">
              <w:t>Cost</w:t>
            </w:r>
          </w:p>
        </w:tc>
        <w:tc>
          <w:tcPr>
            <w:tcW w:w="2726" w:type="pct"/>
          </w:tcPr>
          <w:p w14:paraId="1C171154" w14:textId="77777777" w:rsidR="00BF3DF9" w:rsidRPr="00463667" w:rsidRDefault="00BF3DF9" w:rsidP="00C56CA6">
            <w:pPr>
              <w:pStyle w:val="TableText"/>
            </w:pPr>
            <w:r w:rsidRPr="00463667">
              <w:t>E&amp;M Inpatient Services</w:t>
            </w:r>
          </w:p>
        </w:tc>
      </w:tr>
      <w:tr w:rsidR="00BF3DF9" w:rsidRPr="00463667" w14:paraId="39279742" w14:textId="77777777" w:rsidTr="00484C42">
        <w:trPr>
          <w:cantSplit/>
        </w:trPr>
        <w:tc>
          <w:tcPr>
            <w:tcW w:w="641" w:type="pct"/>
            <w:tcBorders>
              <w:left w:val="nil"/>
              <w:bottom w:val="nil"/>
            </w:tcBorders>
          </w:tcPr>
          <w:p w14:paraId="7C59F7FB" w14:textId="77777777" w:rsidR="00BF3DF9" w:rsidRPr="00463667" w:rsidRDefault="00BF3DF9" w:rsidP="00C56CA6">
            <w:pPr>
              <w:pStyle w:val="TableText"/>
            </w:pPr>
          </w:p>
        </w:tc>
        <w:tc>
          <w:tcPr>
            <w:tcW w:w="510" w:type="pct"/>
          </w:tcPr>
          <w:p w14:paraId="228B5085" w14:textId="77777777" w:rsidR="00BF3DF9" w:rsidRPr="00463667" w:rsidRDefault="00BF3DF9" w:rsidP="00C56CA6">
            <w:pPr>
              <w:pStyle w:val="TableText"/>
            </w:pPr>
            <w:r w:rsidRPr="00463667">
              <w:t>55-64</w:t>
            </w:r>
          </w:p>
        </w:tc>
        <w:tc>
          <w:tcPr>
            <w:tcW w:w="557" w:type="pct"/>
          </w:tcPr>
          <w:p w14:paraId="559CCD5D" w14:textId="77777777" w:rsidR="00BF3DF9" w:rsidRPr="00463667" w:rsidRDefault="00BF3DF9" w:rsidP="00C56CA6">
            <w:pPr>
              <w:pStyle w:val="TableText"/>
              <w:ind w:left="317"/>
            </w:pPr>
            <w:r w:rsidRPr="00463667">
              <w:t>3</w:t>
            </w:r>
          </w:p>
        </w:tc>
        <w:tc>
          <w:tcPr>
            <w:tcW w:w="566" w:type="pct"/>
          </w:tcPr>
          <w:p w14:paraId="7B7F5AD3" w14:textId="77777777" w:rsidR="00BF3DF9" w:rsidRPr="00463667" w:rsidRDefault="00BF3DF9" w:rsidP="00C56CA6">
            <w:pPr>
              <w:pStyle w:val="TableText"/>
            </w:pPr>
            <w:r w:rsidRPr="00463667">
              <w:t>Cost</w:t>
            </w:r>
          </w:p>
        </w:tc>
        <w:tc>
          <w:tcPr>
            <w:tcW w:w="2726" w:type="pct"/>
          </w:tcPr>
          <w:p w14:paraId="5FCC3C06" w14:textId="77777777" w:rsidR="00BF3DF9" w:rsidRPr="00463667" w:rsidRDefault="00BF3DF9" w:rsidP="00C56CA6">
            <w:pPr>
              <w:pStyle w:val="TableText"/>
            </w:pPr>
            <w:r w:rsidRPr="00463667">
              <w:t>E&amp;M Outpatient Services</w:t>
            </w:r>
          </w:p>
        </w:tc>
      </w:tr>
      <w:tr w:rsidR="00BF3DF9" w:rsidRPr="00463667" w14:paraId="3B383BC6" w14:textId="77777777" w:rsidTr="00484C42">
        <w:trPr>
          <w:cantSplit/>
        </w:trPr>
        <w:tc>
          <w:tcPr>
            <w:tcW w:w="641" w:type="pct"/>
            <w:tcBorders>
              <w:top w:val="nil"/>
              <w:left w:val="nil"/>
              <w:bottom w:val="nil"/>
              <w:right w:val="nil"/>
            </w:tcBorders>
          </w:tcPr>
          <w:p w14:paraId="3EE29A17" w14:textId="77777777" w:rsidR="00BF3DF9" w:rsidRPr="00463667" w:rsidRDefault="00BF3DF9" w:rsidP="00C56CA6">
            <w:pPr>
              <w:pStyle w:val="TableText"/>
            </w:pPr>
          </w:p>
        </w:tc>
        <w:tc>
          <w:tcPr>
            <w:tcW w:w="510" w:type="pct"/>
            <w:tcBorders>
              <w:bottom w:val="single" w:sz="4" w:space="0" w:color="auto"/>
            </w:tcBorders>
          </w:tcPr>
          <w:p w14:paraId="163E3967" w14:textId="77777777" w:rsidR="00BF3DF9" w:rsidRPr="00463667" w:rsidRDefault="00BF3DF9" w:rsidP="00C56CA6">
            <w:pPr>
              <w:pStyle w:val="TableText"/>
            </w:pPr>
            <w:r w:rsidRPr="00463667">
              <w:t>65-85</w:t>
            </w:r>
          </w:p>
        </w:tc>
        <w:tc>
          <w:tcPr>
            <w:tcW w:w="557" w:type="pct"/>
          </w:tcPr>
          <w:p w14:paraId="6C2CDE1C" w14:textId="77777777" w:rsidR="00BF3DF9" w:rsidRPr="00463667" w:rsidRDefault="00BF3DF9" w:rsidP="00C56CA6">
            <w:pPr>
              <w:pStyle w:val="TableText"/>
              <w:ind w:left="317"/>
            </w:pPr>
            <w:r w:rsidRPr="00463667">
              <w:t>4</w:t>
            </w:r>
          </w:p>
        </w:tc>
        <w:tc>
          <w:tcPr>
            <w:tcW w:w="566" w:type="pct"/>
          </w:tcPr>
          <w:p w14:paraId="1051D322" w14:textId="77777777" w:rsidR="00BF3DF9" w:rsidRPr="00463667" w:rsidRDefault="00BF3DF9" w:rsidP="00C56CA6">
            <w:pPr>
              <w:pStyle w:val="TableText"/>
            </w:pPr>
            <w:r w:rsidRPr="00463667">
              <w:t>Cost</w:t>
            </w:r>
          </w:p>
        </w:tc>
        <w:tc>
          <w:tcPr>
            <w:tcW w:w="2726" w:type="pct"/>
          </w:tcPr>
          <w:p w14:paraId="2E1D75AD" w14:textId="77777777" w:rsidR="00BF3DF9" w:rsidRPr="00463667" w:rsidRDefault="00BF3DF9" w:rsidP="00C56CA6">
            <w:pPr>
              <w:pStyle w:val="TableText"/>
            </w:pPr>
            <w:r w:rsidRPr="00463667">
              <w:t>Surgery &amp; Procedure Inpatient Services</w:t>
            </w:r>
          </w:p>
        </w:tc>
      </w:tr>
      <w:tr w:rsidR="00BF3DF9" w:rsidRPr="00463667" w14:paraId="41B65048" w14:textId="77777777" w:rsidTr="00484C42">
        <w:trPr>
          <w:cantSplit/>
        </w:trPr>
        <w:tc>
          <w:tcPr>
            <w:tcW w:w="641" w:type="pct"/>
            <w:tcBorders>
              <w:top w:val="nil"/>
              <w:left w:val="nil"/>
              <w:bottom w:val="nil"/>
              <w:right w:val="nil"/>
            </w:tcBorders>
          </w:tcPr>
          <w:p w14:paraId="7759F12B" w14:textId="77777777" w:rsidR="00BF3DF9" w:rsidRPr="00463667" w:rsidRDefault="00BF3DF9" w:rsidP="00C56CA6">
            <w:pPr>
              <w:pStyle w:val="TableText"/>
            </w:pPr>
          </w:p>
        </w:tc>
        <w:tc>
          <w:tcPr>
            <w:tcW w:w="510" w:type="pct"/>
            <w:tcBorders>
              <w:left w:val="nil"/>
              <w:bottom w:val="nil"/>
            </w:tcBorders>
          </w:tcPr>
          <w:p w14:paraId="50860172" w14:textId="77777777" w:rsidR="00BF3DF9" w:rsidRPr="00463667" w:rsidRDefault="00BF3DF9" w:rsidP="00C56CA6">
            <w:pPr>
              <w:pStyle w:val="TableText"/>
            </w:pPr>
          </w:p>
        </w:tc>
        <w:tc>
          <w:tcPr>
            <w:tcW w:w="557" w:type="pct"/>
          </w:tcPr>
          <w:p w14:paraId="3FF251F3" w14:textId="77777777" w:rsidR="00BF3DF9" w:rsidRPr="00463667" w:rsidRDefault="00BF3DF9" w:rsidP="00C56CA6">
            <w:pPr>
              <w:pStyle w:val="TableText"/>
              <w:ind w:left="317"/>
            </w:pPr>
            <w:r w:rsidRPr="00463667">
              <w:t>5</w:t>
            </w:r>
          </w:p>
        </w:tc>
        <w:tc>
          <w:tcPr>
            <w:tcW w:w="566" w:type="pct"/>
          </w:tcPr>
          <w:p w14:paraId="4E3EA175" w14:textId="77777777" w:rsidR="00BF3DF9" w:rsidRPr="00463667" w:rsidRDefault="00BF3DF9" w:rsidP="00C56CA6">
            <w:pPr>
              <w:pStyle w:val="TableText"/>
            </w:pPr>
            <w:r w:rsidRPr="00463667">
              <w:t>Cost</w:t>
            </w:r>
          </w:p>
        </w:tc>
        <w:tc>
          <w:tcPr>
            <w:tcW w:w="2726" w:type="pct"/>
          </w:tcPr>
          <w:p w14:paraId="53C4D899" w14:textId="77777777" w:rsidR="00BF3DF9" w:rsidRPr="00463667" w:rsidRDefault="00BF3DF9" w:rsidP="00C56CA6">
            <w:pPr>
              <w:pStyle w:val="TableText"/>
            </w:pPr>
            <w:r w:rsidRPr="00463667">
              <w:t>Surgery &amp; Procedure Outpatient Services</w:t>
            </w:r>
          </w:p>
        </w:tc>
      </w:tr>
      <w:tr w:rsidR="00BF3DF9" w:rsidRPr="00463667" w14:paraId="5A7FDC8B" w14:textId="77777777" w:rsidTr="00484C42">
        <w:trPr>
          <w:cantSplit/>
        </w:trPr>
        <w:tc>
          <w:tcPr>
            <w:tcW w:w="641" w:type="pct"/>
            <w:tcBorders>
              <w:top w:val="nil"/>
              <w:left w:val="nil"/>
              <w:bottom w:val="nil"/>
              <w:right w:val="nil"/>
            </w:tcBorders>
          </w:tcPr>
          <w:p w14:paraId="0A32A6D0" w14:textId="77777777" w:rsidR="00BF3DF9" w:rsidRPr="00463667" w:rsidRDefault="00BF3DF9" w:rsidP="00C56CA6">
            <w:pPr>
              <w:pStyle w:val="TableText"/>
            </w:pPr>
          </w:p>
        </w:tc>
        <w:tc>
          <w:tcPr>
            <w:tcW w:w="510" w:type="pct"/>
            <w:tcBorders>
              <w:top w:val="nil"/>
              <w:left w:val="nil"/>
              <w:bottom w:val="nil"/>
            </w:tcBorders>
          </w:tcPr>
          <w:p w14:paraId="54362612" w14:textId="77777777" w:rsidR="00BF3DF9" w:rsidRPr="00463667" w:rsidRDefault="00BF3DF9" w:rsidP="00C56CA6">
            <w:pPr>
              <w:pStyle w:val="TableText"/>
            </w:pPr>
          </w:p>
        </w:tc>
        <w:tc>
          <w:tcPr>
            <w:tcW w:w="557" w:type="pct"/>
          </w:tcPr>
          <w:p w14:paraId="3C5F5655" w14:textId="77777777" w:rsidR="00BF3DF9" w:rsidRPr="00463667" w:rsidRDefault="00BF3DF9" w:rsidP="00C56CA6">
            <w:pPr>
              <w:pStyle w:val="TableText"/>
              <w:ind w:left="317"/>
            </w:pPr>
            <w:r w:rsidRPr="00463667">
              <w:t>6</w:t>
            </w:r>
          </w:p>
        </w:tc>
        <w:tc>
          <w:tcPr>
            <w:tcW w:w="566" w:type="pct"/>
          </w:tcPr>
          <w:p w14:paraId="307FD3E5" w14:textId="77777777" w:rsidR="00BF3DF9" w:rsidRPr="00463667" w:rsidRDefault="00BF3DF9" w:rsidP="00C56CA6">
            <w:pPr>
              <w:pStyle w:val="TableText"/>
            </w:pPr>
            <w:r w:rsidRPr="00463667">
              <w:t>Cost</w:t>
            </w:r>
          </w:p>
        </w:tc>
        <w:tc>
          <w:tcPr>
            <w:tcW w:w="2726" w:type="pct"/>
          </w:tcPr>
          <w:p w14:paraId="32F0C9F0" w14:textId="77777777" w:rsidR="00BF3DF9" w:rsidRPr="00463667" w:rsidRDefault="00BF3DF9" w:rsidP="00C56CA6">
            <w:pPr>
              <w:pStyle w:val="TableText"/>
            </w:pPr>
            <w:r w:rsidRPr="00463667">
              <w:t>Imaging Services</w:t>
            </w:r>
          </w:p>
        </w:tc>
      </w:tr>
      <w:tr w:rsidR="00BF3DF9" w:rsidRPr="00463667" w14:paraId="79E4EC5D" w14:textId="77777777" w:rsidTr="00484C42">
        <w:trPr>
          <w:cantSplit/>
        </w:trPr>
        <w:tc>
          <w:tcPr>
            <w:tcW w:w="641" w:type="pct"/>
            <w:tcBorders>
              <w:top w:val="nil"/>
              <w:left w:val="nil"/>
              <w:bottom w:val="nil"/>
              <w:right w:val="nil"/>
            </w:tcBorders>
          </w:tcPr>
          <w:p w14:paraId="763CB0F6" w14:textId="77777777" w:rsidR="00BF3DF9" w:rsidRPr="00463667" w:rsidRDefault="00BF3DF9" w:rsidP="00C56CA6">
            <w:pPr>
              <w:pStyle w:val="TableText"/>
            </w:pPr>
          </w:p>
        </w:tc>
        <w:tc>
          <w:tcPr>
            <w:tcW w:w="510" w:type="pct"/>
            <w:tcBorders>
              <w:top w:val="nil"/>
              <w:left w:val="nil"/>
              <w:bottom w:val="nil"/>
            </w:tcBorders>
          </w:tcPr>
          <w:p w14:paraId="115DBFDC" w14:textId="77777777" w:rsidR="00BF3DF9" w:rsidRPr="00463667" w:rsidRDefault="00BF3DF9" w:rsidP="00C56CA6">
            <w:pPr>
              <w:pStyle w:val="TableText"/>
            </w:pPr>
          </w:p>
        </w:tc>
        <w:tc>
          <w:tcPr>
            <w:tcW w:w="557" w:type="pct"/>
          </w:tcPr>
          <w:p w14:paraId="54962360" w14:textId="77777777" w:rsidR="00BF3DF9" w:rsidRPr="00463667" w:rsidRDefault="00BF3DF9" w:rsidP="00C56CA6">
            <w:pPr>
              <w:pStyle w:val="TableText"/>
              <w:ind w:left="317"/>
            </w:pPr>
            <w:r w:rsidRPr="00463667">
              <w:t>7</w:t>
            </w:r>
          </w:p>
        </w:tc>
        <w:tc>
          <w:tcPr>
            <w:tcW w:w="566" w:type="pct"/>
          </w:tcPr>
          <w:p w14:paraId="1ED80C85" w14:textId="77777777" w:rsidR="00BF3DF9" w:rsidRPr="00463667" w:rsidRDefault="00BF3DF9" w:rsidP="00C56CA6">
            <w:pPr>
              <w:pStyle w:val="TableText"/>
            </w:pPr>
            <w:r w:rsidRPr="00463667">
              <w:t>Cost</w:t>
            </w:r>
          </w:p>
        </w:tc>
        <w:tc>
          <w:tcPr>
            <w:tcW w:w="2726" w:type="pct"/>
          </w:tcPr>
          <w:p w14:paraId="6164FA58" w14:textId="77777777" w:rsidR="00BF3DF9" w:rsidRPr="00463667" w:rsidRDefault="00BF3DF9" w:rsidP="00C56CA6">
            <w:pPr>
              <w:pStyle w:val="TableText"/>
            </w:pPr>
            <w:r w:rsidRPr="00463667">
              <w:t>Laboratory Services</w:t>
            </w:r>
          </w:p>
        </w:tc>
      </w:tr>
      <w:tr w:rsidR="00BF3DF9" w:rsidRPr="00463667" w14:paraId="73DA68F6" w14:textId="77777777" w:rsidTr="00484C42">
        <w:trPr>
          <w:cantSplit/>
        </w:trPr>
        <w:tc>
          <w:tcPr>
            <w:tcW w:w="641" w:type="pct"/>
            <w:tcBorders>
              <w:top w:val="nil"/>
              <w:left w:val="nil"/>
              <w:bottom w:val="nil"/>
              <w:right w:val="nil"/>
            </w:tcBorders>
          </w:tcPr>
          <w:p w14:paraId="5E4CA94A" w14:textId="77777777" w:rsidR="00BF3DF9" w:rsidRPr="00463667" w:rsidRDefault="00BF3DF9" w:rsidP="00C56CA6">
            <w:pPr>
              <w:pStyle w:val="TableText"/>
            </w:pPr>
          </w:p>
        </w:tc>
        <w:tc>
          <w:tcPr>
            <w:tcW w:w="510" w:type="pct"/>
            <w:tcBorders>
              <w:top w:val="nil"/>
              <w:left w:val="nil"/>
              <w:bottom w:val="nil"/>
            </w:tcBorders>
          </w:tcPr>
          <w:p w14:paraId="3E075F50" w14:textId="77777777" w:rsidR="00BF3DF9" w:rsidRPr="00463667" w:rsidRDefault="00BF3DF9" w:rsidP="00C56CA6">
            <w:pPr>
              <w:pStyle w:val="TableText"/>
            </w:pPr>
          </w:p>
        </w:tc>
        <w:tc>
          <w:tcPr>
            <w:tcW w:w="557" w:type="pct"/>
          </w:tcPr>
          <w:p w14:paraId="3BE05B53" w14:textId="77777777" w:rsidR="00BF3DF9" w:rsidRPr="00463667" w:rsidRDefault="00BF3DF9" w:rsidP="00C56CA6">
            <w:pPr>
              <w:pStyle w:val="TableText"/>
              <w:ind w:left="317"/>
            </w:pPr>
            <w:r w:rsidRPr="00463667">
              <w:t>8</w:t>
            </w:r>
          </w:p>
        </w:tc>
        <w:tc>
          <w:tcPr>
            <w:tcW w:w="566" w:type="pct"/>
          </w:tcPr>
          <w:p w14:paraId="291C6222" w14:textId="77777777" w:rsidR="00BF3DF9" w:rsidRPr="00463667" w:rsidRDefault="00BF3DF9" w:rsidP="00C56CA6">
            <w:pPr>
              <w:pStyle w:val="TableText"/>
            </w:pPr>
            <w:r w:rsidRPr="00463667">
              <w:t>Cost</w:t>
            </w:r>
          </w:p>
        </w:tc>
        <w:tc>
          <w:tcPr>
            <w:tcW w:w="2726" w:type="pct"/>
          </w:tcPr>
          <w:p w14:paraId="40ED8A2B" w14:textId="77777777" w:rsidR="00BF3DF9" w:rsidRPr="00463667" w:rsidRDefault="00BF3DF9" w:rsidP="00C56CA6">
            <w:pPr>
              <w:pStyle w:val="TableText"/>
            </w:pPr>
            <w:r w:rsidRPr="00463667">
              <w:t>Pharmacy</w:t>
            </w:r>
          </w:p>
        </w:tc>
      </w:tr>
      <w:tr w:rsidR="00BF3DF9" w:rsidRPr="00463667" w14:paraId="0FCA3E3E" w14:textId="77777777" w:rsidTr="00484C42">
        <w:trPr>
          <w:cantSplit/>
        </w:trPr>
        <w:tc>
          <w:tcPr>
            <w:tcW w:w="641" w:type="pct"/>
            <w:tcBorders>
              <w:top w:val="nil"/>
              <w:left w:val="nil"/>
              <w:bottom w:val="nil"/>
              <w:right w:val="nil"/>
            </w:tcBorders>
          </w:tcPr>
          <w:p w14:paraId="1CF9A14D" w14:textId="77777777" w:rsidR="00BF3DF9" w:rsidRPr="00463667" w:rsidRDefault="00BF3DF9" w:rsidP="00C56CA6">
            <w:pPr>
              <w:pStyle w:val="TableText"/>
            </w:pPr>
          </w:p>
        </w:tc>
        <w:tc>
          <w:tcPr>
            <w:tcW w:w="510" w:type="pct"/>
            <w:tcBorders>
              <w:top w:val="nil"/>
              <w:left w:val="nil"/>
              <w:bottom w:val="nil"/>
            </w:tcBorders>
          </w:tcPr>
          <w:p w14:paraId="2FADCB3C" w14:textId="77777777" w:rsidR="00BF3DF9" w:rsidRPr="00463667" w:rsidRDefault="00BF3DF9" w:rsidP="00C56CA6">
            <w:pPr>
              <w:pStyle w:val="TableText"/>
            </w:pPr>
          </w:p>
        </w:tc>
        <w:tc>
          <w:tcPr>
            <w:tcW w:w="557" w:type="pct"/>
          </w:tcPr>
          <w:p w14:paraId="395A827B" w14:textId="77777777" w:rsidR="00BF3DF9" w:rsidRPr="00463667" w:rsidRDefault="00BF3DF9" w:rsidP="00C56CA6">
            <w:pPr>
              <w:pStyle w:val="TableText"/>
              <w:ind w:left="317"/>
            </w:pPr>
            <w:r w:rsidRPr="00463667">
              <w:t>9</w:t>
            </w:r>
          </w:p>
        </w:tc>
        <w:tc>
          <w:tcPr>
            <w:tcW w:w="566" w:type="pct"/>
          </w:tcPr>
          <w:p w14:paraId="604C7FAC" w14:textId="77777777" w:rsidR="00BF3DF9" w:rsidRPr="00463667" w:rsidRDefault="00BF3DF9" w:rsidP="00C56CA6">
            <w:pPr>
              <w:pStyle w:val="TableText"/>
            </w:pPr>
            <w:r w:rsidRPr="00463667">
              <w:t>Count</w:t>
            </w:r>
          </w:p>
        </w:tc>
        <w:tc>
          <w:tcPr>
            <w:tcW w:w="2726" w:type="pct"/>
          </w:tcPr>
          <w:p w14:paraId="71CAE543" w14:textId="77777777" w:rsidR="00BF3DF9" w:rsidRPr="00463667" w:rsidRDefault="00BF3DF9" w:rsidP="00C56CA6">
            <w:pPr>
              <w:pStyle w:val="TableText"/>
            </w:pPr>
            <w:r w:rsidRPr="00463667">
              <w:t>Inpatient Facility: Acute Inpatient: Medical Days</w:t>
            </w:r>
          </w:p>
        </w:tc>
      </w:tr>
      <w:tr w:rsidR="00BF3DF9" w:rsidRPr="00463667" w14:paraId="517C1149" w14:textId="77777777" w:rsidTr="00484C42">
        <w:trPr>
          <w:cantSplit/>
        </w:trPr>
        <w:tc>
          <w:tcPr>
            <w:tcW w:w="641" w:type="pct"/>
            <w:tcBorders>
              <w:top w:val="nil"/>
              <w:left w:val="nil"/>
              <w:bottom w:val="nil"/>
              <w:right w:val="nil"/>
            </w:tcBorders>
          </w:tcPr>
          <w:p w14:paraId="5CC29096" w14:textId="77777777" w:rsidR="00BF3DF9" w:rsidRPr="00463667" w:rsidRDefault="00BF3DF9" w:rsidP="00C56CA6">
            <w:pPr>
              <w:pStyle w:val="TableText"/>
            </w:pPr>
          </w:p>
        </w:tc>
        <w:tc>
          <w:tcPr>
            <w:tcW w:w="510" w:type="pct"/>
            <w:tcBorders>
              <w:top w:val="nil"/>
              <w:left w:val="nil"/>
              <w:bottom w:val="nil"/>
            </w:tcBorders>
          </w:tcPr>
          <w:p w14:paraId="2F31AFF2" w14:textId="77777777" w:rsidR="00BF3DF9" w:rsidRPr="00463667" w:rsidRDefault="00BF3DF9" w:rsidP="00C56CA6">
            <w:pPr>
              <w:pStyle w:val="TableText"/>
            </w:pPr>
          </w:p>
        </w:tc>
        <w:tc>
          <w:tcPr>
            <w:tcW w:w="557" w:type="pct"/>
          </w:tcPr>
          <w:p w14:paraId="2037AE82" w14:textId="77777777" w:rsidR="00BF3DF9" w:rsidRPr="00463667" w:rsidRDefault="00BF3DF9" w:rsidP="00C56CA6">
            <w:pPr>
              <w:pStyle w:val="TableText"/>
              <w:ind w:left="216"/>
            </w:pPr>
            <w:r w:rsidRPr="00463667">
              <w:t>10</w:t>
            </w:r>
          </w:p>
        </w:tc>
        <w:tc>
          <w:tcPr>
            <w:tcW w:w="566" w:type="pct"/>
          </w:tcPr>
          <w:p w14:paraId="132E71AB" w14:textId="77777777" w:rsidR="00BF3DF9" w:rsidRPr="00463667" w:rsidRDefault="00BF3DF9" w:rsidP="00C56CA6">
            <w:pPr>
              <w:pStyle w:val="TableText"/>
            </w:pPr>
            <w:r w:rsidRPr="00463667">
              <w:t>Count</w:t>
            </w:r>
          </w:p>
        </w:tc>
        <w:tc>
          <w:tcPr>
            <w:tcW w:w="2726" w:type="pct"/>
          </w:tcPr>
          <w:p w14:paraId="77CB68B0" w14:textId="77777777" w:rsidR="00BF3DF9" w:rsidRPr="00463667" w:rsidRDefault="00BF3DF9" w:rsidP="00C56CA6">
            <w:pPr>
              <w:pStyle w:val="TableText"/>
            </w:pPr>
            <w:r w:rsidRPr="00463667">
              <w:t>Inpatient Facility: Acute Inpatient: Medical Discharges</w:t>
            </w:r>
          </w:p>
        </w:tc>
      </w:tr>
      <w:tr w:rsidR="00BF3DF9" w:rsidRPr="00463667" w14:paraId="7957CA76" w14:textId="77777777" w:rsidTr="00484C42">
        <w:trPr>
          <w:cantSplit/>
        </w:trPr>
        <w:tc>
          <w:tcPr>
            <w:tcW w:w="641" w:type="pct"/>
            <w:tcBorders>
              <w:top w:val="nil"/>
              <w:left w:val="nil"/>
              <w:bottom w:val="nil"/>
              <w:right w:val="nil"/>
            </w:tcBorders>
          </w:tcPr>
          <w:p w14:paraId="1FB00659" w14:textId="77777777" w:rsidR="00BF3DF9" w:rsidRPr="00463667" w:rsidRDefault="00BF3DF9" w:rsidP="00C56CA6">
            <w:pPr>
              <w:pStyle w:val="TableText"/>
            </w:pPr>
          </w:p>
        </w:tc>
        <w:tc>
          <w:tcPr>
            <w:tcW w:w="510" w:type="pct"/>
            <w:tcBorders>
              <w:top w:val="nil"/>
              <w:left w:val="nil"/>
              <w:bottom w:val="nil"/>
            </w:tcBorders>
          </w:tcPr>
          <w:p w14:paraId="3EF03C3B" w14:textId="77777777" w:rsidR="00BF3DF9" w:rsidRPr="00463667" w:rsidRDefault="00BF3DF9" w:rsidP="00C56CA6">
            <w:pPr>
              <w:pStyle w:val="TableText"/>
            </w:pPr>
          </w:p>
        </w:tc>
        <w:tc>
          <w:tcPr>
            <w:tcW w:w="557" w:type="pct"/>
          </w:tcPr>
          <w:p w14:paraId="21436A3E" w14:textId="77777777" w:rsidR="00BF3DF9" w:rsidRPr="00463667" w:rsidRDefault="00BF3DF9" w:rsidP="00C56CA6">
            <w:pPr>
              <w:pStyle w:val="TableText"/>
              <w:ind w:left="216"/>
            </w:pPr>
            <w:r w:rsidRPr="00463667">
              <w:t>11</w:t>
            </w:r>
          </w:p>
        </w:tc>
        <w:tc>
          <w:tcPr>
            <w:tcW w:w="566" w:type="pct"/>
          </w:tcPr>
          <w:p w14:paraId="324F98F4" w14:textId="77777777" w:rsidR="00BF3DF9" w:rsidRPr="00463667" w:rsidRDefault="00BF3DF9" w:rsidP="00C56CA6">
            <w:pPr>
              <w:pStyle w:val="TableText"/>
            </w:pPr>
            <w:r w:rsidRPr="00463667">
              <w:t>Count</w:t>
            </w:r>
          </w:p>
        </w:tc>
        <w:tc>
          <w:tcPr>
            <w:tcW w:w="2726" w:type="pct"/>
          </w:tcPr>
          <w:p w14:paraId="32AB869C" w14:textId="77777777" w:rsidR="00BF3DF9" w:rsidRPr="00463667" w:rsidRDefault="00BF3DF9" w:rsidP="00C56CA6">
            <w:pPr>
              <w:pStyle w:val="TableText"/>
            </w:pPr>
            <w:r w:rsidRPr="00463667">
              <w:t>Inpatient Facility: Acute Inpatient: Surgery Days</w:t>
            </w:r>
          </w:p>
        </w:tc>
      </w:tr>
      <w:tr w:rsidR="00BF3DF9" w:rsidRPr="00463667" w14:paraId="5D84E657" w14:textId="77777777" w:rsidTr="00484C42">
        <w:trPr>
          <w:cantSplit/>
        </w:trPr>
        <w:tc>
          <w:tcPr>
            <w:tcW w:w="641" w:type="pct"/>
            <w:tcBorders>
              <w:top w:val="nil"/>
              <w:left w:val="nil"/>
              <w:bottom w:val="nil"/>
              <w:right w:val="nil"/>
            </w:tcBorders>
          </w:tcPr>
          <w:p w14:paraId="37FF0F1F" w14:textId="77777777" w:rsidR="00BF3DF9" w:rsidRPr="00463667" w:rsidRDefault="00BF3DF9" w:rsidP="00C56CA6">
            <w:pPr>
              <w:pStyle w:val="TableText"/>
            </w:pPr>
          </w:p>
        </w:tc>
        <w:tc>
          <w:tcPr>
            <w:tcW w:w="510" w:type="pct"/>
            <w:tcBorders>
              <w:top w:val="nil"/>
              <w:left w:val="nil"/>
              <w:bottom w:val="nil"/>
            </w:tcBorders>
          </w:tcPr>
          <w:p w14:paraId="4EF3F4A6" w14:textId="77777777" w:rsidR="00BF3DF9" w:rsidRPr="00463667" w:rsidRDefault="00BF3DF9" w:rsidP="00C56CA6">
            <w:pPr>
              <w:pStyle w:val="TableText"/>
            </w:pPr>
          </w:p>
        </w:tc>
        <w:tc>
          <w:tcPr>
            <w:tcW w:w="557" w:type="pct"/>
          </w:tcPr>
          <w:p w14:paraId="7FFD5CB7" w14:textId="77777777" w:rsidR="00BF3DF9" w:rsidRPr="00463667" w:rsidRDefault="00BF3DF9" w:rsidP="00C56CA6">
            <w:pPr>
              <w:pStyle w:val="TableText"/>
              <w:ind w:left="216"/>
            </w:pPr>
            <w:r w:rsidRPr="00463667">
              <w:t>12</w:t>
            </w:r>
          </w:p>
        </w:tc>
        <w:tc>
          <w:tcPr>
            <w:tcW w:w="566" w:type="pct"/>
          </w:tcPr>
          <w:p w14:paraId="35DAE592" w14:textId="77777777" w:rsidR="00BF3DF9" w:rsidRPr="00463667" w:rsidRDefault="00BF3DF9" w:rsidP="00C56CA6">
            <w:pPr>
              <w:pStyle w:val="TableText"/>
            </w:pPr>
            <w:r w:rsidRPr="00463667">
              <w:t>Count</w:t>
            </w:r>
          </w:p>
        </w:tc>
        <w:tc>
          <w:tcPr>
            <w:tcW w:w="2726" w:type="pct"/>
          </w:tcPr>
          <w:p w14:paraId="29A5ED14" w14:textId="77777777" w:rsidR="00BF3DF9" w:rsidRPr="00463667" w:rsidRDefault="00BF3DF9" w:rsidP="00C56CA6">
            <w:pPr>
              <w:pStyle w:val="TableText"/>
            </w:pPr>
            <w:r w:rsidRPr="00463667">
              <w:t>Inpatient Facility: Acute Inpatient: Surgery Discharges</w:t>
            </w:r>
          </w:p>
        </w:tc>
      </w:tr>
      <w:tr w:rsidR="00BF3DF9" w:rsidRPr="00463667" w14:paraId="11182E87" w14:textId="77777777" w:rsidTr="00484C42">
        <w:trPr>
          <w:cantSplit/>
        </w:trPr>
        <w:tc>
          <w:tcPr>
            <w:tcW w:w="641" w:type="pct"/>
            <w:tcBorders>
              <w:top w:val="nil"/>
              <w:left w:val="nil"/>
              <w:bottom w:val="nil"/>
              <w:right w:val="nil"/>
            </w:tcBorders>
          </w:tcPr>
          <w:p w14:paraId="4E857BC9" w14:textId="77777777" w:rsidR="00BF3DF9" w:rsidRPr="00463667" w:rsidRDefault="00BF3DF9" w:rsidP="00C56CA6">
            <w:pPr>
              <w:pStyle w:val="TableText"/>
            </w:pPr>
          </w:p>
        </w:tc>
        <w:tc>
          <w:tcPr>
            <w:tcW w:w="510" w:type="pct"/>
            <w:tcBorders>
              <w:top w:val="nil"/>
              <w:left w:val="nil"/>
              <w:bottom w:val="nil"/>
            </w:tcBorders>
          </w:tcPr>
          <w:p w14:paraId="71EAA23C" w14:textId="77777777" w:rsidR="00BF3DF9" w:rsidRPr="00463667" w:rsidRDefault="00BF3DF9" w:rsidP="00C56CA6">
            <w:pPr>
              <w:pStyle w:val="TableText"/>
            </w:pPr>
          </w:p>
        </w:tc>
        <w:tc>
          <w:tcPr>
            <w:tcW w:w="557" w:type="pct"/>
            <w:tcBorders>
              <w:bottom w:val="single" w:sz="4" w:space="0" w:color="auto"/>
            </w:tcBorders>
          </w:tcPr>
          <w:p w14:paraId="515EDE4B" w14:textId="77777777" w:rsidR="00BF3DF9" w:rsidRPr="00463667" w:rsidRDefault="00BF3DF9" w:rsidP="00C56CA6">
            <w:pPr>
              <w:pStyle w:val="TableText"/>
              <w:ind w:left="216"/>
            </w:pPr>
            <w:r w:rsidRPr="00463667">
              <w:t>13</w:t>
            </w:r>
          </w:p>
        </w:tc>
        <w:tc>
          <w:tcPr>
            <w:tcW w:w="566" w:type="pct"/>
          </w:tcPr>
          <w:p w14:paraId="3F82BEE2" w14:textId="77777777" w:rsidR="00BF3DF9" w:rsidRPr="00463667" w:rsidRDefault="00BF3DF9" w:rsidP="00C56CA6">
            <w:pPr>
              <w:pStyle w:val="TableText"/>
            </w:pPr>
            <w:r w:rsidRPr="00463667">
              <w:t>Count</w:t>
            </w:r>
          </w:p>
        </w:tc>
        <w:tc>
          <w:tcPr>
            <w:tcW w:w="2726" w:type="pct"/>
          </w:tcPr>
          <w:p w14:paraId="15E1C390" w14:textId="77777777" w:rsidR="00BF3DF9" w:rsidRPr="00463667" w:rsidRDefault="00BF3DF9" w:rsidP="00C56CA6">
            <w:pPr>
              <w:pStyle w:val="TableText"/>
            </w:pPr>
            <w:r w:rsidRPr="00463667">
              <w:t>Inpatient Facility: Nonacute: Days</w:t>
            </w:r>
          </w:p>
        </w:tc>
      </w:tr>
      <w:tr w:rsidR="00BF3DF9" w:rsidRPr="00463667" w14:paraId="3AB69E31" w14:textId="77777777" w:rsidTr="00484C42">
        <w:trPr>
          <w:cantSplit/>
        </w:trPr>
        <w:tc>
          <w:tcPr>
            <w:tcW w:w="641" w:type="pct"/>
            <w:tcBorders>
              <w:top w:val="nil"/>
              <w:left w:val="nil"/>
              <w:bottom w:val="nil"/>
              <w:right w:val="nil"/>
            </w:tcBorders>
          </w:tcPr>
          <w:p w14:paraId="67BDA1E5" w14:textId="77777777" w:rsidR="00BF3DF9" w:rsidRPr="00463667" w:rsidRDefault="00BF3DF9" w:rsidP="00C56CA6">
            <w:pPr>
              <w:pStyle w:val="TableText"/>
            </w:pPr>
          </w:p>
        </w:tc>
        <w:tc>
          <w:tcPr>
            <w:tcW w:w="510" w:type="pct"/>
            <w:tcBorders>
              <w:top w:val="nil"/>
              <w:left w:val="nil"/>
              <w:bottom w:val="nil"/>
              <w:right w:val="nil"/>
            </w:tcBorders>
          </w:tcPr>
          <w:p w14:paraId="70F8B883" w14:textId="77777777" w:rsidR="00BF3DF9" w:rsidRPr="00463667" w:rsidRDefault="00BF3DF9" w:rsidP="00C56CA6">
            <w:pPr>
              <w:pStyle w:val="TableText"/>
            </w:pPr>
          </w:p>
        </w:tc>
        <w:tc>
          <w:tcPr>
            <w:tcW w:w="557" w:type="pct"/>
            <w:tcBorders>
              <w:left w:val="nil"/>
              <w:bottom w:val="nil"/>
            </w:tcBorders>
          </w:tcPr>
          <w:p w14:paraId="10CB7021" w14:textId="77777777" w:rsidR="00BF3DF9" w:rsidRPr="00463667" w:rsidRDefault="00BF3DF9" w:rsidP="00C56CA6">
            <w:pPr>
              <w:pStyle w:val="TableText"/>
            </w:pPr>
          </w:p>
        </w:tc>
        <w:tc>
          <w:tcPr>
            <w:tcW w:w="566" w:type="pct"/>
          </w:tcPr>
          <w:p w14:paraId="67996340" w14:textId="77777777" w:rsidR="00BF3DF9" w:rsidRPr="00463667" w:rsidRDefault="00BF3DF9" w:rsidP="00C56CA6">
            <w:pPr>
              <w:pStyle w:val="TableText"/>
            </w:pPr>
            <w:r w:rsidRPr="00463667">
              <w:t>Count</w:t>
            </w:r>
          </w:p>
        </w:tc>
        <w:tc>
          <w:tcPr>
            <w:tcW w:w="2726" w:type="pct"/>
          </w:tcPr>
          <w:p w14:paraId="0281701C" w14:textId="77777777" w:rsidR="00BF3DF9" w:rsidRPr="00463667" w:rsidRDefault="00BF3DF9" w:rsidP="00C56CA6">
            <w:pPr>
              <w:pStyle w:val="TableText"/>
            </w:pPr>
            <w:r w:rsidRPr="00463667">
              <w:t>Inpatient Facility: Nonacute: Discharges</w:t>
            </w:r>
          </w:p>
        </w:tc>
      </w:tr>
      <w:tr w:rsidR="00BF3DF9" w:rsidRPr="00463667" w14:paraId="0A9C5D5A" w14:textId="77777777" w:rsidTr="00484C42">
        <w:trPr>
          <w:cantSplit/>
        </w:trPr>
        <w:tc>
          <w:tcPr>
            <w:tcW w:w="641" w:type="pct"/>
            <w:tcBorders>
              <w:top w:val="nil"/>
              <w:left w:val="nil"/>
              <w:bottom w:val="nil"/>
              <w:right w:val="nil"/>
            </w:tcBorders>
          </w:tcPr>
          <w:p w14:paraId="0ADF843D" w14:textId="77777777" w:rsidR="00BF3DF9" w:rsidRPr="00463667" w:rsidRDefault="00BF3DF9" w:rsidP="00C56CA6">
            <w:pPr>
              <w:pStyle w:val="TableText"/>
            </w:pPr>
          </w:p>
        </w:tc>
        <w:tc>
          <w:tcPr>
            <w:tcW w:w="510" w:type="pct"/>
            <w:tcBorders>
              <w:top w:val="nil"/>
              <w:left w:val="nil"/>
              <w:bottom w:val="nil"/>
              <w:right w:val="nil"/>
            </w:tcBorders>
          </w:tcPr>
          <w:p w14:paraId="3BE0D8C0" w14:textId="77777777" w:rsidR="00BF3DF9" w:rsidRPr="00463667" w:rsidRDefault="00BF3DF9" w:rsidP="00C56CA6">
            <w:pPr>
              <w:pStyle w:val="TableText"/>
            </w:pPr>
          </w:p>
        </w:tc>
        <w:tc>
          <w:tcPr>
            <w:tcW w:w="557" w:type="pct"/>
            <w:tcBorders>
              <w:top w:val="nil"/>
              <w:left w:val="nil"/>
              <w:bottom w:val="nil"/>
            </w:tcBorders>
          </w:tcPr>
          <w:p w14:paraId="3BE80741" w14:textId="77777777" w:rsidR="00BF3DF9" w:rsidRPr="00463667" w:rsidRDefault="00BF3DF9" w:rsidP="00C56CA6">
            <w:pPr>
              <w:pStyle w:val="TableText"/>
            </w:pPr>
          </w:p>
        </w:tc>
        <w:tc>
          <w:tcPr>
            <w:tcW w:w="566" w:type="pct"/>
          </w:tcPr>
          <w:p w14:paraId="4F6B29B8" w14:textId="77777777" w:rsidR="00BF3DF9" w:rsidRPr="00463667" w:rsidRDefault="00BF3DF9" w:rsidP="00C56CA6">
            <w:pPr>
              <w:pStyle w:val="TableText"/>
            </w:pPr>
            <w:r w:rsidRPr="00463667">
              <w:t>Count</w:t>
            </w:r>
          </w:p>
        </w:tc>
        <w:tc>
          <w:tcPr>
            <w:tcW w:w="2726" w:type="pct"/>
          </w:tcPr>
          <w:p w14:paraId="5D2C6144" w14:textId="77777777" w:rsidR="00BF3DF9" w:rsidRPr="00463667" w:rsidRDefault="00BF3DF9" w:rsidP="00C56CA6">
            <w:pPr>
              <w:pStyle w:val="TableText"/>
            </w:pPr>
            <w:r w:rsidRPr="00463667">
              <w:t>ED Discharges</w:t>
            </w:r>
          </w:p>
        </w:tc>
      </w:tr>
      <w:tr w:rsidR="00BF3DF9" w:rsidRPr="00463667" w14:paraId="754ACBCE" w14:textId="77777777" w:rsidTr="00484C42">
        <w:trPr>
          <w:cantSplit/>
        </w:trPr>
        <w:tc>
          <w:tcPr>
            <w:tcW w:w="641" w:type="pct"/>
            <w:tcBorders>
              <w:top w:val="nil"/>
              <w:left w:val="nil"/>
              <w:bottom w:val="nil"/>
              <w:right w:val="nil"/>
            </w:tcBorders>
          </w:tcPr>
          <w:p w14:paraId="2BB5EB89" w14:textId="77777777" w:rsidR="00BF3DF9" w:rsidRPr="00463667" w:rsidRDefault="00BF3DF9" w:rsidP="00C56CA6">
            <w:pPr>
              <w:pStyle w:val="TableText"/>
            </w:pPr>
          </w:p>
        </w:tc>
        <w:tc>
          <w:tcPr>
            <w:tcW w:w="510" w:type="pct"/>
            <w:tcBorders>
              <w:top w:val="nil"/>
              <w:left w:val="nil"/>
              <w:bottom w:val="nil"/>
              <w:right w:val="nil"/>
            </w:tcBorders>
          </w:tcPr>
          <w:p w14:paraId="7D19B631" w14:textId="77777777" w:rsidR="00BF3DF9" w:rsidRPr="00463667" w:rsidRDefault="00BF3DF9" w:rsidP="00C56CA6">
            <w:pPr>
              <w:pStyle w:val="TableText"/>
            </w:pPr>
          </w:p>
        </w:tc>
        <w:tc>
          <w:tcPr>
            <w:tcW w:w="557" w:type="pct"/>
            <w:tcBorders>
              <w:top w:val="nil"/>
              <w:left w:val="nil"/>
              <w:bottom w:val="nil"/>
              <w:right w:val="single" w:sz="4" w:space="0" w:color="auto"/>
            </w:tcBorders>
          </w:tcPr>
          <w:p w14:paraId="5E6F6452" w14:textId="77777777" w:rsidR="00BF3DF9" w:rsidRPr="00463667" w:rsidRDefault="00BF3DF9" w:rsidP="00C56CA6">
            <w:pPr>
              <w:pStyle w:val="TableText"/>
            </w:pPr>
          </w:p>
        </w:tc>
        <w:tc>
          <w:tcPr>
            <w:tcW w:w="566" w:type="pct"/>
            <w:tcBorders>
              <w:top w:val="single" w:sz="4" w:space="0" w:color="auto"/>
              <w:left w:val="single" w:sz="4" w:space="0" w:color="auto"/>
              <w:bottom w:val="single" w:sz="4" w:space="0" w:color="auto"/>
              <w:right w:val="single" w:sz="4" w:space="0" w:color="auto"/>
            </w:tcBorders>
          </w:tcPr>
          <w:p w14:paraId="726874A1" w14:textId="77777777" w:rsidR="00BF3DF9" w:rsidRPr="00463667" w:rsidRDefault="00BF3DF9" w:rsidP="00C56CA6">
            <w:pPr>
              <w:pStyle w:val="TableText"/>
            </w:pPr>
            <w:r w:rsidRPr="00463667">
              <w:t>Mem</w:t>
            </w:r>
          </w:p>
        </w:tc>
        <w:tc>
          <w:tcPr>
            <w:tcW w:w="2726" w:type="pct"/>
            <w:tcBorders>
              <w:top w:val="single" w:sz="4" w:space="0" w:color="auto"/>
              <w:left w:val="single" w:sz="4" w:space="0" w:color="auto"/>
              <w:bottom w:val="single" w:sz="4" w:space="0" w:color="auto"/>
              <w:right w:val="single" w:sz="4" w:space="0" w:color="auto"/>
            </w:tcBorders>
          </w:tcPr>
          <w:p w14:paraId="2C4F3256" w14:textId="77777777" w:rsidR="00BF3DF9" w:rsidRPr="00463667" w:rsidRDefault="00BF3DF9" w:rsidP="00C56CA6">
            <w:pPr>
              <w:pStyle w:val="TableText"/>
            </w:pPr>
            <w:r w:rsidRPr="00463667">
              <w:t>Member Months Medical</w:t>
            </w:r>
          </w:p>
        </w:tc>
      </w:tr>
      <w:tr w:rsidR="00BF3DF9" w:rsidRPr="00463667" w14:paraId="518E1FD0" w14:textId="77777777" w:rsidTr="00484C42">
        <w:trPr>
          <w:cantSplit/>
        </w:trPr>
        <w:tc>
          <w:tcPr>
            <w:tcW w:w="641" w:type="pct"/>
            <w:tcBorders>
              <w:top w:val="nil"/>
              <w:left w:val="nil"/>
              <w:bottom w:val="nil"/>
              <w:right w:val="nil"/>
            </w:tcBorders>
          </w:tcPr>
          <w:p w14:paraId="51799160" w14:textId="77777777" w:rsidR="00BF3DF9" w:rsidRPr="00463667" w:rsidRDefault="00BF3DF9" w:rsidP="00C56CA6">
            <w:pPr>
              <w:pStyle w:val="TableText"/>
            </w:pPr>
          </w:p>
        </w:tc>
        <w:tc>
          <w:tcPr>
            <w:tcW w:w="510" w:type="pct"/>
            <w:tcBorders>
              <w:top w:val="nil"/>
              <w:left w:val="nil"/>
              <w:bottom w:val="nil"/>
              <w:right w:val="nil"/>
            </w:tcBorders>
          </w:tcPr>
          <w:p w14:paraId="3FCAED50" w14:textId="77777777" w:rsidR="00BF3DF9" w:rsidRPr="00463667" w:rsidRDefault="00BF3DF9" w:rsidP="00C56CA6">
            <w:pPr>
              <w:pStyle w:val="TableText"/>
            </w:pPr>
          </w:p>
        </w:tc>
        <w:tc>
          <w:tcPr>
            <w:tcW w:w="557" w:type="pct"/>
            <w:tcBorders>
              <w:top w:val="nil"/>
              <w:left w:val="nil"/>
              <w:bottom w:val="nil"/>
              <w:right w:val="single" w:sz="4" w:space="0" w:color="auto"/>
            </w:tcBorders>
          </w:tcPr>
          <w:p w14:paraId="66FEDCF1" w14:textId="77777777" w:rsidR="00BF3DF9" w:rsidRPr="00463667" w:rsidRDefault="00BF3DF9" w:rsidP="00C56CA6">
            <w:pPr>
              <w:pStyle w:val="TableText"/>
            </w:pPr>
          </w:p>
        </w:tc>
        <w:tc>
          <w:tcPr>
            <w:tcW w:w="566" w:type="pct"/>
            <w:tcBorders>
              <w:top w:val="single" w:sz="4" w:space="0" w:color="auto"/>
              <w:left w:val="single" w:sz="4" w:space="0" w:color="auto"/>
              <w:bottom w:val="single" w:sz="4" w:space="0" w:color="auto"/>
              <w:right w:val="single" w:sz="4" w:space="0" w:color="auto"/>
            </w:tcBorders>
          </w:tcPr>
          <w:p w14:paraId="5A6F034F" w14:textId="77777777" w:rsidR="00BF3DF9" w:rsidRPr="00463667" w:rsidRDefault="00BF3DF9" w:rsidP="00C56CA6">
            <w:pPr>
              <w:pStyle w:val="TableText"/>
            </w:pPr>
            <w:r w:rsidRPr="00463667">
              <w:t>Mem</w:t>
            </w:r>
          </w:p>
        </w:tc>
        <w:tc>
          <w:tcPr>
            <w:tcW w:w="2726" w:type="pct"/>
            <w:tcBorders>
              <w:top w:val="single" w:sz="4" w:space="0" w:color="auto"/>
              <w:left w:val="single" w:sz="4" w:space="0" w:color="auto"/>
              <w:bottom w:val="single" w:sz="4" w:space="0" w:color="auto"/>
              <w:right w:val="single" w:sz="4" w:space="0" w:color="auto"/>
            </w:tcBorders>
          </w:tcPr>
          <w:p w14:paraId="6FDECDE8" w14:textId="77777777" w:rsidR="00BF3DF9" w:rsidRPr="00463667" w:rsidRDefault="00BF3DF9" w:rsidP="00C56CA6">
            <w:pPr>
              <w:pStyle w:val="TableText"/>
            </w:pPr>
            <w:r w:rsidRPr="00463667">
              <w:t>Member Months Pharmacy</w:t>
            </w:r>
          </w:p>
        </w:tc>
      </w:tr>
    </w:tbl>
    <w:p w14:paraId="54674301" w14:textId="77777777" w:rsidR="00BF3DF9" w:rsidRPr="00463667" w:rsidRDefault="00BF3DF9" w:rsidP="00BF3DF9">
      <w:pPr>
        <w:rPr>
          <w:b/>
        </w:rPr>
        <w:sectPr w:rsidR="00BF3DF9" w:rsidRPr="00463667" w:rsidSect="00C56CA6">
          <w:pgSz w:w="12240" w:h="15840" w:code="1"/>
          <w:pgMar w:top="1080" w:right="1080" w:bottom="1080" w:left="1440" w:header="720" w:footer="720" w:gutter="0"/>
          <w:cols w:space="720"/>
        </w:sectPr>
      </w:pPr>
    </w:p>
    <w:p w14:paraId="18827267" w14:textId="6D9F56DA" w:rsidR="00BF3DF9" w:rsidRPr="00463667" w:rsidRDefault="00966C97" w:rsidP="00752BC5">
      <w:pPr>
        <w:pStyle w:val="TableHeadNotCondensed"/>
        <w:spacing w:before="0"/>
        <w:ind w:left="2070" w:hanging="2070"/>
      </w:pPr>
      <w:r>
        <w:lastRenderedPageBreak/>
        <w:t>Table RHY-C-1/2/3:</w:t>
      </w:r>
      <w:r>
        <w:tab/>
      </w:r>
      <w:r w:rsidR="00BF3DF9" w:rsidRPr="00463667">
        <w:t xml:space="preserve">Data Elements for Relative Resource Use for People </w:t>
      </w:r>
      <w:r>
        <w:br/>
      </w:r>
      <w:r w:rsidR="00BF3DF9" w:rsidRPr="00463667">
        <w:t>With Hypertension</w:t>
      </w:r>
    </w:p>
    <w:tbl>
      <w:tblPr>
        <w:tblW w:w="7830" w:type="dxa"/>
        <w:tblInd w:w="-10" w:type="dxa"/>
        <w:tblCellMar>
          <w:left w:w="0" w:type="dxa"/>
          <w:right w:w="0" w:type="dxa"/>
        </w:tblCellMar>
        <w:tblLook w:val="04A0" w:firstRow="1" w:lastRow="0" w:firstColumn="1" w:lastColumn="0" w:noHBand="0" w:noVBand="1"/>
      </w:tblPr>
      <w:tblGrid>
        <w:gridCol w:w="7830"/>
      </w:tblGrid>
      <w:tr w:rsidR="00BF3DF9" w:rsidRPr="00463667" w14:paraId="40308F03" w14:textId="77777777" w:rsidTr="00484C42">
        <w:trPr>
          <w:trHeight w:val="300"/>
        </w:trPr>
        <w:tc>
          <w:tcPr>
            <w:tcW w:w="7830" w:type="dxa"/>
            <w:tcBorders>
              <w:top w:val="single" w:sz="8" w:space="0" w:color="auto"/>
              <w:left w:val="single" w:sz="8" w:space="0" w:color="auto"/>
              <w:bottom w:val="single" w:sz="4" w:space="0" w:color="auto"/>
              <w:right w:val="single" w:sz="4" w:space="0" w:color="auto"/>
            </w:tcBorders>
            <w:shd w:val="clear" w:color="auto" w:fill="000000"/>
            <w:noWrap/>
            <w:tcMar>
              <w:top w:w="0" w:type="dxa"/>
              <w:left w:w="108" w:type="dxa"/>
              <w:bottom w:w="0" w:type="dxa"/>
              <w:right w:w="108" w:type="dxa"/>
            </w:tcMar>
            <w:vAlign w:val="bottom"/>
            <w:hideMark/>
          </w:tcPr>
          <w:p w14:paraId="5F6BA89E" w14:textId="77777777" w:rsidR="00BF3DF9" w:rsidRPr="00463667" w:rsidRDefault="00BF3DF9" w:rsidP="00C56CA6">
            <w:pPr>
              <w:pStyle w:val="TableHead"/>
              <w:rPr>
                <w:color w:val="auto"/>
              </w:rPr>
            </w:pPr>
            <w:r w:rsidRPr="00463667">
              <w:rPr>
                <w:color w:val="auto"/>
              </w:rPr>
              <w:t>Data Element</w:t>
            </w:r>
          </w:p>
        </w:tc>
      </w:tr>
      <w:tr w:rsidR="00BF3DF9" w:rsidRPr="00463667" w14:paraId="5A64CF18"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21EB4939" w14:textId="77777777" w:rsidR="00BF3DF9" w:rsidRPr="00463667" w:rsidRDefault="00BF3DF9" w:rsidP="00C56CA6">
            <w:pPr>
              <w:pStyle w:val="TableText"/>
            </w:pPr>
            <w:r w:rsidRPr="00463667">
              <w:t>Eligible Population</w:t>
            </w:r>
          </w:p>
        </w:tc>
      </w:tr>
      <w:tr w:rsidR="00BF3DF9" w:rsidRPr="00463667" w14:paraId="3BD84464"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6869BF2E" w14:textId="77777777" w:rsidR="00BF3DF9" w:rsidRPr="00463667" w:rsidRDefault="00BF3DF9" w:rsidP="00C56CA6">
            <w:pPr>
              <w:pStyle w:val="TableText"/>
            </w:pPr>
            <w:r w:rsidRPr="00463667">
              <w:t>Exclusions</w:t>
            </w:r>
          </w:p>
        </w:tc>
      </w:tr>
      <w:tr w:rsidR="00BF3DF9" w:rsidRPr="00463667" w14:paraId="7A6554BC"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2C493C1" w14:textId="77777777" w:rsidR="00BF3DF9" w:rsidRPr="00463667" w:rsidRDefault="00BF3DF9" w:rsidP="00C56CA6">
            <w:pPr>
              <w:pStyle w:val="TableText"/>
            </w:pPr>
            <w:r w:rsidRPr="00463667">
              <w:t xml:space="preserve">Eligible Population per 1,000 MY Medical </w:t>
            </w:r>
          </w:p>
        </w:tc>
      </w:tr>
      <w:tr w:rsidR="00BF3DF9" w:rsidRPr="00463667" w14:paraId="2B946036"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1C70B9CB" w14:textId="77777777" w:rsidR="00BF3DF9" w:rsidRPr="00463667" w:rsidRDefault="00BF3DF9" w:rsidP="00C56CA6">
            <w:pPr>
              <w:pStyle w:val="TableText"/>
            </w:pPr>
            <w:r w:rsidRPr="00463667">
              <w:t>Eligible Population per 1,000 MY Pharmacy</w:t>
            </w:r>
          </w:p>
        </w:tc>
      </w:tr>
      <w:tr w:rsidR="00BF3DF9" w:rsidRPr="00463667" w14:paraId="6F01F122"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63BCBAF" w14:textId="77777777" w:rsidR="00BF3DF9" w:rsidRPr="00463667" w:rsidRDefault="00BF3DF9" w:rsidP="00C56CA6">
            <w:pPr>
              <w:pStyle w:val="TableText"/>
            </w:pPr>
            <w:r w:rsidRPr="00463667">
              <w:t>Name Brand Only Count (N1)</w:t>
            </w:r>
          </w:p>
        </w:tc>
      </w:tr>
      <w:tr w:rsidR="00BF3DF9" w:rsidRPr="00463667" w14:paraId="02797B39"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88C893B" w14:textId="77777777" w:rsidR="00BF3DF9" w:rsidRPr="00463667" w:rsidRDefault="00BF3DF9" w:rsidP="00C56CA6">
            <w:pPr>
              <w:pStyle w:val="TableText"/>
            </w:pPr>
            <w:r w:rsidRPr="00463667">
              <w:t>Name Brand Generic Exists Count (N2)</w:t>
            </w:r>
          </w:p>
        </w:tc>
      </w:tr>
      <w:tr w:rsidR="00BF3DF9" w:rsidRPr="00463667" w14:paraId="7DE5649E"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0978E492" w14:textId="77777777" w:rsidR="00BF3DF9" w:rsidRPr="00463667" w:rsidRDefault="00BF3DF9" w:rsidP="00C56CA6">
            <w:pPr>
              <w:pStyle w:val="TableText"/>
            </w:pPr>
            <w:r w:rsidRPr="00463667">
              <w:t>Generic Only Count (G1)</w:t>
            </w:r>
          </w:p>
        </w:tc>
      </w:tr>
      <w:tr w:rsidR="00BF3DF9" w:rsidRPr="00463667" w14:paraId="38BDAA90"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451FF57" w14:textId="77777777" w:rsidR="00BF3DF9" w:rsidRPr="00463667" w:rsidRDefault="00BF3DF9" w:rsidP="00C56CA6">
            <w:pPr>
              <w:pStyle w:val="TableText"/>
            </w:pPr>
            <w:r w:rsidRPr="00463667">
              <w:t>Generic Name Brand Exists Count (G2)</w:t>
            </w:r>
          </w:p>
        </w:tc>
      </w:tr>
      <w:tr w:rsidR="00BF3DF9" w:rsidRPr="00463667" w14:paraId="7886A5AE"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5F4516C0" w14:textId="77777777" w:rsidR="00BF3DF9" w:rsidRPr="00463667" w:rsidRDefault="00BF3DF9" w:rsidP="00C56CA6">
            <w:pPr>
              <w:pStyle w:val="TableText"/>
            </w:pPr>
            <w:r w:rsidRPr="00463667">
              <w:t>Total Prescriptions (N1+N2+G1+G2)</w:t>
            </w:r>
          </w:p>
        </w:tc>
      </w:tr>
      <w:tr w:rsidR="00BF3DF9" w:rsidRPr="00463667" w14:paraId="663C6FC6"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08EED8F" w14:textId="77777777" w:rsidR="00BF3DF9" w:rsidRPr="00463667" w:rsidRDefault="00BF3DF9" w:rsidP="00C56CA6">
            <w:pPr>
              <w:pStyle w:val="TableText"/>
            </w:pPr>
            <w:r w:rsidRPr="00463667">
              <w:t>Generic Utilization Rate [(G1 + G2)/(N2+G1+G2)]</w:t>
            </w:r>
          </w:p>
        </w:tc>
      </w:tr>
      <w:tr w:rsidR="00BF3DF9" w:rsidRPr="00463667" w14:paraId="7E6A679B"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798DD31" w14:textId="77777777" w:rsidR="00BF3DF9" w:rsidRPr="00463667" w:rsidRDefault="00BF3DF9" w:rsidP="00C56CA6">
            <w:pPr>
              <w:pStyle w:val="TableText"/>
            </w:pPr>
            <w:r w:rsidRPr="00463667">
              <w:t>Generic Substitution Rate [(G2)/(N2+G2)]</w:t>
            </w:r>
          </w:p>
        </w:tc>
      </w:tr>
      <w:tr w:rsidR="00BF3DF9" w:rsidRPr="00463667" w14:paraId="7E78DB68"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53159819" w14:textId="77777777" w:rsidR="00BF3DF9" w:rsidRPr="00463667" w:rsidRDefault="00BF3DF9" w:rsidP="00C56CA6">
            <w:pPr>
              <w:pStyle w:val="TableText"/>
            </w:pPr>
            <w:r w:rsidRPr="00463667">
              <w:t>Overall Generic Utilization [(G1+G2)/(N1+N2+G1+G2)]</w:t>
            </w:r>
          </w:p>
        </w:tc>
      </w:tr>
      <w:tr w:rsidR="00BF3DF9" w:rsidRPr="00463667" w14:paraId="1F84BB04"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D862D4C" w14:textId="77777777" w:rsidR="00BF3DF9" w:rsidRPr="00463667" w:rsidRDefault="00BF3DF9" w:rsidP="00C56CA6">
            <w:pPr>
              <w:pStyle w:val="TableText"/>
            </w:pPr>
            <w:r w:rsidRPr="00463667">
              <w:t>Inpatient Facility PMPM</w:t>
            </w:r>
          </w:p>
        </w:tc>
      </w:tr>
      <w:tr w:rsidR="00BF3DF9" w:rsidRPr="00463667" w14:paraId="2D0B4EAF"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42074C6A" w14:textId="77777777" w:rsidR="00BF3DF9" w:rsidRPr="00463667" w:rsidRDefault="00BF3DF9" w:rsidP="00C56CA6">
            <w:pPr>
              <w:pStyle w:val="TableText"/>
            </w:pPr>
            <w:r w:rsidRPr="00463667">
              <w:t>E&amp;M Inpatient Services PMPM</w:t>
            </w:r>
          </w:p>
        </w:tc>
      </w:tr>
      <w:tr w:rsidR="00BF3DF9" w:rsidRPr="00463667" w14:paraId="29E243DC"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25D650B0" w14:textId="77777777" w:rsidR="00BF3DF9" w:rsidRPr="00463667" w:rsidRDefault="00BF3DF9" w:rsidP="00C56CA6">
            <w:pPr>
              <w:pStyle w:val="TableText"/>
            </w:pPr>
            <w:r w:rsidRPr="00463667">
              <w:t>E&amp;M Outpatient Services PMPM</w:t>
            </w:r>
          </w:p>
        </w:tc>
      </w:tr>
      <w:tr w:rsidR="00BF3DF9" w:rsidRPr="00463667" w14:paraId="2FB6B7C2"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6852132E" w14:textId="77777777" w:rsidR="00BF3DF9" w:rsidRPr="00463667" w:rsidRDefault="00BF3DF9" w:rsidP="00C56CA6">
            <w:pPr>
              <w:pStyle w:val="TableText"/>
            </w:pPr>
            <w:r w:rsidRPr="00463667">
              <w:t>Surgery &amp; Procedure Inpatient Services PMPM</w:t>
            </w:r>
          </w:p>
        </w:tc>
      </w:tr>
      <w:tr w:rsidR="00BF3DF9" w:rsidRPr="00463667" w14:paraId="167F2504"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0FB46479" w14:textId="77777777" w:rsidR="00BF3DF9" w:rsidRPr="00463667" w:rsidRDefault="00BF3DF9" w:rsidP="00C56CA6">
            <w:pPr>
              <w:pStyle w:val="TableText"/>
            </w:pPr>
            <w:r w:rsidRPr="00463667">
              <w:t>Surgery &amp; Procedure Outpatient Services PMPM</w:t>
            </w:r>
          </w:p>
        </w:tc>
      </w:tr>
      <w:tr w:rsidR="00BF3DF9" w:rsidRPr="00463667" w14:paraId="0BD9A07B"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26BBC0A1" w14:textId="77777777" w:rsidR="00BF3DF9" w:rsidRPr="00463667" w:rsidRDefault="00BF3DF9" w:rsidP="00C56CA6">
            <w:pPr>
              <w:pStyle w:val="TableText"/>
            </w:pPr>
            <w:r w:rsidRPr="00463667">
              <w:t>Imaging Services PMPM</w:t>
            </w:r>
          </w:p>
        </w:tc>
      </w:tr>
      <w:tr w:rsidR="00BF3DF9" w:rsidRPr="00463667" w14:paraId="6E1F288C"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36EE46CE" w14:textId="77777777" w:rsidR="00BF3DF9" w:rsidRPr="00463667" w:rsidRDefault="00BF3DF9" w:rsidP="00C56CA6">
            <w:pPr>
              <w:pStyle w:val="TableText"/>
            </w:pPr>
            <w:r w:rsidRPr="00463667">
              <w:t>Laboratory Services PMPM</w:t>
            </w:r>
          </w:p>
        </w:tc>
      </w:tr>
      <w:tr w:rsidR="00BF3DF9" w:rsidRPr="00463667" w14:paraId="4CCAFB0C"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3C636949" w14:textId="77777777" w:rsidR="00BF3DF9" w:rsidRPr="00463667" w:rsidRDefault="00BF3DF9" w:rsidP="00C56CA6">
            <w:pPr>
              <w:pStyle w:val="TableText"/>
            </w:pPr>
            <w:r w:rsidRPr="00463667">
              <w:t>Pharmacy PMPM</w:t>
            </w:r>
          </w:p>
        </w:tc>
      </w:tr>
      <w:tr w:rsidR="00BF3DF9" w:rsidRPr="00463667" w14:paraId="086DEF0E"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220DD9EC" w14:textId="77777777" w:rsidR="00BF3DF9" w:rsidRPr="00463667" w:rsidRDefault="00BF3DF9" w:rsidP="00C56CA6">
            <w:pPr>
              <w:pStyle w:val="TableText"/>
            </w:pPr>
            <w:r w:rsidRPr="00463667">
              <w:t>Inpatient Facility: Acute Inpatient: Medical Days per 1,000 MY</w:t>
            </w:r>
          </w:p>
        </w:tc>
      </w:tr>
      <w:tr w:rsidR="00BF3DF9" w:rsidRPr="00463667" w14:paraId="3BD2FA5F"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C78A806" w14:textId="77777777" w:rsidR="00BF3DF9" w:rsidRPr="00463667" w:rsidRDefault="00BF3DF9" w:rsidP="00C56CA6">
            <w:pPr>
              <w:pStyle w:val="TableText"/>
            </w:pPr>
            <w:r w:rsidRPr="00463667">
              <w:t>Inpatient Facility: Acute Inpatient: Medical Discharges per 1,000 MY</w:t>
            </w:r>
          </w:p>
        </w:tc>
      </w:tr>
      <w:tr w:rsidR="00BF3DF9" w:rsidRPr="00463667" w14:paraId="39932032"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27DBE2A8" w14:textId="77777777" w:rsidR="00BF3DF9" w:rsidRPr="00463667" w:rsidRDefault="00BF3DF9" w:rsidP="00C56CA6">
            <w:pPr>
              <w:pStyle w:val="TableText"/>
            </w:pPr>
            <w:r w:rsidRPr="00463667">
              <w:t>Inpatient Facility: Acute Inpatient: Surgery Days per 1,000 MY</w:t>
            </w:r>
          </w:p>
        </w:tc>
      </w:tr>
      <w:tr w:rsidR="00BF3DF9" w:rsidRPr="00463667" w14:paraId="2A8545F3"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5C46FDD9" w14:textId="77777777" w:rsidR="00BF3DF9" w:rsidRPr="00463667" w:rsidRDefault="00BF3DF9" w:rsidP="00C56CA6">
            <w:pPr>
              <w:pStyle w:val="TableText"/>
            </w:pPr>
            <w:r w:rsidRPr="00463667">
              <w:t>Inpatient Facility: Acute Inpatient: Surgery Discharges per 1,000 MY</w:t>
            </w:r>
          </w:p>
        </w:tc>
      </w:tr>
      <w:tr w:rsidR="00BF3DF9" w:rsidRPr="00463667" w14:paraId="0B644B70"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55D94621" w14:textId="77777777" w:rsidR="00BF3DF9" w:rsidRPr="00463667" w:rsidRDefault="00BF3DF9" w:rsidP="00C56CA6">
            <w:pPr>
              <w:pStyle w:val="TableText"/>
            </w:pPr>
            <w:r w:rsidRPr="00463667">
              <w:t>Inpatient Facility: Nonacute Days per 1,000 MY</w:t>
            </w:r>
          </w:p>
        </w:tc>
      </w:tr>
      <w:tr w:rsidR="00BF3DF9" w:rsidRPr="00463667" w14:paraId="4A06ACA2"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21AECD4C" w14:textId="77777777" w:rsidR="00BF3DF9" w:rsidRPr="00463667" w:rsidRDefault="00BF3DF9" w:rsidP="00C56CA6">
            <w:pPr>
              <w:pStyle w:val="TableText"/>
            </w:pPr>
            <w:r w:rsidRPr="00463667">
              <w:t>Inpatient Facility: Nonacute Discharges per 1,000 MY</w:t>
            </w:r>
          </w:p>
        </w:tc>
      </w:tr>
      <w:tr w:rsidR="00BF3DF9" w:rsidRPr="00463667" w14:paraId="5A91847D"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D199C63" w14:textId="77777777" w:rsidR="00BF3DF9" w:rsidRPr="00463667" w:rsidRDefault="00BF3DF9" w:rsidP="00C56CA6">
            <w:pPr>
              <w:pStyle w:val="TableText"/>
            </w:pPr>
            <w:r w:rsidRPr="00463667">
              <w:t>Inpatient Facility Acute Medical ALOS</w:t>
            </w:r>
          </w:p>
        </w:tc>
      </w:tr>
      <w:tr w:rsidR="00BF3DF9" w:rsidRPr="00463667" w14:paraId="2ECF11FD"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1B949970" w14:textId="77777777" w:rsidR="00BF3DF9" w:rsidRPr="00463667" w:rsidRDefault="00BF3DF9" w:rsidP="00C56CA6">
            <w:pPr>
              <w:pStyle w:val="TableText"/>
            </w:pPr>
            <w:r w:rsidRPr="00463667">
              <w:t>Inpatient Facility Acute Surgery ALOS</w:t>
            </w:r>
          </w:p>
        </w:tc>
      </w:tr>
      <w:tr w:rsidR="00BF3DF9" w:rsidRPr="00463667" w14:paraId="537195A6"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58F1E882" w14:textId="77777777" w:rsidR="00BF3DF9" w:rsidRPr="00463667" w:rsidRDefault="00BF3DF9" w:rsidP="00C56CA6">
            <w:pPr>
              <w:pStyle w:val="TableText"/>
            </w:pPr>
            <w:r w:rsidRPr="00463667">
              <w:t>Inpatient Facility Nonacute ALOS</w:t>
            </w:r>
          </w:p>
        </w:tc>
      </w:tr>
      <w:tr w:rsidR="00BF3DF9" w:rsidRPr="00463667" w14:paraId="1A72790C"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4786D3A7" w14:textId="77777777" w:rsidR="00BF3DF9" w:rsidRPr="00463667" w:rsidRDefault="00BF3DF9" w:rsidP="00C56CA6">
            <w:pPr>
              <w:pStyle w:val="TableText"/>
            </w:pPr>
            <w:r w:rsidRPr="00463667">
              <w:t xml:space="preserve">Total Inpatient Facility Acute ALOS </w:t>
            </w:r>
          </w:p>
        </w:tc>
      </w:tr>
      <w:tr w:rsidR="00BF3DF9" w:rsidRPr="00463667" w14:paraId="28B4170C"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349A90DC" w14:textId="77777777" w:rsidR="00BF3DF9" w:rsidRPr="00463667" w:rsidRDefault="00BF3DF9" w:rsidP="00C56CA6">
            <w:pPr>
              <w:pStyle w:val="TableText"/>
            </w:pPr>
            <w:r w:rsidRPr="00463667">
              <w:t>Total Inpatient Facility ALOS</w:t>
            </w:r>
          </w:p>
        </w:tc>
      </w:tr>
      <w:tr w:rsidR="00BF3DF9" w:rsidRPr="00463667" w14:paraId="2E57DF9E"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1FE4FA02" w14:textId="77777777" w:rsidR="00BF3DF9" w:rsidRPr="00463667" w:rsidRDefault="00BF3DF9" w:rsidP="00C56CA6">
            <w:pPr>
              <w:pStyle w:val="TableText"/>
            </w:pPr>
            <w:r w:rsidRPr="00463667">
              <w:t>ED Discharges per 1,000 MY Medical</w:t>
            </w:r>
          </w:p>
        </w:tc>
      </w:tr>
    </w:tbl>
    <w:p w14:paraId="7C2A6F69" w14:textId="77777777" w:rsidR="00BF3DF9" w:rsidRPr="00463667" w:rsidRDefault="00BF3DF9" w:rsidP="00BF3DF9">
      <w:pPr>
        <w:pStyle w:val="Note"/>
      </w:pPr>
      <w:r w:rsidRPr="00463667">
        <w:rPr>
          <w:b/>
          <w:szCs w:val="20"/>
        </w:rPr>
        <w:t>Note:</w:t>
      </w:r>
      <w:r w:rsidRPr="00463667">
        <w:t xml:space="preserve"> This table indicates the calculated fields that NCQA provides for the age-gender-risk totals. </w:t>
      </w:r>
    </w:p>
    <w:p w14:paraId="03010622" w14:textId="77777777" w:rsidR="00BF3DF9" w:rsidRPr="00463667" w:rsidRDefault="00BF3DF9" w:rsidP="00BF3DF9">
      <w:pPr>
        <w:pStyle w:val="Note"/>
        <w:rPr>
          <w:b/>
        </w:rPr>
        <w:sectPr w:rsidR="00BF3DF9" w:rsidRPr="00463667" w:rsidSect="00C56CA6">
          <w:headerReference w:type="default" r:id="rId58"/>
          <w:pgSz w:w="12240" w:h="15840" w:code="1"/>
          <w:pgMar w:top="1080" w:right="1080" w:bottom="1080" w:left="1440" w:header="720" w:footer="720" w:gutter="0"/>
          <w:cols w:space="720"/>
        </w:sectPr>
      </w:pPr>
    </w:p>
    <w:bookmarkStart w:id="25" w:name="_Toc400546210"/>
    <w:p w14:paraId="59550AE9" w14:textId="571C384C" w:rsidR="00BF3DF9" w:rsidRPr="00463667" w:rsidRDefault="00EF7C1A" w:rsidP="00BF3DF9">
      <w:pPr>
        <w:pStyle w:val="Heading2"/>
      </w:pPr>
      <w:r>
        <w:lastRenderedPageBreak/>
        <w:fldChar w:fldCharType="begin"/>
      </w:r>
      <w:r>
        <w:instrText xml:space="preserve"> HYPERLINK  \l "TOC" </w:instrText>
      </w:r>
      <w:r>
        <w:fldChar w:fldCharType="separate"/>
      </w:r>
      <w:r w:rsidR="00BF3DF9" w:rsidRPr="00EF7C1A">
        <w:t>Relative Resource Use for People With COPD (RCO)</w:t>
      </w:r>
      <w:bookmarkEnd w:id="25"/>
      <w:r>
        <w:fldChar w:fldCharType="end"/>
      </w:r>
    </w:p>
    <w:p w14:paraId="2E906E34" w14:textId="03C7B7A2" w:rsidR="00BF3DF9" w:rsidRPr="00463667" w:rsidRDefault="00BF3DF9" w:rsidP="00724140">
      <w:pPr>
        <w:pStyle w:val="SOC"/>
        <w:rPr>
          <w:i/>
        </w:rPr>
      </w:pPr>
      <w:r w:rsidRPr="00463667">
        <w:t xml:space="preserve">Summary of Changes to HEDIS </w:t>
      </w:r>
      <w:r w:rsidR="0083581E">
        <w:t>2016</w:t>
      </w:r>
    </w:p>
    <w:p w14:paraId="75E09E66" w14:textId="52F57C7F" w:rsidR="00BF3DF9" w:rsidRPr="00463667" w:rsidRDefault="00375147" w:rsidP="00BF3DF9">
      <w:pPr>
        <w:pStyle w:val="ProcessBullet"/>
        <w:rPr>
          <w:i/>
          <w:iCs/>
        </w:rPr>
      </w:pPr>
      <w:r>
        <w:t>No changes to this measure.</w:t>
      </w:r>
    </w:p>
    <w:p w14:paraId="4529A345" w14:textId="77777777" w:rsidR="00BF3DF9" w:rsidRPr="00463667" w:rsidRDefault="00BF3DF9" w:rsidP="00724140">
      <w:pPr>
        <w:pStyle w:val="ReverseHead"/>
      </w:pPr>
      <w:r w:rsidRPr="00463667">
        <w:t>Description</w:t>
      </w:r>
    </w:p>
    <w:p w14:paraId="69695D6A" w14:textId="77777777" w:rsidR="00BF3DF9" w:rsidRPr="00463667" w:rsidRDefault="00BF3DF9" w:rsidP="00BF3DF9">
      <w:pPr>
        <w:pStyle w:val="Body"/>
      </w:pPr>
      <w:r w:rsidRPr="00463667">
        <w:t>The relative resource use by members with COPD during the measurement year.</w:t>
      </w:r>
    </w:p>
    <w:p w14:paraId="0A319310" w14:textId="77777777" w:rsidR="00BF3DF9" w:rsidRPr="00463667" w:rsidRDefault="00BF3DF9" w:rsidP="00724140">
      <w:pPr>
        <w:pStyle w:val="ReverseHead"/>
      </w:pPr>
      <w:r w:rsidRPr="00463667">
        <w:t>Eligible Population</w:t>
      </w:r>
    </w:p>
    <w:p w14:paraId="2AE38157" w14:textId="77777777" w:rsidR="00BF3DF9" w:rsidRPr="00463667" w:rsidRDefault="00BF3DF9" w:rsidP="00BF3DF9">
      <w:pPr>
        <w:pStyle w:val="Note"/>
      </w:pPr>
      <w:r w:rsidRPr="00463667">
        <w:rPr>
          <w:b/>
          <w:bCs/>
          <w:iCs/>
        </w:rPr>
        <w:t>Note:</w:t>
      </w:r>
      <w:r w:rsidRPr="00463667">
        <w:t xml:space="preserve"> Organizations must report the quality measures (SPR and PCE) when reporting RCO.</w:t>
      </w:r>
    </w:p>
    <w:tbl>
      <w:tblPr>
        <w:tblW w:w="9792" w:type="dxa"/>
        <w:tblInd w:w="-72" w:type="dxa"/>
        <w:tblLayout w:type="fixed"/>
        <w:tblLook w:val="0000" w:firstRow="0" w:lastRow="0" w:firstColumn="0" w:lastColumn="0" w:noHBand="0" w:noVBand="0"/>
      </w:tblPr>
      <w:tblGrid>
        <w:gridCol w:w="1980"/>
        <w:gridCol w:w="7812"/>
      </w:tblGrid>
      <w:tr w:rsidR="00BF3DF9" w:rsidRPr="00463667" w14:paraId="4C02EFF5" w14:textId="77777777" w:rsidTr="00C56CA6">
        <w:tc>
          <w:tcPr>
            <w:tcW w:w="1980" w:type="dxa"/>
          </w:tcPr>
          <w:p w14:paraId="74E5A6BE" w14:textId="77777777" w:rsidR="00BF3DF9" w:rsidRPr="00463667" w:rsidRDefault="00BF3DF9" w:rsidP="00C56CA6">
            <w:pPr>
              <w:pStyle w:val="MarginSubhead"/>
              <w:rPr>
                <w:szCs w:val="20"/>
              </w:rPr>
            </w:pPr>
            <w:r w:rsidRPr="00463667">
              <w:rPr>
                <w:szCs w:val="20"/>
              </w:rPr>
              <w:t>Product lines</w:t>
            </w:r>
          </w:p>
        </w:tc>
        <w:tc>
          <w:tcPr>
            <w:tcW w:w="7812" w:type="dxa"/>
          </w:tcPr>
          <w:p w14:paraId="293AB372" w14:textId="77777777" w:rsidR="00BF3DF9" w:rsidRPr="00463667" w:rsidRDefault="00BF3DF9" w:rsidP="00C56CA6">
            <w:pPr>
              <w:pStyle w:val="Body"/>
            </w:pPr>
            <w:r w:rsidRPr="00463667">
              <w:t>Commercial, Medicaid, Medicare (report each product line separately).</w:t>
            </w:r>
          </w:p>
        </w:tc>
      </w:tr>
      <w:tr w:rsidR="00BF3DF9" w:rsidRPr="00463667" w14:paraId="112781D7" w14:textId="77777777" w:rsidTr="00C56CA6">
        <w:tc>
          <w:tcPr>
            <w:tcW w:w="1980" w:type="dxa"/>
            <w:vAlign w:val="bottom"/>
          </w:tcPr>
          <w:p w14:paraId="27BC7826" w14:textId="77777777" w:rsidR="00BF3DF9" w:rsidRPr="00463667" w:rsidRDefault="00BF3DF9" w:rsidP="00C56CA6">
            <w:pPr>
              <w:pStyle w:val="MarginSubhead"/>
              <w:rPr>
                <w:szCs w:val="20"/>
              </w:rPr>
            </w:pPr>
            <w:r w:rsidRPr="00463667">
              <w:rPr>
                <w:szCs w:val="20"/>
              </w:rPr>
              <w:t>Ages</w:t>
            </w:r>
          </w:p>
        </w:tc>
        <w:tc>
          <w:tcPr>
            <w:tcW w:w="7812" w:type="dxa"/>
            <w:vAlign w:val="bottom"/>
          </w:tcPr>
          <w:p w14:paraId="045A2419" w14:textId="77777777" w:rsidR="00BF3DF9" w:rsidRPr="00463667" w:rsidRDefault="00BF3DF9" w:rsidP="00C56CA6">
            <w:pPr>
              <w:pStyle w:val="Body"/>
            </w:pPr>
            <w:r w:rsidRPr="00463667">
              <w:t xml:space="preserve">42 years or older by December 31 of the measurement year. </w:t>
            </w:r>
          </w:p>
        </w:tc>
      </w:tr>
      <w:tr w:rsidR="00BF3DF9" w:rsidRPr="00463667" w14:paraId="5927D79E" w14:textId="77777777" w:rsidTr="00C56CA6">
        <w:tc>
          <w:tcPr>
            <w:tcW w:w="1980" w:type="dxa"/>
          </w:tcPr>
          <w:p w14:paraId="33ACD5C5" w14:textId="77777777" w:rsidR="00BF3DF9" w:rsidRPr="00463667" w:rsidRDefault="00BF3DF9" w:rsidP="00C56CA6">
            <w:pPr>
              <w:pStyle w:val="MarginSubhead"/>
              <w:rPr>
                <w:szCs w:val="20"/>
              </w:rPr>
            </w:pPr>
            <w:r w:rsidRPr="00463667">
              <w:rPr>
                <w:szCs w:val="20"/>
              </w:rPr>
              <w:t>Continuous enrollment</w:t>
            </w:r>
          </w:p>
        </w:tc>
        <w:tc>
          <w:tcPr>
            <w:tcW w:w="7812" w:type="dxa"/>
          </w:tcPr>
          <w:p w14:paraId="0891B70B" w14:textId="77777777" w:rsidR="00BF3DF9" w:rsidRPr="00463667" w:rsidRDefault="00BF3DF9" w:rsidP="00C56CA6">
            <w:pPr>
              <w:pStyle w:val="Body"/>
            </w:pPr>
            <w:r w:rsidRPr="00463667">
              <w:t>The measurement year.</w:t>
            </w:r>
          </w:p>
        </w:tc>
      </w:tr>
      <w:tr w:rsidR="00BF3DF9" w:rsidRPr="00463667" w14:paraId="0833127C" w14:textId="77777777" w:rsidTr="00C56CA6">
        <w:tc>
          <w:tcPr>
            <w:tcW w:w="1980" w:type="dxa"/>
          </w:tcPr>
          <w:p w14:paraId="6887B232" w14:textId="77777777" w:rsidR="00BF3DF9" w:rsidRPr="00463667" w:rsidRDefault="00BF3DF9" w:rsidP="00C56CA6">
            <w:pPr>
              <w:pStyle w:val="MarginSubhead"/>
              <w:rPr>
                <w:szCs w:val="20"/>
              </w:rPr>
            </w:pPr>
            <w:r w:rsidRPr="00463667">
              <w:rPr>
                <w:szCs w:val="20"/>
              </w:rPr>
              <w:t>Allowable gap</w:t>
            </w:r>
          </w:p>
        </w:tc>
        <w:tc>
          <w:tcPr>
            <w:tcW w:w="7812" w:type="dxa"/>
          </w:tcPr>
          <w:p w14:paraId="38CC1449" w14:textId="77777777" w:rsidR="00BF3DF9" w:rsidRPr="00463667" w:rsidRDefault="00BF3DF9" w:rsidP="00C56CA6">
            <w:pPr>
              <w:pStyle w:val="Body"/>
            </w:pPr>
            <w:r w:rsidRPr="00463667">
              <w:t>No more than one gap in enrollment of up to 45 days during the measurement year. To determine continuous enrollment for a Medicaid beneficiary for whom enrollment is verified monthly, the member may not have more than a 1-month gap in coverage (i.e., a member whose coverage lapses for 2 months [60 days] is not considered continuously enrolled).</w:t>
            </w:r>
          </w:p>
        </w:tc>
      </w:tr>
      <w:tr w:rsidR="00BF3DF9" w:rsidRPr="00463667" w14:paraId="3D9D9E8D" w14:textId="77777777" w:rsidTr="00C56CA6">
        <w:tc>
          <w:tcPr>
            <w:tcW w:w="1980" w:type="dxa"/>
          </w:tcPr>
          <w:p w14:paraId="2A58C9FC" w14:textId="77777777" w:rsidR="00BF3DF9" w:rsidRPr="00463667" w:rsidRDefault="00BF3DF9" w:rsidP="00C56CA6">
            <w:pPr>
              <w:pStyle w:val="MarginSubhead"/>
              <w:rPr>
                <w:szCs w:val="20"/>
              </w:rPr>
            </w:pPr>
            <w:r w:rsidRPr="00463667">
              <w:rPr>
                <w:szCs w:val="20"/>
              </w:rPr>
              <w:t>Anchor date</w:t>
            </w:r>
          </w:p>
        </w:tc>
        <w:tc>
          <w:tcPr>
            <w:tcW w:w="7812" w:type="dxa"/>
          </w:tcPr>
          <w:p w14:paraId="2B497F19" w14:textId="77777777" w:rsidR="00BF3DF9" w:rsidRPr="00463667" w:rsidRDefault="00BF3DF9" w:rsidP="00C56CA6">
            <w:pPr>
              <w:pStyle w:val="Body"/>
            </w:pPr>
            <w:r w:rsidRPr="00463667">
              <w:t>December 31 of the measurement year.</w:t>
            </w:r>
          </w:p>
        </w:tc>
      </w:tr>
      <w:tr w:rsidR="00BF3DF9" w:rsidRPr="00463667" w14:paraId="2BBB77BA" w14:textId="77777777" w:rsidTr="00C56CA6">
        <w:tc>
          <w:tcPr>
            <w:tcW w:w="1980" w:type="dxa"/>
          </w:tcPr>
          <w:p w14:paraId="62D8511A" w14:textId="77777777" w:rsidR="00BF3DF9" w:rsidRPr="00463667" w:rsidRDefault="00BF3DF9" w:rsidP="00C56CA6">
            <w:pPr>
              <w:pStyle w:val="MarginSubhead"/>
              <w:rPr>
                <w:szCs w:val="20"/>
              </w:rPr>
            </w:pPr>
            <w:r w:rsidRPr="00463667">
              <w:rPr>
                <w:szCs w:val="20"/>
              </w:rPr>
              <w:t>Benefit</w:t>
            </w:r>
          </w:p>
        </w:tc>
        <w:tc>
          <w:tcPr>
            <w:tcW w:w="7812" w:type="dxa"/>
          </w:tcPr>
          <w:p w14:paraId="1FAC3008" w14:textId="77777777" w:rsidR="00BF3DF9" w:rsidRPr="00463667" w:rsidRDefault="00BF3DF9" w:rsidP="00C56CA6">
            <w:pPr>
              <w:pStyle w:val="Body"/>
              <w:ind w:left="432" w:hanging="432"/>
              <w:rPr>
                <w:szCs w:val="20"/>
              </w:rPr>
            </w:pPr>
            <w:r w:rsidRPr="00463667">
              <w:rPr>
                <w:szCs w:val="20"/>
              </w:rPr>
              <w:t xml:space="preserve">Medical. </w:t>
            </w:r>
          </w:p>
        </w:tc>
      </w:tr>
      <w:tr w:rsidR="00BF3DF9" w:rsidRPr="00463667" w14:paraId="12BFE5C0" w14:textId="77777777" w:rsidTr="00C56CA6">
        <w:tc>
          <w:tcPr>
            <w:tcW w:w="1980" w:type="dxa"/>
          </w:tcPr>
          <w:p w14:paraId="51ECE5B9" w14:textId="77777777" w:rsidR="00BF3DF9" w:rsidRPr="00463667" w:rsidRDefault="00BF3DF9" w:rsidP="00C56CA6">
            <w:pPr>
              <w:pStyle w:val="MarginSubhead"/>
              <w:rPr>
                <w:szCs w:val="20"/>
              </w:rPr>
            </w:pPr>
            <w:r w:rsidRPr="00463667">
              <w:rPr>
                <w:szCs w:val="20"/>
              </w:rPr>
              <w:t>Event/ diagnosis</w:t>
            </w:r>
          </w:p>
        </w:tc>
        <w:tc>
          <w:tcPr>
            <w:tcW w:w="7812" w:type="dxa"/>
            <w:vAlign w:val="bottom"/>
          </w:tcPr>
          <w:p w14:paraId="0835CB2B" w14:textId="77777777" w:rsidR="00BF3DF9" w:rsidRPr="00463667" w:rsidRDefault="00BF3DF9" w:rsidP="00C56CA6">
            <w:pPr>
              <w:pStyle w:val="Body"/>
            </w:pPr>
            <w:r w:rsidRPr="00463667">
              <w:t>Members who had any diagnosis of COPD (</w:t>
            </w:r>
            <w:r w:rsidRPr="00463667">
              <w:rPr>
                <w:u w:val="single"/>
              </w:rPr>
              <w:t>COPD Value Set</w:t>
            </w:r>
            <w:r w:rsidRPr="00463667">
              <w:t>), emphysema (</w:t>
            </w:r>
            <w:r w:rsidRPr="00463667">
              <w:rPr>
                <w:u w:val="single"/>
              </w:rPr>
              <w:t>Emphysema Value Set</w:t>
            </w:r>
            <w:r w:rsidRPr="00463667">
              <w:t>) or chronic bronchitis (</w:t>
            </w:r>
            <w:r w:rsidRPr="00463667">
              <w:rPr>
                <w:u w:val="single"/>
              </w:rPr>
              <w:t>Chronic Bronchitis Value Set</w:t>
            </w:r>
            <w:r w:rsidRPr="00463667">
              <w:t>) during the measurement year.</w:t>
            </w:r>
          </w:p>
        </w:tc>
      </w:tr>
    </w:tbl>
    <w:p w14:paraId="66DDA1E8" w14:textId="77777777" w:rsidR="00BF3DF9" w:rsidRPr="00463667" w:rsidRDefault="00BF3DF9" w:rsidP="00724140">
      <w:pPr>
        <w:pStyle w:val="SubHead20"/>
        <w:rPr>
          <w:szCs w:val="22"/>
        </w:rPr>
      </w:pPr>
      <w:r w:rsidRPr="00463667">
        <w:rPr>
          <w:szCs w:val="22"/>
        </w:rPr>
        <w:t xml:space="preserve">Exclusions </w:t>
      </w:r>
      <w:r w:rsidRPr="00463667">
        <w:rPr>
          <w:i/>
          <w:szCs w:val="22"/>
        </w:rPr>
        <w:t>(required)</w:t>
      </w:r>
    </w:p>
    <w:p w14:paraId="5F993319" w14:textId="77777777" w:rsidR="00BF3DF9" w:rsidRPr="00463667" w:rsidRDefault="00BF3DF9" w:rsidP="00BF3DF9">
      <w:pPr>
        <w:pStyle w:val="Body"/>
        <w:rPr>
          <w:i/>
        </w:rPr>
      </w:pPr>
      <w:r w:rsidRPr="00463667">
        <w:t xml:space="preserve">Refer to </w:t>
      </w:r>
      <w:r w:rsidRPr="00463667">
        <w:rPr>
          <w:i/>
        </w:rPr>
        <w:t>Required Exclusions</w:t>
      </w:r>
      <w:r w:rsidRPr="00463667">
        <w:t xml:space="preserve"> in the</w:t>
      </w:r>
      <w:r w:rsidRPr="00463667">
        <w:rPr>
          <w:i/>
        </w:rPr>
        <w:t xml:space="preserve"> Guidelines for Relative Resource Use.</w:t>
      </w:r>
    </w:p>
    <w:p w14:paraId="134A1C8D" w14:textId="77777777" w:rsidR="00BF3DF9" w:rsidRPr="00463667" w:rsidRDefault="00BF3DF9" w:rsidP="00724140">
      <w:pPr>
        <w:pStyle w:val="ReverseHead"/>
        <w:rPr>
          <w:snapToGrid w:val="0"/>
        </w:rPr>
      </w:pPr>
      <w:r w:rsidRPr="00463667">
        <w:rPr>
          <w:snapToGrid w:val="0"/>
        </w:rPr>
        <w:t>Categorization of Eligible Population</w:t>
      </w:r>
    </w:p>
    <w:tbl>
      <w:tblPr>
        <w:tblW w:w="9785" w:type="dxa"/>
        <w:tblInd w:w="-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80"/>
        <w:gridCol w:w="7805"/>
      </w:tblGrid>
      <w:tr w:rsidR="00BF3DF9" w:rsidRPr="00463667" w14:paraId="6AAA2215" w14:textId="77777777" w:rsidTr="00C56CA6">
        <w:tc>
          <w:tcPr>
            <w:tcW w:w="1980" w:type="dxa"/>
            <w:tcBorders>
              <w:top w:val="nil"/>
              <w:left w:val="nil"/>
              <w:bottom w:val="nil"/>
              <w:right w:val="nil"/>
            </w:tcBorders>
            <w:tcMar>
              <w:left w:w="115" w:type="dxa"/>
              <w:right w:w="115" w:type="dxa"/>
            </w:tcMar>
          </w:tcPr>
          <w:p w14:paraId="1D36183A" w14:textId="77777777" w:rsidR="00BF3DF9" w:rsidRPr="00463667" w:rsidRDefault="00BF3DF9" w:rsidP="00C56CA6">
            <w:pPr>
              <w:pStyle w:val="MarginSubhead"/>
            </w:pPr>
            <w:r w:rsidRPr="00463667">
              <w:t>Major clinical condition</w:t>
            </w:r>
          </w:p>
        </w:tc>
        <w:tc>
          <w:tcPr>
            <w:tcW w:w="7805" w:type="dxa"/>
            <w:tcBorders>
              <w:top w:val="nil"/>
              <w:left w:val="nil"/>
              <w:bottom w:val="nil"/>
              <w:right w:val="nil"/>
            </w:tcBorders>
            <w:tcMar>
              <w:left w:w="115" w:type="dxa"/>
              <w:right w:w="115" w:type="dxa"/>
            </w:tcMar>
          </w:tcPr>
          <w:p w14:paraId="3F4C3C17" w14:textId="77777777" w:rsidR="00BF3DF9" w:rsidRPr="00463667" w:rsidRDefault="00BF3DF9" w:rsidP="00C56CA6">
            <w:pPr>
              <w:pStyle w:val="Body"/>
            </w:pPr>
            <w:r w:rsidRPr="00463667">
              <w:t>COPD.</w:t>
            </w:r>
          </w:p>
        </w:tc>
      </w:tr>
      <w:tr w:rsidR="00BF3DF9" w:rsidRPr="00463667" w14:paraId="4AF61F57" w14:textId="77777777" w:rsidTr="00C56C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c>
          <w:tcPr>
            <w:tcW w:w="1980" w:type="dxa"/>
          </w:tcPr>
          <w:p w14:paraId="1BEA76C4" w14:textId="77777777" w:rsidR="00BF3DF9" w:rsidRPr="00463667" w:rsidRDefault="00BF3DF9" w:rsidP="00C56CA6">
            <w:pPr>
              <w:pStyle w:val="MarginSubhead"/>
            </w:pPr>
            <w:r w:rsidRPr="00463667">
              <w:t>Risk group</w:t>
            </w:r>
          </w:p>
        </w:tc>
        <w:tc>
          <w:tcPr>
            <w:tcW w:w="7805" w:type="dxa"/>
          </w:tcPr>
          <w:p w14:paraId="0CDB0FB4" w14:textId="77777777" w:rsidR="00BF3DF9" w:rsidRPr="00463667" w:rsidRDefault="00BF3DF9" w:rsidP="00C56CA6">
            <w:pPr>
              <w:pStyle w:val="Body"/>
            </w:pPr>
            <w:r w:rsidRPr="00463667">
              <w:t xml:space="preserve">Refer to </w:t>
            </w:r>
            <w:r w:rsidRPr="00463667">
              <w:rPr>
                <w:i/>
              </w:rPr>
              <w:t>RRU Risk Adjustment</w:t>
            </w:r>
            <w:r w:rsidRPr="00463667">
              <w:t xml:space="preserve"> in the </w:t>
            </w:r>
            <w:r w:rsidRPr="00463667">
              <w:rPr>
                <w:i/>
              </w:rPr>
              <w:t>Guidelines for Relative Resource Use.</w:t>
            </w:r>
          </w:p>
        </w:tc>
      </w:tr>
    </w:tbl>
    <w:p w14:paraId="5F1D3A39" w14:textId="77777777" w:rsidR="00BF3DF9" w:rsidRPr="00463667" w:rsidRDefault="00BF3DF9" w:rsidP="00BF3DF9">
      <w:pPr>
        <w:sectPr w:rsidR="00BF3DF9" w:rsidRPr="00463667" w:rsidSect="00C56CA6">
          <w:headerReference w:type="even" r:id="rId59"/>
          <w:headerReference w:type="default" r:id="rId60"/>
          <w:pgSz w:w="12240" w:h="15840" w:code="1"/>
          <w:pgMar w:top="1080" w:right="1080" w:bottom="1080" w:left="1440" w:header="720" w:footer="720" w:gutter="0"/>
          <w:cols w:space="720"/>
          <w:docGrid w:linePitch="272"/>
        </w:sectPr>
      </w:pPr>
    </w:p>
    <w:p w14:paraId="7F4F92F1" w14:textId="77777777" w:rsidR="00BF3DF9" w:rsidRPr="00463667" w:rsidRDefault="00BF3DF9" w:rsidP="00724140">
      <w:pPr>
        <w:pStyle w:val="ReverseHead"/>
        <w:spacing w:before="0"/>
      </w:pPr>
      <w:r w:rsidRPr="00463667">
        <w:lastRenderedPageBreak/>
        <w:t>Standard Cost Calculations</w:t>
      </w:r>
    </w:p>
    <w:p w14:paraId="2AC51985" w14:textId="5052AD44" w:rsidR="00BF3DF9" w:rsidRPr="00463667" w:rsidRDefault="00BF3DF9" w:rsidP="00BF3DF9">
      <w:pPr>
        <w:pStyle w:val="Body"/>
        <w:rPr>
          <w:rFonts w:cs="Arial"/>
          <w:szCs w:val="20"/>
        </w:rPr>
      </w:pPr>
      <w:r w:rsidRPr="00463667">
        <w:rPr>
          <w:rFonts w:cs="Arial"/>
          <w:szCs w:val="20"/>
        </w:rPr>
        <w:t xml:space="preserve">The organization reports total standard costs of all services for which the </w:t>
      </w:r>
      <w:r w:rsidRPr="00463667">
        <w:t xml:space="preserve">organization </w:t>
      </w:r>
      <w:r w:rsidRPr="00463667">
        <w:rPr>
          <w:rFonts w:cs="Arial"/>
          <w:szCs w:val="20"/>
        </w:rPr>
        <w:t xml:space="preserve">has paid or expects to pay for the eligible population during the treatment period. Costs are assigned by matching codes for services rendered to codes listed in the NCQA SPTs (the tables will be posted to NCQA’s Web site by November </w:t>
      </w:r>
      <w:r w:rsidR="0083581E">
        <w:rPr>
          <w:rFonts w:cs="Arial"/>
          <w:szCs w:val="20"/>
        </w:rPr>
        <w:t>2</w:t>
      </w:r>
      <w:r w:rsidRPr="00463667">
        <w:rPr>
          <w:rFonts w:cs="Arial"/>
          <w:szCs w:val="20"/>
        </w:rPr>
        <w:t xml:space="preserve">, </w:t>
      </w:r>
      <w:r w:rsidR="0083581E">
        <w:rPr>
          <w:rFonts w:cs="Arial"/>
          <w:szCs w:val="20"/>
        </w:rPr>
        <w:t>2015</w:t>
      </w:r>
      <w:r w:rsidRPr="00463667">
        <w:rPr>
          <w:rFonts w:cs="Arial"/>
          <w:szCs w:val="20"/>
        </w:rPr>
        <w:t>).</w:t>
      </w:r>
    </w:p>
    <w:tbl>
      <w:tblPr>
        <w:tblW w:w="9792" w:type="dxa"/>
        <w:tblInd w:w="-72" w:type="dxa"/>
        <w:tblLayout w:type="fixed"/>
        <w:tblLook w:val="0000" w:firstRow="0" w:lastRow="0" w:firstColumn="0" w:lastColumn="0" w:noHBand="0" w:noVBand="0"/>
      </w:tblPr>
      <w:tblGrid>
        <w:gridCol w:w="1980"/>
        <w:gridCol w:w="3960"/>
        <w:gridCol w:w="3852"/>
      </w:tblGrid>
      <w:tr w:rsidR="00BF3DF9" w:rsidRPr="00463667" w14:paraId="73F5558F" w14:textId="77777777" w:rsidTr="00C56CA6">
        <w:tc>
          <w:tcPr>
            <w:tcW w:w="1980" w:type="dxa"/>
            <w:vMerge w:val="restart"/>
          </w:tcPr>
          <w:p w14:paraId="6670C16E" w14:textId="77777777" w:rsidR="00BF3DF9" w:rsidRPr="00463667" w:rsidRDefault="00BF3DF9" w:rsidP="00C56CA6">
            <w:pPr>
              <w:pStyle w:val="MarginSubhead"/>
            </w:pPr>
            <w:r w:rsidRPr="00463667">
              <w:t>Apply standard price</w:t>
            </w:r>
          </w:p>
        </w:tc>
        <w:tc>
          <w:tcPr>
            <w:tcW w:w="3960" w:type="dxa"/>
          </w:tcPr>
          <w:p w14:paraId="0EB9890F" w14:textId="77777777" w:rsidR="00BF3DF9" w:rsidRPr="00463667" w:rsidRDefault="00BF3DF9" w:rsidP="00C56CA6">
            <w:pPr>
              <w:pStyle w:val="Body"/>
            </w:pPr>
            <w:r w:rsidRPr="00463667">
              <w:t>SPTs categorize services as follows.</w:t>
            </w:r>
          </w:p>
          <w:p w14:paraId="7ECBADBB" w14:textId="77777777" w:rsidR="00BF3DF9" w:rsidRPr="00463667" w:rsidRDefault="00BF3DF9" w:rsidP="00C56CA6">
            <w:pPr>
              <w:pStyle w:val="Bullet"/>
              <w:spacing w:before="100"/>
            </w:pPr>
            <w:r w:rsidRPr="00463667">
              <w:t>Inpatient Facility.</w:t>
            </w:r>
          </w:p>
          <w:p w14:paraId="66D4E25B" w14:textId="77777777" w:rsidR="00BF3DF9" w:rsidRPr="00463667" w:rsidRDefault="00BF3DF9" w:rsidP="00C56CA6">
            <w:pPr>
              <w:pStyle w:val="Bullet"/>
              <w:spacing w:before="100"/>
            </w:pPr>
            <w:r w:rsidRPr="00463667">
              <w:t>E&amp;M.</w:t>
            </w:r>
          </w:p>
          <w:p w14:paraId="0FFCADFB" w14:textId="77777777" w:rsidR="00BF3DF9" w:rsidRPr="00463667" w:rsidRDefault="00BF3DF9" w:rsidP="00C56CA6">
            <w:pPr>
              <w:pStyle w:val="Dash"/>
            </w:pPr>
            <w:r w:rsidRPr="00463667">
              <w:t>Inpatient Services.</w:t>
            </w:r>
          </w:p>
          <w:p w14:paraId="6BAB1F64" w14:textId="77777777" w:rsidR="00BF3DF9" w:rsidRPr="00463667" w:rsidRDefault="00BF3DF9" w:rsidP="00C56CA6">
            <w:pPr>
              <w:pStyle w:val="Dash"/>
            </w:pPr>
            <w:r w:rsidRPr="00463667">
              <w:t>Outpatient Services.</w:t>
            </w:r>
          </w:p>
          <w:p w14:paraId="1EE03BC9" w14:textId="77777777" w:rsidR="00BF3DF9" w:rsidRPr="00463667" w:rsidRDefault="00BF3DF9" w:rsidP="00C56CA6">
            <w:pPr>
              <w:pStyle w:val="Bullet"/>
              <w:spacing w:before="100"/>
            </w:pPr>
            <w:r w:rsidRPr="00463667">
              <w:t>Laboratory Services.</w:t>
            </w:r>
          </w:p>
        </w:tc>
        <w:tc>
          <w:tcPr>
            <w:tcW w:w="3852" w:type="dxa"/>
          </w:tcPr>
          <w:p w14:paraId="1B625C9F" w14:textId="77777777" w:rsidR="00BF3DF9" w:rsidRPr="00463667" w:rsidRDefault="00BF3DF9" w:rsidP="00C56CA6">
            <w:pPr>
              <w:pStyle w:val="Body"/>
            </w:pPr>
          </w:p>
          <w:p w14:paraId="278807FF" w14:textId="77777777" w:rsidR="00BF3DF9" w:rsidRPr="00463667" w:rsidRDefault="00BF3DF9" w:rsidP="00C56CA6">
            <w:pPr>
              <w:pStyle w:val="ProcessBullet"/>
              <w:spacing w:before="100"/>
            </w:pPr>
            <w:r w:rsidRPr="00463667">
              <w:t xml:space="preserve">Surgery and Procedure. </w:t>
            </w:r>
          </w:p>
          <w:p w14:paraId="28A77903" w14:textId="77777777" w:rsidR="00BF3DF9" w:rsidRPr="00463667" w:rsidRDefault="00BF3DF9" w:rsidP="00C56CA6">
            <w:pPr>
              <w:pStyle w:val="ProcessDash"/>
            </w:pPr>
            <w:r w:rsidRPr="00463667">
              <w:t>Inpatient Services.</w:t>
            </w:r>
          </w:p>
          <w:p w14:paraId="3BDA247C" w14:textId="77777777" w:rsidR="00BF3DF9" w:rsidRPr="00463667" w:rsidRDefault="00BF3DF9" w:rsidP="00C56CA6">
            <w:pPr>
              <w:pStyle w:val="ProcessDash"/>
            </w:pPr>
            <w:r w:rsidRPr="00463667">
              <w:t>Outpatient Services.</w:t>
            </w:r>
          </w:p>
          <w:p w14:paraId="3AB66BF5" w14:textId="77777777" w:rsidR="00BF3DF9" w:rsidRPr="00463667" w:rsidRDefault="00BF3DF9" w:rsidP="00C56CA6">
            <w:pPr>
              <w:pStyle w:val="ProcessBullet"/>
              <w:spacing w:before="100"/>
            </w:pPr>
            <w:r w:rsidRPr="00463667">
              <w:t>Imaging Services.</w:t>
            </w:r>
          </w:p>
          <w:p w14:paraId="035877B7" w14:textId="77777777" w:rsidR="00BF3DF9" w:rsidRPr="00463667" w:rsidRDefault="00BF3DF9" w:rsidP="00C56CA6">
            <w:pPr>
              <w:pStyle w:val="ProcessBullet"/>
              <w:spacing w:before="100"/>
            </w:pPr>
            <w:r w:rsidRPr="00463667">
              <w:t>Pharmacy.</w:t>
            </w:r>
          </w:p>
        </w:tc>
      </w:tr>
      <w:tr w:rsidR="00BF3DF9" w:rsidRPr="00463667" w14:paraId="4F859B87" w14:textId="77777777" w:rsidTr="00C56CA6">
        <w:tc>
          <w:tcPr>
            <w:tcW w:w="1980" w:type="dxa"/>
            <w:vMerge/>
          </w:tcPr>
          <w:p w14:paraId="25E043FD" w14:textId="77777777" w:rsidR="00BF3DF9" w:rsidRPr="00463667" w:rsidRDefault="00BF3DF9" w:rsidP="00C56CA6">
            <w:pPr>
              <w:pStyle w:val="MarginSubhead"/>
            </w:pPr>
          </w:p>
        </w:tc>
        <w:tc>
          <w:tcPr>
            <w:tcW w:w="7812" w:type="dxa"/>
            <w:gridSpan w:val="2"/>
          </w:tcPr>
          <w:p w14:paraId="279D1043" w14:textId="77777777" w:rsidR="00BF3DF9" w:rsidRPr="00463667" w:rsidRDefault="00BF3DF9" w:rsidP="00C56CA6">
            <w:pPr>
              <w:pStyle w:val="Body"/>
            </w:pPr>
            <w:r w:rsidRPr="00463667">
              <w:t xml:space="preserve">Count all services listed in the SPTs rendered to members in the eligible population during the treatment period. Refer to the </w:t>
            </w:r>
            <w:r w:rsidRPr="00463667">
              <w:rPr>
                <w:i/>
              </w:rPr>
              <w:t>Calculating Standard Cost</w:t>
            </w:r>
            <w:r w:rsidRPr="00463667">
              <w:t xml:space="preserve"> instructions in the </w:t>
            </w:r>
            <w:r w:rsidRPr="00463667">
              <w:rPr>
                <w:i/>
              </w:rPr>
              <w:t xml:space="preserve">Guidelines for Relative Resource Use </w:t>
            </w:r>
            <w:r w:rsidRPr="00463667">
              <w:t>for steps on categorizing services and linking service data to NCQA’s SPTs.</w:t>
            </w:r>
          </w:p>
        </w:tc>
      </w:tr>
      <w:tr w:rsidR="00BF3DF9" w:rsidRPr="00463667" w14:paraId="400621DA" w14:textId="77777777" w:rsidTr="00C56CA6">
        <w:tc>
          <w:tcPr>
            <w:tcW w:w="1980" w:type="dxa"/>
          </w:tcPr>
          <w:p w14:paraId="53AC64EE" w14:textId="77777777" w:rsidR="00BF3DF9" w:rsidRPr="00463667" w:rsidRDefault="00BF3DF9" w:rsidP="00C56CA6">
            <w:pPr>
              <w:pStyle w:val="MarginSubhead"/>
            </w:pPr>
            <w:r w:rsidRPr="00463667">
              <w:t>Calculate total cost</w:t>
            </w:r>
          </w:p>
        </w:tc>
        <w:tc>
          <w:tcPr>
            <w:tcW w:w="7812" w:type="dxa"/>
            <w:gridSpan w:val="2"/>
          </w:tcPr>
          <w:p w14:paraId="17A8E4F7" w14:textId="77777777" w:rsidR="00BF3DF9" w:rsidRPr="00463667" w:rsidRDefault="00BF3DF9" w:rsidP="00C56CA6">
            <w:pPr>
              <w:pStyle w:val="Body"/>
              <w:rPr>
                <w:rFonts w:cs="Arial"/>
                <w:szCs w:val="20"/>
              </w:rPr>
            </w:pPr>
            <w:r w:rsidRPr="00463667">
              <w:t>Sum the total standard cost for each eligible member. For each service category, if a member’s standard cost exceeds the service category cap amount, report the total standard cost specified in the NCQA Cost Cap Amounts table (released with the SPTs</w:t>
            </w:r>
            <w:r w:rsidRPr="00463667">
              <w:rPr>
                <w:rFonts w:cs="Arial"/>
                <w:szCs w:val="20"/>
              </w:rPr>
              <w:t>).</w:t>
            </w:r>
          </w:p>
          <w:p w14:paraId="45649DCA" w14:textId="77777777" w:rsidR="00BF3DF9" w:rsidRPr="00463667" w:rsidRDefault="00BF3DF9" w:rsidP="00C56CA6">
            <w:pPr>
              <w:pStyle w:val="Body"/>
              <w:rPr>
                <w:rFonts w:cs="Arial"/>
                <w:szCs w:val="20"/>
              </w:rPr>
            </w:pPr>
            <w:r w:rsidRPr="00463667">
              <w:rPr>
                <w:rFonts w:cs="Arial"/>
                <w:szCs w:val="20"/>
              </w:rPr>
              <w:t>Sum and report the total standard cost for the eligible population in each service category by member cohort.</w:t>
            </w:r>
          </w:p>
        </w:tc>
      </w:tr>
    </w:tbl>
    <w:p w14:paraId="464D8F5F" w14:textId="77777777" w:rsidR="00BF3DF9" w:rsidRPr="00463667" w:rsidRDefault="00BF3DF9" w:rsidP="00724140">
      <w:pPr>
        <w:pStyle w:val="ReverseHead"/>
      </w:pPr>
      <w:r w:rsidRPr="00463667">
        <w:t>Service Frequency Calculations</w:t>
      </w:r>
    </w:p>
    <w:tbl>
      <w:tblPr>
        <w:tblW w:w="9882" w:type="dxa"/>
        <w:tblInd w:w="-72" w:type="dxa"/>
        <w:tblLayout w:type="fixed"/>
        <w:tblLook w:val="0000" w:firstRow="0" w:lastRow="0" w:firstColumn="0" w:lastColumn="0" w:noHBand="0" w:noVBand="0"/>
      </w:tblPr>
      <w:tblGrid>
        <w:gridCol w:w="1980"/>
        <w:gridCol w:w="7902"/>
      </w:tblGrid>
      <w:tr w:rsidR="00BF3DF9" w:rsidRPr="00463667" w14:paraId="7116B805" w14:textId="77777777" w:rsidTr="00C56CA6">
        <w:tc>
          <w:tcPr>
            <w:tcW w:w="1980" w:type="dxa"/>
          </w:tcPr>
          <w:p w14:paraId="28820DEC" w14:textId="77777777" w:rsidR="00BF3DF9" w:rsidRPr="00463667" w:rsidRDefault="00BF3DF9" w:rsidP="00C56CA6">
            <w:pPr>
              <w:pStyle w:val="MarginSubhead"/>
              <w:ind w:left="187"/>
              <w:rPr>
                <w:rFonts w:cs="Arial"/>
                <w:szCs w:val="20"/>
              </w:rPr>
            </w:pPr>
            <w:r w:rsidRPr="00463667">
              <w:rPr>
                <w:rFonts w:cs="Arial"/>
                <w:szCs w:val="20"/>
              </w:rPr>
              <w:t>Total service frequency</w:t>
            </w:r>
          </w:p>
        </w:tc>
        <w:tc>
          <w:tcPr>
            <w:tcW w:w="7902" w:type="dxa"/>
          </w:tcPr>
          <w:p w14:paraId="205CEB7B" w14:textId="77777777" w:rsidR="00BF3DF9" w:rsidRPr="00463667" w:rsidRDefault="00BF3DF9" w:rsidP="00C56CA6">
            <w:pPr>
              <w:pStyle w:val="Body"/>
              <w:rPr>
                <w:rFonts w:cs="Arial"/>
                <w:szCs w:val="20"/>
              </w:rPr>
            </w:pPr>
            <w:r w:rsidRPr="00463667">
              <w:rPr>
                <w:rFonts w:cs="Arial"/>
                <w:szCs w:val="20"/>
              </w:rPr>
              <w:t xml:space="preserve">Service frequency counts are reported for all services in the treatment period. The measure captures each eligible member’s services rendered during the treatment period for the following service categories. </w:t>
            </w:r>
          </w:p>
          <w:p w14:paraId="27C291DF" w14:textId="77777777" w:rsidR="00BF3DF9" w:rsidRPr="00463667" w:rsidRDefault="00BF3DF9" w:rsidP="00966C97">
            <w:pPr>
              <w:pStyle w:val="Bullet"/>
              <w:tabs>
                <w:tab w:val="clear" w:pos="576"/>
              </w:tabs>
              <w:spacing w:before="60"/>
            </w:pPr>
            <w:r w:rsidRPr="00463667">
              <w:t>Acute Medicine: Discharges, Days.</w:t>
            </w:r>
          </w:p>
          <w:p w14:paraId="6E62D6B9" w14:textId="77777777" w:rsidR="00BF3DF9" w:rsidRPr="00463667" w:rsidRDefault="00BF3DF9" w:rsidP="00966C97">
            <w:pPr>
              <w:pStyle w:val="Bullet"/>
              <w:tabs>
                <w:tab w:val="clear" w:pos="576"/>
              </w:tabs>
              <w:spacing w:before="60"/>
            </w:pPr>
            <w:r w:rsidRPr="00463667">
              <w:t>Acute Surgery: Discharges, Days.</w:t>
            </w:r>
          </w:p>
          <w:p w14:paraId="60D478AE" w14:textId="77777777" w:rsidR="00BF3DF9" w:rsidRPr="00463667" w:rsidRDefault="00BF3DF9" w:rsidP="00966C97">
            <w:pPr>
              <w:pStyle w:val="Bullet"/>
              <w:tabs>
                <w:tab w:val="clear" w:pos="576"/>
              </w:tabs>
              <w:spacing w:before="60"/>
            </w:pPr>
            <w:r w:rsidRPr="00463667">
              <w:t>Nonacute: Discharges, Days.</w:t>
            </w:r>
          </w:p>
          <w:p w14:paraId="5226A69E" w14:textId="77777777" w:rsidR="00BF3DF9" w:rsidRPr="00463667" w:rsidRDefault="00BF3DF9" w:rsidP="00966C97">
            <w:pPr>
              <w:pStyle w:val="Bullet"/>
              <w:tabs>
                <w:tab w:val="clear" w:pos="576"/>
              </w:tabs>
              <w:spacing w:before="60"/>
            </w:pPr>
            <w:r w:rsidRPr="00463667">
              <w:t>ED Discharges.</w:t>
            </w:r>
          </w:p>
          <w:p w14:paraId="2FD2DB75" w14:textId="77777777" w:rsidR="00BF3DF9" w:rsidRPr="00463667" w:rsidRDefault="00BF3DF9" w:rsidP="00966C97">
            <w:pPr>
              <w:pStyle w:val="Bullet"/>
              <w:spacing w:before="60"/>
            </w:pPr>
            <w:r w:rsidRPr="00463667">
              <w:t>Pharmacy Utilization.</w:t>
            </w:r>
          </w:p>
          <w:p w14:paraId="4739EC19" w14:textId="77777777" w:rsidR="00BF3DF9" w:rsidRPr="00463667" w:rsidRDefault="00BF3DF9" w:rsidP="00966C97">
            <w:pPr>
              <w:pStyle w:val="Dash"/>
              <w:spacing w:before="30"/>
            </w:pPr>
            <w:r w:rsidRPr="00463667">
              <w:t>Name brand only (N1).</w:t>
            </w:r>
          </w:p>
          <w:p w14:paraId="142357B2" w14:textId="77777777" w:rsidR="00BF3DF9" w:rsidRPr="00463667" w:rsidRDefault="00BF3DF9" w:rsidP="00966C97">
            <w:pPr>
              <w:pStyle w:val="Dash"/>
              <w:spacing w:before="30"/>
              <w:rPr>
                <w:szCs w:val="20"/>
              </w:rPr>
            </w:pPr>
            <w:r w:rsidRPr="00463667">
              <w:t>Name brand—Generic exists (N2).</w:t>
            </w:r>
          </w:p>
          <w:p w14:paraId="2AE80E9F" w14:textId="77777777" w:rsidR="00BF3DF9" w:rsidRPr="00463667" w:rsidRDefault="00BF3DF9" w:rsidP="00966C97">
            <w:pPr>
              <w:pStyle w:val="Dash"/>
              <w:spacing w:before="30"/>
            </w:pPr>
            <w:r w:rsidRPr="00463667">
              <w:t>Generic only (G1).</w:t>
            </w:r>
          </w:p>
          <w:p w14:paraId="2385C421" w14:textId="77777777" w:rsidR="00BF3DF9" w:rsidRPr="00463667" w:rsidRDefault="00BF3DF9" w:rsidP="00966C97">
            <w:pPr>
              <w:pStyle w:val="Dash"/>
              <w:spacing w:before="30"/>
            </w:pPr>
            <w:r w:rsidRPr="00463667">
              <w:t>Generic name—Name brand exists (G2).</w:t>
            </w:r>
          </w:p>
          <w:p w14:paraId="5DC1DBB6" w14:textId="77777777" w:rsidR="00BF3DF9" w:rsidRPr="00463667" w:rsidRDefault="00BF3DF9" w:rsidP="00C56CA6">
            <w:pPr>
              <w:pStyle w:val="Body"/>
              <w:rPr>
                <w:rFonts w:cs="Arial"/>
                <w:szCs w:val="20"/>
              </w:rPr>
            </w:pPr>
            <w:r w:rsidRPr="00463667">
              <w:t xml:space="preserve">Refer to the instructions in the </w:t>
            </w:r>
            <w:r w:rsidRPr="00463667">
              <w:rPr>
                <w:i/>
              </w:rPr>
              <w:t>Guidelines for Relative Resource Use.</w:t>
            </w:r>
            <w:r w:rsidRPr="00463667">
              <w:t xml:space="preserve"> </w:t>
            </w:r>
            <w:r w:rsidRPr="00463667">
              <w:rPr>
                <w:rFonts w:cs="Arial"/>
                <w:szCs w:val="20"/>
              </w:rPr>
              <w:t>The pharmacy utilization categories are included in Table SPT—Pharm.</w:t>
            </w:r>
          </w:p>
        </w:tc>
      </w:tr>
    </w:tbl>
    <w:p w14:paraId="0F9E8F08" w14:textId="77777777" w:rsidR="00BF3DF9" w:rsidRPr="00463667" w:rsidRDefault="00BF3DF9" w:rsidP="00BF3DF9">
      <w:pPr>
        <w:sectPr w:rsidR="00BF3DF9" w:rsidRPr="00463667" w:rsidSect="00C56CA6">
          <w:headerReference w:type="even" r:id="rId61"/>
          <w:headerReference w:type="default" r:id="rId62"/>
          <w:pgSz w:w="12240" w:h="15840" w:code="1"/>
          <w:pgMar w:top="1080" w:right="1080" w:bottom="1080" w:left="1440" w:header="720" w:footer="720" w:gutter="0"/>
          <w:cols w:space="720"/>
          <w:docGrid w:linePitch="272"/>
        </w:sectPr>
      </w:pPr>
    </w:p>
    <w:tbl>
      <w:tblPr>
        <w:tblW w:w="9792" w:type="dxa"/>
        <w:tblInd w:w="18" w:type="dxa"/>
        <w:tblLayout w:type="fixed"/>
        <w:tblLook w:val="0000" w:firstRow="0" w:lastRow="0" w:firstColumn="0" w:lastColumn="0" w:noHBand="0" w:noVBand="0"/>
      </w:tblPr>
      <w:tblGrid>
        <w:gridCol w:w="1890"/>
        <w:gridCol w:w="7902"/>
      </w:tblGrid>
      <w:tr w:rsidR="00BF3DF9" w:rsidRPr="00463667" w14:paraId="12FFC9B5" w14:textId="77777777" w:rsidTr="00C56CA6">
        <w:tc>
          <w:tcPr>
            <w:tcW w:w="1890" w:type="dxa"/>
          </w:tcPr>
          <w:p w14:paraId="50E1D915" w14:textId="77777777" w:rsidR="00BF3DF9" w:rsidRPr="00463667" w:rsidRDefault="00BF3DF9" w:rsidP="00C56CA6">
            <w:pPr>
              <w:pStyle w:val="MarginSubhead"/>
              <w:spacing w:before="0"/>
            </w:pPr>
            <w:r w:rsidRPr="00463667">
              <w:lastRenderedPageBreak/>
              <w:t xml:space="preserve">Inpatient Facility </w:t>
            </w:r>
          </w:p>
        </w:tc>
        <w:tc>
          <w:tcPr>
            <w:tcW w:w="7902" w:type="dxa"/>
          </w:tcPr>
          <w:p w14:paraId="0351D6CB" w14:textId="77777777" w:rsidR="00BF3DF9" w:rsidRPr="00463667" w:rsidRDefault="00BF3DF9" w:rsidP="00C56CA6">
            <w:pPr>
              <w:pStyle w:val="Body"/>
              <w:spacing w:before="0"/>
            </w:pPr>
            <w:r w:rsidRPr="00463667">
              <w:t xml:space="preserve">This category measures the number of acute and nonacute inpatient facility discharges, days and ALOS, regardless of diagnosis. Count each discharge once. Include data from any institution that provides acute or long-term/specialty nonacute care. </w:t>
            </w:r>
          </w:p>
          <w:p w14:paraId="75A9ED41" w14:textId="77777777" w:rsidR="00BF3DF9" w:rsidRPr="00463667" w:rsidRDefault="00BF3DF9" w:rsidP="00C56CA6">
            <w:pPr>
              <w:pStyle w:val="Body"/>
            </w:pPr>
            <w:r w:rsidRPr="00463667">
              <w:t xml:space="preserve">Refer to the </w:t>
            </w:r>
            <w:r w:rsidRPr="00463667">
              <w:rPr>
                <w:i/>
              </w:rPr>
              <w:t xml:space="preserve">Guidelines for Relative Resource Use </w:t>
            </w:r>
            <w:r w:rsidRPr="00463667">
              <w:t xml:space="preserve">to identify acute inpatient (including medicine and surgery) and nonacute discharges and days. </w:t>
            </w:r>
          </w:p>
        </w:tc>
      </w:tr>
      <w:tr w:rsidR="00BF3DF9" w:rsidRPr="00463667" w14:paraId="1038F452" w14:textId="77777777" w:rsidTr="00C56CA6">
        <w:tc>
          <w:tcPr>
            <w:tcW w:w="1890" w:type="dxa"/>
          </w:tcPr>
          <w:p w14:paraId="79E9EF4E" w14:textId="77777777" w:rsidR="00BF3DF9" w:rsidRPr="00463667" w:rsidRDefault="00BF3DF9" w:rsidP="00C56CA6">
            <w:pPr>
              <w:pStyle w:val="MarginSubhead"/>
            </w:pPr>
            <w:r w:rsidRPr="00463667">
              <w:t>ED Discharges</w:t>
            </w:r>
          </w:p>
        </w:tc>
        <w:tc>
          <w:tcPr>
            <w:tcW w:w="7902" w:type="dxa"/>
          </w:tcPr>
          <w:p w14:paraId="1E8E7947" w14:textId="77777777" w:rsidR="00BF3DF9" w:rsidRPr="00463667" w:rsidRDefault="00BF3DF9" w:rsidP="00C56CA6">
            <w:pPr>
              <w:pStyle w:val="Body"/>
            </w:pPr>
            <w:r w:rsidRPr="00463667">
              <w:t xml:space="preserve">This category measures use of ED services. </w:t>
            </w:r>
          </w:p>
          <w:p w14:paraId="5ACF48AC" w14:textId="77777777" w:rsidR="00BF3DF9" w:rsidRPr="00463667" w:rsidRDefault="00BF3DF9" w:rsidP="00C56CA6">
            <w:pPr>
              <w:pStyle w:val="Body"/>
            </w:pPr>
            <w:r w:rsidRPr="00463667">
              <w:t xml:space="preserve">Count each visit to an ED during the treatment period that does not result in </w:t>
            </w:r>
            <w:r w:rsidRPr="00463667">
              <w:rPr>
                <w:rFonts w:cs="Arial"/>
                <w:szCs w:val="20"/>
              </w:rPr>
              <w:t>an inpatient stay that was paid, or expected to be paid, by the organization</w:t>
            </w:r>
            <w:r w:rsidRPr="00463667">
              <w:t>, regardless of the intensity of care required during the stay or the length of stay. Count only one ED visit per date of service. Do not count visits to urgent care centers. Services for members admitted to the hospital from an ED visit are included in the Inpatient Facility category only.</w:t>
            </w:r>
          </w:p>
          <w:p w14:paraId="5D23CAF2" w14:textId="77777777" w:rsidR="00BF3DF9" w:rsidRPr="00463667" w:rsidRDefault="00BF3DF9" w:rsidP="00C56CA6">
            <w:pPr>
              <w:pStyle w:val="Body"/>
              <w:spacing w:before="160"/>
            </w:pPr>
            <w:r w:rsidRPr="00463667">
              <w:t>Identify ED visits using either of the following:</w:t>
            </w:r>
          </w:p>
          <w:p w14:paraId="412D854C" w14:textId="77777777" w:rsidR="00BF3DF9" w:rsidRPr="00463667" w:rsidRDefault="00BF3DF9" w:rsidP="00C56CA6">
            <w:pPr>
              <w:pStyle w:val="Bullet"/>
            </w:pPr>
            <w:r w:rsidRPr="00463667">
              <w:t>An ED visit (</w:t>
            </w:r>
            <w:r w:rsidRPr="00463667">
              <w:rPr>
                <w:u w:val="single"/>
              </w:rPr>
              <w:t>ED Value Set</w:t>
            </w:r>
            <w:r w:rsidRPr="00463667">
              <w:t>).</w:t>
            </w:r>
          </w:p>
          <w:p w14:paraId="0A5F9738" w14:textId="77777777" w:rsidR="00BF3DF9" w:rsidRPr="00463667" w:rsidRDefault="00BF3DF9" w:rsidP="00C56CA6">
            <w:pPr>
              <w:pStyle w:val="Bullet"/>
            </w:pPr>
            <w:r w:rsidRPr="00463667">
              <w:t>A procedure code (</w:t>
            </w:r>
            <w:r w:rsidRPr="00463667">
              <w:rPr>
                <w:u w:val="single"/>
              </w:rPr>
              <w:t>ED Procedure Code Value Set</w:t>
            </w:r>
            <w:r w:rsidRPr="00463667">
              <w:t>) with an ED place of service code (</w:t>
            </w:r>
            <w:r w:rsidRPr="00463667">
              <w:rPr>
                <w:u w:val="single"/>
              </w:rPr>
              <w:t>ED POS Value Set</w:t>
            </w:r>
            <w:r w:rsidRPr="00463667">
              <w:t>).</w:t>
            </w:r>
          </w:p>
        </w:tc>
      </w:tr>
      <w:tr w:rsidR="00BF3DF9" w:rsidRPr="00463667" w14:paraId="4058BD78" w14:textId="77777777" w:rsidTr="00C56CA6">
        <w:tc>
          <w:tcPr>
            <w:tcW w:w="1890" w:type="dxa"/>
          </w:tcPr>
          <w:p w14:paraId="7401B15F" w14:textId="77777777" w:rsidR="00BF3DF9" w:rsidRPr="00463667" w:rsidRDefault="00BF3DF9" w:rsidP="00C56CA6">
            <w:pPr>
              <w:pStyle w:val="MarginSubhead"/>
            </w:pPr>
            <w:r w:rsidRPr="00463667">
              <w:t>Pharmacy Utilization</w:t>
            </w:r>
          </w:p>
        </w:tc>
        <w:tc>
          <w:tcPr>
            <w:tcW w:w="7902" w:type="dxa"/>
          </w:tcPr>
          <w:p w14:paraId="7FFE8391" w14:textId="77777777" w:rsidR="00BF3DF9" w:rsidRPr="00463667" w:rsidRDefault="00BF3DF9" w:rsidP="00C56CA6">
            <w:pPr>
              <w:pStyle w:val="Body"/>
            </w:pPr>
            <w:r w:rsidRPr="00463667">
              <w:t>Use Table SPT—Pharm to identify the prescription categories for each drug dispensed in the treatment period.</w:t>
            </w:r>
          </w:p>
          <w:p w14:paraId="620A4DD5" w14:textId="77777777" w:rsidR="00BF3DF9" w:rsidRPr="00463667" w:rsidRDefault="00BF3DF9" w:rsidP="00C56CA6">
            <w:pPr>
              <w:pStyle w:val="Body"/>
            </w:pPr>
            <w:r w:rsidRPr="00463667">
              <w:t>Sum and report the number of prescriptions in each of the four categories in the Pharmacy—Total Service Frequency by Prescription Category table.</w:t>
            </w:r>
          </w:p>
        </w:tc>
      </w:tr>
    </w:tbl>
    <w:p w14:paraId="27697D50" w14:textId="77777777" w:rsidR="00BF3DF9" w:rsidRPr="00463667" w:rsidRDefault="00BF3DF9" w:rsidP="00BF3DF9">
      <w:pPr>
        <w:rPr>
          <w:b/>
          <w:bCs/>
          <w:szCs w:val="26"/>
        </w:rPr>
      </w:pPr>
    </w:p>
    <w:p w14:paraId="14F91BF0" w14:textId="77777777" w:rsidR="00BF3DF9" w:rsidRPr="00463667" w:rsidRDefault="00BF3DF9" w:rsidP="00BF3DF9">
      <w:pPr>
        <w:rPr>
          <w:b/>
          <w:bCs/>
          <w:szCs w:val="26"/>
        </w:rPr>
        <w:sectPr w:rsidR="00BF3DF9" w:rsidRPr="00463667" w:rsidSect="00C56CA6">
          <w:pgSz w:w="12240" w:h="15840" w:code="1"/>
          <w:pgMar w:top="1080" w:right="1080" w:bottom="1080" w:left="1440" w:header="720" w:footer="720" w:gutter="0"/>
          <w:cols w:space="720"/>
          <w:docGrid w:linePitch="272"/>
        </w:sectPr>
      </w:pPr>
    </w:p>
    <w:p w14:paraId="33B190AB" w14:textId="77777777" w:rsidR="00BF3DF9" w:rsidRPr="00463667" w:rsidRDefault="00BF3DF9" w:rsidP="00724140">
      <w:pPr>
        <w:pStyle w:val="ReverseHead"/>
        <w:spacing w:before="0"/>
      </w:pPr>
      <w:r w:rsidRPr="00463667">
        <w:lastRenderedPageBreak/>
        <w:t>Data Elements for Reporting</w:t>
      </w:r>
    </w:p>
    <w:p w14:paraId="3E07B8BA" w14:textId="2E73C3ED" w:rsidR="00BF3DF9" w:rsidRPr="00463667" w:rsidRDefault="00752BC5" w:rsidP="00752BC5">
      <w:pPr>
        <w:pStyle w:val="TableHeadNotCondensed"/>
        <w:ind w:left="2070" w:hanging="2070"/>
      </w:pPr>
      <w:r>
        <w:t>Table RCO-A-1/2/3:</w:t>
      </w:r>
      <w:r>
        <w:tab/>
      </w:r>
      <w:r w:rsidR="00BF3DF9" w:rsidRPr="00463667">
        <w:t xml:space="preserve">Data Elements for Relative Resource Use for People </w:t>
      </w:r>
      <w:r>
        <w:br/>
      </w:r>
      <w:r w:rsidR="00BF3DF9" w:rsidRPr="00463667">
        <w:t>With COPD</w:t>
      </w:r>
    </w:p>
    <w:tbl>
      <w:tblPr>
        <w:tblW w:w="7650" w:type="dxa"/>
        <w:tblInd w:w="-10" w:type="dxa"/>
        <w:tblCellMar>
          <w:left w:w="0" w:type="dxa"/>
          <w:right w:w="0" w:type="dxa"/>
        </w:tblCellMar>
        <w:tblLook w:val="04A0" w:firstRow="1" w:lastRow="0" w:firstColumn="1" w:lastColumn="0" w:noHBand="0" w:noVBand="1"/>
      </w:tblPr>
      <w:tblGrid>
        <w:gridCol w:w="3245"/>
        <w:gridCol w:w="4405"/>
      </w:tblGrid>
      <w:tr w:rsidR="00BF3DF9" w:rsidRPr="00463667" w14:paraId="294E4EC5" w14:textId="77777777" w:rsidTr="00484C42">
        <w:trPr>
          <w:trHeight w:val="300"/>
        </w:trPr>
        <w:tc>
          <w:tcPr>
            <w:tcW w:w="3245" w:type="dxa"/>
            <w:tcBorders>
              <w:top w:val="single" w:sz="8" w:space="0" w:color="auto"/>
              <w:left w:val="single" w:sz="8" w:space="0" w:color="auto"/>
              <w:bottom w:val="single" w:sz="4" w:space="0" w:color="auto"/>
              <w:right w:val="single" w:sz="6" w:space="0" w:color="FFFFFF"/>
            </w:tcBorders>
            <w:shd w:val="clear" w:color="auto" w:fill="000000"/>
            <w:noWrap/>
            <w:tcMar>
              <w:top w:w="0" w:type="dxa"/>
              <w:left w:w="108" w:type="dxa"/>
              <w:bottom w:w="0" w:type="dxa"/>
              <w:right w:w="108" w:type="dxa"/>
            </w:tcMar>
            <w:vAlign w:val="bottom"/>
            <w:hideMark/>
          </w:tcPr>
          <w:p w14:paraId="494691C9" w14:textId="77777777" w:rsidR="00BF3DF9" w:rsidRPr="00463667" w:rsidRDefault="00BF3DF9" w:rsidP="00C56CA6">
            <w:pPr>
              <w:pStyle w:val="TableHead"/>
              <w:rPr>
                <w:color w:val="auto"/>
              </w:rPr>
            </w:pPr>
            <w:r w:rsidRPr="00463667">
              <w:rPr>
                <w:color w:val="auto"/>
              </w:rPr>
              <w:t>Metadata ID</w:t>
            </w:r>
          </w:p>
        </w:tc>
        <w:tc>
          <w:tcPr>
            <w:tcW w:w="4405" w:type="dxa"/>
            <w:tcBorders>
              <w:top w:val="single" w:sz="8" w:space="0" w:color="auto"/>
              <w:left w:val="single" w:sz="6" w:space="0" w:color="FFFFFF"/>
              <w:bottom w:val="single" w:sz="4" w:space="0" w:color="auto"/>
              <w:right w:val="single" w:sz="8" w:space="0" w:color="auto"/>
            </w:tcBorders>
            <w:shd w:val="clear" w:color="auto" w:fill="000000"/>
            <w:noWrap/>
            <w:tcMar>
              <w:top w:w="0" w:type="dxa"/>
              <w:left w:w="108" w:type="dxa"/>
              <w:bottom w:w="0" w:type="dxa"/>
              <w:right w:w="108" w:type="dxa"/>
            </w:tcMar>
            <w:vAlign w:val="bottom"/>
            <w:hideMark/>
          </w:tcPr>
          <w:p w14:paraId="33539A2C" w14:textId="77777777" w:rsidR="00BF3DF9" w:rsidRPr="00463667" w:rsidRDefault="00BF3DF9" w:rsidP="00C56CA6">
            <w:pPr>
              <w:pStyle w:val="TableHead"/>
              <w:rPr>
                <w:color w:val="auto"/>
              </w:rPr>
            </w:pPr>
            <w:r w:rsidRPr="00463667">
              <w:rPr>
                <w:color w:val="auto"/>
              </w:rPr>
              <w:t>Metadata Specification Name</w:t>
            </w:r>
          </w:p>
        </w:tc>
      </w:tr>
      <w:tr w:rsidR="00BF3DF9" w:rsidRPr="00463667" w14:paraId="6ED6FDBE" w14:textId="77777777" w:rsidTr="00484C42">
        <w:tc>
          <w:tcPr>
            <w:tcW w:w="324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3C30ABAA" w14:textId="77777777" w:rsidR="00BF3DF9" w:rsidRPr="00463667" w:rsidRDefault="00BF3DF9" w:rsidP="00C56CA6">
            <w:pPr>
              <w:pStyle w:val="TableText"/>
            </w:pPr>
            <w:r w:rsidRPr="00463667">
              <w:t>EligiblePopulation</w:t>
            </w:r>
          </w:p>
        </w:tc>
        <w:tc>
          <w:tcPr>
            <w:tcW w:w="440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32367944" w14:textId="77777777" w:rsidR="00BF3DF9" w:rsidRPr="00463667" w:rsidRDefault="00BF3DF9" w:rsidP="00C56CA6">
            <w:pPr>
              <w:pStyle w:val="TableText"/>
            </w:pPr>
            <w:r w:rsidRPr="00463667">
              <w:t>Eligible Population</w:t>
            </w:r>
          </w:p>
        </w:tc>
      </w:tr>
      <w:tr w:rsidR="00BF3DF9" w:rsidRPr="00463667" w14:paraId="4C740C31" w14:textId="77777777" w:rsidTr="00484C42">
        <w:tc>
          <w:tcPr>
            <w:tcW w:w="324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48D14C46" w14:textId="77777777" w:rsidR="00BF3DF9" w:rsidRPr="00463667" w:rsidRDefault="00BF3DF9" w:rsidP="00C56CA6">
            <w:pPr>
              <w:pStyle w:val="TableText"/>
            </w:pPr>
            <w:r w:rsidRPr="00463667">
              <w:t>Exclusions</w:t>
            </w:r>
          </w:p>
        </w:tc>
        <w:tc>
          <w:tcPr>
            <w:tcW w:w="440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2067E2C9" w14:textId="77777777" w:rsidR="00BF3DF9" w:rsidRPr="00463667" w:rsidRDefault="00BF3DF9" w:rsidP="00C56CA6">
            <w:pPr>
              <w:pStyle w:val="TableText"/>
            </w:pPr>
            <w:r w:rsidRPr="00463667">
              <w:t>Exclusions</w:t>
            </w:r>
          </w:p>
        </w:tc>
      </w:tr>
      <w:tr w:rsidR="00BF3DF9" w:rsidRPr="00463667" w14:paraId="38F997DA" w14:textId="77777777" w:rsidTr="00484C42">
        <w:tc>
          <w:tcPr>
            <w:tcW w:w="324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1B047F1B" w14:textId="77777777" w:rsidR="00BF3DF9" w:rsidRPr="00463667" w:rsidRDefault="00BF3DF9" w:rsidP="00C56CA6">
            <w:pPr>
              <w:pStyle w:val="TableText"/>
            </w:pPr>
            <w:r w:rsidRPr="00463667">
              <w:t>NameBrandOnlyCount</w:t>
            </w:r>
          </w:p>
        </w:tc>
        <w:tc>
          <w:tcPr>
            <w:tcW w:w="440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168CF758" w14:textId="77777777" w:rsidR="00BF3DF9" w:rsidRPr="00463667" w:rsidRDefault="00BF3DF9" w:rsidP="00C56CA6">
            <w:pPr>
              <w:pStyle w:val="TableText"/>
            </w:pPr>
            <w:r w:rsidRPr="00463667">
              <w:t>Pharmacy: Name Brand only (N1)</w:t>
            </w:r>
          </w:p>
        </w:tc>
      </w:tr>
      <w:tr w:rsidR="00BF3DF9" w:rsidRPr="00463667" w14:paraId="4490D1FC" w14:textId="77777777" w:rsidTr="00484C42">
        <w:tc>
          <w:tcPr>
            <w:tcW w:w="324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5A435877" w14:textId="77777777" w:rsidR="00BF3DF9" w:rsidRPr="00463667" w:rsidRDefault="00BF3DF9" w:rsidP="00C56CA6">
            <w:pPr>
              <w:pStyle w:val="TableText"/>
            </w:pPr>
            <w:r w:rsidRPr="00463667">
              <w:t>NameBrandGenericExistsCount</w:t>
            </w:r>
          </w:p>
        </w:tc>
        <w:tc>
          <w:tcPr>
            <w:tcW w:w="440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64A5B800" w14:textId="77777777" w:rsidR="00BF3DF9" w:rsidRPr="00463667" w:rsidRDefault="00BF3DF9" w:rsidP="00C56CA6">
            <w:pPr>
              <w:pStyle w:val="TableText"/>
            </w:pPr>
            <w:r w:rsidRPr="00463667">
              <w:t>Pharmacy: Name Brand—Generic Exists (N2)</w:t>
            </w:r>
          </w:p>
        </w:tc>
      </w:tr>
      <w:tr w:rsidR="00BF3DF9" w:rsidRPr="00463667" w14:paraId="670813C9" w14:textId="77777777" w:rsidTr="00484C42">
        <w:tc>
          <w:tcPr>
            <w:tcW w:w="324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02D47F4D" w14:textId="77777777" w:rsidR="00BF3DF9" w:rsidRPr="00463667" w:rsidRDefault="00BF3DF9" w:rsidP="00C56CA6">
            <w:pPr>
              <w:pStyle w:val="TableText"/>
            </w:pPr>
            <w:r w:rsidRPr="00463667">
              <w:t>GenericOnlyCount</w:t>
            </w:r>
          </w:p>
        </w:tc>
        <w:tc>
          <w:tcPr>
            <w:tcW w:w="440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2D245CC7" w14:textId="77777777" w:rsidR="00BF3DF9" w:rsidRPr="00463667" w:rsidRDefault="00BF3DF9" w:rsidP="00C56CA6">
            <w:pPr>
              <w:pStyle w:val="TableText"/>
            </w:pPr>
            <w:r w:rsidRPr="00463667">
              <w:t>Pharmacy: Generic Only (G1)</w:t>
            </w:r>
          </w:p>
        </w:tc>
      </w:tr>
      <w:tr w:rsidR="00BF3DF9" w:rsidRPr="00463667" w14:paraId="275D14F0" w14:textId="77777777" w:rsidTr="00484C42">
        <w:tc>
          <w:tcPr>
            <w:tcW w:w="324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3BEC0087" w14:textId="77777777" w:rsidR="00BF3DF9" w:rsidRPr="00463667" w:rsidRDefault="00BF3DF9" w:rsidP="00C56CA6">
            <w:pPr>
              <w:pStyle w:val="TableText"/>
            </w:pPr>
            <w:r w:rsidRPr="00463667">
              <w:t>GenericNameBrandExistsCount</w:t>
            </w:r>
          </w:p>
        </w:tc>
        <w:tc>
          <w:tcPr>
            <w:tcW w:w="440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67DD1435" w14:textId="77777777" w:rsidR="00BF3DF9" w:rsidRPr="00463667" w:rsidRDefault="00BF3DF9" w:rsidP="00C56CA6">
            <w:pPr>
              <w:pStyle w:val="TableText"/>
            </w:pPr>
            <w:r w:rsidRPr="00463667">
              <w:t>Pharmacy: Generic—Name Brand Exists (G2)</w:t>
            </w:r>
          </w:p>
        </w:tc>
      </w:tr>
    </w:tbl>
    <w:p w14:paraId="38F9134E" w14:textId="084131BC" w:rsidR="00BF3DF9" w:rsidRPr="00463667" w:rsidRDefault="00752BC5" w:rsidP="00752BC5">
      <w:pPr>
        <w:pStyle w:val="TableHeadNotCondensed"/>
        <w:ind w:left="2070" w:hanging="2070"/>
      </w:pPr>
      <w:r>
        <w:t>Table RCO-B-1/2/3:</w:t>
      </w:r>
      <w:r>
        <w:tab/>
      </w:r>
      <w:r w:rsidR="00BF3DF9" w:rsidRPr="00463667">
        <w:t>Data Elements for Relative Resource Use for People</w:t>
      </w:r>
      <w:r>
        <w:br/>
      </w:r>
      <w:r w:rsidR="00BF3DF9" w:rsidRPr="00463667">
        <w:t>With COPD</w:t>
      </w:r>
    </w:p>
    <w:tbl>
      <w:tblPr>
        <w:tblW w:w="394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4"/>
        <w:gridCol w:w="968"/>
        <w:gridCol w:w="774"/>
        <w:gridCol w:w="876"/>
        <w:gridCol w:w="4137"/>
      </w:tblGrid>
      <w:tr w:rsidR="00BF3DF9" w:rsidRPr="00463667" w14:paraId="0F018261" w14:textId="77777777" w:rsidTr="00484C42">
        <w:trPr>
          <w:cantSplit/>
        </w:trPr>
        <w:tc>
          <w:tcPr>
            <w:tcW w:w="590" w:type="pct"/>
            <w:tcBorders>
              <w:right w:val="single" w:sz="6" w:space="0" w:color="FFFFFF"/>
            </w:tcBorders>
            <w:shd w:val="clear" w:color="auto" w:fill="000000"/>
            <w:vAlign w:val="bottom"/>
          </w:tcPr>
          <w:p w14:paraId="46666230" w14:textId="77777777" w:rsidR="00BF3DF9" w:rsidRPr="00463667" w:rsidRDefault="00BF3DF9" w:rsidP="00C56CA6">
            <w:pPr>
              <w:pStyle w:val="TableHead"/>
              <w:rPr>
                <w:color w:val="auto"/>
              </w:rPr>
            </w:pPr>
            <w:r w:rsidRPr="00463667">
              <w:rPr>
                <w:color w:val="auto"/>
              </w:rPr>
              <w:t>Gender</w:t>
            </w:r>
          </w:p>
        </w:tc>
        <w:tc>
          <w:tcPr>
            <w:tcW w:w="632" w:type="pct"/>
            <w:tcBorders>
              <w:left w:val="single" w:sz="6" w:space="0" w:color="FFFFFF"/>
              <w:right w:val="single" w:sz="6" w:space="0" w:color="FFFFFF"/>
            </w:tcBorders>
            <w:shd w:val="clear" w:color="auto" w:fill="000000"/>
            <w:vAlign w:val="bottom"/>
          </w:tcPr>
          <w:p w14:paraId="60D1B6E2" w14:textId="77777777" w:rsidR="00BF3DF9" w:rsidRPr="00463667" w:rsidRDefault="00BF3DF9" w:rsidP="00C56CA6">
            <w:pPr>
              <w:pStyle w:val="TableHead"/>
              <w:rPr>
                <w:color w:val="auto"/>
              </w:rPr>
            </w:pPr>
            <w:r w:rsidRPr="00463667">
              <w:rPr>
                <w:color w:val="auto"/>
              </w:rPr>
              <w:t>Age</w:t>
            </w:r>
          </w:p>
        </w:tc>
        <w:tc>
          <w:tcPr>
            <w:tcW w:w="505" w:type="pct"/>
            <w:tcBorders>
              <w:left w:val="single" w:sz="6" w:space="0" w:color="FFFFFF"/>
              <w:right w:val="single" w:sz="6" w:space="0" w:color="FFFFFF"/>
            </w:tcBorders>
            <w:shd w:val="clear" w:color="auto" w:fill="000000"/>
            <w:vAlign w:val="bottom"/>
          </w:tcPr>
          <w:p w14:paraId="6861E812" w14:textId="77777777" w:rsidR="00BF3DF9" w:rsidRPr="00463667" w:rsidRDefault="00BF3DF9" w:rsidP="00C56CA6">
            <w:pPr>
              <w:pStyle w:val="TableHead"/>
              <w:rPr>
                <w:color w:val="auto"/>
              </w:rPr>
            </w:pPr>
            <w:r w:rsidRPr="00463667">
              <w:rPr>
                <w:color w:val="auto"/>
              </w:rPr>
              <w:t>Risk Group</w:t>
            </w:r>
          </w:p>
        </w:tc>
        <w:tc>
          <w:tcPr>
            <w:tcW w:w="572" w:type="pct"/>
            <w:tcBorders>
              <w:left w:val="single" w:sz="6" w:space="0" w:color="FFFFFF"/>
              <w:right w:val="single" w:sz="6" w:space="0" w:color="FFFFFF"/>
            </w:tcBorders>
            <w:shd w:val="clear" w:color="auto" w:fill="000000"/>
            <w:vAlign w:val="bottom"/>
          </w:tcPr>
          <w:p w14:paraId="0F10F0EE" w14:textId="77777777" w:rsidR="00BF3DF9" w:rsidRPr="00463667" w:rsidRDefault="00BF3DF9" w:rsidP="00C56CA6">
            <w:pPr>
              <w:pStyle w:val="TableHead"/>
              <w:rPr>
                <w:color w:val="auto"/>
              </w:rPr>
            </w:pPr>
            <w:r w:rsidRPr="00463667">
              <w:rPr>
                <w:color w:val="auto"/>
              </w:rPr>
              <w:t>Type</w:t>
            </w:r>
          </w:p>
        </w:tc>
        <w:tc>
          <w:tcPr>
            <w:tcW w:w="2700" w:type="pct"/>
            <w:tcBorders>
              <w:left w:val="single" w:sz="6" w:space="0" w:color="FFFFFF"/>
            </w:tcBorders>
            <w:shd w:val="clear" w:color="auto" w:fill="000000"/>
            <w:vAlign w:val="bottom"/>
          </w:tcPr>
          <w:p w14:paraId="17F78DA4" w14:textId="77777777" w:rsidR="00BF3DF9" w:rsidRPr="00463667" w:rsidRDefault="00BF3DF9" w:rsidP="00C56CA6">
            <w:pPr>
              <w:pStyle w:val="TableHead"/>
              <w:rPr>
                <w:color w:val="auto"/>
              </w:rPr>
            </w:pPr>
            <w:r w:rsidRPr="00463667">
              <w:rPr>
                <w:color w:val="auto"/>
              </w:rPr>
              <w:t>Metric Specification Name</w:t>
            </w:r>
          </w:p>
        </w:tc>
      </w:tr>
      <w:tr w:rsidR="00BF3DF9" w:rsidRPr="00463667" w14:paraId="71CD2E66" w14:textId="77777777" w:rsidTr="00484C42">
        <w:trPr>
          <w:cantSplit/>
        </w:trPr>
        <w:tc>
          <w:tcPr>
            <w:tcW w:w="590" w:type="pct"/>
          </w:tcPr>
          <w:p w14:paraId="47F386C0" w14:textId="77777777" w:rsidR="00BF3DF9" w:rsidRPr="00463667" w:rsidRDefault="00BF3DF9" w:rsidP="00C56CA6">
            <w:pPr>
              <w:pStyle w:val="TableText"/>
            </w:pPr>
            <w:r w:rsidRPr="00463667">
              <w:t>Male</w:t>
            </w:r>
          </w:p>
        </w:tc>
        <w:tc>
          <w:tcPr>
            <w:tcW w:w="632" w:type="pct"/>
          </w:tcPr>
          <w:p w14:paraId="6485407A" w14:textId="77777777" w:rsidR="00BF3DF9" w:rsidRPr="00463667" w:rsidRDefault="00BF3DF9" w:rsidP="00C56CA6">
            <w:pPr>
              <w:pStyle w:val="TableText"/>
            </w:pPr>
            <w:r w:rsidRPr="00463667">
              <w:t>42-44</w:t>
            </w:r>
          </w:p>
        </w:tc>
        <w:tc>
          <w:tcPr>
            <w:tcW w:w="505" w:type="pct"/>
          </w:tcPr>
          <w:p w14:paraId="67076228" w14:textId="77777777" w:rsidR="00BF3DF9" w:rsidRPr="00463667" w:rsidRDefault="00BF3DF9" w:rsidP="00C56CA6">
            <w:pPr>
              <w:pStyle w:val="TableText"/>
              <w:ind w:left="317"/>
            </w:pPr>
            <w:r w:rsidRPr="00463667">
              <w:t>1</w:t>
            </w:r>
          </w:p>
        </w:tc>
        <w:tc>
          <w:tcPr>
            <w:tcW w:w="572" w:type="pct"/>
          </w:tcPr>
          <w:p w14:paraId="214D9092" w14:textId="77777777" w:rsidR="00BF3DF9" w:rsidRPr="00463667" w:rsidRDefault="00BF3DF9" w:rsidP="00C56CA6">
            <w:pPr>
              <w:pStyle w:val="TableText"/>
            </w:pPr>
            <w:r w:rsidRPr="00463667">
              <w:t>Cost</w:t>
            </w:r>
          </w:p>
        </w:tc>
        <w:tc>
          <w:tcPr>
            <w:tcW w:w="2700" w:type="pct"/>
          </w:tcPr>
          <w:p w14:paraId="37AFE411" w14:textId="77777777" w:rsidR="00BF3DF9" w:rsidRPr="00463667" w:rsidRDefault="00BF3DF9" w:rsidP="00C56CA6">
            <w:pPr>
              <w:pStyle w:val="TableText"/>
            </w:pPr>
            <w:r w:rsidRPr="00463667">
              <w:t>Inpatient Facility</w:t>
            </w:r>
          </w:p>
        </w:tc>
      </w:tr>
      <w:tr w:rsidR="00BF3DF9" w:rsidRPr="00463667" w14:paraId="5D257210" w14:textId="77777777" w:rsidTr="00484C42">
        <w:trPr>
          <w:cantSplit/>
        </w:trPr>
        <w:tc>
          <w:tcPr>
            <w:tcW w:w="590" w:type="pct"/>
          </w:tcPr>
          <w:p w14:paraId="6779F12B" w14:textId="77777777" w:rsidR="00BF3DF9" w:rsidRPr="00463667" w:rsidRDefault="00BF3DF9" w:rsidP="00C56CA6">
            <w:pPr>
              <w:pStyle w:val="TableText"/>
            </w:pPr>
            <w:r w:rsidRPr="00463667">
              <w:t>Female</w:t>
            </w:r>
          </w:p>
        </w:tc>
        <w:tc>
          <w:tcPr>
            <w:tcW w:w="632" w:type="pct"/>
          </w:tcPr>
          <w:p w14:paraId="4C25F109" w14:textId="77777777" w:rsidR="00BF3DF9" w:rsidRPr="00463667" w:rsidRDefault="00BF3DF9" w:rsidP="00C56CA6">
            <w:pPr>
              <w:pStyle w:val="TableText"/>
            </w:pPr>
            <w:r w:rsidRPr="00463667">
              <w:t>45-64</w:t>
            </w:r>
          </w:p>
        </w:tc>
        <w:tc>
          <w:tcPr>
            <w:tcW w:w="505" w:type="pct"/>
          </w:tcPr>
          <w:p w14:paraId="669CCE1E" w14:textId="77777777" w:rsidR="00BF3DF9" w:rsidRPr="00463667" w:rsidRDefault="00BF3DF9" w:rsidP="00C56CA6">
            <w:pPr>
              <w:pStyle w:val="TableText"/>
              <w:ind w:left="317"/>
            </w:pPr>
            <w:r w:rsidRPr="00463667">
              <w:t>2</w:t>
            </w:r>
          </w:p>
        </w:tc>
        <w:tc>
          <w:tcPr>
            <w:tcW w:w="572" w:type="pct"/>
          </w:tcPr>
          <w:p w14:paraId="289C4BA9" w14:textId="77777777" w:rsidR="00BF3DF9" w:rsidRPr="00463667" w:rsidRDefault="00BF3DF9" w:rsidP="00C56CA6">
            <w:pPr>
              <w:pStyle w:val="TableText"/>
            </w:pPr>
            <w:r w:rsidRPr="00463667">
              <w:t>Cost</w:t>
            </w:r>
          </w:p>
        </w:tc>
        <w:tc>
          <w:tcPr>
            <w:tcW w:w="2700" w:type="pct"/>
          </w:tcPr>
          <w:p w14:paraId="0F0F686A" w14:textId="77777777" w:rsidR="00BF3DF9" w:rsidRPr="00463667" w:rsidRDefault="00BF3DF9" w:rsidP="00C56CA6">
            <w:pPr>
              <w:pStyle w:val="TableText"/>
            </w:pPr>
            <w:r w:rsidRPr="00463667">
              <w:t>E&amp;M Inpatient Services</w:t>
            </w:r>
          </w:p>
        </w:tc>
      </w:tr>
      <w:tr w:rsidR="00BF3DF9" w:rsidRPr="00463667" w14:paraId="3DB39D78" w14:textId="77777777" w:rsidTr="00484C42">
        <w:trPr>
          <w:cantSplit/>
        </w:trPr>
        <w:tc>
          <w:tcPr>
            <w:tcW w:w="590" w:type="pct"/>
            <w:tcBorders>
              <w:left w:val="nil"/>
              <w:bottom w:val="nil"/>
            </w:tcBorders>
          </w:tcPr>
          <w:p w14:paraId="0095BB90" w14:textId="77777777" w:rsidR="00BF3DF9" w:rsidRPr="00463667" w:rsidRDefault="00BF3DF9" w:rsidP="00C56CA6">
            <w:pPr>
              <w:pStyle w:val="TableText"/>
            </w:pPr>
          </w:p>
        </w:tc>
        <w:tc>
          <w:tcPr>
            <w:tcW w:w="632" w:type="pct"/>
          </w:tcPr>
          <w:p w14:paraId="0B493E6F" w14:textId="77777777" w:rsidR="00BF3DF9" w:rsidRPr="00463667" w:rsidRDefault="00BF3DF9" w:rsidP="00C56CA6">
            <w:pPr>
              <w:pStyle w:val="TableText"/>
            </w:pPr>
            <w:r w:rsidRPr="00463667">
              <w:t>65-74</w:t>
            </w:r>
          </w:p>
        </w:tc>
        <w:tc>
          <w:tcPr>
            <w:tcW w:w="505" w:type="pct"/>
          </w:tcPr>
          <w:p w14:paraId="13ECE7DE" w14:textId="77777777" w:rsidR="00BF3DF9" w:rsidRPr="00463667" w:rsidRDefault="00BF3DF9" w:rsidP="00C56CA6">
            <w:pPr>
              <w:pStyle w:val="TableText"/>
              <w:ind w:left="317"/>
            </w:pPr>
            <w:r w:rsidRPr="00463667">
              <w:t>3</w:t>
            </w:r>
          </w:p>
        </w:tc>
        <w:tc>
          <w:tcPr>
            <w:tcW w:w="572" w:type="pct"/>
          </w:tcPr>
          <w:p w14:paraId="0287EFD4" w14:textId="77777777" w:rsidR="00BF3DF9" w:rsidRPr="00463667" w:rsidRDefault="00BF3DF9" w:rsidP="00C56CA6">
            <w:pPr>
              <w:pStyle w:val="TableText"/>
            </w:pPr>
            <w:r w:rsidRPr="00463667">
              <w:t>Cost</w:t>
            </w:r>
          </w:p>
        </w:tc>
        <w:tc>
          <w:tcPr>
            <w:tcW w:w="2700" w:type="pct"/>
          </w:tcPr>
          <w:p w14:paraId="34084E61" w14:textId="77777777" w:rsidR="00BF3DF9" w:rsidRPr="00463667" w:rsidRDefault="00BF3DF9" w:rsidP="00C56CA6">
            <w:pPr>
              <w:pStyle w:val="TableText"/>
            </w:pPr>
            <w:r w:rsidRPr="00463667">
              <w:t>E&amp;M Outpatient Services</w:t>
            </w:r>
          </w:p>
        </w:tc>
      </w:tr>
      <w:tr w:rsidR="00BF3DF9" w:rsidRPr="00463667" w14:paraId="7AB86A51" w14:textId="77777777" w:rsidTr="00484C42">
        <w:trPr>
          <w:cantSplit/>
        </w:trPr>
        <w:tc>
          <w:tcPr>
            <w:tcW w:w="590" w:type="pct"/>
            <w:tcBorders>
              <w:top w:val="nil"/>
              <w:left w:val="nil"/>
              <w:bottom w:val="nil"/>
              <w:right w:val="nil"/>
            </w:tcBorders>
          </w:tcPr>
          <w:p w14:paraId="2EACDC99" w14:textId="77777777" w:rsidR="00BF3DF9" w:rsidRPr="00463667" w:rsidRDefault="00BF3DF9" w:rsidP="00C56CA6">
            <w:pPr>
              <w:pStyle w:val="TableText"/>
            </w:pPr>
          </w:p>
        </w:tc>
        <w:tc>
          <w:tcPr>
            <w:tcW w:w="632" w:type="pct"/>
            <w:tcBorders>
              <w:bottom w:val="single" w:sz="4" w:space="0" w:color="auto"/>
            </w:tcBorders>
          </w:tcPr>
          <w:p w14:paraId="3897AD34" w14:textId="77777777" w:rsidR="00BF3DF9" w:rsidRPr="00463667" w:rsidRDefault="00BF3DF9" w:rsidP="00C56CA6">
            <w:pPr>
              <w:pStyle w:val="TableText"/>
            </w:pPr>
            <w:r w:rsidRPr="00463667">
              <w:t>75+</w:t>
            </w:r>
          </w:p>
        </w:tc>
        <w:tc>
          <w:tcPr>
            <w:tcW w:w="505" w:type="pct"/>
          </w:tcPr>
          <w:p w14:paraId="2DDC72A4" w14:textId="77777777" w:rsidR="00BF3DF9" w:rsidRPr="00463667" w:rsidRDefault="00BF3DF9" w:rsidP="00C56CA6">
            <w:pPr>
              <w:pStyle w:val="TableText"/>
              <w:ind w:left="317"/>
            </w:pPr>
            <w:r w:rsidRPr="00463667">
              <w:t>4</w:t>
            </w:r>
          </w:p>
        </w:tc>
        <w:tc>
          <w:tcPr>
            <w:tcW w:w="572" w:type="pct"/>
          </w:tcPr>
          <w:p w14:paraId="7D26D3BE" w14:textId="77777777" w:rsidR="00BF3DF9" w:rsidRPr="00463667" w:rsidRDefault="00BF3DF9" w:rsidP="00C56CA6">
            <w:pPr>
              <w:pStyle w:val="TableText"/>
            </w:pPr>
            <w:r w:rsidRPr="00463667">
              <w:t>Cost</w:t>
            </w:r>
          </w:p>
        </w:tc>
        <w:tc>
          <w:tcPr>
            <w:tcW w:w="2700" w:type="pct"/>
          </w:tcPr>
          <w:p w14:paraId="55961BE1" w14:textId="77777777" w:rsidR="00BF3DF9" w:rsidRPr="00463667" w:rsidRDefault="00BF3DF9" w:rsidP="00C56CA6">
            <w:pPr>
              <w:pStyle w:val="TableText"/>
            </w:pPr>
            <w:r w:rsidRPr="00463667">
              <w:t>Surgery &amp; Procedure Inpatient Services</w:t>
            </w:r>
          </w:p>
        </w:tc>
      </w:tr>
      <w:tr w:rsidR="00BF3DF9" w:rsidRPr="00463667" w14:paraId="13BD2AA7" w14:textId="77777777" w:rsidTr="00484C42">
        <w:trPr>
          <w:cantSplit/>
        </w:trPr>
        <w:tc>
          <w:tcPr>
            <w:tcW w:w="590" w:type="pct"/>
            <w:tcBorders>
              <w:top w:val="nil"/>
              <w:left w:val="nil"/>
              <w:bottom w:val="nil"/>
              <w:right w:val="nil"/>
            </w:tcBorders>
          </w:tcPr>
          <w:p w14:paraId="0FD38EA1" w14:textId="77777777" w:rsidR="00BF3DF9" w:rsidRPr="00463667" w:rsidRDefault="00BF3DF9" w:rsidP="00C56CA6">
            <w:pPr>
              <w:pStyle w:val="TableText"/>
            </w:pPr>
          </w:p>
        </w:tc>
        <w:tc>
          <w:tcPr>
            <w:tcW w:w="632" w:type="pct"/>
            <w:tcBorders>
              <w:left w:val="nil"/>
              <w:bottom w:val="nil"/>
            </w:tcBorders>
          </w:tcPr>
          <w:p w14:paraId="42136ADD" w14:textId="77777777" w:rsidR="00BF3DF9" w:rsidRPr="00463667" w:rsidRDefault="00BF3DF9" w:rsidP="00C56CA6">
            <w:pPr>
              <w:pStyle w:val="TableText"/>
            </w:pPr>
          </w:p>
        </w:tc>
        <w:tc>
          <w:tcPr>
            <w:tcW w:w="505" w:type="pct"/>
          </w:tcPr>
          <w:p w14:paraId="7DF778D9" w14:textId="77777777" w:rsidR="00BF3DF9" w:rsidRPr="00463667" w:rsidRDefault="00BF3DF9" w:rsidP="00C56CA6">
            <w:pPr>
              <w:pStyle w:val="TableText"/>
              <w:ind w:left="317"/>
            </w:pPr>
            <w:r w:rsidRPr="00463667">
              <w:t>5</w:t>
            </w:r>
          </w:p>
        </w:tc>
        <w:tc>
          <w:tcPr>
            <w:tcW w:w="572" w:type="pct"/>
          </w:tcPr>
          <w:p w14:paraId="19E4117F" w14:textId="77777777" w:rsidR="00BF3DF9" w:rsidRPr="00463667" w:rsidRDefault="00BF3DF9" w:rsidP="00C56CA6">
            <w:pPr>
              <w:pStyle w:val="TableText"/>
            </w:pPr>
            <w:r w:rsidRPr="00463667">
              <w:t>Cost</w:t>
            </w:r>
          </w:p>
        </w:tc>
        <w:tc>
          <w:tcPr>
            <w:tcW w:w="2700" w:type="pct"/>
          </w:tcPr>
          <w:p w14:paraId="5D8007EE" w14:textId="77777777" w:rsidR="00BF3DF9" w:rsidRPr="00463667" w:rsidRDefault="00BF3DF9" w:rsidP="00C56CA6">
            <w:pPr>
              <w:pStyle w:val="TableText"/>
            </w:pPr>
            <w:r w:rsidRPr="00463667">
              <w:t>Surgery &amp; Procedure Outpatient Services</w:t>
            </w:r>
          </w:p>
        </w:tc>
      </w:tr>
      <w:tr w:rsidR="00BF3DF9" w:rsidRPr="00463667" w14:paraId="014F0F25" w14:textId="77777777" w:rsidTr="00484C42">
        <w:trPr>
          <w:cantSplit/>
        </w:trPr>
        <w:tc>
          <w:tcPr>
            <w:tcW w:w="590" w:type="pct"/>
            <w:tcBorders>
              <w:top w:val="nil"/>
              <w:left w:val="nil"/>
              <w:bottom w:val="nil"/>
              <w:right w:val="nil"/>
            </w:tcBorders>
          </w:tcPr>
          <w:p w14:paraId="5B19FF70" w14:textId="77777777" w:rsidR="00BF3DF9" w:rsidRPr="00463667" w:rsidRDefault="00BF3DF9" w:rsidP="00C56CA6">
            <w:pPr>
              <w:pStyle w:val="TableText"/>
            </w:pPr>
          </w:p>
        </w:tc>
        <w:tc>
          <w:tcPr>
            <w:tcW w:w="632" w:type="pct"/>
            <w:tcBorders>
              <w:top w:val="nil"/>
              <w:left w:val="nil"/>
              <w:bottom w:val="nil"/>
            </w:tcBorders>
          </w:tcPr>
          <w:p w14:paraId="0F69636D" w14:textId="77777777" w:rsidR="00BF3DF9" w:rsidRPr="00463667" w:rsidRDefault="00BF3DF9" w:rsidP="00C56CA6">
            <w:pPr>
              <w:pStyle w:val="TableText"/>
            </w:pPr>
          </w:p>
        </w:tc>
        <w:tc>
          <w:tcPr>
            <w:tcW w:w="505" w:type="pct"/>
          </w:tcPr>
          <w:p w14:paraId="59180A1D" w14:textId="77777777" w:rsidR="00BF3DF9" w:rsidRPr="00463667" w:rsidRDefault="00BF3DF9" w:rsidP="00C56CA6">
            <w:pPr>
              <w:pStyle w:val="TableText"/>
              <w:ind w:left="317"/>
            </w:pPr>
            <w:r w:rsidRPr="00463667">
              <w:t>6</w:t>
            </w:r>
          </w:p>
        </w:tc>
        <w:tc>
          <w:tcPr>
            <w:tcW w:w="572" w:type="pct"/>
          </w:tcPr>
          <w:p w14:paraId="0A48D940" w14:textId="77777777" w:rsidR="00BF3DF9" w:rsidRPr="00463667" w:rsidRDefault="00BF3DF9" w:rsidP="00C56CA6">
            <w:pPr>
              <w:pStyle w:val="TableText"/>
            </w:pPr>
            <w:r w:rsidRPr="00463667">
              <w:t>Cost</w:t>
            </w:r>
          </w:p>
        </w:tc>
        <w:tc>
          <w:tcPr>
            <w:tcW w:w="2700" w:type="pct"/>
          </w:tcPr>
          <w:p w14:paraId="27C31024" w14:textId="77777777" w:rsidR="00BF3DF9" w:rsidRPr="00463667" w:rsidRDefault="00BF3DF9" w:rsidP="00C56CA6">
            <w:pPr>
              <w:pStyle w:val="TableText"/>
            </w:pPr>
            <w:r w:rsidRPr="00463667">
              <w:t>Imaging Services</w:t>
            </w:r>
          </w:p>
        </w:tc>
      </w:tr>
      <w:tr w:rsidR="00BF3DF9" w:rsidRPr="00463667" w14:paraId="769E7CA0" w14:textId="77777777" w:rsidTr="00484C42">
        <w:trPr>
          <w:cantSplit/>
        </w:trPr>
        <w:tc>
          <w:tcPr>
            <w:tcW w:w="590" w:type="pct"/>
            <w:tcBorders>
              <w:top w:val="nil"/>
              <w:left w:val="nil"/>
              <w:bottom w:val="nil"/>
              <w:right w:val="nil"/>
            </w:tcBorders>
          </w:tcPr>
          <w:p w14:paraId="5104BEA7" w14:textId="77777777" w:rsidR="00BF3DF9" w:rsidRPr="00463667" w:rsidRDefault="00BF3DF9" w:rsidP="00C56CA6">
            <w:pPr>
              <w:pStyle w:val="TableText"/>
            </w:pPr>
          </w:p>
        </w:tc>
        <w:tc>
          <w:tcPr>
            <w:tcW w:w="632" w:type="pct"/>
            <w:tcBorders>
              <w:top w:val="nil"/>
              <w:left w:val="nil"/>
              <w:bottom w:val="nil"/>
            </w:tcBorders>
          </w:tcPr>
          <w:p w14:paraId="3E13000F" w14:textId="77777777" w:rsidR="00BF3DF9" w:rsidRPr="00463667" w:rsidRDefault="00BF3DF9" w:rsidP="00C56CA6">
            <w:pPr>
              <w:pStyle w:val="TableText"/>
            </w:pPr>
          </w:p>
        </w:tc>
        <w:tc>
          <w:tcPr>
            <w:tcW w:w="505" w:type="pct"/>
          </w:tcPr>
          <w:p w14:paraId="79F61A42" w14:textId="77777777" w:rsidR="00BF3DF9" w:rsidRPr="00463667" w:rsidRDefault="00BF3DF9" w:rsidP="00C56CA6">
            <w:pPr>
              <w:pStyle w:val="TableText"/>
              <w:ind w:left="317"/>
            </w:pPr>
            <w:r w:rsidRPr="00463667">
              <w:t>7</w:t>
            </w:r>
          </w:p>
        </w:tc>
        <w:tc>
          <w:tcPr>
            <w:tcW w:w="572" w:type="pct"/>
          </w:tcPr>
          <w:p w14:paraId="715A5BDF" w14:textId="77777777" w:rsidR="00BF3DF9" w:rsidRPr="00463667" w:rsidRDefault="00BF3DF9" w:rsidP="00C56CA6">
            <w:pPr>
              <w:pStyle w:val="TableText"/>
            </w:pPr>
            <w:r w:rsidRPr="00463667">
              <w:t>Cost</w:t>
            </w:r>
          </w:p>
        </w:tc>
        <w:tc>
          <w:tcPr>
            <w:tcW w:w="2700" w:type="pct"/>
          </w:tcPr>
          <w:p w14:paraId="32836AA1" w14:textId="77777777" w:rsidR="00BF3DF9" w:rsidRPr="00463667" w:rsidRDefault="00BF3DF9" w:rsidP="00C56CA6">
            <w:pPr>
              <w:pStyle w:val="TableText"/>
            </w:pPr>
            <w:r w:rsidRPr="00463667">
              <w:t>Laboratory Services</w:t>
            </w:r>
          </w:p>
        </w:tc>
      </w:tr>
      <w:tr w:rsidR="00BF3DF9" w:rsidRPr="00463667" w14:paraId="078CFBAE" w14:textId="77777777" w:rsidTr="00484C42">
        <w:trPr>
          <w:cantSplit/>
        </w:trPr>
        <w:tc>
          <w:tcPr>
            <w:tcW w:w="590" w:type="pct"/>
            <w:tcBorders>
              <w:top w:val="nil"/>
              <w:left w:val="nil"/>
              <w:bottom w:val="nil"/>
              <w:right w:val="nil"/>
            </w:tcBorders>
          </w:tcPr>
          <w:p w14:paraId="391FF3AC" w14:textId="77777777" w:rsidR="00BF3DF9" w:rsidRPr="00463667" w:rsidRDefault="00BF3DF9" w:rsidP="00C56CA6">
            <w:pPr>
              <w:pStyle w:val="TableText"/>
            </w:pPr>
          </w:p>
        </w:tc>
        <w:tc>
          <w:tcPr>
            <w:tcW w:w="632" w:type="pct"/>
            <w:tcBorders>
              <w:top w:val="nil"/>
              <w:left w:val="nil"/>
              <w:bottom w:val="nil"/>
            </w:tcBorders>
          </w:tcPr>
          <w:p w14:paraId="19D3D68B" w14:textId="77777777" w:rsidR="00BF3DF9" w:rsidRPr="00463667" w:rsidRDefault="00BF3DF9" w:rsidP="00C56CA6">
            <w:pPr>
              <w:pStyle w:val="TableText"/>
            </w:pPr>
          </w:p>
        </w:tc>
        <w:tc>
          <w:tcPr>
            <w:tcW w:w="505" w:type="pct"/>
          </w:tcPr>
          <w:p w14:paraId="6EDA49CA" w14:textId="77777777" w:rsidR="00BF3DF9" w:rsidRPr="00463667" w:rsidRDefault="00BF3DF9" w:rsidP="00C56CA6">
            <w:pPr>
              <w:pStyle w:val="TableText"/>
              <w:ind w:left="317"/>
            </w:pPr>
            <w:r w:rsidRPr="00463667">
              <w:t>8</w:t>
            </w:r>
          </w:p>
        </w:tc>
        <w:tc>
          <w:tcPr>
            <w:tcW w:w="572" w:type="pct"/>
          </w:tcPr>
          <w:p w14:paraId="474DCC88" w14:textId="77777777" w:rsidR="00BF3DF9" w:rsidRPr="00463667" w:rsidRDefault="00BF3DF9" w:rsidP="00C56CA6">
            <w:pPr>
              <w:pStyle w:val="TableText"/>
            </w:pPr>
            <w:r w:rsidRPr="00463667">
              <w:t>Cost</w:t>
            </w:r>
          </w:p>
        </w:tc>
        <w:tc>
          <w:tcPr>
            <w:tcW w:w="2700" w:type="pct"/>
          </w:tcPr>
          <w:p w14:paraId="0EAC6AE1" w14:textId="77777777" w:rsidR="00BF3DF9" w:rsidRPr="00463667" w:rsidRDefault="00BF3DF9" w:rsidP="00C56CA6">
            <w:pPr>
              <w:pStyle w:val="TableText"/>
            </w:pPr>
            <w:r w:rsidRPr="00463667">
              <w:t>Pharmacy</w:t>
            </w:r>
          </w:p>
        </w:tc>
      </w:tr>
      <w:tr w:rsidR="00BF3DF9" w:rsidRPr="00463667" w14:paraId="4743FC9D" w14:textId="77777777" w:rsidTr="00484C42">
        <w:trPr>
          <w:cantSplit/>
        </w:trPr>
        <w:tc>
          <w:tcPr>
            <w:tcW w:w="590" w:type="pct"/>
            <w:tcBorders>
              <w:top w:val="nil"/>
              <w:left w:val="nil"/>
              <w:bottom w:val="nil"/>
              <w:right w:val="nil"/>
            </w:tcBorders>
          </w:tcPr>
          <w:p w14:paraId="469FEFB1" w14:textId="77777777" w:rsidR="00BF3DF9" w:rsidRPr="00463667" w:rsidRDefault="00BF3DF9" w:rsidP="00C56CA6">
            <w:pPr>
              <w:pStyle w:val="TableText"/>
            </w:pPr>
          </w:p>
        </w:tc>
        <w:tc>
          <w:tcPr>
            <w:tcW w:w="632" w:type="pct"/>
            <w:tcBorders>
              <w:top w:val="nil"/>
              <w:left w:val="nil"/>
              <w:bottom w:val="nil"/>
            </w:tcBorders>
          </w:tcPr>
          <w:p w14:paraId="00BB3CF6" w14:textId="77777777" w:rsidR="00BF3DF9" w:rsidRPr="00463667" w:rsidRDefault="00BF3DF9" w:rsidP="00C56CA6">
            <w:pPr>
              <w:pStyle w:val="TableText"/>
            </w:pPr>
          </w:p>
        </w:tc>
        <w:tc>
          <w:tcPr>
            <w:tcW w:w="505" w:type="pct"/>
          </w:tcPr>
          <w:p w14:paraId="2A1E4CCF" w14:textId="77777777" w:rsidR="00BF3DF9" w:rsidRPr="00463667" w:rsidRDefault="00BF3DF9" w:rsidP="00C56CA6">
            <w:pPr>
              <w:pStyle w:val="TableText"/>
              <w:ind w:left="317"/>
            </w:pPr>
            <w:r w:rsidRPr="00463667">
              <w:t>9</w:t>
            </w:r>
          </w:p>
        </w:tc>
        <w:tc>
          <w:tcPr>
            <w:tcW w:w="572" w:type="pct"/>
          </w:tcPr>
          <w:p w14:paraId="677577D1" w14:textId="77777777" w:rsidR="00BF3DF9" w:rsidRPr="00463667" w:rsidRDefault="00BF3DF9" w:rsidP="00C56CA6">
            <w:pPr>
              <w:pStyle w:val="TableText"/>
            </w:pPr>
            <w:r w:rsidRPr="00463667">
              <w:t>Count</w:t>
            </w:r>
          </w:p>
        </w:tc>
        <w:tc>
          <w:tcPr>
            <w:tcW w:w="2700" w:type="pct"/>
          </w:tcPr>
          <w:p w14:paraId="2082715F" w14:textId="77777777" w:rsidR="00BF3DF9" w:rsidRPr="00463667" w:rsidRDefault="00BF3DF9" w:rsidP="00C56CA6">
            <w:pPr>
              <w:pStyle w:val="TableText"/>
            </w:pPr>
            <w:r w:rsidRPr="00463667">
              <w:t>Inpatient Facility: Acute Inpatient: Medical Days</w:t>
            </w:r>
          </w:p>
        </w:tc>
      </w:tr>
      <w:tr w:rsidR="00BF3DF9" w:rsidRPr="00463667" w14:paraId="030D8C2F" w14:textId="77777777" w:rsidTr="00484C42">
        <w:trPr>
          <w:cantSplit/>
        </w:trPr>
        <w:tc>
          <w:tcPr>
            <w:tcW w:w="590" w:type="pct"/>
            <w:tcBorders>
              <w:top w:val="nil"/>
              <w:left w:val="nil"/>
              <w:bottom w:val="nil"/>
              <w:right w:val="nil"/>
            </w:tcBorders>
          </w:tcPr>
          <w:p w14:paraId="163EE83B" w14:textId="77777777" w:rsidR="00BF3DF9" w:rsidRPr="00463667" w:rsidRDefault="00BF3DF9" w:rsidP="00C56CA6">
            <w:pPr>
              <w:pStyle w:val="TableText"/>
            </w:pPr>
          </w:p>
        </w:tc>
        <w:tc>
          <w:tcPr>
            <w:tcW w:w="632" w:type="pct"/>
            <w:tcBorders>
              <w:top w:val="nil"/>
              <w:left w:val="nil"/>
              <w:bottom w:val="nil"/>
            </w:tcBorders>
          </w:tcPr>
          <w:p w14:paraId="065FE712" w14:textId="77777777" w:rsidR="00BF3DF9" w:rsidRPr="00463667" w:rsidRDefault="00BF3DF9" w:rsidP="00C56CA6">
            <w:pPr>
              <w:pStyle w:val="TableText"/>
            </w:pPr>
          </w:p>
        </w:tc>
        <w:tc>
          <w:tcPr>
            <w:tcW w:w="505" w:type="pct"/>
          </w:tcPr>
          <w:p w14:paraId="28304388" w14:textId="77777777" w:rsidR="00BF3DF9" w:rsidRPr="00463667" w:rsidRDefault="00BF3DF9" w:rsidP="00C56CA6">
            <w:pPr>
              <w:pStyle w:val="TableText"/>
              <w:ind w:left="216"/>
            </w:pPr>
            <w:r w:rsidRPr="00463667">
              <w:t>10</w:t>
            </w:r>
          </w:p>
        </w:tc>
        <w:tc>
          <w:tcPr>
            <w:tcW w:w="572" w:type="pct"/>
          </w:tcPr>
          <w:p w14:paraId="5E9B6F67" w14:textId="77777777" w:rsidR="00BF3DF9" w:rsidRPr="00463667" w:rsidRDefault="00BF3DF9" w:rsidP="00C56CA6">
            <w:pPr>
              <w:pStyle w:val="TableText"/>
            </w:pPr>
            <w:r w:rsidRPr="00463667">
              <w:t>Count</w:t>
            </w:r>
          </w:p>
        </w:tc>
        <w:tc>
          <w:tcPr>
            <w:tcW w:w="2700" w:type="pct"/>
          </w:tcPr>
          <w:p w14:paraId="0C0DA8B3" w14:textId="77777777" w:rsidR="00BF3DF9" w:rsidRPr="00463667" w:rsidRDefault="00BF3DF9" w:rsidP="00C56CA6">
            <w:pPr>
              <w:pStyle w:val="TableText"/>
            </w:pPr>
            <w:r w:rsidRPr="00463667">
              <w:t>Inpatient Facility: Acute Inpatient: Medical Discharges</w:t>
            </w:r>
          </w:p>
        </w:tc>
      </w:tr>
      <w:tr w:rsidR="00BF3DF9" w:rsidRPr="00463667" w14:paraId="5DF4AC74" w14:textId="77777777" w:rsidTr="00484C42">
        <w:trPr>
          <w:cantSplit/>
        </w:trPr>
        <w:tc>
          <w:tcPr>
            <w:tcW w:w="590" w:type="pct"/>
            <w:tcBorders>
              <w:top w:val="nil"/>
              <w:left w:val="nil"/>
              <w:bottom w:val="nil"/>
              <w:right w:val="nil"/>
            </w:tcBorders>
          </w:tcPr>
          <w:p w14:paraId="39C7A08C" w14:textId="77777777" w:rsidR="00BF3DF9" w:rsidRPr="00463667" w:rsidRDefault="00BF3DF9" w:rsidP="00C56CA6">
            <w:pPr>
              <w:pStyle w:val="TableText"/>
            </w:pPr>
          </w:p>
        </w:tc>
        <w:tc>
          <w:tcPr>
            <w:tcW w:w="632" w:type="pct"/>
            <w:tcBorders>
              <w:top w:val="nil"/>
              <w:left w:val="nil"/>
              <w:bottom w:val="nil"/>
            </w:tcBorders>
          </w:tcPr>
          <w:p w14:paraId="3A66DA8D" w14:textId="77777777" w:rsidR="00BF3DF9" w:rsidRPr="00463667" w:rsidRDefault="00BF3DF9" w:rsidP="00C56CA6">
            <w:pPr>
              <w:pStyle w:val="TableText"/>
            </w:pPr>
          </w:p>
        </w:tc>
        <w:tc>
          <w:tcPr>
            <w:tcW w:w="505" w:type="pct"/>
          </w:tcPr>
          <w:p w14:paraId="16DB2CD7" w14:textId="77777777" w:rsidR="00BF3DF9" w:rsidRPr="00463667" w:rsidRDefault="00BF3DF9" w:rsidP="00C56CA6">
            <w:pPr>
              <w:pStyle w:val="TableText"/>
              <w:ind w:left="216"/>
            </w:pPr>
            <w:r w:rsidRPr="00463667">
              <w:t>11</w:t>
            </w:r>
          </w:p>
        </w:tc>
        <w:tc>
          <w:tcPr>
            <w:tcW w:w="572" w:type="pct"/>
          </w:tcPr>
          <w:p w14:paraId="7153F0DF" w14:textId="77777777" w:rsidR="00BF3DF9" w:rsidRPr="00463667" w:rsidRDefault="00BF3DF9" w:rsidP="00C56CA6">
            <w:pPr>
              <w:pStyle w:val="TableText"/>
            </w:pPr>
            <w:r w:rsidRPr="00463667">
              <w:t>Count</w:t>
            </w:r>
          </w:p>
        </w:tc>
        <w:tc>
          <w:tcPr>
            <w:tcW w:w="2700" w:type="pct"/>
          </w:tcPr>
          <w:p w14:paraId="3C4C80C4" w14:textId="77777777" w:rsidR="00BF3DF9" w:rsidRPr="00463667" w:rsidRDefault="00BF3DF9" w:rsidP="00C56CA6">
            <w:pPr>
              <w:pStyle w:val="TableText"/>
            </w:pPr>
            <w:r w:rsidRPr="00463667">
              <w:t>Inpatient Facility: Acute Inpatient: Surgery Days</w:t>
            </w:r>
          </w:p>
        </w:tc>
      </w:tr>
      <w:tr w:rsidR="00BF3DF9" w:rsidRPr="00463667" w14:paraId="502AF05F" w14:textId="77777777" w:rsidTr="00484C42">
        <w:trPr>
          <w:cantSplit/>
        </w:trPr>
        <w:tc>
          <w:tcPr>
            <w:tcW w:w="590" w:type="pct"/>
            <w:tcBorders>
              <w:top w:val="nil"/>
              <w:left w:val="nil"/>
              <w:bottom w:val="nil"/>
              <w:right w:val="nil"/>
            </w:tcBorders>
          </w:tcPr>
          <w:p w14:paraId="0E88C266" w14:textId="77777777" w:rsidR="00BF3DF9" w:rsidRPr="00463667" w:rsidRDefault="00BF3DF9" w:rsidP="00C56CA6">
            <w:pPr>
              <w:pStyle w:val="TableText"/>
            </w:pPr>
          </w:p>
        </w:tc>
        <w:tc>
          <w:tcPr>
            <w:tcW w:w="632" w:type="pct"/>
            <w:tcBorders>
              <w:top w:val="nil"/>
              <w:left w:val="nil"/>
              <w:bottom w:val="nil"/>
            </w:tcBorders>
          </w:tcPr>
          <w:p w14:paraId="2F9677E1" w14:textId="77777777" w:rsidR="00BF3DF9" w:rsidRPr="00463667" w:rsidRDefault="00BF3DF9" w:rsidP="00C56CA6">
            <w:pPr>
              <w:pStyle w:val="TableText"/>
            </w:pPr>
          </w:p>
        </w:tc>
        <w:tc>
          <w:tcPr>
            <w:tcW w:w="505" w:type="pct"/>
          </w:tcPr>
          <w:p w14:paraId="3A81CEC0" w14:textId="77777777" w:rsidR="00BF3DF9" w:rsidRPr="00463667" w:rsidRDefault="00BF3DF9" w:rsidP="00C56CA6">
            <w:pPr>
              <w:pStyle w:val="TableText"/>
              <w:ind w:left="216"/>
            </w:pPr>
            <w:r w:rsidRPr="00463667">
              <w:t>12</w:t>
            </w:r>
          </w:p>
        </w:tc>
        <w:tc>
          <w:tcPr>
            <w:tcW w:w="572" w:type="pct"/>
          </w:tcPr>
          <w:p w14:paraId="20E577B0" w14:textId="77777777" w:rsidR="00BF3DF9" w:rsidRPr="00463667" w:rsidRDefault="00BF3DF9" w:rsidP="00C56CA6">
            <w:pPr>
              <w:pStyle w:val="TableText"/>
            </w:pPr>
            <w:r w:rsidRPr="00463667">
              <w:t>Count</w:t>
            </w:r>
          </w:p>
        </w:tc>
        <w:tc>
          <w:tcPr>
            <w:tcW w:w="2700" w:type="pct"/>
          </w:tcPr>
          <w:p w14:paraId="1E2D6FE9" w14:textId="77777777" w:rsidR="00BF3DF9" w:rsidRPr="00463667" w:rsidRDefault="00BF3DF9" w:rsidP="00C56CA6">
            <w:pPr>
              <w:pStyle w:val="TableText"/>
            </w:pPr>
            <w:r w:rsidRPr="00463667">
              <w:t>Inpatient Facility: Acute Inpatient: Surgery Discharges</w:t>
            </w:r>
          </w:p>
        </w:tc>
      </w:tr>
      <w:tr w:rsidR="00BF3DF9" w:rsidRPr="00463667" w14:paraId="0E3959BC" w14:textId="77777777" w:rsidTr="00484C42">
        <w:trPr>
          <w:cantSplit/>
        </w:trPr>
        <w:tc>
          <w:tcPr>
            <w:tcW w:w="590" w:type="pct"/>
            <w:tcBorders>
              <w:top w:val="nil"/>
              <w:left w:val="nil"/>
              <w:bottom w:val="nil"/>
              <w:right w:val="nil"/>
            </w:tcBorders>
          </w:tcPr>
          <w:p w14:paraId="1A54453B" w14:textId="77777777" w:rsidR="00BF3DF9" w:rsidRPr="00463667" w:rsidRDefault="00BF3DF9" w:rsidP="00C56CA6">
            <w:pPr>
              <w:pStyle w:val="TableText"/>
            </w:pPr>
          </w:p>
        </w:tc>
        <w:tc>
          <w:tcPr>
            <w:tcW w:w="632" w:type="pct"/>
            <w:tcBorders>
              <w:top w:val="nil"/>
              <w:left w:val="nil"/>
              <w:bottom w:val="nil"/>
            </w:tcBorders>
          </w:tcPr>
          <w:p w14:paraId="2DF09E4F" w14:textId="77777777" w:rsidR="00BF3DF9" w:rsidRPr="00463667" w:rsidRDefault="00BF3DF9" w:rsidP="00C56CA6">
            <w:pPr>
              <w:pStyle w:val="TableText"/>
            </w:pPr>
          </w:p>
        </w:tc>
        <w:tc>
          <w:tcPr>
            <w:tcW w:w="505" w:type="pct"/>
            <w:tcBorders>
              <w:bottom w:val="single" w:sz="4" w:space="0" w:color="auto"/>
            </w:tcBorders>
          </w:tcPr>
          <w:p w14:paraId="02F6072F" w14:textId="77777777" w:rsidR="00BF3DF9" w:rsidRPr="00463667" w:rsidRDefault="00BF3DF9" w:rsidP="00C56CA6">
            <w:pPr>
              <w:pStyle w:val="TableText"/>
              <w:ind w:left="216"/>
            </w:pPr>
            <w:r w:rsidRPr="00463667">
              <w:t>13</w:t>
            </w:r>
          </w:p>
        </w:tc>
        <w:tc>
          <w:tcPr>
            <w:tcW w:w="572" w:type="pct"/>
          </w:tcPr>
          <w:p w14:paraId="337E3851" w14:textId="77777777" w:rsidR="00BF3DF9" w:rsidRPr="00463667" w:rsidRDefault="00BF3DF9" w:rsidP="00C56CA6">
            <w:pPr>
              <w:pStyle w:val="TableText"/>
            </w:pPr>
            <w:r w:rsidRPr="00463667">
              <w:t>Count</w:t>
            </w:r>
          </w:p>
        </w:tc>
        <w:tc>
          <w:tcPr>
            <w:tcW w:w="2700" w:type="pct"/>
          </w:tcPr>
          <w:p w14:paraId="0C4355A5" w14:textId="77777777" w:rsidR="00BF3DF9" w:rsidRPr="00463667" w:rsidRDefault="00BF3DF9" w:rsidP="00C56CA6">
            <w:pPr>
              <w:pStyle w:val="TableText"/>
            </w:pPr>
            <w:r w:rsidRPr="00463667">
              <w:t>Inpatient Facility: Nonacute: Days</w:t>
            </w:r>
          </w:p>
        </w:tc>
      </w:tr>
      <w:tr w:rsidR="00BF3DF9" w:rsidRPr="00463667" w14:paraId="284041C8" w14:textId="77777777" w:rsidTr="00484C42">
        <w:trPr>
          <w:cantSplit/>
        </w:trPr>
        <w:tc>
          <w:tcPr>
            <w:tcW w:w="590" w:type="pct"/>
            <w:tcBorders>
              <w:top w:val="nil"/>
              <w:left w:val="nil"/>
              <w:bottom w:val="nil"/>
              <w:right w:val="nil"/>
            </w:tcBorders>
          </w:tcPr>
          <w:p w14:paraId="49343D04" w14:textId="77777777" w:rsidR="00BF3DF9" w:rsidRPr="00463667" w:rsidRDefault="00BF3DF9" w:rsidP="00C56CA6">
            <w:pPr>
              <w:pStyle w:val="TableText"/>
            </w:pPr>
          </w:p>
        </w:tc>
        <w:tc>
          <w:tcPr>
            <w:tcW w:w="632" w:type="pct"/>
            <w:tcBorders>
              <w:top w:val="nil"/>
              <w:left w:val="nil"/>
              <w:bottom w:val="nil"/>
              <w:right w:val="nil"/>
            </w:tcBorders>
          </w:tcPr>
          <w:p w14:paraId="7415935F" w14:textId="77777777" w:rsidR="00BF3DF9" w:rsidRPr="00463667" w:rsidRDefault="00BF3DF9" w:rsidP="00C56CA6">
            <w:pPr>
              <w:pStyle w:val="TableText"/>
            </w:pPr>
          </w:p>
        </w:tc>
        <w:tc>
          <w:tcPr>
            <w:tcW w:w="505" w:type="pct"/>
            <w:tcBorders>
              <w:left w:val="nil"/>
              <w:bottom w:val="nil"/>
            </w:tcBorders>
          </w:tcPr>
          <w:p w14:paraId="7AC3AA4E" w14:textId="77777777" w:rsidR="00BF3DF9" w:rsidRPr="00463667" w:rsidRDefault="00BF3DF9" w:rsidP="00C56CA6">
            <w:pPr>
              <w:pStyle w:val="TableText"/>
            </w:pPr>
          </w:p>
        </w:tc>
        <w:tc>
          <w:tcPr>
            <w:tcW w:w="572" w:type="pct"/>
          </w:tcPr>
          <w:p w14:paraId="3F6969D9" w14:textId="77777777" w:rsidR="00BF3DF9" w:rsidRPr="00463667" w:rsidRDefault="00BF3DF9" w:rsidP="00C56CA6">
            <w:pPr>
              <w:pStyle w:val="TableText"/>
            </w:pPr>
            <w:r w:rsidRPr="00463667">
              <w:t>Count</w:t>
            </w:r>
          </w:p>
        </w:tc>
        <w:tc>
          <w:tcPr>
            <w:tcW w:w="2700" w:type="pct"/>
          </w:tcPr>
          <w:p w14:paraId="4A0E78E2" w14:textId="77777777" w:rsidR="00BF3DF9" w:rsidRPr="00463667" w:rsidRDefault="00BF3DF9" w:rsidP="00C56CA6">
            <w:pPr>
              <w:pStyle w:val="TableText"/>
            </w:pPr>
            <w:r w:rsidRPr="00463667">
              <w:t>Inpatient Facility: Nonacute: Discharges</w:t>
            </w:r>
          </w:p>
        </w:tc>
      </w:tr>
      <w:tr w:rsidR="00BF3DF9" w:rsidRPr="00463667" w14:paraId="10F1C997" w14:textId="77777777" w:rsidTr="00484C42">
        <w:trPr>
          <w:cantSplit/>
        </w:trPr>
        <w:tc>
          <w:tcPr>
            <w:tcW w:w="590" w:type="pct"/>
            <w:tcBorders>
              <w:top w:val="nil"/>
              <w:left w:val="nil"/>
              <w:bottom w:val="nil"/>
              <w:right w:val="nil"/>
            </w:tcBorders>
          </w:tcPr>
          <w:p w14:paraId="44285AAA" w14:textId="77777777" w:rsidR="00BF3DF9" w:rsidRPr="00463667" w:rsidRDefault="00BF3DF9" w:rsidP="00C56CA6">
            <w:pPr>
              <w:pStyle w:val="TableText"/>
            </w:pPr>
          </w:p>
        </w:tc>
        <w:tc>
          <w:tcPr>
            <w:tcW w:w="632" w:type="pct"/>
            <w:tcBorders>
              <w:top w:val="nil"/>
              <w:left w:val="nil"/>
              <w:bottom w:val="nil"/>
              <w:right w:val="nil"/>
            </w:tcBorders>
          </w:tcPr>
          <w:p w14:paraId="5B2B10C3" w14:textId="77777777" w:rsidR="00BF3DF9" w:rsidRPr="00463667" w:rsidRDefault="00BF3DF9" w:rsidP="00C56CA6">
            <w:pPr>
              <w:pStyle w:val="TableText"/>
            </w:pPr>
          </w:p>
        </w:tc>
        <w:tc>
          <w:tcPr>
            <w:tcW w:w="505" w:type="pct"/>
            <w:tcBorders>
              <w:top w:val="nil"/>
              <w:left w:val="nil"/>
              <w:bottom w:val="nil"/>
            </w:tcBorders>
          </w:tcPr>
          <w:p w14:paraId="1E2EDCFD" w14:textId="77777777" w:rsidR="00BF3DF9" w:rsidRPr="00463667" w:rsidRDefault="00BF3DF9" w:rsidP="00C56CA6">
            <w:pPr>
              <w:pStyle w:val="TableText"/>
            </w:pPr>
          </w:p>
        </w:tc>
        <w:tc>
          <w:tcPr>
            <w:tcW w:w="572" w:type="pct"/>
          </w:tcPr>
          <w:p w14:paraId="06E088B7" w14:textId="77777777" w:rsidR="00BF3DF9" w:rsidRPr="00463667" w:rsidRDefault="00BF3DF9" w:rsidP="00C56CA6">
            <w:pPr>
              <w:pStyle w:val="TableText"/>
            </w:pPr>
            <w:r w:rsidRPr="00463667">
              <w:t>Count</w:t>
            </w:r>
          </w:p>
        </w:tc>
        <w:tc>
          <w:tcPr>
            <w:tcW w:w="2700" w:type="pct"/>
          </w:tcPr>
          <w:p w14:paraId="6EE98DCC" w14:textId="77777777" w:rsidR="00BF3DF9" w:rsidRPr="00463667" w:rsidRDefault="00BF3DF9" w:rsidP="00C56CA6">
            <w:pPr>
              <w:pStyle w:val="TableText"/>
            </w:pPr>
            <w:r w:rsidRPr="00463667">
              <w:t>ED Discharges</w:t>
            </w:r>
          </w:p>
        </w:tc>
      </w:tr>
      <w:tr w:rsidR="00BF3DF9" w:rsidRPr="00463667" w14:paraId="089A0966" w14:textId="77777777" w:rsidTr="00484C42">
        <w:trPr>
          <w:cantSplit/>
        </w:trPr>
        <w:tc>
          <w:tcPr>
            <w:tcW w:w="590" w:type="pct"/>
            <w:tcBorders>
              <w:top w:val="nil"/>
              <w:left w:val="nil"/>
              <w:bottom w:val="nil"/>
              <w:right w:val="nil"/>
            </w:tcBorders>
          </w:tcPr>
          <w:p w14:paraId="26CF70B6" w14:textId="77777777" w:rsidR="00BF3DF9" w:rsidRPr="00463667" w:rsidRDefault="00BF3DF9" w:rsidP="00C56CA6">
            <w:pPr>
              <w:pStyle w:val="TableText"/>
            </w:pPr>
          </w:p>
        </w:tc>
        <w:tc>
          <w:tcPr>
            <w:tcW w:w="632" w:type="pct"/>
            <w:tcBorders>
              <w:top w:val="nil"/>
              <w:left w:val="nil"/>
              <w:bottom w:val="nil"/>
              <w:right w:val="nil"/>
            </w:tcBorders>
          </w:tcPr>
          <w:p w14:paraId="7F23BB33" w14:textId="77777777" w:rsidR="00BF3DF9" w:rsidRPr="00463667" w:rsidRDefault="00BF3DF9" w:rsidP="00C56CA6">
            <w:pPr>
              <w:pStyle w:val="TableText"/>
            </w:pPr>
          </w:p>
        </w:tc>
        <w:tc>
          <w:tcPr>
            <w:tcW w:w="505" w:type="pct"/>
            <w:tcBorders>
              <w:top w:val="nil"/>
              <w:left w:val="nil"/>
              <w:bottom w:val="nil"/>
              <w:right w:val="single" w:sz="4" w:space="0" w:color="auto"/>
            </w:tcBorders>
          </w:tcPr>
          <w:p w14:paraId="18D17F80" w14:textId="77777777" w:rsidR="00BF3DF9" w:rsidRPr="00463667" w:rsidRDefault="00BF3DF9" w:rsidP="00C56CA6">
            <w:pPr>
              <w:pStyle w:val="TableText"/>
            </w:pPr>
          </w:p>
        </w:tc>
        <w:tc>
          <w:tcPr>
            <w:tcW w:w="572" w:type="pct"/>
            <w:tcBorders>
              <w:top w:val="single" w:sz="4" w:space="0" w:color="auto"/>
              <w:left w:val="single" w:sz="4" w:space="0" w:color="auto"/>
              <w:bottom w:val="single" w:sz="4" w:space="0" w:color="auto"/>
              <w:right w:val="single" w:sz="4" w:space="0" w:color="auto"/>
            </w:tcBorders>
          </w:tcPr>
          <w:p w14:paraId="38152199" w14:textId="77777777" w:rsidR="00BF3DF9" w:rsidRPr="00463667" w:rsidRDefault="00BF3DF9" w:rsidP="00C56CA6">
            <w:pPr>
              <w:pStyle w:val="TableText"/>
            </w:pPr>
            <w:r w:rsidRPr="00463667">
              <w:t>Mem</w:t>
            </w:r>
          </w:p>
        </w:tc>
        <w:tc>
          <w:tcPr>
            <w:tcW w:w="2700" w:type="pct"/>
            <w:tcBorders>
              <w:top w:val="single" w:sz="4" w:space="0" w:color="auto"/>
              <w:left w:val="single" w:sz="4" w:space="0" w:color="auto"/>
              <w:bottom w:val="single" w:sz="4" w:space="0" w:color="auto"/>
              <w:right w:val="single" w:sz="4" w:space="0" w:color="auto"/>
            </w:tcBorders>
          </w:tcPr>
          <w:p w14:paraId="1DB6CB18" w14:textId="77777777" w:rsidR="00BF3DF9" w:rsidRPr="00463667" w:rsidRDefault="00BF3DF9" w:rsidP="00C56CA6">
            <w:pPr>
              <w:pStyle w:val="TableText"/>
            </w:pPr>
            <w:r w:rsidRPr="00463667">
              <w:t>Member Months Medical</w:t>
            </w:r>
          </w:p>
        </w:tc>
      </w:tr>
      <w:tr w:rsidR="00BF3DF9" w:rsidRPr="00463667" w14:paraId="4AFEBC6C" w14:textId="77777777" w:rsidTr="00484C42">
        <w:trPr>
          <w:cantSplit/>
        </w:trPr>
        <w:tc>
          <w:tcPr>
            <w:tcW w:w="590" w:type="pct"/>
            <w:tcBorders>
              <w:top w:val="nil"/>
              <w:left w:val="nil"/>
              <w:bottom w:val="nil"/>
              <w:right w:val="nil"/>
            </w:tcBorders>
          </w:tcPr>
          <w:p w14:paraId="186751F1" w14:textId="77777777" w:rsidR="00BF3DF9" w:rsidRPr="00463667" w:rsidRDefault="00BF3DF9" w:rsidP="00C56CA6">
            <w:pPr>
              <w:pStyle w:val="TableText"/>
            </w:pPr>
          </w:p>
        </w:tc>
        <w:tc>
          <w:tcPr>
            <w:tcW w:w="632" w:type="pct"/>
            <w:tcBorders>
              <w:top w:val="nil"/>
              <w:left w:val="nil"/>
              <w:bottom w:val="nil"/>
              <w:right w:val="nil"/>
            </w:tcBorders>
          </w:tcPr>
          <w:p w14:paraId="4EBF53C1" w14:textId="77777777" w:rsidR="00BF3DF9" w:rsidRPr="00463667" w:rsidRDefault="00BF3DF9" w:rsidP="00C56CA6">
            <w:pPr>
              <w:pStyle w:val="TableText"/>
            </w:pPr>
          </w:p>
        </w:tc>
        <w:tc>
          <w:tcPr>
            <w:tcW w:w="505" w:type="pct"/>
            <w:tcBorders>
              <w:top w:val="nil"/>
              <w:left w:val="nil"/>
              <w:bottom w:val="nil"/>
              <w:right w:val="single" w:sz="4" w:space="0" w:color="auto"/>
            </w:tcBorders>
          </w:tcPr>
          <w:p w14:paraId="1CFCFEB6" w14:textId="77777777" w:rsidR="00BF3DF9" w:rsidRPr="00463667" w:rsidRDefault="00BF3DF9" w:rsidP="00C56CA6">
            <w:pPr>
              <w:pStyle w:val="TableText"/>
            </w:pPr>
          </w:p>
        </w:tc>
        <w:tc>
          <w:tcPr>
            <w:tcW w:w="572" w:type="pct"/>
            <w:tcBorders>
              <w:top w:val="single" w:sz="4" w:space="0" w:color="auto"/>
              <w:left w:val="single" w:sz="4" w:space="0" w:color="auto"/>
              <w:bottom w:val="single" w:sz="4" w:space="0" w:color="auto"/>
              <w:right w:val="single" w:sz="4" w:space="0" w:color="auto"/>
            </w:tcBorders>
          </w:tcPr>
          <w:p w14:paraId="30C45FAA" w14:textId="77777777" w:rsidR="00BF3DF9" w:rsidRPr="00463667" w:rsidRDefault="00BF3DF9" w:rsidP="00C56CA6">
            <w:pPr>
              <w:pStyle w:val="TableText"/>
            </w:pPr>
            <w:r w:rsidRPr="00463667">
              <w:t>Mem</w:t>
            </w:r>
          </w:p>
        </w:tc>
        <w:tc>
          <w:tcPr>
            <w:tcW w:w="2700" w:type="pct"/>
            <w:tcBorders>
              <w:top w:val="single" w:sz="4" w:space="0" w:color="auto"/>
              <w:left w:val="single" w:sz="4" w:space="0" w:color="auto"/>
              <w:bottom w:val="single" w:sz="4" w:space="0" w:color="auto"/>
              <w:right w:val="single" w:sz="4" w:space="0" w:color="auto"/>
            </w:tcBorders>
          </w:tcPr>
          <w:p w14:paraId="7896C489" w14:textId="77777777" w:rsidR="00BF3DF9" w:rsidRPr="00463667" w:rsidRDefault="00BF3DF9" w:rsidP="00C56CA6">
            <w:pPr>
              <w:pStyle w:val="TableText"/>
            </w:pPr>
            <w:r w:rsidRPr="00463667">
              <w:t>Member Months Pharmacy</w:t>
            </w:r>
          </w:p>
        </w:tc>
      </w:tr>
    </w:tbl>
    <w:p w14:paraId="298F506E" w14:textId="77777777" w:rsidR="00BF3DF9" w:rsidRPr="00463667" w:rsidRDefault="00BF3DF9" w:rsidP="00BF3DF9">
      <w:pPr>
        <w:rPr>
          <w:b/>
          <w:bCs/>
          <w:szCs w:val="26"/>
        </w:rPr>
        <w:sectPr w:rsidR="00BF3DF9" w:rsidRPr="00463667" w:rsidSect="00C56CA6">
          <w:pgSz w:w="12240" w:h="15840" w:code="1"/>
          <w:pgMar w:top="1080" w:right="1080" w:bottom="1080" w:left="1440" w:header="720" w:footer="720" w:gutter="0"/>
          <w:cols w:space="720"/>
          <w:docGrid w:linePitch="272"/>
        </w:sectPr>
      </w:pPr>
    </w:p>
    <w:p w14:paraId="7A0D5397" w14:textId="77777777" w:rsidR="00BF3DF9" w:rsidRPr="00463667" w:rsidRDefault="00BF3DF9" w:rsidP="00724140">
      <w:pPr>
        <w:pStyle w:val="TableHeadNotCondensed"/>
        <w:spacing w:before="0"/>
      </w:pPr>
      <w:r w:rsidRPr="00463667">
        <w:lastRenderedPageBreak/>
        <w:t>Table RCO-C-1/2/3: Data Elements for Relative Resource Use for People With COPD</w:t>
      </w:r>
    </w:p>
    <w:tbl>
      <w:tblPr>
        <w:tblW w:w="7830" w:type="dxa"/>
        <w:tblInd w:w="-10" w:type="dxa"/>
        <w:tblCellMar>
          <w:left w:w="0" w:type="dxa"/>
          <w:right w:w="0" w:type="dxa"/>
        </w:tblCellMar>
        <w:tblLook w:val="04A0" w:firstRow="1" w:lastRow="0" w:firstColumn="1" w:lastColumn="0" w:noHBand="0" w:noVBand="1"/>
      </w:tblPr>
      <w:tblGrid>
        <w:gridCol w:w="7830"/>
      </w:tblGrid>
      <w:tr w:rsidR="00BF3DF9" w:rsidRPr="00463667" w14:paraId="569E5079" w14:textId="77777777" w:rsidTr="00484C42">
        <w:tc>
          <w:tcPr>
            <w:tcW w:w="7830" w:type="dxa"/>
            <w:tcBorders>
              <w:top w:val="single" w:sz="8" w:space="0" w:color="auto"/>
              <w:left w:val="single" w:sz="8" w:space="0" w:color="auto"/>
              <w:bottom w:val="single" w:sz="4" w:space="0" w:color="auto"/>
              <w:right w:val="single" w:sz="4" w:space="0" w:color="auto"/>
            </w:tcBorders>
            <w:shd w:val="clear" w:color="auto" w:fill="000000"/>
            <w:noWrap/>
            <w:tcMar>
              <w:top w:w="0" w:type="dxa"/>
              <w:left w:w="108" w:type="dxa"/>
              <w:bottom w:w="0" w:type="dxa"/>
              <w:right w:w="108" w:type="dxa"/>
            </w:tcMar>
            <w:vAlign w:val="bottom"/>
            <w:hideMark/>
          </w:tcPr>
          <w:p w14:paraId="6C4CBA91" w14:textId="77777777" w:rsidR="00BF3DF9" w:rsidRPr="00463667" w:rsidRDefault="00BF3DF9" w:rsidP="00C56CA6">
            <w:pPr>
              <w:pStyle w:val="TableHead"/>
              <w:rPr>
                <w:color w:val="auto"/>
              </w:rPr>
            </w:pPr>
            <w:r w:rsidRPr="00463667">
              <w:rPr>
                <w:color w:val="auto"/>
              </w:rPr>
              <w:t>Data Element</w:t>
            </w:r>
          </w:p>
        </w:tc>
      </w:tr>
      <w:tr w:rsidR="00BF3DF9" w:rsidRPr="00463667" w14:paraId="24F6C129"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12821F48" w14:textId="77777777" w:rsidR="00BF3DF9" w:rsidRPr="00463667" w:rsidRDefault="00BF3DF9" w:rsidP="00C56CA6">
            <w:pPr>
              <w:pStyle w:val="TableText"/>
            </w:pPr>
            <w:r w:rsidRPr="00463667">
              <w:t>Eligible Population</w:t>
            </w:r>
          </w:p>
        </w:tc>
      </w:tr>
      <w:tr w:rsidR="00BF3DF9" w:rsidRPr="00463667" w14:paraId="6E944B4D"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295CF79F" w14:textId="77777777" w:rsidR="00BF3DF9" w:rsidRPr="00463667" w:rsidRDefault="00BF3DF9" w:rsidP="00C56CA6">
            <w:pPr>
              <w:pStyle w:val="TableText"/>
            </w:pPr>
            <w:r w:rsidRPr="00463667">
              <w:t>Exclusions</w:t>
            </w:r>
          </w:p>
        </w:tc>
      </w:tr>
      <w:tr w:rsidR="00BF3DF9" w:rsidRPr="00463667" w14:paraId="58EEA49D"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4A19C02F" w14:textId="77777777" w:rsidR="00BF3DF9" w:rsidRPr="00463667" w:rsidRDefault="00BF3DF9" w:rsidP="00C56CA6">
            <w:pPr>
              <w:pStyle w:val="TableText"/>
            </w:pPr>
            <w:r w:rsidRPr="00463667">
              <w:t xml:space="preserve">Eligible Population per 1,000 MY Medical </w:t>
            </w:r>
          </w:p>
        </w:tc>
      </w:tr>
      <w:tr w:rsidR="00BF3DF9" w:rsidRPr="00463667" w14:paraId="3C71230A"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562DF732" w14:textId="77777777" w:rsidR="00BF3DF9" w:rsidRPr="00463667" w:rsidRDefault="00BF3DF9" w:rsidP="00C56CA6">
            <w:pPr>
              <w:pStyle w:val="TableText"/>
            </w:pPr>
            <w:r w:rsidRPr="00463667">
              <w:t>Eligible Population per 1,000 MY Pharmacy</w:t>
            </w:r>
          </w:p>
        </w:tc>
      </w:tr>
      <w:tr w:rsidR="00BF3DF9" w:rsidRPr="00463667" w14:paraId="273FBA43"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5B5A035C" w14:textId="77777777" w:rsidR="00BF3DF9" w:rsidRPr="00463667" w:rsidRDefault="00BF3DF9" w:rsidP="00C56CA6">
            <w:pPr>
              <w:pStyle w:val="TableText"/>
            </w:pPr>
            <w:r w:rsidRPr="00463667">
              <w:t>Name Brand Only Count (N1)</w:t>
            </w:r>
          </w:p>
        </w:tc>
      </w:tr>
      <w:tr w:rsidR="00BF3DF9" w:rsidRPr="00463667" w14:paraId="7A5E427A"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52D96E03" w14:textId="77777777" w:rsidR="00BF3DF9" w:rsidRPr="00463667" w:rsidRDefault="00BF3DF9" w:rsidP="00C56CA6">
            <w:pPr>
              <w:pStyle w:val="TableText"/>
            </w:pPr>
            <w:r w:rsidRPr="00463667">
              <w:t>Name Brand Generic Exists Count (N2)</w:t>
            </w:r>
          </w:p>
        </w:tc>
      </w:tr>
      <w:tr w:rsidR="00BF3DF9" w:rsidRPr="00463667" w14:paraId="012C5467"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0D2936EA" w14:textId="77777777" w:rsidR="00BF3DF9" w:rsidRPr="00463667" w:rsidRDefault="00BF3DF9" w:rsidP="00C56CA6">
            <w:pPr>
              <w:pStyle w:val="TableText"/>
            </w:pPr>
            <w:r w:rsidRPr="00463667">
              <w:t>Generic Only Count (G1)</w:t>
            </w:r>
          </w:p>
        </w:tc>
      </w:tr>
      <w:tr w:rsidR="00BF3DF9" w:rsidRPr="00463667" w14:paraId="7131A8C9"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1CAE9909" w14:textId="77777777" w:rsidR="00BF3DF9" w:rsidRPr="00463667" w:rsidRDefault="00BF3DF9" w:rsidP="00C56CA6">
            <w:pPr>
              <w:pStyle w:val="TableText"/>
            </w:pPr>
            <w:r w:rsidRPr="00463667">
              <w:t>Generic Name Brand Exists Count (G2)</w:t>
            </w:r>
          </w:p>
        </w:tc>
      </w:tr>
      <w:tr w:rsidR="00BF3DF9" w:rsidRPr="00463667" w14:paraId="424BACBF"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19252D68" w14:textId="77777777" w:rsidR="00BF3DF9" w:rsidRPr="00463667" w:rsidRDefault="00BF3DF9" w:rsidP="00C56CA6">
            <w:pPr>
              <w:pStyle w:val="TableText"/>
            </w:pPr>
            <w:r w:rsidRPr="00463667">
              <w:t>Total Prescriptions (N1+N2+G1+G2)</w:t>
            </w:r>
          </w:p>
        </w:tc>
      </w:tr>
      <w:tr w:rsidR="00BF3DF9" w:rsidRPr="00463667" w14:paraId="61C19563"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C2EFD8A" w14:textId="77777777" w:rsidR="00BF3DF9" w:rsidRPr="00463667" w:rsidRDefault="00BF3DF9" w:rsidP="00C56CA6">
            <w:pPr>
              <w:pStyle w:val="TableText"/>
            </w:pPr>
            <w:r w:rsidRPr="00463667">
              <w:t>Generic Utilization Rate [(G1 + G2)/(N2+G1+G2)]</w:t>
            </w:r>
          </w:p>
        </w:tc>
      </w:tr>
      <w:tr w:rsidR="00BF3DF9" w:rsidRPr="00463667" w14:paraId="6794FC1C"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5A8CD35A" w14:textId="77777777" w:rsidR="00BF3DF9" w:rsidRPr="00463667" w:rsidRDefault="00BF3DF9" w:rsidP="00C56CA6">
            <w:pPr>
              <w:pStyle w:val="TableText"/>
            </w:pPr>
            <w:r w:rsidRPr="00463667">
              <w:t>Generic Substitution Rate [(G2)/(N2+G2)]</w:t>
            </w:r>
          </w:p>
        </w:tc>
      </w:tr>
      <w:tr w:rsidR="00BF3DF9" w:rsidRPr="00463667" w14:paraId="4FFAE684"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5998A4E6" w14:textId="77777777" w:rsidR="00BF3DF9" w:rsidRPr="00463667" w:rsidRDefault="00BF3DF9" w:rsidP="00C56CA6">
            <w:pPr>
              <w:pStyle w:val="TableText"/>
            </w:pPr>
            <w:r w:rsidRPr="00463667">
              <w:t>Overall Generic Utilization [(G1+G2)/(N1+N2+G1+G2)]</w:t>
            </w:r>
          </w:p>
        </w:tc>
      </w:tr>
      <w:tr w:rsidR="00BF3DF9" w:rsidRPr="00463667" w14:paraId="72A96E88"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676A436C" w14:textId="77777777" w:rsidR="00BF3DF9" w:rsidRPr="00463667" w:rsidRDefault="00BF3DF9" w:rsidP="00C56CA6">
            <w:pPr>
              <w:pStyle w:val="TableText"/>
            </w:pPr>
            <w:r w:rsidRPr="00463667">
              <w:t>Inpatient Facility PMPM</w:t>
            </w:r>
          </w:p>
        </w:tc>
      </w:tr>
      <w:tr w:rsidR="00BF3DF9" w:rsidRPr="00463667" w14:paraId="1901D7C4"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6902519D" w14:textId="77777777" w:rsidR="00BF3DF9" w:rsidRPr="00463667" w:rsidRDefault="00BF3DF9" w:rsidP="00C56CA6">
            <w:pPr>
              <w:pStyle w:val="TableText"/>
            </w:pPr>
            <w:r w:rsidRPr="00463667">
              <w:t>E&amp;M Inpatient Services PMPM</w:t>
            </w:r>
          </w:p>
        </w:tc>
      </w:tr>
      <w:tr w:rsidR="00BF3DF9" w:rsidRPr="00463667" w14:paraId="23AC2B52"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6BF4AF9" w14:textId="77777777" w:rsidR="00BF3DF9" w:rsidRPr="00463667" w:rsidRDefault="00BF3DF9" w:rsidP="00C56CA6">
            <w:pPr>
              <w:pStyle w:val="TableText"/>
            </w:pPr>
            <w:r w:rsidRPr="00463667">
              <w:t>E&amp;M Outpatient Services PMPM</w:t>
            </w:r>
          </w:p>
        </w:tc>
      </w:tr>
      <w:tr w:rsidR="00BF3DF9" w:rsidRPr="00463667" w14:paraId="5B946F26"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1F069BD1" w14:textId="77777777" w:rsidR="00BF3DF9" w:rsidRPr="00463667" w:rsidRDefault="00BF3DF9" w:rsidP="00C56CA6">
            <w:pPr>
              <w:pStyle w:val="TableText"/>
            </w:pPr>
            <w:r w:rsidRPr="00463667">
              <w:t>Surgery &amp; Procedure Inpatient Services PMPM</w:t>
            </w:r>
          </w:p>
        </w:tc>
      </w:tr>
      <w:tr w:rsidR="00BF3DF9" w:rsidRPr="00463667" w14:paraId="03A587B7"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6878F6EB" w14:textId="77777777" w:rsidR="00BF3DF9" w:rsidRPr="00463667" w:rsidRDefault="00BF3DF9" w:rsidP="00C56CA6">
            <w:pPr>
              <w:pStyle w:val="TableText"/>
            </w:pPr>
            <w:r w:rsidRPr="00463667">
              <w:t>Surgery &amp; Procedure Outpatient Services PMPM</w:t>
            </w:r>
          </w:p>
        </w:tc>
      </w:tr>
      <w:tr w:rsidR="00BF3DF9" w:rsidRPr="00463667" w14:paraId="390EFE85"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00543201" w14:textId="77777777" w:rsidR="00BF3DF9" w:rsidRPr="00463667" w:rsidRDefault="00BF3DF9" w:rsidP="00C56CA6">
            <w:pPr>
              <w:pStyle w:val="TableText"/>
            </w:pPr>
            <w:r w:rsidRPr="00463667">
              <w:t>Imaging Services PMPM</w:t>
            </w:r>
          </w:p>
        </w:tc>
      </w:tr>
      <w:tr w:rsidR="00BF3DF9" w:rsidRPr="00463667" w14:paraId="3355FBD5"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0F4709F7" w14:textId="77777777" w:rsidR="00BF3DF9" w:rsidRPr="00463667" w:rsidRDefault="00BF3DF9" w:rsidP="00C56CA6">
            <w:pPr>
              <w:pStyle w:val="TableText"/>
            </w:pPr>
            <w:r w:rsidRPr="00463667">
              <w:t>Laboratory Services PMPM</w:t>
            </w:r>
          </w:p>
        </w:tc>
      </w:tr>
      <w:tr w:rsidR="00BF3DF9" w:rsidRPr="00463667" w14:paraId="2CB5A209"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04AAEF94" w14:textId="77777777" w:rsidR="00BF3DF9" w:rsidRPr="00463667" w:rsidRDefault="00BF3DF9" w:rsidP="00C56CA6">
            <w:pPr>
              <w:pStyle w:val="TableText"/>
            </w:pPr>
            <w:r w:rsidRPr="00463667">
              <w:t>Pharmacy PMPM</w:t>
            </w:r>
          </w:p>
        </w:tc>
      </w:tr>
      <w:tr w:rsidR="00BF3DF9" w:rsidRPr="00463667" w14:paraId="19FC5420"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4F15FF9F" w14:textId="77777777" w:rsidR="00BF3DF9" w:rsidRPr="00463667" w:rsidRDefault="00BF3DF9" w:rsidP="00C56CA6">
            <w:pPr>
              <w:pStyle w:val="TableText"/>
            </w:pPr>
            <w:r w:rsidRPr="00463667">
              <w:t>Inpatient Facility: Acute Inpatient: Medical Days per 1,000 MY</w:t>
            </w:r>
          </w:p>
        </w:tc>
      </w:tr>
      <w:tr w:rsidR="00BF3DF9" w:rsidRPr="00463667" w14:paraId="6844F8A6"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00340F8B" w14:textId="77777777" w:rsidR="00BF3DF9" w:rsidRPr="00463667" w:rsidRDefault="00BF3DF9" w:rsidP="00C56CA6">
            <w:pPr>
              <w:pStyle w:val="TableText"/>
            </w:pPr>
            <w:r w:rsidRPr="00463667">
              <w:t>Inpatient Facility: Acute Inpatient: Medical Discharges per 1,000 MY</w:t>
            </w:r>
          </w:p>
        </w:tc>
      </w:tr>
      <w:tr w:rsidR="00BF3DF9" w:rsidRPr="00463667" w14:paraId="6387AB27"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3903D824" w14:textId="77777777" w:rsidR="00BF3DF9" w:rsidRPr="00463667" w:rsidRDefault="00BF3DF9" w:rsidP="00C56CA6">
            <w:pPr>
              <w:pStyle w:val="TableText"/>
            </w:pPr>
            <w:r w:rsidRPr="00463667">
              <w:t>Inpatient Facility: Acute Inpatient: Surgery Days per 1,000 MY</w:t>
            </w:r>
          </w:p>
        </w:tc>
      </w:tr>
      <w:tr w:rsidR="00BF3DF9" w:rsidRPr="00463667" w14:paraId="1C94B98E"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66BDDB58" w14:textId="77777777" w:rsidR="00BF3DF9" w:rsidRPr="00463667" w:rsidRDefault="00BF3DF9" w:rsidP="00C56CA6">
            <w:pPr>
              <w:pStyle w:val="TableText"/>
            </w:pPr>
            <w:r w:rsidRPr="00463667">
              <w:t>Inpatient Facility: Acute Inpatient: Surgery Discharges per 1,000 MY</w:t>
            </w:r>
          </w:p>
        </w:tc>
      </w:tr>
      <w:tr w:rsidR="00BF3DF9" w:rsidRPr="00463667" w14:paraId="46F51C9F"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109F365C" w14:textId="77777777" w:rsidR="00BF3DF9" w:rsidRPr="00463667" w:rsidRDefault="00BF3DF9" w:rsidP="00C56CA6">
            <w:pPr>
              <w:pStyle w:val="TableText"/>
            </w:pPr>
            <w:r w:rsidRPr="00463667">
              <w:t>Inpatient Facility: Nonacute Days per 1,000 MY</w:t>
            </w:r>
          </w:p>
        </w:tc>
      </w:tr>
      <w:tr w:rsidR="00BF3DF9" w:rsidRPr="00463667" w14:paraId="790FFCF1"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4457D841" w14:textId="77777777" w:rsidR="00BF3DF9" w:rsidRPr="00463667" w:rsidRDefault="00BF3DF9" w:rsidP="00C56CA6">
            <w:pPr>
              <w:pStyle w:val="TableText"/>
            </w:pPr>
            <w:r w:rsidRPr="00463667">
              <w:t>Inpatient Facility: Nonacute Discharges per 1,000 MY</w:t>
            </w:r>
          </w:p>
        </w:tc>
      </w:tr>
      <w:tr w:rsidR="00BF3DF9" w:rsidRPr="00463667" w14:paraId="24752809"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567A6C1" w14:textId="77777777" w:rsidR="00BF3DF9" w:rsidRPr="00463667" w:rsidRDefault="00BF3DF9" w:rsidP="00C56CA6">
            <w:pPr>
              <w:pStyle w:val="TableText"/>
            </w:pPr>
            <w:r w:rsidRPr="00463667">
              <w:t>Inpatient Facility Acute Medical ALOS</w:t>
            </w:r>
          </w:p>
        </w:tc>
      </w:tr>
      <w:tr w:rsidR="00BF3DF9" w:rsidRPr="00463667" w14:paraId="7E421604"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3D8DA6BB" w14:textId="77777777" w:rsidR="00BF3DF9" w:rsidRPr="00463667" w:rsidRDefault="00BF3DF9" w:rsidP="00C56CA6">
            <w:pPr>
              <w:pStyle w:val="TableText"/>
            </w:pPr>
            <w:r w:rsidRPr="00463667">
              <w:t>Inpatient Facility Acute Surgery ALOS</w:t>
            </w:r>
          </w:p>
        </w:tc>
      </w:tr>
      <w:tr w:rsidR="00BF3DF9" w:rsidRPr="00463667" w14:paraId="4B1E8C12"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48539F99" w14:textId="77777777" w:rsidR="00BF3DF9" w:rsidRPr="00463667" w:rsidRDefault="00BF3DF9" w:rsidP="00C56CA6">
            <w:pPr>
              <w:pStyle w:val="TableText"/>
            </w:pPr>
            <w:r w:rsidRPr="00463667">
              <w:t>Inpatient Facility Nonacute ALOS</w:t>
            </w:r>
          </w:p>
        </w:tc>
      </w:tr>
      <w:tr w:rsidR="00BF3DF9" w:rsidRPr="00463667" w14:paraId="39A21144"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6DF0600F" w14:textId="77777777" w:rsidR="00BF3DF9" w:rsidRPr="00463667" w:rsidRDefault="00BF3DF9" w:rsidP="00C56CA6">
            <w:pPr>
              <w:pStyle w:val="TableText"/>
            </w:pPr>
            <w:r w:rsidRPr="00463667">
              <w:t xml:space="preserve">Total Inpatient Facility Acute ALOS </w:t>
            </w:r>
          </w:p>
        </w:tc>
      </w:tr>
      <w:tr w:rsidR="00BF3DF9" w:rsidRPr="00463667" w14:paraId="734A26DB"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197D343F" w14:textId="77777777" w:rsidR="00BF3DF9" w:rsidRPr="00463667" w:rsidRDefault="00BF3DF9" w:rsidP="00C56CA6">
            <w:pPr>
              <w:pStyle w:val="TableText"/>
            </w:pPr>
            <w:r w:rsidRPr="00463667">
              <w:t>Total Inpatient Facility ALOS</w:t>
            </w:r>
          </w:p>
        </w:tc>
      </w:tr>
      <w:tr w:rsidR="00BF3DF9" w:rsidRPr="00463667" w14:paraId="63772077" w14:textId="77777777" w:rsidTr="00484C42">
        <w:tc>
          <w:tcPr>
            <w:tcW w:w="783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EC194D1" w14:textId="77777777" w:rsidR="00BF3DF9" w:rsidRPr="00463667" w:rsidRDefault="00BF3DF9" w:rsidP="00C56CA6">
            <w:pPr>
              <w:pStyle w:val="TableText"/>
            </w:pPr>
            <w:r w:rsidRPr="00463667">
              <w:t>ED Discharges per 1,000 MY Medical</w:t>
            </w:r>
          </w:p>
        </w:tc>
      </w:tr>
    </w:tbl>
    <w:p w14:paraId="6C256FE3" w14:textId="77777777" w:rsidR="00BF3DF9" w:rsidRPr="00463667" w:rsidRDefault="00BF3DF9" w:rsidP="00BF3DF9">
      <w:pPr>
        <w:pStyle w:val="Note"/>
      </w:pPr>
      <w:r w:rsidRPr="00463667">
        <w:rPr>
          <w:b/>
          <w:szCs w:val="20"/>
        </w:rPr>
        <w:t>Note:</w:t>
      </w:r>
      <w:r w:rsidRPr="00463667">
        <w:t xml:space="preserve"> This table indicates the calculated fields that NCQA provides for the age-gender-risk totals. </w:t>
      </w:r>
    </w:p>
    <w:p w14:paraId="73423E90" w14:textId="77777777" w:rsidR="00BF3DF9" w:rsidRPr="00463667" w:rsidRDefault="00BF3DF9" w:rsidP="00BF3DF9">
      <w:pPr>
        <w:pStyle w:val="Note"/>
        <w:rPr>
          <w:b/>
          <w:bCs/>
          <w:szCs w:val="26"/>
        </w:rPr>
        <w:sectPr w:rsidR="00BF3DF9" w:rsidRPr="00463667" w:rsidSect="00C56CA6">
          <w:pgSz w:w="12240" w:h="15840" w:code="1"/>
          <w:pgMar w:top="1080" w:right="1080" w:bottom="1080" w:left="1440" w:header="720" w:footer="720" w:gutter="0"/>
          <w:cols w:space="720"/>
          <w:docGrid w:linePitch="272"/>
        </w:sectPr>
      </w:pPr>
    </w:p>
    <w:bookmarkStart w:id="26" w:name="_Toc400546211"/>
    <w:p w14:paraId="281E4C59" w14:textId="77777777" w:rsidR="001E58F2" w:rsidRPr="00463667" w:rsidRDefault="001E58F2" w:rsidP="001E58F2">
      <w:pPr>
        <w:pStyle w:val="Heading2"/>
        <w:tabs>
          <w:tab w:val="center" w:pos="4860"/>
          <w:tab w:val="right" w:pos="9720"/>
        </w:tabs>
      </w:pPr>
      <w:r>
        <w:lastRenderedPageBreak/>
        <w:fldChar w:fldCharType="begin"/>
      </w:r>
      <w:r>
        <w:instrText xml:space="preserve"> HYPERLINK  \l "TOC" </w:instrText>
      </w:r>
      <w:r>
        <w:fldChar w:fldCharType="separate"/>
      </w:r>
      <w:r w:rsidRPr="00EF7C1A">
        <w:t>Relative Resource Use for People With Asthma (RAS)</w:t>
      </w:r>
      <w:bookmarkEnd w:id="26"/>
      <w:r>
        <w:fldChar w:fldCharType="end"/>
      </w:r>
    </w:p>
    <w:p w14:paraId="2D63B373" w14:textId="77777777" w:rsidR="001E58F2" w:rsidRPr="00463667" w:rsidRDefault="001E58F2" w:rsidP="001E58F2">
      <w:pPr>
        <w:pStyle w:val="SOC"/>
        <w:rPr>
          <w:i/>
        </w:rPr>
      </w:pPr>
      <w:r w:rsidRPr="00463667">
        <w:t xml:space="preserve">Summary of Changes to HEDIS </w:t>
      </w:r>
      <w:r>
        <w:t>2016</w:t>
      </w:r>
    </w:p>
    <w:p w14:paraId="64E7FBD5" w14:textId="77777777" w:rsidR="001E58F2" w:rsidRPr="00DB46BD" w:rsidRDefault="001E58F2" w:rsidP="001E58F2">
      <w:pPr>
        <w:pStyle w:val="ProcessBullet"/>
      </w:pPr>
      <w:r w:rsidRPr="00DB46BD">
        <w:t>Expanded age range up to 85 years for the commercial product line.</w:t>
      </w:r>
    </w:p>
    <w:p w14:paraId="32B513A7" w14:textId="77777777" w:rsidR="001E58F2" w:rsidRPr="00DB46BD" w:rsidRDefault="001E58F2" w:rsidP="00FC1D3A">
      <w:pPr>
        <w:pStyle w:val="ProcessBullet"/>
        <w:spacing w:before="60"/>
      </w:pPr>
      <w:r w:rsidRPr="00DB46BD">
        <w:t>Added the Medicare product line.</w:t>
      </w:r>
    </w:p>
    <w:p w14:paraId="67BFB3CC" w14:textId="77777777" w:rsidR="001E58F2" w:rsidRPr="00DB46BD" w:rsidRDefault="001E58F2" w:rsidP="00FC1D3A">
      <w:pPr>
        <w:pStyle w:val="ProcessBullet"/>
        <w:spacing w:before="60"/>
      </w:pPr>
      <w:r w:rsidRPr="00DB46BD">
        <w:t xml:space="preserve">Removed the reference to the retired ASM measure in the eligible population Note. </w:t>
      </w:r>
    </w:p>
    <w:p w14:paraId="406199E9" w14:textId="77777777" w:rsidR="001E58F2" w:rsidRPr="00DB46BD" w:rsidRDefault="001E58F2" w:rsidP="00FC1D3A">
      <w:pPr>
        <w:pStyle w:val="ProcessBullet"/>
        <w:spacing w:before="60"/>
      </w:pPr>
      <w:r w:rsidRPr="00DB46BD">
        <w:t xml:space="preserve">Replaced all references of Table ASM-C with “Table MMA-A" in step 1. </w:t>
      </w:r>
    </w:p>
    <w:p w14:paraId="7B5A62B2" w14:textId="77777777" w:rsidR="001E58F2" w:rsidRPr="00DB46BD" w:rsidRDefault="001E58F2" w:rsidP="00FC1D3A">
      <w:pPr>
        <w:pStyle w:val="ProcessBullet"/>
        <w:spacing w:before="60"/>
      </w:pPr>
      <w:r w:rsidRPr="00DB46BD">
        <w:t>Revised and renamed the reporting tables.</w:t>
      </w:r>
    </w:p>
    <w:p w14:paraId="55894BD0" w14:textId="77777777" w:rsidR="001E58F2" w:rsidRPr="00463667" w:rsidRDefault="001E58F2" w:rsidP="001E58F2">
      <w:pPr>
        <w:pStyle w:val="ReverseHead"/>
      </w:pPr>
      <w:r w:rsidRPr="00463667">
        <w:t>Description</w:t>
      </w:r>
    </w:p>
    <w:p w14:paraId="0F2E3BDD" w14:textId="77777777" w:rsidR="001E58F2" w:rsidRPr="00463667" w:rsidRDefault="001E58F2" w:rsidP="001E58F2">
      <w:pPr>
        <w:pStyle w:val="Body"/>
      </w:pPr>
      <w:r w:rsidRPr="00463667">
        <w:t>The relative resource use by members with persistent asthma during the measurement year.</w:t>
      </w:r>
    </w:p>
    <w:p w14:paraId="7BBB43D4" w14:textId="77777777" w:rsidR="001E58F2" w:rsidRPr="00463667" w:rsidRDefault="001E58F2" w:rsidP="001E58F2">
      <w:pPr>
        <w:pStyle w:val="ReverseHead"/>
        <w:rPr>
          <w:snapToGrid w:val="0"/>
          <w:szCs w:val="22"/>
        </w:rPr>
      </w:pPr>
      <w:r w:rsidRPr="00463667">
        <w:rPr>
          <w:snapToGrid w:val="0"/>
        </w:rPr>
        <w:t>Definitions</w:t>
      </w:r>
    </w:p>
    <w:tbl>
      <w:tblPr>
        <w:tblW w:w="0" w:type="auto"/>
        <w:tblInd w:w="-90" w:type="dxa"/>
        <w:tblLook w:val="0000" w:firstRow="0" w:lastRow="0" w:firstColumn="0" w:lastColumn="0" w:noHBand="0" w:noVBand="0"/>
      </w:tblPr>
      <w:tblGrid>
        <w:gridCol w:w="2079"/>
        <w:gridCol w:w="7731"/>
      </w:tblGrid>
      <w:tr w:rsidR="001E58F2" w:rsidRPr="00463667" w14:paraId="403394ED" w14:textId="77777777" w:rsidTr="00F3111D">
        <w:trPr>
          <w:trHeight w:val="5643"/>
        </w:trPr>
        <w:tc>
          <w:tcPr>
            <w:tcW w:w="2079" w:type="dxa"/>
          </w:tcPr>
          <w:p w14:paraId="5A262535" w14:textId="77777777" w:rsidR="001E58F2" w:rsidRPr="00463667" w:rsidRDefault="001E58F2" w:rsidP="00F3111D">
            <w:pPr>
              <w:pStyle w:val="MarginSubhead"/>
              <w:rPr>
                <w:snapToGrid w:val="0"/>
              </w:rPr>
            </w:pPr>
            <w:r w:rsidRPr="00463667">
              <w:rPr>
                <w:snapToGrid w:val="0"/>
              </w:rPr>
              <w:t xml:space="preserve">Oral medication dispensing event </w:t>
            </w:r>
          </w:p>
        </w:tc>
        <w:tc>
          <w:tcPr>
            <w:tcW w:w="7731" w:type="dxa"/>
          </w:tcPr>
          <w:p w14:paraId="046E5293" w14:textId="77777777" w:rsidR="001E58F2" w:rsidRPr="00463667" w:rsidRDefault="001E58F2" w:rsidP="00F3111D">
            <w:pPr>
              <w:pStyle w:val="Body"/>
              <w:rPr>
                <w:iCs/>
              </w:rPr>
            </w:pPr>
            <w:r w:rsidRPr="00463667">
              <w:t xml:space="preserve">One prescription of an amount lasting 30 days or less. To calculate dispensing events for prescriptions longer than 30 days, divide the </w:t>
            </w:r>
            <w:proofErr w:type="spellStart"/>
            <w:r w:rsidRPr="00463667">
              <w:t>days</w:t>
            </w:r>
            <w:proofErr w:type="spellEnd"/>
            <w:r w:rsidRPr="00463667">
              <w:t xml:space="preserve"> supply by 30 and round down to convert. For example, a 100-day prescription is equal to three dispensing events (100/30 = 3.33, rounded down to 3). </w:t>
            </w:r>
            <w:r w:rsidRPr="00463667">
              <w:rPr>
                <w:iCs/>
              </w:rPr>
              <w:t>Allocate the dispensing events to the appropriate year based on the date when the prescription is filled.</w:t>
            </w:r>
          </w:p>
          <w:p w14:paraId="17628F98" w14:textId="77777777" w:rsidR="001E58F2" w:rsidRPr="00463667" w:rsidRDefault="001E58F2" w:rsidP="00F3111D">
            <w:pPr>
              <w:pStyle w:val="Body"/>
            </w:pPr>
            <w:r w:rsidRPr="00463667">
              <w:rPr>
                <w:iCs/>
              </w:rPr>
              <w:t>Multiple</w:t>
            </w:r>
            <w:r w:rsidRPr="00463667">
              <w:t xml:space="preserve"> prescriptions for different medications dispensed on the same day are counted as separate dispensing events. If multiple prescriptions for the same medication are dispensed on the same day, sum the </w:t>
            </w:r>
            <w:proofErr w:type="spellStart"/>
            <w:r w:rsidRPr="00463667">
              <w:t>days</w:t>
            </w:r>
            <w:proofErr w:type="spellEnd"/>
            <w:r w:rsidRPr="00463667">
              <w:t xml:space="preserve"> supply and divide by 30. Use the Drug ID to determine if the prescriptions are the same or different.</w:t>
            </w:r>
          </w:p>
          <w:p w14:paraId="3B2B8AEB" w14:textId="77777777" w:rsidR="001E58F2" w:rsidRPr="00463667" w:rsidRDefault="001E58F2" w:rsidP="00F3111D">
            <w:pPr>
              <w:pStyle w:val="Bullet"/>
              <w:spacing w:before="100"/>
            </w:pPr>
            <w:r w:rsidRPr="00463667">
              <w:rPr>
                <w:i/>
              </w:rPr>
              <w:t>Two prescriptions</w:t>
            </w:r>
            <w:r w:rsidRPr="00463667">
              <w:t xml:space="preserve"> for different medications dispensed on the same day, each with a 60-day supply, equals four dispensing events (two prescriptions with two dispensing events each).</w:t>
            </w:r>
          </w:p>
          <w:p w14:paraId="107D24E7" w14:textId="77777777" w:rsidR="001E58F2" w:rsidRPr="00463667" w:rsidRDefault="001E58F2" w:rsidP="00F3111D">
            <w:pPr>
              <w:pStyle w:val="Bullet"/>
              <w:spacing w:before="100"/>
            </w:pPr>
            <w:r w:rsidRPr="00463667">
              <w:rPr>
                <w:i/>
              </w:rPr>
              <w:t>Two prescriptions</w:t>
            </w:r>
            <w:r w:rsidRPr="00463667">
              <w:t xml:space="preserve"> for different medications dispensed on the same day, each with a 15-day supply, equals two dispensing events (two prescriptions with one dispensing event each). </w:t>
            </w:r>
          </w:p>
          <w:p w14:paraId="2BFD68FE" w14:textId="77777777" w:rsidR="001E58F2" w:rsidRPr="00463667" w:rsidRDefault="001E58F2" w:rsidP="00F3111D">
            <w:pPr>
              <w:pStyle w:val="Bullet"/>
              <w:spacing w:before="100"/>
            </w:pPr>
            <w:r w:rsidRPr="00463667">
              <w:rPr>
                <w:i/>
              </w:rPr>
              <w:t>Two prescriptions</w:t>
            </w:r>
            <w:r w:rsidRPr="00463667">
              <w:t xml:space="preserve"> for the same medication dispensed on the same day, each with a 15-day supply, equals one dispensing event (sum the </w:t>
            </w:r>
            <w:proofErr w:type="spellStart"/>
            <w:r w:rsidRPr="00463667">
              <w:t>days</w:t>
            </w:r>
            <w:proofErr w:type="spellEnd"/>
            <w:r w:rsidRPr="00463667">
              <w:t xml:space="preserve"> supply for a total of 30 days).</w:t>
            </w:r>
          </w:p>
          <w:p w14:paraId="33B19F28" w14:textId="77777777" w:rsidR="001E58F2" w:rsidRPr="00463667" w:rsidRDefault="001E58F2" w:rsidP="00F3111D">
            <w:pPr>
              <w:pStyle w:val="Bullet"/>
              <w:spacing w:before="100"/>
              <w:rPr>
                <w:iCs/>
              </w:rPr>
            </w:pPr>
            <w:r w:rsidRPr="00463667">
              <w:rPr>
                <w:i/>
              </w:rPr>
              <w:t>Two prescriptions</w:t>
            </w:r>
            <w:r w:rsidRPr="00463667">
              <w:t xml:space="preserve"> for the same medication dispensed on the same day, each with a 60-day supply, equals four dispensing events (sum the </w:t>
            </w:r>
            <w:proofErr w:type="spellStart"/>
            <w:r w:rsidRPr="00463667">
              <w:t>days</w:t>
            </w:r>
            <w:proofErr w:type="spellEnd"/>
            <w:r w:rsidRPr="00463667">
              <w:t xml:space="preserve"> supply for a total of 120 days).</w:t>
            </w:r>
          </w:p>
        </w:tc>
      </w:tr>
      <w:tr w:rsidR="001E58F2" w:rsidRPr="00463667" w14:paraId="1A741601" w14:textId="77777777" w:rsidTr="00F3111D">
        <w:trPr>
          <w:trHeight w:val="1953"/>
        </w:trPr>
        <w:tc>
          <w:tcPr>
            <w:tcW w:w="2079" w:type="dxa"/>
          </w:tcPr>
          <w:p w14:paraId="15E5284F" w14:textId="77777777" w:rsidR="001E58F2" w:rsidRPr="00463667" w:rsidRDefault="001E58F2" w:rsidP="00F3111D">
            <w:pPr>
              <w:pStyle w:val="MarginSubhead"/>
              <w:rPr>
                <w:snapToGrid w:val="0"/>
              </w:rPr>
            </w:pPr>
            <w:r w:rsidRPr="00463667">
              <w:rPr>
                <w:snapToGrid w:val="0"/>
              </w:rPr>
              <w:t xml:space="preserve">Inhaler dispensing event </w:t>
            </w:r>
          </w:p>
        </w:tc>
        <w:tc>
          <w:tcPr>
            <w:tcW w:w="7731" w:type="dxa"/>
          </w:tcPr>
          <w:p w14:paraId="13481ADF" w14:textId="77777777" w:rsidR="001E58F2" w:rsidRPr="00463667" w:rsidRDefault="001E58F2" w:rsidP="00F3111D">
            <w:pPr>
              <w:autoSpaceDE w:val="0"/>
              <w:autoSpaceDN w:val="0"/>
              <w:adjustRightInd w:val="0"/>
              <w:spacing w:before="180"/>
              <w:rPr>
                <w:rFonts w:cs="Arial"/>
                <w:szCs w:val="20"/>
              </w:rPr>
            </w:pPr>
            <w:r w:rsidRPr="00463667">
              <w:rPr>
                <w:rFonts w:cs="Arial"/>
                <w:szCs w:val="20"/>
              </w:rPr>
              <w:t>All inhalers (i.e., canisters) of the same medication dispensed on the same day count as one dispensing event. Medications with different Drug IDs dispensed on the same day are counted as different dispensing events. For example, if a member received three canisters of Medication A and two canisters of Medication B on the same date, it would count as two dispensing events.</w:t>
            </w:r>
          </w:p>
          <w:p w14:paraId="503B8B04" w14:textId="77777777" w:rsidR="001E58F2" w:rsidRPr="00463667" w:rsidRDefault="001E58F2" w:rsidP="00F3111D">
            <w:pPr>
              <w:pStyle w:val="Body"/>
            </w:pPr>
            <w:r w:rsidRPr="00463667">
              <w:t>Allocate the dispensing events to the appropriate year based on the date when the prescription was filled.</w:t>
            </w:r>
          </w:p>
          <w:p w14:paraId="17510687" w14:textId="77777777" w:rsidR="001E58F2" w:rsidRPr="00463667" w:rsidRDefault="001E58F2" w:rsidP="00F3111D">
            <w:pPr>
              <w:pStyle w:val="Body"/>
              <w:rPr>
                <w:rFonts w:eastAsiaTheme="minorHAnsi"/>
              </w:rPr>
            </w:pPr>
            <w:r w:rsidRPr="00463667">
              <w:t xml:space="preserve">Use the </w:t>
            </w:r>
            <w:r w:rsidRPr="00463667">
              <w:rPr>
                <w:i/>
              </w:rPr>
              <w:t>Drug ID</w:t>
            </w:r>
            <w:r w:rsidRPr="00463667">
              <w:t xml:space="preserve"> field in the NDC list to determine if the medications are the same or different.</w:t>
            </w:r>
          </w:p>
        </w:tc>
      </w:tr>
    </w:tbl>
    <w:p w14:paraId="727CD73D" w14:textId="77777777" w:rsidR="001E58F2" w:rsidRPr="00463667" w:rsidRDefault="001E58F2" w:rsidP="001E58F2">
      <w:pPr>
        <w:sectPr w:rsidR="001E58F2" w:rsidRPr="00463667" w:rsidSect="001E58F2">
          <w:headerReference w:type="even" r:id="rId63"/>
          <w:headerReference w:type="default" r:id="rId64"/>
          <w:type w:val="evenPage"/>
          <w:pgSz w:w="12240" w:h="15840" w:code="1"/>
          <w:pgMar w:top="1080" w:right="1080" w:bottom="1080" w:left="1440" w:header="720" w:footer="720" w:gutter="0"/>
          <w:cols w:space="720"/>
        </w:sectPr>
      </w:pPr>
    </w:p>
    <w:tbl>
      <w:tblPr>
        <w:tblW w:w="0" w:type="auto"/>
        <w:tblInd w:w="-90" w:type="dxa"/>
        <w:tblLook w:val="0000" w:firstRow="0" w:lastRow="0" w:firstColumn="0" w:lastColumn="0" w:noHBand="0" w:noVBand="0"/>
      </w:tblPr>
      <w:tblGrid>
        <w:gridCol w:w="2080"/>
        <w:gridCol w:w="7730"/>
      </w:tblGrid>
      <w:tr w:rsidR="001E58F2" w:rsidRPr="00463667" w14:paraId="08FE1F0F" w14:textId="77777777" w:rsidTr="00F3111D">
        <w:tc>
          <w:tcPr>
            <w:tcW w:w="2080" w:type="dxa"/>
          </w:tcPr>
          <w:p w14:paraId="3A5A25D0" w14:textId="77777777" w:rsidR="001E58F2" w:rsidRPr="00463667" w:rsidRDefault="001E58F2" w:rsidP="00F3111D">
            <w:pPr>
              <w:pStyle w:val="Body"/>
              <w:spacing w:before="0"/>
              <w:ind w:left="216"/>
              <w:rPr>
                <w:b/>
                <w:snapToGrid w:val="0"/>
              </w:rPr>
            </w:pPr>
            <w:r w:rsidRPr="00463667">
              <w:rPr>
                <w:b/>
                <w:snapToGrid w:val="0"/>
              </w:rPr>
              <w:lastRenderedPageBreak/>
              <w:t xml:space="preserve">Injection dispensing event </w:t>
            </w:r>
          </w:p>
        </w:tc>
        <w:tc>
          <w:tcPr>
            <w:tcW w:w="7730" w:type="dxa"/>
          </w:tcPr>
          <w:p w14:paraId="2F6970B5" w14:textId="77777777" w:rsidR="001E58F2" w:rsidRPr="00463667" w:rsidRDefault="001E58F2" w:rsidP="00F3111D">
            <w:pPr>
              <w:pStyle w:val="Body"/>
              <w:spacing w:before="0"/>
              <w:rPr>
                <w:snapToGrid w:val="0"/>
              </w:rPr>
            </w:pPr>
            <w:r w:rsidRPr="00463667">
              <w:rPr>
                <w:snapToGrid w:val="0"/>
              </w:rPr>
              <w:t>Each injection counts as one dispensing event. Multiple dispensed injections of the same or different medications count as separate dispensing events. For example, if a member received two injections of Medication A and one injection of Medication B on the same date, it would count as three dispensing events.</w:t>
            </w:r>
          </w:p>
          <w:p w14:paraId="7B15A8EA" w14:textId="77777777" w:rsidR="001E58F2" w:rsidRPr="00463667" w:rsidRDefault="001E58F2" w:rsidP="00F3111D">
            <w:pPr>
              <w:pStyle w:val="Body"/>
              <w:rPr>
                <w:snapToGrid w:val="0"/>
              </w:rPr>
            </w:pPr>
            <w:r w:rsidRPr="00463667">
              <w:rPr>
                <w:snapToGrid w:val="0"/>
              </w:rPr>
              <w:t>Allocate the dispensing events to the appropriate year based on the date when the prescription was filled.</w:t>
            </w:r>
          </w:p>
        </w:tc>
      </w:tr>
    </w:tbl>
    <w:p w14:paraId="17FA3448" w14:textId="77777777" w:rsidR="001E58F2" w:rsidRPr="00463667" w:rsidRDefault="001E58F2" w:rsidP="001E58F2">
      <w:pPr>
        <w:pStyle w:val="ReverseHead"/>
        <w:rPr>
          <w:snapToGrid w:val="0"/>
        </w:rPr>
      </w:pPr>
      <w:r w:rsidRPr="00463667">
        <w:rPr>
          <w:snapToGrid w:val="0"/>
        </w:rPr>
        <w:t>Eligible Population</w:t>
      </w:r>
    </w:p>
    <w:p w14:paraId="74B4599D" w14:textId="77777777" w:rsidR="001E58F2" w:rsidRPr="00463667" w:rsidRDefault="001E58F2" w:rsidP="001E58F2">
      <w:pPr>
        <w:pStyle w:val="Note"/>
      </w:pPr>
      <w:r w:rsidRPr="00463667">
        <w:rPr>
          <w:b/>
        </w:rPr>
        <w:t xml:space="preserve">Note: </w:t>
      </w:r>
      <w:r w:rsidRPr="00463667">
        <w:t>Organizations must report the quality measures (MMA and AMR) when reporting RAS.</w:t>
      </w:r>
    </w:p>
    <w:tbl>
      <w:tblPr>
        <w:tblW w:w="9810" w:type="dxa"/>
        <w:tblInd w:w="-90" w:type="dxa"/>
        <w:tblLayout w:type="fixed"/>
        <w:tblLook w:val="0000" w:firstRow="0" w:lastRow="0" w:firstColumn="0" w:lastColumn="0" w:noHBand="0" w:noVBand="0"/>
      </w:tblPr>
      <w:tblGrid>
        <w:gridCol w:w="2088"/>
        <w:gridCol w:w="7722"/>
      </w:tblGrid>
      <w:tr w:rsidR="001E58F2" w:rsidRPr="00463667" w14:paraId="399D0DF1" w14:textId="77777777" w:rsidTr="00F3111D">
        <w:tc>
          <w:tcPr>
            <w:tcW w:w="2088" w:type="dxa"/>
          </w:tcPr>
          <w:p w14:paraId="45DEC35C" w14:textId="77777777" w:rsidR="001E58F2" w:rsidRPr="00463667" w:rsidRDefault="001E58F2" w:rsidP="00F3111D">
            <w:pPr>
              <w:pStyle w:val="MarginSubhead"/>
            </w:pPr>
            <w:r w:rsidRPr="00463667">
              <w:t>Product lines</w:t>
            </w:r>
          </w:p>
        </w:tc>
        <w:tc>
          <w:tcPr>
            <w:tcW w:w="7722" w:type="dxa"/>
          </w:tcPr>
          <w:p w14:paraId="0DF98CD9" w14:textId="77777777" w:rsidR="001E58F2" w:rsidRPr="00463667" w:rsidRDefault="001E58F2" w:rsidP="00F3111D">
            <w:pPr>
              <w:pStyle w:val="Body"/>
            </w:pPr>
            <w:r w:rsidRPr="00463667">
              <w:t>Commercial, Medicaid</w:t>
            </w:r>
            <w:r>
              <w:t xml:space="preserve">, </w:t>
            </w:r>
            <w:r w:rsidRPr="006C6933">
              <w:t>Medicare</w:t>
            </w:r>
            <w:r>
              <w:t xml:space="preserve"> </w:t>
            </w:r>
            <w:r w:rsidRPr="00463667">
              <w:t>(report each product line separately).</w:t>
            </w:r>
          </w:p>
        </w:tc>
      </w:tr>
      <w:tr w:rsidR="00FC1D3A" w:rsidRPr="00463667" w14:paraId="06E2B7E9" w14:textId="77777777" w:rsidTr="00F3111D">
        <w:trPr>
          <w:trHeight w:val="1230"/>
        </w:trPr>
        <w:tc>
          <w:tcPr>
            <w:tcW w:w="2088" w:type="dxa"/>
          </w:tcPr>
          <w:p w14:paraId="592C975D" w14:textId="77777777" w:rsidR="00FC1D3A" w:rsidRPr="00463667" w:rsidRDefault="00FC1D3A" w:rsidP="00F3111D">
            <w:pPr>
              <w:pStyle w:val="MarginSubhead"/>
            </w:pPr>
            <w:r w:rsidRPr="00463667">
              <w:t>Ages</w:t>
            </w:r>
          </w:p>
        </w:tc>
        <w:tc>
          <w:tcPr>
            <w:tcW w:w="7722" w:type="dxa"/>
          </w:tcPr>
          <w:p w14:paraId="20011378" w14:textId="0872BAA7" w:rsidR="00FC1D3A" w:rsidRPr="006C6933" w:rsidRDefault="00FC1D3A" w:rsidP="00F3111D">
            <w:pPr>
              <w:pStyle w:val="Body"/>
            </w:pPr>
            <w:r w:rsidRPr="00FC1D3A">
              <w:rPr>
                <w:i/>
              </w:rPr>
              <w:t xml:space="preserve">For commercial, </w:t>
            </w:r>
            <w:r w:rsidRPr="006C6933">
              <w:t>ages 5</w:t>
            </w:r>
            <w:r>
              <w:t>–</w:t>
            </w:r>
            <w:r w:rsidRPr="006C6933">
              <w:t xml:space="preserve">85 as of December 31 of the measurement year. </w:t>
            </w:r>
          </w:p>
          <w:p w14:paraId="64549970" w14:textId="77777777" w:rsidR="00FC1D3A" w:rsidRPr="006C6933" w:rsidRDefault="00FC1D3A" w:rsidP="00F3111D">
            <w:pPr>
              <w:pStyle w:val="Body"/>
            </w:pPr>
            <w:r w:rsidRPr="00FC1D3A">
              <w:rPr>
                <w:i/>
              </w:rPr>
              <w:t>For Medicaid,</w:t>
            </w:r>
            <w:r w:rsidRPr="006C6933">
              <w:t xml:space="preserve"> ages 5–64 as of December 31 of the measurement year. </w:t>
            </w:r>
          </w:p>
          <w:p w14:paraId="1EB7A932" w14:textId="1C8F5C65" w:rsidR="00FC1D3A" w:rsidRPr="006C6933" w:rsidRDefault="00FC1D3A" w:rsidP="00F3111D">
            <w:pPr>
              <w:pStyle w:val="Body"/>
            </w:pPr>
            <w:r w:rsidRPr="00FC1D3A">
              <w:rPr>
                <w:i/>
              </w:rPr>
              <w:t>For Medicare,</w:t>
            </w:r>
            <w:r w:rsidRPr="00786FD8">
              <w:t xml:space="preserve"> ages 18–85 as of December 31 of the measurement year. </w:t>
            </w:r>
          </w:p>
        </w:tc>
      </w:tr>
      <w:tr w:rsidR="001E58F2" w:rsidRPr="00463667" w14:paraId="440E863E" w14:textId="77777777" w:rsidTr="00F3111D">
        <w:tc>
          <w:tcPr>
            <w:tcW w:w="2088" w:type="dxa"/>
          </w:tcPr>
          <w:p w14:paraId="1C38CE76" w14:textId="77777777" w:rsidR="001E58F2" w:rsidRPr="00463667" w:rsidRDefault="001E58F2" w:rsidP="00F3111D">
            <w:pPr>
              <w:pStyle w:val="MarginSubhead"/>
            </w:pPr>
            <w:r w:rsidRPr="00463667">
              <w:t>Continuous enrollment</w:t>
            </w:r>
          </w:p>
        </w:tc>
        <w:tc>
          <w:tcPr>
            <w:tcW w:w="7722" w:type="dxa"/>
          </w:tcPr>
          <w:p w14:paraId="4A554395" w14:textId="77777777" w:rsidR="001E58F2" w:rsidRPr="00463667" w:rsidRDefault="001E58F2" w:rsidP="00F3111D">
            <w:pPr>
              <w:pStyle w:val="Body"/>
            </w:pPr>
            <w:r w:rsidRPr="00463667">
              <w:t>The measurement year and the year prior to the measurement year.</w:t>
            </w:r>
          </w:p>
        </w:tc>
      </w:tr>
      <w:tr w:rsidR="001E58F2" w:rsidRPr="00463667" w14:paraId="72D0E80A" w14:textId="77777777" w:rsidTr="00F3111D">
        <w:tc>
          <w:tcPr>
            <w:tcW w:w="2088" w:type="dxa"/>
          </w:tcPr>
          <w:p w14:paraId="7C40CD90" w14:textId="77777777" w:rsidR="001E58F2" w:rsidRPr="00463667" w:rsidRDefault="001E58F2" w:rsidP="00F3111D">
            <w:pPr>
              <w:pStyle w:val="MarginSubhead"/>
            </w:pPr>
            <w:r w:rsidRPr="00463667">
              <w:t>Allowable gap</w:t>
            </w:r>
          </w:p>
        </w:tc>
        <w:tc>
          <w:tcPr>
            <w:tcW w:w="7722" w:type="dxa"/>
          </w:tcPr>
          <w:p w14:paraId="5D1B13BB" w14:textId="77777777" w:rsidR="001E58F2" w:rsidRPr="00463667" w:rsidRDefault="001E58F2" w:rsidP="00F3111D">
            <w:pPr>
              <w:pStyle w:val="Body"/>
            </w:pPr>
            <w:r w:rsidRPr="00463667">
              <w:t>No more than one gap in enrollment of up to 45 days during each year of continuous enrollment. To determine continuous enrollment for a Medicaid beneficiary for whom enrollment is verified monthly, the member may not have more than a 1-month gap in coverage during each year of continuous enrollment year.</w:t>
            </w:r>
          </w:p>
        </w:tc>
      </w:tr>
      <w:tr w:rsidR="001E58F2" w:rsidRPr="00463667" w14:paraId="051EA73E" w14:textId="77777777" w:rsidTr="00F3111D">
        <w:tc>
          <w:tcPr>
            <w:tcW w:w="2088" w:type="dxa"/>
          </w:tcPr>
          <w:p w14:paraId="5362B22E" w14:textId="77777777" w:rsidR="001E58F2" w:rsidRPr="00463667" w:rsidRDefault="001E58F2" w:rsidP="00F3111D">
            <w:pPr>
              <w:pStyle w:val="MarginSubhead"/>
            </w:pPr>
            <w:r w:rsidRPr="00463667">
              <w:t>Anchor date</w:t>
            </w:r>
          </w:p>
        </w:tc>
        <w:tc>
          <w:tcPr>
            <w:tcW w:w="7722" w:type="dxa"/>
          </w:tcPr>
          <w:p w14:paraId="0C5A73F1" w14:textId="77777777" w:rsidR="001E58F2" w:rsidRPr="00463667" w:rsidRDefault="001E58F2" w:rsidP="00F3111D">
            <w:pPr>
              <w:pStyle w:val="Body"/>
            </w:pPr>
            <w:r w:rsidRPr="00463667">
              <w:t>December 31 of the measurement year.</w:t>
            </w:r>
          </w:p>
        </w:tc>
      </w:tr>
      <w:tr w:rsidR="001E58F2" w:rsidRPr="00463667" w14:paraId="15D444E7" w14:textId="77777777" w:rsidTr="00F3111D">
        <w:tc>
          <w:tcPr>
            <w:tcW w:w="2088" w:type="dxa"/>
          </w:tcPr>
          <w:p w14:paraId="04029BF7" w14:textId="77777777" w:rsidR="001E58F2" w:rsidRPr="00463667" w:rsidRDefault="001E58F2" w:rsidP="00F3111D">
            <w:pPr>
              <w:pStyle w:val="MarginSubhead"/>
            </w:pPr>
            <w:r w:rsidRPr="00463667">
              <w:t>Benefits</w:t>
            </w:r>
          </w:p>
        </w:tc>
        <w:tc>
          <w:tcPr>
            <w:tcW w:w="7722" w:type="dxa"/>
          </w:tcPr>
          <w:p w14:paraId="73260D2C" w14:textId="77777777" w:rsidR="001E58F2" w:rsidRPr="00463667" w:rsidRDefault="001E58F2" w:rsidP="00F3111D">
            <w:pPr>
              <w:pStyle w:val="Body"/>
            </w:pPr>
            <w:r w:rsidRPr="00463667">
              <w:t>Medical. Pharmacy during the measurement year.</w:t>
            </w:r>
          </w:p>
        </w:tc>
      </w:tr>
      <w:tr w:rsidR="001E58F2" w:rsidRPr="00463667" w14:paraId="1EB35A2D" w14:textId="77777777" w:rsidTr="00F3111D">
        <w:tc>
          <w:tcPr>
            <w:tcW w:w="2088" w:type="dxa"/>
          </w:tcPr>
          <w:p w14:paraId="0B640566" w14:textId="77777777" w:rsidR="001E58F2" w:rsidRPr="00463667" w:rsidRDefault="001E58F2" w:rsidP="00F3111D">
            <w:pPr>
              <w:pStyle w:val="MarginSubhead"/>
            </w:pPr>
            <w:r w:rsidRPr="00463667">
              <w:t>Event/ diagnosis</w:t>
            </w:r>
          </w:p>
        </w:tc>
        <w:tc>
          <w:tcPr>
            <w:tcW w:w="7722" w:type="dxa"/>
          </w:tcPr>
          <w:p w14:paraId="172FC55E" w14:textId="77777777" w:rsidR="001E58F2" w:rsidRPr="00463667" w:rsidRDefault="001E58F2" w:rsidP="00F3111D">
            <w:pPr>
              <w:pStyle w:val="Body"/>
            </w:pPr>
            <w:r w:rsidRPr="00463667">
              <w:t>Follow the steps below to identify the eligible population for the measure.</w:t>
            </w:r>
          </w:p>
        </w:tc>
      </w:tr>
      <w:tr w:rsidR="001E58F2" w:rsidRPr="00463667" w14:paraId="23B0EB6E" w14:textId="77777777" w:rsidTr="00F3111D">
        <w:tc>
          <w:tcPr>
            <w:tcW w:w="2088" w:type="dxa"/>
          </w:tcPr>
          <w:p w14:paraId="61973E92" w14:textId="77777777" w:rsidR="001E58F2" w:rsidRPr="00463667" w:rsidRDefault="001E58F2" w:rsidP="00F3111D">
            <w:pPr>
              <w:pStyle w:val="MarginSubhead"/>
              <w:spacing w:before="120"/>
              <w:jc w:val="right"/>
              <w:rPr>
                <w:i/>
              </w:rPr>
            </w:pPr>
            <w:r w:rsidRPr="00463667">
              <w:rPr>
                <w:i/>
              </w:rPr>
              <w:t>Step 1</w:t>
            </w:r>
          </w:p>
        </w:tc>
        <w:tc>
          <w:tcPr>
            <w:tcW w:w="7722" w:type="dxa"/>
          </w:tcPr>
          <w:p w14:paraId="02485929" w14:textId="77777777" w:rsidR="001E58F2" w:rsidRPr="00463667" w:rsidRDefault="001E58F2" w:rsidP="00F3111D">
            <w:pPr>
              <w:pStyle w:val="Body"/>
              <w:spacing w:before="120"/>
            </w:pPr>
            <w:r w:rsidRPr="00463667">
              <w:t>Identify members as having persistent asthma who met at least one of the following criteria during both the measurement year and the year prior to the measurement year. Criteria need not be the same across years.</w:t>
            </w:r>
          </w:p>
          <w:p w14:paraId="2C911F83" w14:textId="77777777" w:rsidR="001E58F2" w:rsidRPr="00463667" w:rsidRDefault="001E58F2" w:rsidP="00F3111D">
            <w:pPr>
              <w:pStyle w:val="Bullet"/>
            </w:pPr>
            <w:r w:rsidRPr="00463667">
              <w:t>At least one ED visit (</w:t>
            </w:r>
            <w:r w:rsidRPr="00463667">
              <w:rPr>
                <w:u w:val="single"/>
              </w:rPr>
              <w:t>ED Value Set</w:t>
            </w:r>
            <w:r w:rsidRPr="00463667">
              <w:t>), with a principal diagnosis of asthma (</w:t>
            </w:r>
            <w:r w:rsidRPr="00463667">
              <w:rPr>
                <w:u w:val="single"/>
              </w:rPr>
              <w:t>Asthma Value Set</w:t>
            </w:r>
            <w:r w:rsidRPr="00463667">
              <w:t>).</w:t>
            </w:r>
          </w:p>
          <w:p w14:paraId="56729F1C" w14:textId="77777777" w:rsidR="001E58F2" w:rsidRPr="00463667" w:rsidRDefault="001E58F2" w:rsidP="00F3111D">
            <w:pPr>
              <w:pStyle w:val="Bullet"/>
            </w:pPr>
            <w:r w:rsidRPr="00463667">
              <w:t>At least one acute inpatient encounter (</w:t>
            </w:r>
            <w:r w:rsidRPr="00463667">
              <w:rPr>
                <w:u w:val="single"/>
              </w:rPr>
              <w:t>Acute Inpatient Value Set</w:t>
            </w:r>
            <w:r w:rsidRPr="00463667">
              <w:t>), with a principal diagnosis of asthma (</w:t>
            </w:r>
            <w:r w:rsidRPr="00463667">
              <w:rPr>
                <w:u w:val="single"/>
              </w:rPr>
              <w:t>Asthma Value Set</w:t>
            </w:r>
            <w:r w:rsidRPr="00463667">
              <w:t>).</w:t>
            </w:r>
          </w:p>
          <w:p w14:paraId="064EE0B3" w14:textId="77777777" w:rsidR="001E58F2" w:rsidRPr="00463667" w:rsidRDefault="001E58F2" w:rsidP="00F3111D">
            <w:pPr>
              <w:pStyle w:val="Bullet"/>
            </w:pPr>
            <w:r w:rsidRPr="00463667">
              <w:t>At least four outpatient visits (</w:t>
            </w:r>
            <w:r w:rsidRPr="00463667">
              <w:rPr>
                <w:u w:val="single"/>
              </w:rPr>
              <w:t>Outpatient Value Set</w:t>
            </w:r>
            <w:r w:rsidRPr="00463667">
              <w:t>) or observation visits (</w:t>
            </w:r>
            <w:r w:rsidRPr="00463667">
              <w:rPr>
                <w:u w:val="single"/>
              </w:rPr>
              <w:t>Observation Value Set</w:t>
            </w:r>
            <w:r w:rsidRPr="00463667">
              <w:t>), on different dates of service, with any diagnosis of Asthma (</w:t>
            </w:r>
            <w:r w:rsidRPr="00463667">
              <w:rPr>
                <w:u w:val="single"/>
              </w:rPr>
              <w:t>Asthma Value Set</w:t>
            </w:r>
            <w:r w:rsidRPr="00463667">
              <w:t xml:space="preserve">) </w:t>
            </w:r>
            <w:r w:rsidRPr="00463667">
              <w:rPr>
                <w:b/>
                <w:i/>
              </w:rPr>
              <w:t>and</w:t>
            </w:r>
            <w:r w:rsidRPr="00463667">
              <w:t xml:space="preserve"> at least two asthma medication dispensing events (Table </w:t>
            </w:r>
            <w:r>
              <w:t>MMA-A</w:t>
            </w:r>
            <w:r w:rsidRPr="00463667">
              <w:t>). Visit type need not be the same for the four encounters.</w:t>
            </w:r>
          </w:p>
          <w:p w14:paraId="1B0ED93E" w14:textId="77777777" w:rsidR="001E58F2" w:rsidRPr="00463667" w:rsidRDefault="001E58F2" w:rsidP="00F3111D">
            <w:pPr>
              <w:pStyle w:val="Bullet"/>
            </w:pPr>
            <w:r w:rsidRPr="00463667">
              <w:t xml:space="preserve">At least four asthma medication dispensing events (Table </w:t>
            </w:r>
            <w:r>
              <w:t>MMA-A</w:t>
            </w:r>
            <w:r w:rsidRPr="00463667">
              <w:t>).</w:t>
            </w:r>
          </w:p>
        </w:tc>
      </w:tr>
      <w:tr w:rsidR="001E58F2" w:rsidRPr="00463667" w14:paraId="49A77CB4" w14:textId="77777777" w:rsidTr="00F3111D">
        <w:tc>
          <w:tcPr>
            <w:tcW w:w="2088" w:type="dxa"/>
          </w:tcPr>
          <w:p w14:paraId="55448E83" w14:textId="77777777" w:rsidR="001E58F2" w:rsidRPr="00463667" w:rsidRDefault="001E58F2" w:rsidP="00F3111D">
            <w:pPr>
              <w:pStyle w:val="MarginSubhead"/>
              <w:jc w:val="right"/>
              <w:rPr>
                <w:i/>
              </w:rPr>
            </w:pPr>
            <w:r w:rsidRPr="00463667">
              <w:rPr>
                <w:i/>
              </w:rPr>
              <w:t>Step 2</w:t>
            </w:r>
          </w:p>
        </w:tc>
        <w:tc>
          <w:tcPr>
            <w:tcW w:w="7722" w:type="dxa"/>
          </w:tcPr>
          <w:p w14:paraId="421C103B" w14:textId="77777777" w:rsidR="001E58F2" w:rsidRPr="00463667" w:rsidRDefault="001E58F2" w:rsidP="00F3111D">
            <w:pPr>
              <w:pStyle w:val="Body"/>
            </w:pPr>
            <w:r w:rsidRPr="00463667">
              <w:t xml:space="preserve">A member identified as having persistent asthma because of at least four asthma medication dispensing events, where leukotriene modifiers </w:t>
            </w:r>
            <w:r>
              <w:t xml:space="preserve">or antibody inhibitors </w:t>
            </w:r>
            <w:r w:rsidRPr="00463667">
              <w:t>were the sole asthma medication dispensed in that year, must have at least one diagnosis of asthma (</w:t>
            </w:r>
            <w:r w:rsidRPr="003D22F8">
              <w:rPr>
                <w:u w:val="single"/>
              </w:rPr>
              <w:t>Asthma Value Set</w:t>
            </w:r>
            <w:r w:rsidRPr="00463667">
              <w:t xml:space="preserve">), in any setting, in the same year as the leukotriene modifier </w:t>
            </w:r>
            <w:r>
              <w:t xml:space="preserve">or antibody inhibitor </w:t>
            </w:r>
            <w:r w:rsidRPr="00463667">
              <w:t>(i.e., the measurement year or the year prior to the measurement year).</w:t>
            </w:r>
          </w:p>
        </w:tc>
      </w:tr>
    </w:tbl>
    <w:p w14:paraId="3967D3FE" w14:textId="77777777" w:rsidR="001E58F2" w:rsidRPr="00463667" w:rsidRDefault="001E58F2" w:rsidP="001E58F2">
      <w:pPr>
        <w:sectPr w:rsidR="001E58F2" w:rsidRPr="00463667" w:rsidSect="00C56CA6">
          <w:headerReference w:type="even" r:id="rId65"/>
          <w:headerReference w:type="default" r:id="rId66"/>
          <w:pgSz w:w="12240" w:h="15840" w:code="1"/>
          <w:pgMar w:top="1080" w:right="1080" w:bottom="1080" w:left="1440" w:header="720" w:footer="720" w:gutter="0"/>
          <w:cols w:space="720"/>
        </w:sectPr>
      </w:pPr>
    </w:p>
    <w:p w14:paraId="5F3C7F81" w14:textId="77777777" w:rsidR="001E58F2" w:rsidRPr="00463667" w:rsidRDefault="001E58F2" w:rsidP="001E58F2">
      <w:pPr>
        <w:pStyle w:val="SubHead20"/>
        <w:spacing w:before="0"/>
        <w:rPr>
          <w:szCs w:val="22"/>
        </w:rPr>
      </w:pPr>
      <w:r w:rsidRPr="00463667">
        <w:rPr>
          <w:szCs w:val="22"/>
        </w:rPr>
        <w:lastRenderedPageBreak/>
        <w:t xml:space="preserve">Exclusions </w:t>
      </w:r>
      <w:r w:rsidRPr="00463667">
        <w:rPr>
          <w:i/>
          <w:szCs w:val="22"/>
        </w:rPr>
        <w:t>(required)</w:t>
      </w:r>
    </w:p>
    <w:p w14:paraId="2EF4559A" w14:textId="77777777" w:rsidR="001E58F2" w:rsidRPr="00463667" w:rsidRDefault="001E58F2" w:rsidP="001E58F2">
      <w:pPr>
        <w:pStyle w:val="ProcessBullet"/>
      </w:pPr>
      <w:r w:rsidRPr="00463667">
        <w:t>Exclude members who had any diagnosis from any of the following value sets, any time during the member’s history through December 31 of the measurement year:</w:t>
      </w:r>
    </w:p>
    <w:p w14:paraId="6E84B156" w14:textId="77777777" w:rsidR="001E58F2" w:rsidRPr="00463667" w:rsidRDefault="001E58F2" w:rsidP="001E58F2">
      <w:pPr>
        <w:pStyle w:val="ProcessDash"/>
      </w:pPr>
      <w:r w:rsidRPr="00463667">
        <w:rPr>
          <w:u w:val="single"/>
        </w:rPr>
        <w:t>Emphysema Value Set</w:t>
      </w:r>
      <w:r w:rsidRPr="00463667">
        <w:t>.</w:t>
      </w:r>
    </w:p>
    <w:p w14:paraId="73941983" w14:textId="77777777" w:rsidR="001E58F2" w:rsidRPr="00463667" w:rsidRDefault="001E58F2" w:rsidP="001E58F2">
      <w:pPr>
        <w:pStyle w:val="ProcessDash"/>
        <w:rPr>
          <w:u w:val="single"/>
        </w:rPr>
      </w:pPr>
      <w:r w:rsidRPr="00463667">
        <w:rPr>
          <w:u w:val="single"/>
        </w:rPr>
        <w:t>Other Emphysema Value Set</w:t>
      </w:r>
      <w:r w:rsidRPr="00463667">
        <w:t>.</w:t>
      </w:r>
    </w:p>
    <w:p w14:paraId="13A3BEBD" w14:textId="77777777" w:rsidR="001E58F2" w:rsidRPr="00463667" w:rsidRDefault="001E58F2" w:rsidP="001E58F2">
      <w:pPr>
        <w:pStyle w:val="ProcessDash"/>
        <w:rPr>
          <w:u w:val="single"/>
        </w:rPr>
      </w:pPr>
      <w:r w:rsidRPr="00463667">
        <w:rPr>
          <w:u w:val="single"/>
        </w:rPr>
        <w:t>COPD Value Set</w:t>
      </w:r>
      <w:r w:rsidRPr="00463667">
        <w:t>.</w:t>
      </w:r>
    </w:p>
    <w:p w14:paraId="0BD90DCA" w14:textId="77777777" w:rsidR="001E58F2" w:rsidRPr="00463667" w:rsidRDefault="001E58F2" w:rsidP="001E58F2">
      <w:pPr>
        <w:pStyle w:val="ProcessDash"/>
        <w:rPr>
          <w:u w:val="single"/>
        </w:rPr>
      </w:pPr>
      <w:r w:rsidRPr="00463667">
        <w:rPr>
          <w:u w:val="single"/>
        </w:rPr>
        <w:t>Obstructive Chronic Bronchitis Value Set</w:t>
      </w:r>
      <w:r w:rsidRPr="00463667">
        <w:t>.</w:t>
      </w:r>
    </w:p>
    <w:p w14:paraId="20F2A98B" w14:textId="77777777" w:rsidR="001E58F2" w:rsidRPr="00463667" w:rsidRDefault="001E58F2" w:rsidP="001E58F2">
      <w:pPr>
        <w:pStyle w:val="ProcessDash"/>
        <w:rPr>
          <w:u w:val="single"/>
        </w:rPr>
      </w:pPr>
      <w:r w:rsidRPr="00463667">
        <w:rPr>
          <w:u w:val="single"/>
        </w:rPr>
        <w:t>Chronic Respiratory Conditions Due To Fumes/Vapors Value Set</w:t>
      </w:r>
      <w:r w:rsidRPr="00463667">
        <w:t>.</w:t>
      </w:r>
    </w:p>
    <w:p w14:paraId="185F04F4" w14:textId="77777777" w:rsidR="001E58F2" w:rsidRPr="00463667" w:rsidRDefault="001E58F2" w:rsidP="001E58F2">
      <w:pPr>
        <w:pStyle w:val="ProcessDash"/>
        <w:rPr>
          <w:u w:val="single"/>
        </w:rPr>
      </w:pPr>
      <w:r w:rsidRPr="00463667">
        <w:rPr>
          <w:u w:val="single"/>
        </w:rPr>
        <w:t>Cystic Fibrosis Value Set</w:t>
      </w:r>
      <w:r w:rsidRPr="00463667">
        <w:t>.</w:t>
      </w:r>
    </w:p>
    <w:p w14:paraId="104DB4BF" w14:textId="77777777" w:rsidR="001E58F2" w:rsidRPr="00463667" w:rsidRDefault="001E58F2" w:rsidP="001E58F2">
      <w:pPr>
        <w:pStyle w:val="ProcessDash"/>
      </w:pPr>
      <w:r w:rsidRPr="00463667">
        <w:rPr>
          <w:u w:val="single"/>
        </w:rPr>
        <w:t>Acute Respiratory Failure Value Set</w:t>
      </w:r>
      <w:r w:rsidRPr="00463667">
        <w:t>.</w:t>
      </w:r>
    </w:p>
    <w:p w14:paraId="101BCE65" w14:textId="77777777" w:rsidR="001E58F2" w:rsidRPr="00463667" w:rsidRDefault="001E58F2" w:rsidP="001E58F2">
      <w:pPr>
        <w:numPr>
          <w:ilvl w:val="0"/>
          <w:numId w:val="5"/>
        </w:numPr>
        <w:spacing w:before="120"/>
        <w:rPr>
          <w:snapToGrid w:val="0"/>
        </w:rPr>
      </w:pPr>
      <w:r w:rsidRPr="00463667">
        <w:rPr>
          <w:snapToGrid w:val="0"/>
        </w:rPr>
        <w:t xml:space="preserve">Refer to </w:t>
      </w:r>
      <w:r w:rsidRPr="00463667">
        <w:rPr>
          <w:i/>
          <w:snapToGrid w:val="0"/>
        </w:rPr>
        <w:t>Required Exclusions</w:t>
      </w:r>
      <w:r w:rsidRPr="00463667">
        <w:rPr>
          <w:snapToGrid w:val="0"/>
        </w:rPr>
        <w:t xml:space="preserve"> in the </w:t>
      </w:r>
      <w:r w:rsidRPr="00463667">
        <w:rPr>
          <w:i/>
          <w:snapToGrid w:val="0"/>
        </w:rPr>
        <w:t>Guidelines for Relative Resource Use</w:t>
      </w:r>
      <w:r w:rsidRPr="00463667">
        <w:rPr>
          <w:snapToGrid w:val="0"/>
        </w:rPr>
        <w:t xml:space="preserve"> for additional required exclusions</w:t>
      </w:r>
      <w:r w:rsidRPr="00463667">
        <w:rPr>
          <w:i/>
          <w:snapToGrid w:val="0"/>
        </w:rPr>
        <w:t>.</w:t>
      </w:r>
      <w:r w:rsidRPr="00463667">
        <w:rPr>
          <w:snapToGrid w:val="0"/>
        </w:rPr>
        <w:t xml:space="preserve"> </w:t>
      </w:r>
    </w:p>
    <w:p w14:paraId="15C9A55A" w14:textId="77777777" w:rsidR="001E58F2" w:rsidRPr="00463667" w:rsidRDefault="001E58F2" w:rsidP="001E58F2">
      <w:pPr>
        <w:pStyle w:val="ReverseHead"/>
        <w:rPr>
          <w:snapToGrid w:val="0"/>
        </w:rPr>
      </w:pPr>
      <w:r w:rsidRPr="00463667">
        <w:rPr>
          <w:snapToGrid w:val="0"/>
        </w:rPr>
        <w:t>Categorization of Eligible Population</w:t>
      </w:r>
    </w:p>
    <w:tbl>
      <w:tblPr>
        <w:tblW w:w="98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15"/>
        <w:gridCol w:w="7895"/>
      </w:tblGrid>
      <w:tr w:rsidR="001E58F2" w:rsidRPr="00463667" w14:paraId="10EFAE24" w14:textId="77777777" w:rsidTr="00F3111D">
        <w:tc>
          <w:tcPr>
            <w:tcW w:w="1915" w:type="dxa"/>
            <w:tcBorders>
              <w:top w:val="nil"/>
              <w:left w:val="nil"/>
              <w:bottom w:val="nil"/>
              <w:right w:val="nil"/>
            </w:tcBorders>
            <w:tcMar>
              <w:left w:w="115" w:type="dxa"/>
              <w:right w:w="115" w:type="dxa"/>
            </w:tcMar>
          </w:tcPr>
          <w:p w14:paraId="73D92B0F" w14:textId="77777777" w:rsidR="001E58F2" w:rsidRPr="00463667" w:rsidRDefault="001E58F2" w:rsidP="00F3111D">
            <w:pPr>
              <w:pStyle w:val="MarginSubhead"/>
            </w:pPr>
            <w:r w:rsidRPr="00463667">
              <w:t>Major clinical condition</w:t>
            </w:r>
          </w:p>
        </w:tc>
        <w:tc>
          <w:tcPr>
            <w:tcW w:w="7895" w:type="dxa"/>
            <w:tcBorders>
              <w:top w:val="nil"/>
              <w:left w:val="nil"/>
              <w:bottom w:val="nil"/>
              <w:right w:val="nil"/>
            </w:tcBorders>
            <w:tcMar>
              <w:left w:w="115" w:type="dxa"/>
              <w:right w:w="115" w:type="dxa"/>
            </w:tcMar>
          </w:tcPr>
          <w:p w14:paraId="6D55D595" w14:textId="77777777" w:rsidR="001E58F2" w:rsidRPr="00463667" w:rsidRDefault="001E58F2" w:rsidP="00F3111D">
            <w:pPr>
              <w:pStyle w:val="Body"/>
            </w:pPr>
            <w:r w:rsidRPr="00463667">
              <w:t>Asthma.</w:t>
            </w:r>
          </w:p>
        </w:tc>
      </w:tr>
      <w:tr w:rsidR="001E58F2" w:rsidRPr="00463667" w14:paraId="133D84B0" w14:textId="77777777" w:rsidTr="00F311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c>
          <w:tcPr>
            <w:tcW w:w="1915" w:type="dxa"/>
          </w:tcPr>
          <w:p w14:paraId="55F85C0A" w14:textId="77777777" w:rsidR="001E58F2" w:rsidRPr="00463667" w:rsidRDefault="001E58F2" w:rsidP="00F3111D">
            <w:pPr>
              <w:pStyle w:val="MarginSubhead"/>
            </w:pPr>
            <w:r w:rsidRPr="00463667">
              <w:t>Risk group</w:t>
            </w:r>
          </w:p>
        </w:tc>
        <w:tc>
          <w:tcPr>
            <w:tcW w:w="7895" w:type="dxa"/>
          </w:tcPr>
          <w:p w14:paraId="33EFD7FB" w14:textId="77777777" w:rsidR="001E58F2" w:rsidRPr="00463667" w:rsidRDefault="001E58F2" w:rsidP="00F3111D">
            <w:pPr>
              <w:pStyle w:val="Body"/>
            </w:pPr>
            <w:r w:rsidRPr="00463667">
              <w:t xml:space="preserve">Refer to </w:t>
            </w:r>
            <w:r w:rsidRPr="00463667">
              <w:rPr>
                <w:i/>
              </w:rPr>
              <w:t>RRU Risk Adjustment</w:t>
            </w:r>
            <w:r w:rsidRPr="00463667">
              <w:t xml:space="preserve"> in the </w:t>
            </w:r>
            <w:r w:rsidRPr="00463667">
              <w:rPr>
                <w:i/>
              </w:rPr>
              <w:t>Guidelines for Relative Resource Use.</w:t>
            </w:r>
          </w:p>
        </w:tc>
      </w:tr>
    </w:tbl>
    <w:p w14:paraId="3A1818DF" w14:textId="77777777" w:rsidR="001E58F2" w:rsidRPr="00463667" w:rsidRDefault="001E58F2" w:rsidP="001E58F2">
      <w:pPr>
        <w:pStyle w:val="ReverseHead"/>
      </w:pPr>
      <w:r w:rsidRPr="00463667">
        <w:t>Standard Cost Calculations</w:t>
      </w:r>
    </w:p>
    <w:p w14:paraId="497F010C" w14:textId="77777777" w:rsidR="001E58F2" w:rsidRPr="00463667" w:rsidRDefault="001E58F2" w:rsidP="001E58F2">
      <w:pPr>
        <w:pStyle w:val="Body"/>
      </w:pPr>
      <w:r w:rsidRPr="00463667">
        <w:rPr>
          <w:rFonts w:cs="Arial"/>
          <w:szCs w:val="20"/>
        </w:rPr>
        <w:t xml:space="preserve">The organization reports total standard costs of all services for which the </w:t>
      </w:r>
      <w:r w:rsidRPr="00463667">
        <w:t xml:space="preserve">organization </w:t>
      </w:r>
      <w:r w:rsidRPr="00463667">
        <w:rPr>
          <w:rFonts w:cs="Arial"/>
          <w:szCs w:val="20"/>
        </w:rPr>
        <w:t xml:space="preserve">has paid or expects to pay for the eligible population during the treatment period. Total </w:t>
      </w:r>
      <w:r w:rsidRPr="00463667">
        <w:t xml:space="preserve">standard costs are assigned by matching codes for services rendered to codes listed in the NCQA SPTs (the tables will be posted to NCQA’s Web site by November </w:t>
      </w:r>
      <w:r>
        <w:t>2</w:t>
      </w:r>
      <w:r w:rsidRPr="00463667">
        <w:t xml:space="preserve">, </w:t>
      </w:r>
      <w:r>
        <w:t>2015</w:t>
      </w:r>
      <w:r w:rsidRPr="00463667">
        <w:t xml:space="preserve">). </w:t>
      </w:r>
    </w:p>
    <w:tbl>
      <w:tblPr>
        <w:tblW w:w="9810" w:type="dxa"/>
        <w:tblInd w:w="18" w:type="dxa"/>
        <w:tblLayout w:type="fixed"/>
        <w:tblLook w:val="0000" w:firstRow="0" w:lastRow="0" w:firstColumn="0" w:lastColumn="0" w:noHBand="0" w:noVBand="0"/>
      </w:tblPr>
      <w:tblGrid>
        <w:gridCol w:w="1890"/>
        <w:gridCol w:w="3960"/>
        <w:gridCol w:w="3960"/>
      </w:tblGrid>
      <w:tr w:rsidR="001E58F2" w:rsidRPr="00463667" w14:paraId="25E1B21D" w14:textId="77777777" w:rsidTr="00F3111D">
        <w:tc>
          <w:tcPr>
            <w:tcW w:w="1890" w:type="dxa"/>
            <w:vMerge w:val="restart"/>
          </w:tcPr>
          <w:p w14:paraId="285801A0" w14:textId="77777777" w:rsidR="001E58F2" w:rsidRPr="00463667" w:rsidRDefault="001E58F2" w:rsidP="00F3111D">
            <w:pPr>
              <w:pStyle w:val="MarginSubhead"/>
            </w:pPr>
            <w:r w:rsidRPr="00463667">
              <w:t>Apply standard price</w:t>
            </w:r>
          </w:p>
        </w:tc>
        <w:tc>
          <w:tcPr>
            <w:tcW w:w="3960" w:type="dxa"/>
          </w:tcPr>
          <w:p w14:paraId="53432FEA" w14:textId="77777777" w:rsidR="001E58F2" w:rsidRPr="00463667" w:rsidRDefault="001E58F2" w:rsidP="00F3111D">
            <w:pPr>
              <w:pStyle w:val="Body"/>
            </w:pPr>
            <w:r w:rsidRPr="00463667">
              <w:t>SPTs categorize services as follows:</w:t>
            </w:r>
          </w:p>
          <w:p w14:paraId="53920736" w14:textId="77777777" w:rsidR="001E58F2" w:rsidRPr="00463667" w:rsidRDefault="001E58F2" w:rsidP="00F3111D">
            <w:pPr>
              <w:pStyle w:val="Bullet"/>
              <w:spacing w:before="100"/>
            </w:pPr>
            <w:r w:rsidRPr="00463667">
              <w:t>Inpatient Facility.</w:t>
            </w:r>
          </w:p>
          <w:p w14:paraId="242B8F57" w14:textId="77777777" w:rsidR="001E58F2" w:rsidRPr="00463667" w:rsidRDefault="001E58F2" w:rsidP="00F3111D">
            <w:pPr>
              <w:pStyle w:val="Bullet"/>
              <w:spacing w:before="100"/>
            </w:pPr>
            <w:r w:rsidRPr="00463667">
              <w:t>E&amp;M.</w:t>
            </w:r>
          </w:p>
          <w:p w14:paraId="3626C596" w14:textId="77777777" w:rsidR="001E58F2" w:rsidRPr="00463667" w:rsidRDefault="001E58F2" w:rsidP="00F3111D">
            <w:pPr>
              <w:pStyle w:val="Dash"/>
            </w:pPr>
            <w:r w:rsidRPr="00463667">
              <w:t>Inpatient Services.</w:t>
            </w:r>
          </w:p>
          <w:p w14:paraId="0876E230" w14:textId="77777777" w:rsidR="001E58F2" w:rsidRPr="00463667" w:rsidRDefault="001E58F2" w:rsidP="00F3111D">
            <w:pPr>
              <w:pStyle w:val="Dash"/>
            </w:pPr>
            <w:r w:rsidRPr="00463667">
              <w:t>Outpatient Services.</w:t>
            </w:r>
          </w:p>
          <w:p w14:paraId="53D004FB" w14:textId="77777777" w:rsidR="001E58F2" w:rsidRPr="00463667" w:rsidRDefault="001E58F2" w:rsidP="00F3111D">
            <w:pPr>
              <w:pStyle w:val="Bullet"/>
              <w:spacing w:before="100"/>
            </w:pPr>
            <w:r w:rsidRPr="00463667">
              <w:t>Laboratory Services.</w:t>
            </w:r>
          </w:p>
        </w:tc>
        <w:tc>
          <w:tcPr>
            <w:tcW w:w="3960" w:type="dxa"/>
          </w:tcPr>
          <w:p w14:paraId="6E5BFE34" w14:textId="77777777" w:rsidR="001E58F2" w:rsidRPr="00463667" w:rsidRDefault="001E58F2" w:rsidP="00F3111D">
            <w:pPr>
              <w:pStyle w:val="Body"/>
            </w:pPr>
          </w:p>
          <w:p w14:paraId="5A33F5BE" w14:textId="77777777" w:rsidR="001E58F2" w:rsidRPr="00463667" w:rsidRDefault="001E58F2" w:rsidP="00F3111D">
            <w:pPr>
              <w:pStyle w:val="ProcessBullet"/>
              <w:spacing w:before="100"/>
            </w:pPr>
            <w:r w:rsidRPr="00463667">
              <w:t>Surgery and Procedure.</w:t>
            </w:r>
          </w:p>
          <w:p w14:paraId="166766BF" w14:textId="77777777" w:rsidR="001E58F2" w:rsidRPr="00463667" w:rsidRDefault="001E58F2" w:rsidP="00F3111D">
            <w:pPr>
              <w:pStyle w:val="ProcessDash"/>
            </w:pPr>
            <w:r w:rsidRPr="00463667">
              <w:t>Inpatient Services.</w:t>
            </w:r>
          </w:p>
          <w:p w14:paraId="17DD765F" w14:textId="77777777" w:rsidR="001E58F2" w:rsidRPr="00463667" w:rsidRDefault="001E58F2" w:rsidP="00F3111D">
            <w:pPr>
              <w:pStyle w:val="ProcessDash"/>
            </w:pPr>
            <w:r w:rsidRPr="00463667">
              <w:t>Outpatient Services.</w:t>
            </w:r>
          </w:p>
          <w:p w14:paraId="2612CAD8" w14:textId="77777777" w:rsidR="001E58F2" w:rsidRPr="00463667" w:rsidRDefault="001E58F2" w:rsidP="00F3111D">
            <w:pPr>
              <w:pStyle w:val="ProcessBullet"/>
              <w:spacing w:before="100"/>
            </w:pPr>
            <w:r w:rsidRPr="00463667">
              <w:t>Imaging Services.</w:t>
            </w:r>
          </w:p>
          <w:p w14:paraId="39FC7A04" w14:textId="77777777" w:rsidR="001E58F2" w:rsidRPr="00463667" w:rsidRDefault="001E58F2" w:rsidP="00F3111D">
            <w:pPr>
              <w:pStyle w:val="ProcessBullet"/>
              <w:spacing w:before="100"/>
            </w:pPr>
            <w:r w:rsidRPr="00463667">
              <w:t>Pharmacy.</w:t>
            </w:r>
          </w:p>
        </w:tc>
      </w:tr>
      <w:tr w:rsidR="001E58F2" w:rsidRPr="00463667" w14:paraId="4A397A28" w14:textId="77777777" w:rsidTr="00F3111D">
        <w:tc>
          <w:tcPr>
            <w:tcW w:w="1890" w:type="dxa"/>
            <w:vMerge/>
          </w:tcPr>
          <w:p w14:paraId="5E7AC106" w14:textId="77777777" w:rsidR="001E58F2" w:rsidRPr="00463667" w:rsidRDefault="001E58F2" w:rsidP="00F3111D">
            <w:pPr>
              <w:pStyle w:val="MarginSubhead"/>
            </w:pPr>
          </w:p>
        </w:tc>
        <w:tc>
          <w:tcPr>
            <w:tcW w:w="7920" w:type="dxa"/>
            <w:gridSpan w:val="2"/>
          </w:tcPr>
          <w:p w14:paraId="264BEFC1" w14:textId="77777777" w:rsidR="001E58F2" w:rsidRPr="00463667" w:rsidRDefault="001E58F2" w:rsidP="00F3111D">
            <w:pPr>
              <w:pStyle w:val="Body"/>
            </w:pPr>
            <w:r w:rsidRPr="00463667">
              <w:t xml:space="preserve">Count all services listed in the SPTs rendered to members in the eligible population during the treatment period. Refer to the </w:t>
            </w:r>
            <w:r w:rsidRPr="00463667">
              <w:rPr>
                <w:i/>
              </w:rPr>
              <w:t>Calculating Standard Cost</w:t>
            </w:r>
            <w:r w:rsidRPr="00463667">
              <w:t xml:space="preserve"> instructions in the </w:t>
            </w:r>
            <w:r w:rsidRPr="00463667">
              <w:rPr>
                <w:i/>
              </w:rPr>
              <w:t xml:space="preserve">Guidelines for Relative Resource Use </w:t>
            </w:r>
            <w:r w:rsidRPr="00463667">
              <w:t>for steps on categorizing services and linking service data to the NCQA SPTs.</w:t>
            </w:r>
          </w:p>
        </w:tc>
      </w:tr>
      <w:tr w:rsidR="001E58F2" w:rsidRPr="00463667" w14:paraId="3A2A9552" w14:textId="77777777" w:rsidTr="00F3111D">
        <w:tc>
          <w:tcPr>
            <w:tcW w:w="1890" w:type="dxa"/>
          </w:tcPr>
          <w:p w14:paraId="1A102F78" w14:textId="77777777" w:rsidR="001E58F2" w:rsidRPr="00463667" w:rsidRDefault="001E58F2" w:rsidP="00F3111D">
            <w:pPr>
              <w:pStyle w:val="MarginSubhead"/>
            </w:pPr>
            <w:r w:rsidRPr="00463667">
              <w:t>Calculate total cost</w:t>
            </w:r>
          </w:p>
        </w:tc>
        <w:tc>
          <w:tcPr>
            <w:tcW w:w="7920" w:type="dxa"/>
            <w:gridSpan w:val="2"/>
          </w:tcPr>
          <w:p w14:paraId="79F9C763" w14:textId="77777777" w:rsidR="001E58F2" w:rsidRPr="00463667" w:rsidRDefault="001E58F2" w:rsidP="00F3111D">
            <w:pPr>
              <w:pStyle w:val="Body"/>
            </w:pPr>
            <w:r w:rsidRPr="00463667">
              <w:t>Sum the total standard cost for each eligible member. For each service category, if a member’s standard cost exceeds the service category cap amount, report the total standard cost specified in the NCQA Cost Cap Amounts table (released with the SPT</w:t>
            </w:r>
            <w:r w:rsidRPr="00463667">
              <w:rPr>
                <w:rFonts w:cs="Arial"/>
                <w:szCs w:val="20"/>
              </w:rPr>
              <w:t>s).</w:t>
            </w:r>
          </w:p>
          <w:p w14:paraId="7E631506" w14:textId="77777777" w:rsidR="001E58F2" w:rsidRPr="00463667" w:rsidRDefault="001E58F2" w:rsidP="00F3111D">
            <w:pPr>
              <w:pStyle w:val="Body"/>
            </w:pPr>
            <w:r w:rsidRPr="00463667">
              <w:t>Sum and report the total standard cost for the eligible population in each service category by member cohort.</w:t>
            </w:r>
          </w:p>
        </w:tc>
      </w:tr>
    </w:tbl>
    <w:p w14:paraId="0EAF344C" w14:textId="77777777" w:rsidR="001E58F2" w:rsidRPr="00463667" w:rsidRDefault="001E58F2" w:rsidP="001E58F2"/>
    <w:p w14:paraId="7276025A" w14:textId="77777777" w:rsidR="001E58F2" w:rsidRPr="00463667" w:rsidRDefault="001E58F2" w:rsidP="001E58F2">
      <w:pPr>
        <w:sectPr w:rsidR="001E58F2" w:rsidRPr="00463667" w:rsidSect="00C56CA6">
          <w:pgSz w:w="12240" w:h="15840" w:code="1"/>
          <w:pgMar w:top="1080" w:right="1080" w:bottom="1080" w:left="1440" w:header="720" w:footer="720" w:gutter="0"/>
          <w:cols w:space="720"/>
        </w:sectPr>
      </w:pPr>
    </w:p>
    <w:p w14:paraId="3445201F" w14:textId="77777777" w:rsidR="001E58F2" w:rsidRPr="00463667" w:rsidRDefault="001E58F2" w:rsidP="001E58F2">
      <w:pPr>
        <w:pStyle w:val="ReverseHead"/>
        <w:spacing w:before="0"/>
      </w:pPr>
      <w:r w:rsidRPr="00463667">
        <w:lastRenderedPageBreak/>
        <w:t>Service Frequency Calculations</w:t>
      </w:r>
    </w:p>
    <w:tbl>
      <w:tblPr>
        <w:tblW w:w="9810" w:type="dxa"/>
        <w:tblInd w:w="18" w:type="dxa"/>
        <w:tblLayout w:type="fixed"/>
        <w:tblLook w:val="0000" w:firstRow="0" w:lastRow="0" w:firstColumn="0" w:lastColumn="0" w:noHBand="0" w:noVBand="0"/>
      </w:tblPr>
      <w:tblGrid>
        <w:gridCol w:w="1890"/>
        <w:gridCol w:w="7920"/>
      </w:tblGrid>
      <w:tr w:rsidR="001E58F2" w:rsidRPr="00463667" w14:paraId="46E37134" w14:textId="77777777" w:rsidTr="00F3111D">
        <w:tc>
          <w:tcPr>
            <w:tcW w:w="1890" w:type="dxa"/>
          </w:tcPr>
          <w:p w14:paraId="5AEE0E9D" w14:textId="77777777" w:rsidR="001E58F2" w:rsidRPr="00463667" w:rsidRDefault="001E58F2" w:rsidP="00F3111D">
            <w:pPr>
              <w:pStyle w:val="MarginSubhead"/>
              <w:rPr>
                <w:rFonts w:cs="Arial"/>
                <w:szCs w:val="20"/>
              </w:rPr>
            </w:pPr>
            <w:r w:rsidRPr="00463667">
              <w:rPr>
                <w:rFonts w:cs="Arial"/>
                <w:szCs w:val="20"/>
              </w:rPr>
              <w:t>Total service frequency</w:t>
            </w:r>
          </w:p>
        </w:tc>
        <w:tc>
          <w:tcPr>
            <w:tcW w:w="7920" w:type="dxa"/>
          </w:tcPr>
          <w:p w14:paraId="79B39691" w14:textId="77777777" w:rsidR="001E58F2" w:rsidRPr="00463667" w:rsidRDefault="001E58F2" w:rsidP="00F3111D">
            <w:pPr>
              <w:pStyle w:val="Body"/>
            </w:pPr>
            <w:r w:rsidRPr="00463667">
              <w:t xml:space="preserve">Service frequency counts are reported for all services for which the organization has paid or expects to pay for the eligible population during the treatment period. the measure captures each eligible member’s services rendered during the treatment period for the following service categories: </w:t>
            </w:r>
          </w:p>
          <w:p w14:paraId="79A42A57" w14:textId="77777777" w:rsidR="001E58F2" w:rsidRPr="00463667" w:rsidRDefault="001E58F2" w:rsidP="00F3111D">
            <w:pPr>
              <w:pStyle w:val="Bullet"/>
              <w:tabs>
                <w:tab w:val="clear" w:pos="576"/>
              </w:tabs>
              <w:spacing w:before="60"/>
            </w:pPr>
            <w:r w:rsidRPr="00463667">
              <w:t>Acute Medicine: Discharges, Days.</w:t>
            </w:r>
          </w:p>
          <w:p w14:paraId="29F93A93" w14:textId="77777777" w:rsidR="001E58F2" w:rsidRPr="00463667" w:rsidRDefault="001E58F2" w:rsidP="00F3111D">
            <w:pPr>
              <w:pStyle w:val="Bullet"/>
              <w:tabs>
                <w:tab w:val="clear" w:pos="576"/>
              </w:tabs>
              <w:spacing w:before="60"/>
            </w:pPr>
            <w:r w:rsidRPr="00463667">
              <w:t>Acute Surgery: Discharges, Days.</w:t>
            </w:r>
          </w:p>
          <w:p w14:paraId="5948F3B1" w14:textId="77777777" w:rsidR="001E58F2" w:rsidRPr="00463667" w:rsidRDefault="001E58F2" w:rsidP="00F3111D">
            <w:pPr>
              <w:pStyle w:val="Bullet"/>
              <w:tabs>
                <w:tab w:val="clear" w:pos="576"/>
              </w:tabs>
              <w:spacing w:before="60"/>
            </w:pPr>
            <w:r w:rsidRPr="00463667">
              <w:t>Nonacute: Discharges, Days.</w:t>
            </w:r>
          </w:p>
          <w:p w14:paraId="5EB9A26B" w14:textId="77777777" w:rsidR="001E58F2" w:rsidRPr="00463667" w:rsidRDefault="001E58F2" w:rsidP="00F3111D">
            <w:pPr>
              <w:pStyle w:val="Bullet"/>
              <w:tabs>
                <w:tab w:val="clear" w:pos="576"/>
              </w:tabs>
              <w:spacing w:before="60"/>
            </w:pPr>
            <w:r w:rsidRPr="00463667">
              <w:t>ED Discharges.</w:t>
            </w:r>
          </w:p>
          <w:p w14:paraId="1298C9E7" w14:textId="77777777" w:rsidR="001E58F2" w:rsidRPr="00463667" w:rsidRDefault="001E58F2" w:rsidP="00F3111D">
            <w:pPr>
              <w:pStyle w:val="Bullet"/>
              <w:spacing w:before="60"/>
            </w:pPr>
            <w:r w:rsidRPr="00463667">
              <w:t>Pharmacy Utilization:</w:t>
            </w:r>
          </w:p>
          <w:p w14:paraId="0A864D08" w14:textId="77777777" w:rsidR="001E58F2" w:rsidRPr="00463667" w:rsidRDefault="001E58F2" w:rsidP="00F3111D">
            <w:pPr>
              <w:pStyle w:val="Dash"/>
              <w:spacing w:before="30"/>
            </w:pPr>
            <w:r w:rsidRPr="00463667">
              <w:t>Name brand only (N1).</w:t>
            </w:r>
          </w:p>
          <w:p w14:paraId="5D45E287" w14:textId="77777777" w:rsidR="001E58F2" w:rsidRPr="00463667" w:rsidRDefault="001E58F2" w:rsidP="00F3111D">
            <w:pPr>
              <w:pStyle w:val="Dash"/>
              <w:spacing w:before="30"/>
            </w:pPr>
            <w:r w:rsidRPr="00463667">
              <w:t>Name brand—Generic exists (N2).</w:t>
            </w:r>
          </w:p>
          <w:p w14:paraId="5D103ED7" w14:textId="77777777" w:rsidR="001E58F2" w:rsidRPr="00463667" w:rsidRDefault="001E58F2" w:rsidP="00F3111D">
            <w:pPr>
              <w:pStyle w:val="Dash"/>
              <w:spacing w:before="30"/>
            </w:pPr>
            <w:r w:rsidRPr="00463667">
              <w:t>Generic only (G1).</w:t>
            </w:r>
          </w:p>
          <w:p w14:paraId="5347AA3A" w14:textId="77777777" w:rsidR="001E58F2" w:rsidRPr="00463667" w:rsidRDefault="001E58F2" w:rsidP="00F3111D">
            <w:pPr>
              <w:pStyle w:val="Dash"/>
              <w:spacing w:before="30"/>
            </w:pPr>
            <w:r w:rsidRPr="00463667">
              <w:t>Generic name—Name brand exists (G2).</w:t>
            </w:r>
          </w:p>
          <w:p w14:paraId="7F5A5107" w14:textId="77777777" w:rsidR="001E58F2" w:rsidRPr="00463667" w:rsidRDefault="001E58F2" w:rsidP="00F3111D">
            <w:pPr>
              <w:pStyle w:val="Body"/>
            </w:pPr>
            <w:r w:rsidRPr="00463667">
              <w:t xml:space="preserve">Refer to the instructions in the </w:t>
            </w:r>
            <w:r w:rsidRPr="00463667">
              <w:rPr>
                <w:i/>
              </w:rPr>
              <w:t xml:space="preserve">Guidelines for Relative </w:t>
            </w:r>
            <w:r w:rsidRPr="00463667">
              <w:rPr>
                <w:i/>
                <w:iCs/>
              </w:rPr>
              <w:t xml:space="preserve">Resource Use. </w:t>
            </w:r>
            <w:r w:rsidRPr="00463667">
              <w:rPr>
                <w:rFonts w:cs="Arial"/>
                <w:szCs w:val="20"/>
              </w:rPr>
              <w:t xml:space="preserve">The </w:t>
            </w:r>
            <w:r w:rsidRPr="00463667">
              <w:rPr>
                <w:rFonts w:cs="Arial"/>
                <w:i/>
                <w:szCs w:val="20"/>
              </w:rPr>
              <w:t>Pharmacy Utilization</w:t>
            </w:r>
            <w:r w:rsidRPr="00463667">
              <w:rPr>
                <w:rFonts w:cs="Arial"/>
                <w:szCs w:val="20"/>
              </w:rPr>
              <w:t xml:space="preserve"> categories are included in Table SPT—Pharm.</w:t>
            </w:r>
          </w:p>
        </w:tc>
      </w:tr>
      <w:tr w:rsidR="001E58F2" w:rsidRPr="00463667" w14:paraId="1512F4C6" w14:textId="77777777" w:rsidTr="00F3111D">
        <w:tc>
          <w:tcPr>
            <w:tcW w:w="1890" w:type="dxa"/>
          </w:tcPr>
          <w:p w14:paraId="1E7AB4E1" w14:textId="77777777" w:rsidR="001E58F2" w:rsidRPr="00463667" w:rsidRDefault="001E58F2" w:rsidP="00F3111D">
            <w:pPr>
              <w:pStyle w:val="MarginSubhead"/>
              <w:rPr>
                <w:rFonts w:cs="Arial"/>
                <w:szCs w:val="20"/>
              </w:rPr>
            </w:pPr>
            <w:r w:rsidRPr="00463667">
              <w:rPr>
                <w:rFonts w:cs="Arial"/>
                <w:szCs w:val="20"/>
              </w:rPr>
              <w:t xml:space="preserve">Inpatient Facility </w:t>
            </w:r>
          </w:p>
        </w:tc>
        <w:tc>
          <w:tcPr>
            <w:tcW w:w="7920" w:type="dxa"/>
          </w:tcPr>
          <w:p w14:paraId="6479DF2C" w14:textId="77777777" w:rsidR="001E58F2" w:rsidRPr="00463667" w:rsidRDefault="001E58F2" w:rsidP="00F3111D">
            <w:pPr>
              <w:pStyle w:val="Body"/>
            </w:pPr>
            <w:r w:rsidRPr="00463667">
              <w:t xml:space="preserve">This category measures the number of acute and nonacute inpatient facility discharges and days, regardless of diagnosis. Count each discharge once. Include data from any institution that provides acute or long-term/specialty nonacute care. </w:t>
            </w:r>
          </w:p>
          <w:p w14:paraId="3273871B" w14:textId="77777777" w:rsidR="001E58F2" w:rsidRPr="00463667" w:rsidRDefault="001E58F2" w:rsidP="00F3111D">
            <w:pPr>
              <w:pStyle w:val="Body"/>
              <w:rPr>
                <w:strike/>
              </w:rPr>
            </w:pPr>
            <w:r w:rsidRPr="00463667">
              <w:rPr>
                <w:rFonts w:cs="Arial"/>
                <w:szCs w:val="20"/>
              </w:rPr>
              <w:t xml:space="preserve">Refer to </w:t>
            </w:r>
            <w:r w:rsidRPr="00463667">
              <w:rPr>
                <w:rFonts w:cs="Arial"/>
                <w:i/>
                <w:szCs w:val="20"/>
              </w:rPr>
              <w:t xml:space="preserve">Guidelines for </w:t>
            </w:r>
            <w:r w:rsidRPr="00463667">
              <w:rPr>
                <w:i/>
              </w:rPr>
              <w:t xml:space="preserve">Relative </w:t>
            </w:r>
            <w:r w:rsidRPr="00463667">
              <w:rPr>
                <w:rFonts w:cs="Arial"/>
                <w:i/>
                <w:szCs w:val="20"/>
              </w:rPr>
              <w:t xml:space="preserve">Resource Use </w:t>
            </w:r>
            <w:r w:rsidRPr="00463667">
              <w:rPr>
                <w:rFonts w:cs="Arial"/>
                <w:szCs w:val="20"/>
              </w:rPr>
              <w:t xml:space="preserve">to identify acute inpatient (including medicine and surgery) and nonacute discharges and days. </w:t>
            </w:r>
          </w:p>
        </w:tc>
      </w:tr>
      <w:tr w:rsidR="001E58F2" w:rsidRPr="00463667" w14:paraId="761F4BCA" w14:textId="77777777" w:rsidTr="00F3111D">
        <w:tc>
          <w:tcPr>
            <w:tcW w:w="1890" w:type="dxa"/>
          </w:tcPr>
          <w:p w14:paraId="1344FADE" w14:textId="77777777" w:rsidR="001E58F2" w:rsidRPr="00463667" w:rsidRDefault="001E58F2" w:rsidP="00F3111D">
            <w:pPr>
              <w:pStyle w:val="MarginSubhead"/>
            </w:pPr>
            <w:r w:rsidRPr="00463667">
              <w:t>ED Discharges</w:t>
            </w:r>
          </w:p>
        </w:tc>
        <w:tc>
          <w:tcPr>
            <w:tcW w:w="7920" w:type="dxa"/>
          </w:tcPr>
          <w:p w14:paraId="5858CD32" w14:textId="77777777" w:rsidR="001E58F2" w:rsidRPr="00463667" w:rsidRDefault="001E58F2" w:rsidP="00F3111D">
            <w:pPr>
              <w:pStyle w:val="Body"/>
            </w:pPr>
            <w:r w:rsidRPr="00463667">
              <w:t xml:space="preserve">This category measures use of ED services. </w:t>
            </w:r>
          </w:p>
          <w:p w14:paraId="61C4D9FE" w14:textId="77777777" w:rsidR="001E58F2" w:rsidRPr="00463667" w:rsidRDefault="001E58F2" w:rsidP="00F3111D">
            <w:pPr>
              <w:pStyle w:val="Body"/>
            </w:pPr>
            <w:r w:rsidRPr="00463667">
              <w:t xml:space="preserve">Count each visit to an ED during the treatment period that does not result in </w:t>
            </w:r>
            <w:r w:rsidRPr="00463667">
              <w:rPr>
                <w:rFonts w:cs="Arial"/>
                <w:szCs w:val="20"/>
              </w:rPr>
              <w:t>an inpatient stay that was paid, or expected to be paid, by the organization</w:t>
            </w:r>
            <w:r w:rsidRPr="00463667">
              <w:t>, regardless of the intensity of care required during the stay or the length of stay. Count only one ED visit per date of service. Do not count visits to urgent care centers. Services for members admitted to the hospital from an ED visit are included in the Inpatient Facility category only.</w:t>
            </w:r>
          </w:p>
          <w:p w14:paraId="57EBD584" w14:textId="77777777" w:rsidR="001E58F2" w:rsidRPr="00463667" w:rsidRDefault="001E58F2" w:rsidP="00F3111D">
            <w:pPr>
              <w:pStyle w:val="Body"/>
              <w:spacing w:before="160"/>
            </w:pPr>
            <w:r w:rsidRPr="00463667">
              <w:t>Identify ED visits using either of the following:</w:t>
            </w:r>
          </w:p>
          <w:p w14:paraId="0D6B068B" w14:textId="77777777" w:rsidR="001E58F2" w:rsidRPr="00463667" w:rsidRDefault="001E58F2" w:rsidP="00F3111D">
            <w:pPr>
              <w:pStyle w:val="Bullet"/>
              <w:spacing w:before="60"/>
            </w:pPr>
            <w:r w:rsidRPr="00463667">
              <w:t>An ED visit (</w:t>
            </w:r>
            <w:r w:rsidRPr="00463667">
              <w:rPr>
                <w:u w:val="single"/>
              </w:rPr>
              <w:t>ED Value Set</w:t>
            </w:r>
            <w:r w:rsidRPr="00463667">
              <w:t>).</w:t>
            </w:r>
          </w:p>
          <w:p w14:paraId="5DE6B0F3" w14:textId="77777777" w:rsidR="001E58F2" w:rsidRPr="00463667" w:rsidRDefault="001E58F2" w:rsidP="00F3111D">
            <w:pPr>
              <w:pStyle w:val="Bullet"/>
              <w:spacing w:before="60"/>
            </w:pPr>
            <w:r w:rsidRPr="00463667">
              <w:t>A procedure code (</w:t>
            </w:r>
            <w:r w:rsidRPr="00463667">
              <w:rPr>
                <w:u w:val="single"/>
              </w:rPr>
              <w:t>ED Procedure Code Value Set</w:t>
            </w:r>
            <w:r w:rsidRPr="00463667">
              <w:t>) with an ED place of service code (</w:t>
            </w:r>
            <w:r w:rsidRPr="00463667">
              <w:rPr>
                <w:u w:val="single"/>
              </w:rPr>
              <w:t>ED POS Value Set</w:t>
            </w:r>
            <w:r w:rsidRPr="00463667">
              <w:t>).</w:t>
            </w:r>
          </w:p>
        </w:tc>
      </w:tr>
      <w:tr w:rsidR="001E58F2" w:rsidRPr="00463667" w14:paraId="0B9C9994" w14:textId="77777777" w:rsidTr="00F3111D">
        <w:tc>
          <w:tcPr>
            <w:tcW w:w="1890" w:type="dxa"/>
          </w:tcPr>
          <w:p w14:paraId="29AB8BB4" w14:textId="77777777" w:rsidR="001E58F2" w:rsidRPr="00463667" w:rsidRDefault="001E58F2" w:rsidP="00F3111D">
            <w:pPr>
              <w:pStyle w:val="MarginSubhead"/>
            </w:pPr>
            <w:r w:rsidRPr="00463667">
              <w:t>Pharmacy Utilization</w:t>
            </w:r>
          </w:p>
        </w:tc>
        <w:tc>
          <w:tcPr>
            <w:tcW w:w="7920" w:type="dxa"/>
          </w:tcPr>
          <w:p w14:paraId="351B5407" w14:textId="77777777" w:rsidR="001E58F2" w:rsidRPr="00463667" w:rsidRDefault="001E58F2" w:rsidP="00F3111D">
            <w:pPr>
              <w:pStyle w:val="Body"/>
            </w:pPr>
            <w:r w:rsidRPr="00463667">
              <w:t>Use Table SPT-Pharm to identify the prescription categories for each drug dispensed in the treatment period.</w:t>
            </w:r>
          </w:p>
          <w:p w14:paraId="74737000" w14:textId="77777777" w:rsidR="001E58F2" w:rsidRPr="00463667" w:rsidRDefault="001E58F2" w:rsidP="00F3111D">
            <w:pPr>
              <w:pStyle w:val="Body"/>
            </w:pPr>
            <w:r w:rsidRPr="00463667">
              <w:t>Sum and report the number of prescriptions within each of the four categories in the Pharmacy—Total Service Frequency by Prescription Category table.</w:t>
            </w:r>
          </w:p>
        </w:tc>
      </w:tr>
    </w:tbl>
    <w:p w14:paraId="11BC73B2" w14:textId="77777777" w:rsidR="001E58F2" w:rsidRPr="00463667" w:rsidRDefault="001E58F2" w:rsidP="001E58F2">
      <w:pPr>
        <w:pStyle w:val="Body"/>
        <w:sectPr w:rsidR="001E58F2" w:rsidRPr="00463667" w:rsidSect="00C56CA6">
          <w:pgSz w:w="12240" w:h="15840" w:code="1"/>
          <w:pgMar w:top="1080" w:right="1080" w:bottom="1080" w:left="1440" w:header="720" w:footer="720" w:gutter="0"/>
          <w:cols w:space="720"/>
          <w:docGrid w:linePitch="272"/>
        </w:sectPr>
      </w:pPr>
    </w:p>
    <w:p w14:paraId="05AF3E99" w14:textId="77777777" w:rsidR="001E58F2" w:rsidRPr="00463667" w:rsidRDefault="001E58F2" w:rsidP="001E58F2">
      <w:pPr>
        <w:pStyle w:val="ReverseHead"/>
        <w:spacing w:before="0"/>
      </w:pPr>
      <w:r w:rsidRPr="00463667">
        <w:lastRenderedPageBreak/>
        <w:t>Data Elements for Reporting</w:t>
      </w:r>
    </w:p>
    <w:p w14:paraId="2F011946" w14:textId="77777777" w:rsidR="001E58F2" w:rsidRPr="00463667" w:rsidRDefault="001E58F2" w:rsidP="001E58F2">
      <w:pPr>
        <w:pStyle w:val="TableHeadNotCondensed"/>
        <w:ind w:left="1800" w:hanging="1800"/>
      </w:pPr>
      <w:r>
        <w:t>Table RAS-A-1/2/</w:t>
      </w:r>
      <w:r w:rsidRPr="00DB46BD">
        <w:t>3</w:t>
      </w:r>
      <w:r>
        <w:t>:</w:t>
      </w:r>
      <w:r>
        <w:tab/>
      </w:r>
      <w:r w:rsidRPr="00463667">
        <w:t xml:space="preserve">Data Elements for Relative Resource Use for People </w:t>
      </w:r>
      <w:r>
        <w:br/>
      </w:r>
      <w:r w:rsidRPr="00463667">
        <w:t>With Asthma</w:t>
      </w:r>
    </w:p>
    <w:tbl>
      <w:tblPr>
        <w:tblW w:w="7560" w:type="dxa"/>
        <w:tblInd w:w="-10" w:type="dxa"/>
        <w:tblCellMar>
          <w:left w:w="0" w:type="dxa"/>
          <w:right w:w="0" w:type="dxa"/>
        </w:tblCellMar>
        <w:tblLook w:val="04A0" w:firstRow="1" w:lastRow="0" w:firstColumn="1" w:lastColumn="0" w:noHBand="0" w:noVBand="1"/>
      </w:tblPr>
      <w:tblGrid>
        <w:gridCol w:w="3245"/>
        <w:gridCol w:w="4315"/>
      </w:tblGrid>
      <w:tr w:rsidR="001E58F2" w:rsidRPr="00463667" w14:paraId="2E3A1196" w14:textId="77777777" w:rsidTr="00F3111D">
        <w:trPr>
          <w:trHeight w:val="300"/>
        </w:trPr>
        <w:tc>
          <w:tcPr>
            <w:tcW w:w="3245" w:type="dxa"/>
            <w:tcBorders>
              <w:top w:val="single" w:sz="8" w:space="0" w:color="auto"/>
              <w:left w:val="single" w:sz="8" w:space="0" w:color="auto"/>
              <w:bottom w:val="single" w:sz="4" w:space="0" w:color="auto"/>
              <w:right w:val="single" w:sz="6" w:space="0" w:color="FFFFFF"/>
            </w:tcBorders>
            <w:shd w:val="clear" w:color="auto" w:fill="000000"/>
            <w:noWrap/>
            <w:tcMar>
              <w:top w:w="0" w:type="dxa"/>
              <w:left w:w="108" w:type="dxa"/>
              <w:bottom w:w="0" w:type="dxa"/>
              <w:right w:w="108" w:type="dxa"/>
            </w:tcMar>
            <w:vAlign w:val="bottom"/>
            <w:hideMark/>
          </w:tcPr>
          <w:p w14:paraId="583353EA" w14:textId="77777777" w:rsidR="001E58F2" w:rsidRPr="00463667" w:rsidRDefault="001E58F2" w:rsidP="00F3111D">
            <w:pPr>
              <w:pStyle w:val="TableHead"/>
            </w:pPr>
            <w:r w:rsidRPr="00463667">
              <w:t>Metadata ID</w:t>
            </w:r>
          </w:p>
        </w:tc>
        <w:tc>
          <w:tcPr>
            <w:tcW w:w="4315" w:type="dxa"/>
            <w:tcBorders>
              <w:top w:val="single" w:sz="8" w:space="0" w:color="auto"/>
              <w:left w:val="single" w:sz="6" w:space="0" w:color="FFFFFF"/>
              <w:bottom w:val="single" w:sz="4" w:space="0" w:color="auto"/>
              <w:right w:val="single" w:sz="8" w:space="0" w:color="auto"/>
            </w:tcBorders>
            <w:shd w:val="clear" w:color="auto" w:fill="000000"/>
            <w:noWrap/>
            <w:tcMar>
              <w:top w:w="0" w:type="dxa"/>
              <w:left w:w="108" w:type="dxa"/>
              <w:bottom w:w="0" w:type="dxa"/>
              <w:right w:w="108" w:type="dxa"/>
            </w:tcMar>
            <w:vAlign w:val="bottom"/>
            <w:hideMark/>
          </w:tcPr>
          <w:p w14:paraId="44272EC5" w14:textId="77777777" w:rsidR="001E58F2" w:rsidRPr="00463667" w:rsidRDefault="001E58F2" w:rsidP="00F3111D">
            <w:pPr>
              <w:pStyle w:val="TableHead"/>
            </w:pPr>
            <w:r w:rsidRPr="00463667">
              <w:t>Metadata Specification Name</w:t>
            </w:r>
          </w:p>
        </w:tc>
      </w:tr>
      <w:tr w:rsidR="001E58F2" w:rsidRPr="00463667" w14:paraId="7A8CEC49" w14:textId="77777777" w:rsidTr="00F3111D">
        <w:tc>
          <w:tcPr>
            <w:tcW w:w="324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04C16F0D" w14:textId="77777777" w:rsidR="001E58F2" w:rsidRPr="00463667" w:rsidRDefault="001E58F2" w:rsidP="00F3111D">
            <w:pPr>
              <w:pStyle w:val="TableText"/>
            </w:pPr>
            <w:r w:rsidRPr="00463667">
              <w:t>EligiblePopulation</w:t>
            </w:r>
          </w:p>
        </w:tc>
        <w:tc>
          <w:tcPr>
            <w:tcW w:w="431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0BCE0B1C" w14:textId="77777777" w:rsidR="001E58F2" w:rsidRPr="00463667" w:rsidRDefault="001E58F2" w:rsidP="00F3111D">
            <w:pPr>
              <w:pStyle w:val="TableText"/>
            </w:pPr>
            <w:r w:rsidRPr="00463667">
              <w:t>Eligible Population</w:t>
            </w:r>
          </w:p>
        </w:tc>
      </w:tr>
      <w:tr w:rsidR="001E58F2" w:rsidRPr="00463667" w14:paraId="5AC95786" w14:textId="77777777" w:rsidTr="00F3111D">
        <w:tc>
          <w:tcPr>
            <w:tcW w:w="324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0B51B8CA" w14:textId="77777777" w:rsidR="001E58F2" w:rsidRPr="00463667" w:rsidRDefault="001E58F2" w:rsidP="00F3111D">
            <w:pPr>
              <w:pStyle w:val="TableText"/>
            </w:pPr>
            <w:r w:rsidRPr="00463667">
              <w:t>Exclusions</w:t>
            </w:r>
          </w:p>
        </w:tc>
        <w:tc>
          <w:tcPr>
            <w:tcW w:w="431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592AD20E" w14:textId="77777777" w:rsidR="001E58F2" w:rsidRPr="00463667" w:rsidRDefault="001E58F2" w:rsidP="00F3111D">
            <w:pPr>
              <w:pStyle w:val="TableText"/>
            </w:pPr>
            <w:r w:rsidRPr="00463667">
              <w:t>Exclusions</w:t>
            </w:r>
          </w:p>
        </w:tc>
      </w:tr>
      <w:tr w:rsidR="001E58F2" w:rsidRPr="00463667" w14:paraId="39DECC36" w14:textId="77777777" w:rsidTr="00F3111D">
        <w:tc>
          <w:tcPr>
            <w:tcW w:w="324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792F93DB" w14:textId="77777777" w:rsidR="001E58F2" w:rsidRPr="00463667" w:rsidRDefault="001E58F2" w:rsidP="00F3111D">
            <w:pPr>
              <w:pStyle w:val="TableText"/>
            </w:pPr>
            <w:r w:rsidRPr="00463667">
              <w:t>NameBrandOnlyCount</w:t>
            </w:r>
          </w:p>
        </w:tc>
        <w:tc>
          <w:tcPr>
            <w:tcW w:w="431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31483324" w14:textId="77777777" w:rsidR="001E58F2" w:rsidRPr="00463667" w:rsidRDefault="001E58F2" w:rsidP="00F3111D">
            <w:pPr>
              <w:pStyle w:val="TableText"/>
            </w:pPr>
            <w:r w:rsidRPr="00463667">
              <w:t>Pharmacy: Name Brand only (N1)</w:t>
            </w:r>
          </w:p>
        </w:tc>
      </w:tr>
      <w:tr w:rsidR="001E58F2" w:rsidRPr="00463667" w14:paraId="3BE20239" w14:textId="77777777" w:rsidTr="00F3111D">
        <w:tc>
          <w:tcPr>
            <w:tcW w:w="324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334D0F2E" w14:textId="77777777" w:rsidR="001E58F2" w:rsidRPr="00463667" w:rsidRDefault="001E58F2" w:rsidP="00F3111D">
            <w:pPr>
              <w:pStyle w:val="TableText"/>
            </w:pPr>
            <w:r w:rsidRPr="00463667">
              <w:t>NameBrandGenericExistsCount</w:t>
            </w:r>
          </w:p>
        </w:tc>
        <w:tc>
          <w:tcPr>
            <w:tcW w:w="431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2E4C3034" w14:textId="77777777" w:rsidR="001E58F2" w:rsidRPr="00463667" w:rsidRDefault="001E58F2" w:rsidP="00F3111D">
            <w:pPr>
              <w:pStyle w:val="TableText"/>
            </w:pPr>
            <w:r w:rsidRPr="00463667">
              <w:t>Pharmacy: Name Brand—Generic Exists (N2)</w:t>
            </w:r>
          </w:p>
        </w:tc>
      </w:tr>
      <w:tr w:rsidR="001E58F2" w:rsidRPr="00463667" w14:paraId="4D49592B" w14:textId="77777777" w:rsidTr="00F3111D">
        <w:tc>
          <w:tcPr>
            <w:tcW w:w="324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687C1B8C" w14:textId="77777777" w:rsidR="001E58F2" w:rsidRPr="00463667" w:rsidRDefault="001E58F2" w:rsidP="00F3111D">
            <w:pPr>
              <w:pStyle w:val="TableText"/>
            </w:pPr>
            <w:r w:rsidRPr="00463667">
              <w:t>GenericOnlyCount</w:t>
            </w:r>
          </w:p>
        </w:tc>
        <w:tc>
          <w:tcPr>
            <w:tcW w:w="4315"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bottom"/>
            <w:hideMark/>
          </w:tcPr>
          <w:p w14:paraId="7C39B7B3" w14:textId="77777777" w:rsidR="001E58F2" w:rsidRPr="00463667" w:rsidRDefault="001E58F2" w:rsidP="00F3111D">
            <w:pPr>
              <w:pStyle w:val="TableText"/>
            </w:pPr>
            <w:r w:rsidRPr="00463667">
              <w:t>Pharmacy: Generic Only (G1)</w:t>
            </w:r>
          </w:p>
        </w:tc>
      </w:tr>
      <w:tr w:rsidR="001E58F2" w:rsidRPr="00463667" w14:paraId="2C270240" w14:textId="77777777" w:rsidTr="00F3111D">
        <w:tc>
          <w:tcPr>
            <w:tcW w:w="324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11EEAC4D" w14:textId="77777777" w:rsidR="001E58F2" w:rsidRPr="00463667" w:rsidRDefault="001E58F2" w:rsidP="00F3111D">
            <w:pPr>
              <w:pStyle w:val="TableText"/>
            </w:pPr>
            <w:r w:rsidRPr="00463667">
              <w:t>GenericNameBrandExistsCount</w:t>
            </w:r>
          </w:p>
        </w:tc>
        <w:tc>
          <w:tcPr>
            <w:tcW w:w="431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14:paraId="0C54CC1C" w14:textId="77777777" w:rsidR="001E58F2" w:rsidRPr="00463667" w:rsidRDefault="001E58F2" w:rsidP="00F3111D">
            <w:pPr>
              <w:pStyle w:val="TableText"/>
            </w:pPr>
            <w:r w:rsidRPr="00463667">
              <w:t>Pharmacy: Generic—Name Brand Exists (G2)</w:t>
            </w:r>
          </w:p>
        </w:tc>
      </w:tr>
    </w:tbl>
    <w:p w14:paraId="6F8E0DF0" w14:textId="77777777" w:rsidR="001E58F2" w:rsidRPr="00463667" w:rsidRDefault="001E58F2" w:rsidP="001E58F2">
      <w:pPr>
        <w:pStyle w:val="TableHeadNotCondensed"/>
        <w:ind w:left="1800" w:hanging="1800"/>
      </w:pPr>
      <w:r>
        <w:t>Table RAS-B-1:</w:t>
      </w:r>
      <w:r>
        <w:tab/>
      </w:r>
      <w:r w:rsidRPr="00463667">
        <w:t xml:space="preserve">Data Elements for Relative Resource Use for People </w:t>
      </w:r>
      <w:r>
        <w:br/>
      </w:r>
      <w:r w:rsidRPr="00463667">
        <w:t>With Asthma</w:t>
      </w:r>
    </w:p>
    <w:tbl>
      <w:tblPr>
        <w:tblW w:w="38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5"/>
        <w:gridCol w:w="704"/>
        <w:gridCol w:w="850"/>
        <w:gridCol w:w="877"/>
        <w:gridCol w:w="4236"/>
      </w:tblGrid>
      <w:tr w:rsidR="001E58F2" w:rsidRPr="00463667" w14:paraId="4AC3C8C7" w14:textId="77777777" w:rsidTr="00F3111D">
        <w:trPr>
          <w:cantSplit/>
        </w:trPr>
        <w:tc>
          <w:tcPr>
            <w:tcW w:w="598" w:type="pct"/>
            <w:tcBorders>
              <w:right w:val="single" w:sz="6" w:space="0" w:color="FFFFFF"/>
            </w:tcBorders>
            <w:shd w:val="clear" w:color="auto" w:fill="000000"/>
            <w:vAlign w:val="bottom"/>
          </w:tcPr>
          <w:p w14:paraId="37B9B556" w14:textId="77777777" w:rsidR="001E58F2" w:rsidRPr="00463667" w:rsidRDefault="001E58F2" w:rsidP="00F3111D">
            <w:pPr>
              <w:pStyle w:val="TableHead"/>
              <w:rPr>
                <w:color w:val="auto"/>
              </w:rPr>
            </w:pPr>
            <w:r w:rsidRPr="00463667">
              <w:rPr>
                <w:color w:val="auto"/>
              </w:rPr>
              <w:t>Gender</w:t>
            </w:r>
          </w:p>
        </w:tc>
        <w:tc>
          <w:tcPr>
            <w:tcW w:w="465" w:type="pct"/>
            <w:tcBorders>
              <w:left w:val="single" w:sz="6" w:space="0" w:color="FFFFFF"/>
              <w:right w:val="single" w:sz="6" w:space="0" w:color="FFFFFF"/>
            </w:tcBorders>
            <w:shd w:val="clear" w:color="auto" w:fill="000000"/>
            <w:vAlign w:val="bottom"/>
          </w:tcPr>
          <w:p w14:paraId="6A6E758A" w14:textId="77777777" w:rsidR="001E58F2" w:rsidRPr="00463667" w:rsidRDefault="001E58F2" w:rsidP="00F3111D">
            <w:pPr>
              <w:pStyle w:val="TableHead"/>
              <w:rPr>
                <w:color w:val="auto"/>
              </w:rPr>
            </w:pPr>
            <w:r w:rsidRPr="00463667">
              <w:rPr>
                <w:color w:val="auto"/>
              </w:rPr>
              <w:t>Age</w:t>
            </w:r>
          </w:p>
        </w:tc>
        <w:tc>
          <w:tcPr>
            <w:tcW w:w="561" w:type="pct"/>
            <w:tcBorders>
              <w:left w:val="single" w:sz="6" w:space="0" w:color="FFFFFF"/>
              <w:right w:val="single" w:sz="6" w:space="0" w:color="FFFFFF"/>
            </w:tcBorders>
            <w:shd w:val="clear" w:color="auto" w:fill="000000"/>
            <w:vAlign w:val="bottom"/>
          </w:tcPr>
          <w:p w14:paraId="2AA00C0C" w14:textId="77777777" w:rsidR="001E58F2" w:rsidRPr="00463667" w:rsidRDefault="001E58F2" w:rsidP="00F3111D">
            <w:pPr>
              <w:pStyle w:val="TableHead"/>
              <w:rPr>
                <w:color w:val="auto"/>
              </w:rPr>
            </w:pPr>
            <w:r w:rsidRPr="00463667">
              <w:rPr>
                <w:color w:val="auto"/>
              </w:rPr>
              <w:t>Risk Group</w:t>
            </w:r>
          </w:p>
        </w:tc>
        <w:tc>
          <w:tcPr>
            <w:tcW w:w="579" w:type="pct"/>
            <w:tcBorders>
              <w:left w:val="single" w:sz="6" w:space="0" w:color="FFFFFF"/>
              <w:right w:val="single" w:sz="6" w:space="0" w:color="FFFFFF"/>
            </w:tcBorders>
            <w:shd w:val="clear" w:color="auto" w:fill="000000"/>
            <w:vAlign w:val="bottom"/>
          </w:tcPr>
          <w:p w14:paraId="58FAE4D3" w14:textId="77777777" w:rsidR="001E58F2" w:rsidRPr="00463667" w:rsidRDefault="001E58F2" w:rsidP="00F3111D">
            <w:pPr>
              <w:pStyle w:val="TableHead"/>
              <w:rPr>
                <w:color w:val="auto"/>
              </w:rPr>
            </w:pPr>
            <w:r w:rsidRPr="00463667">
              <w:rPr>
                <w:color w:val="auto"/>
              </w:rPr>
              <w:t>Type</w:t>
            </w:r>
          </w:p>
        </w:tc>
        <w:tc>
          <w:tcPr>
            <w:tcW w:w="2798" w:type="pct"/>
            <w:tcBorders>
              <w:left w:val="single" w:sz="6" w:space="0" w:color="FFFFFF"/>
            </w:tcBorders>
            <w:shd w:val="clear" w:color="auto" w:fill="000000"/>
            <w:vAlign w:val="bottom"/>
          </w:tcPr>
          <w:p w14:paraId="2C2962E5" w14:textId="77777777" w:rsidR="001E58F2" w:rsidRPr="00463667" w:rsidRDefault="001E58F2" w:rsidP="00F3111D">
            <w:pPr>
              <w:pStyle w:val="TableHead"/>
              <w:rPr>
                <w:color w:val="auto"/>
              </w:rPr>
            </w:pPr>
            <w:r w:rsidRPr="00463667">
              <w:rPr>
                <w:color w:val="auto"/>
              </w:rPr>
              <w:t>Metric Specification Name</w:t>
            </w:r>
          </w:p>
        </w:tc>
      </w:tr>
      <w:tr w:rsidR="001E58F2" w:rsidRPr="00463667" w14:paraId="503D4DC0" w14:textId="77777777" w:rsidTr="00F3111D">
        <w:trPr>
          <w:cantSplit/>
        </w:trPr>
        <w:tc>
          <w:tcPr>
            <w:tcW w:w="598" w:type="pct"/>
            <w:vAlign w:val="center"/>
          </w:tcPr>
          <w:p w14:paraId="53FA4F1C" w14:textId="77777777" w:rsidR="001E58F2" w:rsidRPr="00463667" w:rsidRDefault="001E58F2" w:rsidP="00F3111D">
            <w:pPr>
              <w:pStyle w:val="TableText"/>
            </w:pPr>
            <w:r w:rsidRPr="00463667">
              <w:t>Male</w:t>
            </w:r>
          </w:p>
        </w:tc>
        <w:tc>
          <w:tcPr>
            <w:tcW w:w="465" w:type="pct"/>
          </w:tcPr>
          <w:p w14:paraId="44B9D6B0" w14:textId="77777777" w:rsidR="001E58F2" w:rsidRPr="00463667" w:rsidRDefault="001E58F2" w:rsidP="00F3111D">
            <w:pPr>
              <w:pStyle w:val="TableText"/>
            </w:pPr>
            <w:r w:rsidRPr="00463667">
              <w:t>5-17</w:t>
            </w:r>
          </w:p>
        </w:tc>
        <w:tc>
          <w:tcPr>
            <w:tcW w:w="561" w:type="pct"/>
          </w:tcPr>
          <w:p w14:paraId="286DFEE5" w14:textId="77777777" w:rsidR="001E58F2" w:rsidRPr="00463667" w:rsidRDefault="001E58F2" w:rsidP="00F3111D">
            <w:pPr>
              <w:pStyle w:val="TableText"/>
              <w:ind w:right="288"/>
              <w:jc w:val="right"/>
            </w:pPr>
            <w:r w:rsidRPr="00463667">
              <w:t>1</w:t>
            </w:r>
          </w:p>
        </w:tc>
        <w:tc>
          <w:tcPr>
            <w:tcW w:w="579" w:type="pct"/>
          </w:tcPr>
          <w:p w14:paraId="1ED872AE" w14:textId="77777777" w:rsidR="001E58F2" w:rsidRPr="00463667" w:rsidRDefault="001E58F2" w:rsidP="00F3111D">
            <w:pPr>
              <w:pStyle w:val="TableText"/>
            </w:pPr>
            <w:r w:rsidRPr="00463667">
              <w:t>Cost</w:t>
            </w:r>
          </w:p>
        </w:tc>
        <w:tc>
          <w:tcPr>
            <w:tcW w:w="2798" w:type="pct"/>
          </w:tcPr>
          <w:p w14:paraId="70B44EBB" w14:textId="77777777" w:rsidR="001E58F2" w:rsidRPr="00463667" w:rsidRDefault="001E58F2" w:rsidP="00F3111D">
            <w:pPr>
              <w:pStyle w:val="TableText"/>
            </w:pPr>
            <w:r w:rsidRPr="00463667">
              <w:t>Inpatient Facility</w:t>
            </w:r>
          </w:p>
        </w:tc>
      </w:tr>
      <w:tr w:rsidR="001E58F2" w:rsidRPr="00463667" w14:paraId="17B29CEB" w14:textId="77777777" w:rsidTr="00F3111D">
        <w:trPr>
          <w:cantSplit/>
        </w:trPr>
        <w:tc>
          <w:tcPr>
            <w:tcW w:w="598" w:type="pct"/>
            <w:vAlign w:val="center"/>
          </w:tcPr>
          <w:p w14:paraId="5ADC954A" w14:textId="77777777" w:rsidR="001E58F2" w:rsidRPr="00463667" w:rsidRDefault="001E58F2" w:rsidP="00F3111D">
            <w:pPr>
              <w:pStyle w:val="TableText"/>
            </w:pPr>
            <w:r w:rsidRPr="00463667">
              <w:t>Female</w:t>
            </w:r>
          </w:p>
        </w:tc>
        <w:tc>
          <w:tcPr>
            <w:tcW w:w="465" w:type="pct"/>
          </w:tcPr>
          <w:p w14:paraId="5B583037" w14:textId="77777777" w:rsidR="001E58F2" w:rsidRPr="00463667" w:rsidRDefault="001E58F2" w:rsidP="00F3111D">
            <w:pPr>
              <w:pStyle w:val="TableText"/>
            </w:pPr>
            <w:r w:rsidRPr="00463667">
              <w:t>18-44</w:t>
            </w:r>
          </w:p>
        </w:tc>
        <w:tc>
          <w:tcPr>
            <w:tcW w:w="561" w:type="pct"/>
          </w:tcPr>
          <w:p w14:paraId="613EA33E" w14:textId="77777777" w:rsidR="001E58F2" w:rsidRPr="00463667" w:rsidRDefault="001E58F2" w:rsidP="00F3111D">
            <w:pPr>
              <w:pStyle w:val="TableText"/>
              <w:ind w:right="288"/>
              <w:jc w:val="right"/>
            </w:pPr>
            <w:r w:rsidRPr="00463667">
              <w:t>2</w:t>
            </w:r>
          </w:p>
        </w:tc>
        <w:tc>
          <w:tcPr>
            <w:tcW w:w="579" w:type="pct"/>
          </w:tcPr>
          <w:p w14:paraId="3B0965A1" w14:textId="77777777" w:rsidR="001E58F2" w:rsidRPr="00463667" w:rsidRDefault="001E58F2" w:rsidP="00F3111D">
            <w:pPr>
              <w:pStyle w:val="TableText"/>
            </w:pPr>
            <w:r w:rsidRPr="00463667">
              <w:t>Cost</w:t>
            </w:r>
          </w:p>
        </w:tc>
        <w:tc>
          <w:tcPr>
            <w:tcW w:w="2798" w:type="pct"/>
          </w:tcPr>
          <w:p w14:paraId="728C9EBD" w14:textId="77777777" w:rsidR="001E58F2" w:rsidRPr="00463667" w:rsidRDefault="001E58F2" w:rsidP="00F3111D">
            <w:pPr>
              <w:pStyle w:val="TableText"/>
            </w:pPr>
            <w:r w:rsidRPr="00463667">
              <w:t>E&amp;M Inpatient Services</w:t>
            </w:r>
          </w:p>
        </w:tc>
      </w:tr>
      <w:tr w:rsidR="001E58F2" w:rsidRPr="00463667" w14:paraId="03229BED" w14:textId="77777777" w:rsidTr="00F3111D">
        <w:trPr>
          <w:cantSplit/>
        </w:trPr>
        <w:tc>
          <w:tcPr>
            <w:tcW w:w="598" w:type="pct"/>
            <w:tcBorders>
              <w:left w:val="nil"/>
              <w:bottom w:val="nil"/>
            </w:tcBorders>
            <w:vAlign w:val="center"/>
          </w:tcPr>
          <w:p w14:paraId="3A3A9859" w14:textId="77777777" w:rsidR="001E58F2" w:rsidRPr="00463667" w:rsidRDefault="001E58F2" w:rsidP="00F3111D">
            <w:pPr>
              <w:pStyle w:val="TableText"/>
            </w:pPr>
          </w:p>
        </w:tc>
        <w:tc>
          <w:tcPr>
            <w:tcW w:w="465" w:type="pct"/>
          </w:tcPr>
          <w:p w14:paraId="74F351EA" w14:textId="77777777" w:rsidR="001E58F2" w:rsidRPr="00463667" w:rsidRDefault="001E58F2" w:rsidP="00F3111D">
            <w:pPr>
              <w:pStyle w:val="TableText"/>
            </w:pPr>
            <w:r w:rsidRPr="00463667">
              <w:t>45-54</w:t>
            </w:r>
          </w:p>
        </w:tc>
        <w:tc>
          <w:tcPr>
            <w:tcW w:w="561" w:type="pct"/>
          </w:tcPr>
          <w:p w14:paraId="359A7811" w14:textId="77777777" w:rsidR="001E58F2" w:rsidRPr="00463667" w:rsidRDefault="001E58F2" w:rsidP="00F3111D">
            <w:pPr>
              <w:pStyle w:val="TableText"/>
              <w:ind w:right="288"/>
              <w:jc w:val="right"/>
            </w:pPr>
            <w:r w:rsidRPr="00463667">
              <w:t>3</w:t>
            </w:r>
          </w:p>
        </w:tc>
        <w:tc>
          <w:tcPr>
            <w:tcW w:w="579" w:type="pct"/>
          </w:tcPr>
          <w:p w14:paraId="01FCF9F9" w14:textId="77777777" w:rsidR="001E58F2" w:rsidRPr="00463667" w:rsidRDefault="001E58F2" w:rsidP="00F3111D">
            <w:pPr>
              <w:pStyle w:val="TableText"/>
            </w:pPr>
            <w:r w:rsidRPr="00463667">
              <w:t>Cost</w:t>
            </w:r>
          </w:p>
        </w:tc>
        <w:tc>
          <w:tcPr>
            <w:tcW w:w="2798" w:type="pct"/>
          </w:tcPr>
          <w:p w14:paraId="610E781B" w14:textId="77777777" w:rsidR="001E58F2" w:rsidRPr="00463667" w:rsidRDefault="001E58F2" w:rsidP="00F3111D">
            <w:pPr>
              <w:pStyle w:val="TableText"/>
            </w:pPr>
            <w:r w:rsidRPr="00463667">
              <w:t>E&amp;M Outpatient Services</w:t>
            </w:r>
          </w:p>
        </w:tc>
      </w:tr>
      <w:tr w:rsidR="001E58F2" w:rsidRPr="00463667" w14:paraId="136BD663" w14:textId="77777777" w:rsidTr="00F3111D">
        <w:trPr>
          <w:cantSplit/>
        </w:trPr>
        <w:tc>
          <w:tcPr>
            <w:tcW w:w="598" w:type="pct"/>
            <w:tcBorders>
              <w:top w:val="nil"/>
              <w:left w:val="nil"/>
              <w:bottom w:val="nil"/>
              <w:right w:val="nil"/>
            </w:tcBorders>
            <w:vAlign w:val="center"/>
          </w:tcPr>
          <w:p w14:paraId="61C47DBB" w14:textId="77777777" w:rsidR="001E58F2" w:rsidRPr="00463667" w:rsidRDefault="001E58F2" w:rsidP="00F3111D">
            <w:pPr>
              <w:pStyle w:val="TableText"/>
            </w:pPr>
          </w:p>
        </w:tc>
        <w:tc>
          <w:tcPr>
            <w:tcW w:w="465" w:type="pct"/>
            <w:tcBorders>
              <w:bottom w:val="single" w:sz="4" w:space="0" w:color="auto"/>
            </w:tcBorders>
          </w:tcPr>
          <w:p w14:paraId="4A185656" w14:textId="77777777" w:rsidR="001E58F2" w:rsidRPr="00463667" w:rsidRDefault="001E58F2" w:rsidP="00F3111D">
            <w:pPr>
              <w:pStyle w:val="TableText"/>
            </w:pPr>
            <w:r w:rsidRPr="00463667">
              <w:t>55-64</w:t>
            </w:r>
          </w:p>
        </w:tc>
        <w:tc>
          <w:tcPr>
            <w:tcW w:w="561" w:type="pct"/>
          </w:tcPr>
          <w:p w14:paraId="22B50533" w14:textId="77777777" w:rsidR="001E58F2" w:rsidRPr="00463667" w:rsidRDefault="001E58F2" w:rsidP="00F3111D">
            <w:pPr>
              <w:pStyle w:val="TableText"/>
              <w:ind w:right="288"/>
              <w:jc w:val="right"/>
            </w:pPr>
            <w:r w:rsidRPr="00463667">
              <w:t>4</w:t>
            </w:r>
          </w:p>
        </w:tc>
        <w:tc>
          <w:tcPr>
            <w:tcW w:w="579" w:type="pct"/>
          </w:tcPr>
          <w:p w14:paraId="159534D8" w14:textId="77777777" w:rsidR="001E58F2" w:rsidRPr="00463667" w:rsidRDefault="001E58F2" w:rsidP="00F3111D">
            <w:pPr>
              <w:pStyle w:val="TableText"/>
            </w:pPr>
            <w:r w:rsidRPr="00463667">
              <w:t>Cost</w:t>
            </w:r>
          </w:p>
        </w:tc>
        <w:tc>
          <w:tcPr>
            <w:tcW w:w="2798" w:type="pct"/>
          </w:tcPr>
          <w:p w14:paraId="1819089B" w14:textId="77777777" w:rsidR="001E58F2" w:rsidRPr="00463667" w:rsidRDefault="001E58F2" w:rsidP="00F3111D">
            <w:pPr>
              <w:pStyle w:val="TableText"/>
            </w:pPr>
            <w:r w:rsidRPr="00463667">
              <w:t>Surgery &amp; Procedure Inpatient Services</w:t>
            </w:r>
          </w:p>
        </w:tc>
      </w:tr>
      <w:tr w:rsidR="001E58F2" w:rsidRPr="00463667" w14:paraId="45213A1C" w14:textId="77777777" w:rsidTr="00F3111D">
        <w:trPr>
          <w:cantSplit/>
        </w:trPr>
        <w:tc>
          <w:tcPr>
            <w:tcW w:w="598" w:type="pct"/>
            <w:tcBorders>
              <w:top w:val="nil"/>
              <w:left w:val="nil"/>
              <w:bottom w:val="nil"/>
              <w:right w:val="nil"/>
            </w:tcBorders>
            <w:vAlign w:val="center"/>
          </w:tcPr>
          <w:p w14:paraId="2B0C50A9" w14:textId="77777777" w:rsidR="001E58F2" w:rsidRPr="00463667" w:rsidRDefault="001E58F2" w:rsidP="00F3111D">
            <w:pPr>
              <w:pStyle w:val="TableText"/>
            </w:pPr>
          </w:p>
        </w:tc>
        <w:tc>
          <w:tcPr>
            <w:tcW w:w="465" w:type="pct"/>
            <w:tcBorders>
              <w:left w:val="nil"/>
              <w:bottom w:val="nil"/>
            </w:tcBorders>
            <w:vAlign w:val="center"/>
          </w:tcPr>
          <w:p w14:paraId="127F1BD2" w14:textId="77777777" w:rsidR="001E58F2" w:rsidRPr="00463667" w:rsidRDefault="001E58F2" w:rsidP="00F3111D">
            <w:pPr>
              <w:pStyle w:val="TableText"/>
            </w:pPr>
          </w:p>
        </w:tc>
        <w:tc>
          <w:tcPr>
            <w:tcW w:w="561" w:type="pct"/>
          </w:tcPr>
          <w:p w14:paraId="315AF226" w14:textId="77777777" w:rsidR="001E58F2" w:rsidRPr="00463667" w:rsidRDefault="001E58F2" w:rsidP="00F3111D">
            <w:pPr>
              <w:pStyle w:val="TableText"/>
              <w:ind w:right="288"/>
              <w:jc w:val="right"/>
            </w:pPr>
            <w:r w:rsidRPr="00463667">
              <w:t>5</w:t>
            </w:r>
          </w:p>
        </w:tc>
        <w:tc>
          <w:tcPr>
            <w:tcW w:w="579" w:type="pct"/>
          </w:tcPr>
          <w:p w14:paraId="090871C0" w14:textId="77777777" w:rsidR="001E58F2" w:rsidRPr="00463667" w:rsidRDefault="001E58F2" w:rsidP="00F3111D">
            <w:pPr>
              <w:pStyle w:val="TableText"/>
            </w:pPr>
            <w:r w:rsidRPr="00463667">
              <w:t>Cost</w:t>
            </w:r>
          </w:p>
        </w:tc>
        <w:tc>
          <w:tcPr>
            <w:tcW w:w="2798" w:type="pct"/>
          </w:tcPr>
          <w:p w14:paraId="24009357" w14:textId="77777777" w:rsidR="001E58F2" w:rsidRPr="00463667" w:rsidRDefault="001E58F2" w:rsidP="00F3111D">
            <w:pPr>
              <w:pStyle w:val="TableText"/>
            </w:pPr>
            <w:r w:rsidRPr="00463667">
              <w:t>Surgery &amp; Procedure Outpatient Services</w:t>
            </w:r>
          </w:p>
        </w:tc>
      </w:tr>
      <w:tr w:rsidR="001E58F2" w:rsidRPr="00463667" w14:paraId="2E1E4BB5" w14:textId="77777777" w:rsidTr="00F3111D">
        <w:trPr>
          <w:cantSplit/>
        </w:trPr>
        <w:tc>
          <w:tcPr>
            <w:tcW w:w="598" w:type="pct"/>
            <w:tcBorders>
              <w:top w:val="nil"/>
              <w:left w:val="nil"/>
              <w:bottom w:val="nil"/>
              <w:right w:val="nil"/>
            </w:tcBorders>
            <w:vAlign w:val="center"/>
          </w:tcPr>
          <w:p w14:paraId="26BF2548" w14:textId="77777777" w:rsidR="001E58F2" w:rsidRPr="00463667" w:rsidRDefault="001E58F2" w:rsidP="00F3111D">
            <w:pPr>
              <w:pStyle w:val="TableText"/>
            </w:pPr>
          </w:p>
        </w:tc>
        <w:tc>
          <w:tcPr>
            <w:tcW w:w="465" w:type="pct"/>
            <w:tcBorders>
              <w:top w:val="nil"/>
              <w:left w:val="nil"/>
              <w:bottom w:val="nil"/>
            </w:tcBorders>
            <w:vAlign w:val="center"/>
          </w:tcPr>
          <w:p w14:paraId="0E05FE38" w14:textId="77777777" w:rsidR="001E58F2" w:rsidRPr="00463667" w:rsidRDefault="001E58F2" w:rsidP="00F3111D">
            <w:pPr>
              <w:pStyle w:val="TableText"/>
            </w:pPr>
          </w:p>
        </w:tc>
        <w:tc>
          <w:tcPr>
            <w:tcW w:w="561" w:type="pct"/>
          </w:tcPr>
          <w:p w14:paraId="16F673A0" w14:textId="77777777" w:rsidR="001E58F2" w:rsidRPr="00463667" w:rsidRDefault="001E58F2" w:rsidP="00F3111D">
            <w:pPr>
              <w:pStyle w:val="TableText"/>
              <w:ind w:right="288"/>
              <w:jc w:val="right"/>
            </w:pPr>
            <w:r w:rsidRPr="00463667">
              <w:t>6</w:t>
            </w:r>
          </w:p>
        </w:tc>
        <w:tc>
          <w:tcPr>
            <w:tcW w:w="579" w:type="pct"/>
          </w:tcPr>
          <w:p w14:paraId="07BE8D55" w14:textId="77777777" w:rsidR="001E58F2" w:rsidRPr="00463667" w:rsidRDefault="001E58F2" w:rsidP="00F3111D">
            <w:pPr>
              <w:pStyle w:val="TableText"/>
            </w:pPr>
            <w:r w:rsidRPr="00463667">
              <w:t>Cost</w:t>
            </w:r>
          </w:p>
        </w:tc>
        <w:tc>
          <w:tcPr>
            <w:tcW w:w="2798" w:type="pct"/>
          </w:tcPr>
          <w:p w14:paraId="34409EF1" w14:textId="77777777" w:rsidR="001E58F2" w:rsidRPr="00463667" w:rsidRDefault="001E58F2" w:rsidP="00F3111D">
            <w:pPr>
              <w:pStyle w:val="TableText"/>
            </w:pPr>
            <w:r w:rsidRPr="00463667">
              <w:t>Imaging Services</w:t>
            </w:r>
          </w:p>
        </w:tc>
      </w:tr>
      <w:tr w:rsidR="001E58F2" w:rsidRPr="00463667" w14:paraId="167E4290" w14:textId="77777777" w:rsidTr="00F3111D">
        <w:trPr>
          <w:cantSplit/>
        </w:trPr>
        <w:tc>
          <w:tcPr>
            <w:tcW w:w="598" w:type="pct"/>
            <w:tcBorders>
              <w:top w:val="nil"/>
              <w:left w:val="nil"/>
              <w:bottom w:val="nil"/>
              <w:right w:val="nil"/>
            </w:tcBorders>
            <w:vAlign w:val="center"/>
          </w:tcPr>
          <w:p w14:paraId="5B4B3585" w14:textId="77777777" w:rsidR="001E58F2" w:rsidRPr="00463667" w:rsidRDefault="001E58F2" w:rsidP="00F3111D">
            <w:pPr>
              <w:pStyle w:val="TableText"/>
            </w:pPr>
          </w:p>
        </w:tc>
        <w:tc>
          <w:tcPr>
            <w:tcW w:w="465" w:type="pct"/>
            <w:tcBorders>
              <w:top w:val="nil"/>
              <w:left w:val="nil"/>
              <w:bottom w:val="nil"/>
            </w:tcBorders>
            <w:vAlign w:val="center"/>
          </w:tcPr>
          <w:p w14:paraId="6F511631" w14:textId="77777777" w:rsidR="001E58F2" w:rsidRPr="00463667" w:rsidRDefault="001E58F2" w:rsidP="00F3111D">
            <w:pPr>
              <w:pStyle w:val="TableText"/>
            </w:pPr>
          </w:p>
        </w:tc>
        <w:tc>
          <w:tcPr>
            <w:tcW w:w="561" w:type="pct"/>
          </w:tcPr>
          <w:p w14:paraId="14CD3EB4" w14:textId="77777777" w:rsidR="001E58F2" w:rsidRPr="00463667" w:rsidRDefault="001E58F2" w:rsidP="00F3111D">
            <w:pPr>
              <w:pStyle w:val="TableText"/>
              <w:ind w:right="288"/>
              <w:jc w:val="right"/>
            </w:pPr>
            <w:r w:rsidRPr="00463667">
              <w:t>7</w:t>
            </w:r>
          </w:p>
        </w:tc>
        <w:tc>
          <w:tcPr>
            <w:tcW w:w="579" w:type="pct"/>
          </w:tcPr>
          <w:p w14:paraId="20EB3E42" w14:textId="77777777" w:rsidR="001E58F2" w:rsidRPr="00463667" w:rsidRDefault="001E58F2" w:rsidP="00F3111D">
            <w:pPr>
              <w:pStyle w:val="TableText"/>
            </w:pPr>
            <w:r w:rsidRPr="00463667">
              <w:t>Cost</w:t>
            </w:r>
          </w:p>
        </w:tc>
        <w:tc>
          <w:tcPr>
            <w:tcW w:w="2798" w:type="pct"/>
          </w:tcPr>
          <w:p w14:paraId="7BC02CA9" w14:textId="77777777" w:rsidR="001E58F2" w:rsidRPr="00463667" w:rsidRDefault="001E58F2" w:rsidP="00F3111D">
            <w:pPr>
              <w:pStyle w:val="TableText"/>
            </w:pPr>
            <w:r w:rsidRPr="00463667">
              <w:t>Laboratory Services</w:t>
            </w:r>
          </w:p>
        </w:tc>
      </w:tr>
      <w:tr w:rsidR="001E58F2" w:rsidRPr="00463667" w14:paraId="65A385F5" w14:textId="77777777" w:rsidTr="00F3111D">
        <w:trPr>
          <w:cantSplit/>
        </w:trPr>
        <w:tc>
          <w:tcPr>
            <w:tcW w:w="598" w:type="pct"/>
            <w:tcBorders>
              <w:top w:val="nil"/>
              <w:left w:val="nil"/>
              <w:bottom w:val="nil"/>
              <w:right w:val="nil"/>
            </w:tcBorders>
            <w:vAlign w:val="center"/>
          </w:tcPr>
          <w:p w14:paraId="04CC48D6" w14:textId="77777777" w:rsidR="001E58F2" w:rsidRPr="00463667" w:rsidRDefault="001E58F2" w:rsidP="00F3111D">
            <w:pPr>
              <w:pStyle w:val="TableText"/>
            </w:pPr>
          </w:p>
        </w:tc>
        <w:tc>
          <w:tcPr>
            <w:tcW w:w="465" w:type="pct"/>
            <w:tcBorders>
              <w:top w:val="nil"/>
              <w:left w:val="nil"/>
              <w:bottom w:val="nil"/>
            </w:tcBorders>
            <w:vAlign w:val="center"/>
          </w:tcPr>
          <w:p w14:paraId="2C12E7E6" w14:textId="77777777" w:rsidR="001E58F2" w:rsidRPr="00463667" w:rsidRDefault="001E58F2" w:rsidP="00F3111D">
            <w:pPr>
              <w:pStyle w:val="TableText"/>
            </w:pPr>
          </w:p>
        </w:tc>
        <w:tc>
          <w:tcPr>
            <w:tcW w:w="561" w:type="pct"/>
          </w:tcPr>
          <w:p w14:paraId="6C573832" w14:textId="77777777" w:rsidR="001E58F2" w:rsidRPr="00463667" w:rsidRDefault="001E58F2" w:rsidP="00F3111D">
            <w:pPr>
              <w:pStyle w:val="TableText"/>
              <w:ind w:right="288"/>
              <w:jc w:val="right"/>
            </w:pPr>
            <w:r w:rsidRPr="00463667">
              <w:t>8</w:t>
            </w:r>
          </w:p>
        </w:tc>
        <w:tc>
          <w:tcPr>
            <w:tcW w:w="579" w:type="pct"/>
          </w:tcPr>
          <w:p w14:paraId="6913C79A" w14:textId="77777777" w:rsidR="001E58F2" w:rsidRPr="00463667" w:rsidRDefault="001E58F2" w:rsidP="00F3111D">
            <w:pPr>
              <w:pStyle w:val="TableText"/>
            </w:pPr>
            <w:r w:rsidRPr="00463667">
              <w:t>Cost</w:t>
            </w:r>
          </w:p>
        </w:tc>
        <w:tc>
          <w:tcPr>
            <w:tcW w:w="2798" w:type="pct"/>
          </w:tcPr>
          <w:p w14:paraId="36DD5F73" w14:textId="77777777" w:rsidR="001E58F2" w:rsidRPr="00463667" w:rsidRDefault="001E58F2" w:rsidP="00F3111D">
            <w:pPr>
              <w:pStyle w:val="TableText"/>
            </w:pPr>
            <w:r w:rsidRPr="00463667">
              <w:t>Pharmacy</w:t>
            </w:r>
          </w:p>
        </w:tc>
      </w:tr>
      <w:tr w:rsidR="001E58F2" w:rsidRPr="00463667" w14:paraId="7FB46936" w14:textId="77777777" w:rsidTr="00F3111D">
        <w:trPr>
          <w:cantSplit/>
        </w:trPr>
        <w:tc>
          <w:tcPr>
            <w:tcW w:w="598" w:type="pct"/>
            <w:tcBorders>
              <w:top w:val="nil"/>
              <w:left w:val="nil"/>
              <w:bottom w:val="nil"/>
              <w:right w:val="nil"/>
            </w:tcBorders>
            <w:vAlign w:val="center"/>
          </w:tcPr>
          <w:p w14:paraId="4D56F746" w14:textId="77777777" w:rsidR="001E58F2" w:rsidRPr="00463667" w:rsidRDefault="001E58F2" w:rsidP="00F3111D">
            <w:pPr>
              <w:pStyle w:val="TableText"/>
            </w:pPr>
          </w:p>
        </w:tc>
        <w:tc>
          <w:tcPr>
            <w:tcW w:w="465" w:type="pct"/>
            <w:tcBorders>
              <w:top w:val="nil"/>
              <w:left w:val="nil"/>
              <w:bottom w:val="nil"/>
            </w:tcBorders>
            <w:vAlign w:val="center"/>
          </w:tcPr>
          <w:p w14:paraId="1C590828" w14:textId="77777777" w:rsidR="001E58F2" w:rsidRPr="00463667" w:rsidRDefault="001E58F2" w:rsidP="00F3111D">
            <w:pPr>
              <w:pStyle w:val="TableText"/>
            </w:pPr>
          </w:p>
        </w:tc>
        <w:tc>
          <w:tcPr>
            <w:tcW w:w="561" w:type="pct"/>
          </w:tcPr>
          <w:p w14:paraId="1E9AA433" w14:textId="77777777" w:rsidR="001E58F2" w:rsidRPr="00463667" w:rsidRDefault="001E58F2" w:rsidP="00F3111D">
            <w:pPr>
              <w:pStyle w:val="TableText"/>
              <w:ind w:right="288"/>
              <w:jc w:val="right"/>
            </w:pPr>
            <w:r w:rsidRPr="00463667">
              <w:t>9</w:t>
            </w:r>
          </w:p>
        </w:tc>
        <w:tc>
          <w:tcPr>
            <w:tcW w:w="579" w:type="pct"/>
          </w:tcPr>
          <w:p w14:paraId="2D99FED0" w14:textId="77777777" w:rsidR="001E58F2" w:rsidRPr="00463667" w:rsidRDefault="001E58F2" w:rsidP="00F3111D">
            <w:pPr>
              <w:pStyle w:val="TableText"/>
            </w:pPr>
            <w:r w:rsidRPr="00463667">
              <w:t>Count</w:t>
            </w:r>
          </w:p>
        </w:tc>
        <w:tc>
          <w:tcPr>
            <w:tcW w:w="2798" w:type="pct"/>
          </w:tcPr>
          <w:p w14:paraId="07D13394" w14:textId="77777777" w:rsidR="001E58F2" w:rsidRPr="00463667" w:rsidRDefault="001E58F2" w:rsidP="00F3111D">
            <w:pPr>
              <w:pStyle w:val="TableText"/>
            </w:pPr>
            <w:r w:rsidRPr="00463667">
              <w:t>Inpatient Facility: Acute Inpatient: Medical Days</w:t>
            </w:r>
          </w:p>
        </w:tc>
      </w:tr>
      <w:tr w:rsidR="001E58F2" w:rsidRPr="00463667" w14:paraId="10082FAE" w14:textId="77777777" w:rsidTr="00F3111D">
        <w:trPr>
          <w:cantSplit/>
        </w:trPr>
        <w:tc>
          <w:tcPr>
            <w:tcW w:w="598" w:type="pct"/>
            <w:tcBorders>
              <w:top w:val="nil"/>
              <w:left w:val="nil"/>
              <w:bottom w:val="nil"/>
              <w:right w:val="nil"/>
            </w:tcBorders>
            <w:vAlign w:val="center"/>
          </w:tcPr>
          <w:p w14:paraId="47354284" w14:textId="77777777" w:rsidR="001E58F2" w:rsidRPr="00463667" w:rsidRDefault="001E58F2" w:rsidP="00F3111D">
            <w:pPr>
              <w:pStyle w:val="TableText"/>
            </w:pPr>
          </w:p>
        </w:tc>
        <w:tc>
          <w:tcPr>
            <w:tcW w:w="465" w:type="pct"/>
            <w:tcBorders>
              <w:top w:val="nil"/>
              <w:left w:val="nil"/>
              <w:bottom w:val="nil"/>
            </w:tcBorders>
            <w:vAlign w:val="center"/>
          </w:tcPr>
          <w:p w14:paraId="61458C35" w14:textId="77777777" w:rsidR="001E58F2" w:rsidRPr="00463667" w:rsidRDefault="001E58F2" w:rsidP="00F3111D">
            <w:pPr>
              <w:pStyle w:val="TableText"/>
            </w:pPr>
          </w:p>
        </w:tc>
        <w:tc>
          <w:tcPr>
            <w:tcW w:w="561" w:type="pct"/>
          </w:tcPr>
          <w:p w14:paraId="4420A751" w14:textId="77777777" w:rsidR="001E58F2" w:rsidRPr="00463667" w:rsidRDefault="001E58F2" w:rsidP="00F3111D">
            <w:pPr>
              <w:pStyle w:val="TableText"/>
              <w:ind w:right="288"/>
              <w:jc w:val="right"/>
            </w:pPr>
            <w:r w:rsidRPr="00463667">
              <w:t>10</w:t>
            </w:r>
          </w:p>
        </w:tc>
        <w:tc>
          <w:tcPr>
            <w:tcW w:w="579" w:type="pct"/>
          </w:tcPr>
          <w:p w14:paraId="33BFB501" w14:textId="77777777" w:rsidR="001E58F2" w:rsidRPr="00463667" w:rsidRDefault="001E58F2" w:rsidP="00F3111D">
            <w:pPr>
              <w:pStyle w:val="TableText"/>
            </w:pPr>
            <w:r w:rsidRPr="00463667">
              <w:t>Count</w:t>
            </w:r>
          </w:p>
        </w:tc>
        <w:tc>
          <w:tcPr>
            <w:tcW w:w="2798" w:type="pct"/>
          </w:tcPr>
          <w:p w14:paraId="5C8FB463" w14:textId="77777777" w:rsidR="001E58F2" w:rsidRPr="00463667" w:rsidRDefault="001E58F2" w:rsidP="00F3111D">
            <w:pPr>
              <w:pStyle w:val="TableText"/>
            </w:pPr>
            <w:r w:rsidRPr="00463667">
              <w:t>Inpatient Facility: Acute Inpatient: Medical Discharges</w:t>
            </w:r>
          </w:p>
        </w:tc>
      </w:tr>
      <w:tr w:rsidR="001E58F2" w:rsidRPr="00463667" w14:paraId="18E190D3" w14:textId="77777777" w:rsidTr="00F3111D">
        <w:trPr>
          <w:cantSplit/>
        </w:trPr>
        <w:tc>
          <w:tcPr>
            <w:tcW w:w="598" w:type="pct"/>
            <w:tcBorders>
              <w:top w:val="nil"/>
              <w:left w:val="nil"/>
              <w:bottom w:val="nil"/>
              <w:right w:val="nil"/>
            </w:tcBorders>
            <w:vAlign w:val="center"/>
          </w:tcPr>
          <w:p w14:paraId="2519E767" w14:textId="77777777" w:rsidR="001E58F2" w:rsidRPr="00463667" w:rsidRDefault="001E58F2" w:rsidP="00F3111D">
            <w:pPr>
              <w:pStyle w:val="TableText"/>
            </w:pPr>
          </w:p>
        </w:tc>
        <w:tc>
          <w:tcPr>
            <w:tcW w:w="465" w:type="pct"/>
            <w:tcBorders>
              <w:top w:val="nil"/>
              <w:left w:val="nil"/>
              <w:bottom w:val="nil"/>
            </w:tcBorders>
            <w:vAlign w:val="center"/>
          </w:tcPr>
          <w:p w14:paraId="6DCF0EF1" w14:textId="77777777" w:rsidR="001E58F2" w:rsidRPr="00463667" w:rsidRDefault="001E58F2" w:rsidP="00F3111D">
            <w:pPr>
              <w:pStyle w:val="TableText"/>
            </w:pPr>
          </w:p>
        </w:tc>
        <w:tc>
          <w:tcPr>
            <w:tcW w:w="561" w:type="pct"/>
          </w:tcPr>
          <w:p w14:paraId="3B7D1A0E" w14:textId="77777777" w:rsidR="001E58F2" w:rsidRPr="00463667" w:rsidRDefault="001E58F2" w:rsidP="00F3111D">
            <w:pPr>
              <w:pStyle w:val="TableText"/>
              <w:ind w:right="288"/>
              <w:jc w:val="right"/>
            </w:pPr>
            <w:r w:rsidRPr="00463667">
              <w:t>11</w:t>
            </w:r>
          </w:p>
        </w:tc>
        <w:tc>
          <w:tcPr>
            <w:tcW w:w="579" w:type="pct"/>
          </w:tcPr>
          <w:p w14:paraId="495D5125" w14:textId="77777777" w:rsidR="001E58F2" w:rsidRPr="00463667" w:rsidRDefault="001E58F2" w:rsidP="00F3111D">
            <w:pPr>
              <w:pStyle w:val="TableText"/>
            </w:pPr>
            <w:r w:rsidRPr="00463667">
              <w:t>Count</w:t>
            </w:r>
          </w:p>
        </w:tc>
        <w:tc>
          <w:tcPr>
            <w:tcW w:w="2798" w:type="pct"/>
          </w:tcPr>
          <w:p w14:paraId="1BFECBEA" w14:textId="77777777" w:rsidR="001E58F2" w:rsidRPr="00463667" w:rsidRDefault="001E58F2" w:rsidP="00F3111D">
            <w:pPr>
              <w:pStyle w:val="TableText"/>
            </w:pPr>
            <w:r w:rsidRPr="00463667">
              <w:t>Inpatient Facility: Acute Inpatient: Surgery Days</w:t>
            </w:r>
          </w:p>
        </w:tc>
      </w:tr>
      <w:tr w:rsidR="001E58F2" w:rsidRPr="00463667" w14:paraId="088A1AB9" w14:textId="77777777" w:rsidTr="00F3111D">
        <w:trPr>
          <w:cantSplit/>
        </w:trPr>
        <w:tc>
          <w:tcPr>
            <w:tcW w:w="598" w:type="pct"/>
            <w:tcBorders>
              <w:top w:val="nil"/>
              <w:left w:val="nil"/>
              <w:bottom w:val="nil"/>
              <w:right w:val="nil"/>
            </w:tcBorders>
            <w:vAlign w:val="center"/>
          </w:tcPr>
          <w:p w14:paraId="207DA6B3" w14:textId="77777777" w:rsidR="001E58F2" w:rsidRPr="00463667" w:rsidRDefault="001E58F2" w:rsidP="00F3111D">
            <w:pPr>
              <w:pStyle w:val="TableText"/>
            </w:pPr>
          </w:p>
        </w:tc>
        <w:tc>
          <w:tcPr>
            <w:tcW w:w="465" w:type="pct"/>
            <w:tcBorders>
              <w:top w:val="nil"/>
              <w:left w:val="nil"/>
              <w:bottom w:val="nil"/>
            </w:tcBorders>
            <w:vAlign w:val="center"/>
          </w:tcPr>
          <w:p w14:paraId="0F70F5C6" w14:textId="77777777" w:rsidR="001E58F2" w:rsidRPr="00463667" w:rsidRDefault="001E58F2" w:rsidP="00F3111D">
            <w:pPr>
              <w:pStyle w:val="TableText"/>
            </w:pPr>
          </w:p>
        </w:tc>
        <w:tc>
          <w:tcPr>
            <w:tcW w:w="561" w:type="pct"/>
          </w:tcPr>
          <w:p w14:paraId="7B91711C" w14:textId="77777777" w:rsidR="001E58F2" w:rsidRPr="00463667" w:rsidRDefault="001E58F2" w:rsidP="00F3111D">
            <w:pPr>
              <w:pStyle w:val="TableText"/>
              <w:ind w:right="288"/>
              <w:jc w:val="right"/>
            </w:pPr>
            <w:r w:rsidRPr="00463667">
              <w:t>12</w:t>
            </w:r>
          </w:p>
        </w:tc>
        <w:tc>
          <w:tcPr>
            <w:tcW w:w="579" w:type="pct"/>
          </w:tcPr>
          <w:p w14:paraId="15AD4A9E" w14:textId="77777777" w:rsidR="001E58F2" w:rsidRPr="00463667" w:rsidRDefault="001E58F2" w:rsidP="00F3111D">
            <w:pPr>
              <w:pStyle w:val="TableText"/>
            </w:pPr>
            <w:r w:rsidRPr="00463667">
              <w:t>Count</w:t>
            </w:r>
          </w:p>
        </w:tc>
        <w:tc>
          <w:tcPr>
            <w:tcW w:w="2798" w:type="pct"/>
          </w:tcPr>
          <w:p w14:paraId="34144439" w14:textId="77777777" w:rsidR="001E58F2" w:rsidRPr="00463667" w:rsidRDefault="001E58F2" w:rsidP="00F3111D">
            <w:pPr>
              <w:pStyle w:val="TableText"/>
            </w:pPr>
            <w:r w:rsidRPr="00463667">
              <w:t>Inpatient Facility: Acute Inpatient: Surgery Discharges</w:t>
            </w:r>
          </w:p>
        </w:tc>
      </w:tr>
      <w:tr w:rsidR="001E58F2" w:rsidRPr="00463667" w14:paraId="7756F265" w14:textId="77777777" w:rsidTr="00F3111D">
        <w:trPr>
          <w:cantSplit/>
        </w:trPr>
        <w:tc>
          <w:tcPr>
            <w:tcW w:w="598" w:type="pct"/>
            <w:tcBorders>
              <w:top w:val="nil"/>
              <w:left w:val="nil"/>
              <w:bottom w:val="nil"/>
              <w:right w:val="nil"/>
            </w:tcBorders>
            <w:vAlign w:val="center"/>
          </w:tcPr>
          <w:p w14:paraId="352FE0C8" w14:textId="77777777" w:rsidR="001E58F2" w:rsidRPr="00463667" w:rsidRDefault="001E58F2" w:rsidP="00F3111D">
            <w:pPr>
              <w:pStyle w:val="TableText"/>
            </w:pPr>
          </w:p>
        </w:tc>
        <w:tc>
          <w:tcPr>
            <w:tcW w:w="465" w:type="pct"/>
            <w:tcBorders>
              <w:top w:val="nil"/>
              <w:left w:val="nil"/>
              <w:bottom w:val="nil"/>
            </w:tcBorders>
            <w:vAlign w:val="center"/>
          </w:tcPr>
          <w:p w14:paraId="08CF2DA1" w14:textId="77777777" w:rsidR="001E58F2" w:rsidRPr="00463667" w:rsidRDefault="001E58F2" w:rsidP="00F3111D">
            <w:pPr>
              <w:pStyle w:val="TableText"/>
            </w:pPr>
          </w:p>
        </w:tc>
        <w:tc>
          <w:tcPr>
            <w:tcW w:w="561" w:type="pct"/>
            <w:tcBorders>
              <w:bottom w:val="single" w:sz="4" w:space="0" w:color="auto"/>
            </w:tcBorders>
          </w:tcPr>
          <w:p w14:paraId="0F162C38" w14:textId="77777777" w:rsidR="001E58F2" w:rsidRPr="00463667" w:rsidRDefault="001E58F2" w:rsidP="00F3111D">
            <w:pPr>
              <w:pStyle w:val="TableText"/>
              <w:ind w:right="288"/>
              <w:jc w:val="right"/>
            </w:pPr>
            <w:r w:rsidRPr="00463667">
              <w:t>13</w:t>
            </w:r>
          </w:p>
        </w:tc>
        <w:tc>
          <w:tcPr>
            <w:tcW w:w="579" w:type="pct"/>
          </w:tcPr>
          <w:p w14:paraId="60AB12B2" w14:textId="77777777" w:rsidR="001E58F2" w:rsidRPr="00463667" w:rsidRDefault="001E58F2" w:rsidP="00F3111D">
            <w:pPr>
              <w:pStyle w:val="TableText"/>
            </w:pPr>
            <w:r w:rsidRPr="00463667">
              <w:t>Count</w:t>
            </w:r>
          </w:p>
        </w:tc>
        <w:tc>
          <w:tcPr>
            <w:tcW w:w="2798" w:type="pct"/>
          </w:tcPr>
          <w:p w14:paraId="1DF912E7" w14:textId="77777777" w:rsidR="001E58F2" w:rsidRPr="00463667" w:rsidRDefault="001E58F2" w:rsidP="00F3111D">
            <w:pPr>
              <w:pStyle w:val="TableText"/>
            </w:pPr>
            <w:r w:rsidRPr="00463667">
              <w:t>Inpatient Facility: Nonacute: Days</w:t>
            </w:r>
          </w:p>
        </w:tc>
      </w:tr>
      <w:tr w:rsidR="001E58F2" w:rsidRPr="00463667" w14:paraId="7D8CCC0B" w14:textId="77777777" w:rsidTr="00F3111D">
        <w:trPr>
          <w:cantSplit/>
        </w:trPr>
        <w:tc>
          <w:tcPr>
            <w:tcW w:w="598" w:type="pct"/>
            <w:tcBorders>
              <w:top w:val="nil"/>
              <w:left w:val="nil"/>
              <w:bottom w:val="nil"/>
              <w:right w:val="nil"/>
            </w:tcBorders>
            <w:vAlign w:val="center"/>
          </w:tcPr>
          <w:p w14:paraId="5D9DFBA9" w14:textId="77777777" w:rsidR="001E58F2" w:rsidRPr="00463667" w:rsidRDefault="001E58F2" w:rsidP="00F3111D">
            <w:pPr>
              <w:pStyle w:val="TableText"/>
            </w:pPr>
          </w:p>
        </w:tc>
        <w:tc>
          <w:tcPr>
            <w:tcW w:w="465" w:type="pct"/>
            <w:tcBorders>
              <w:top w:val="nil"/>
              <w:left w:val="nil"/>
              <w:bottom w:val="nil"/>
              <w:right w:val="nil"/>
            </w:tcBorders>
            <w:vAlign w:val="center"/>
          </w:tcPr>
          <w:p w14:paraId="10CC5CB0" w14:textId="77777777" w:rsidR="001E58F2" w:rsidRPr="00463667" w:rsidRDefault="001E58F2" w:rsidP="00F3111D">
            <w:pPr>
              <w:pStyle w:val="TableText"/>
            </w:pPr>
          </w:p>
        </w:tc>
        <w:tc>
          <w:tcPr>
            <w:tcW w:w="561" w:type="pct"/>
            <w:tcBorders>
              <w:left w:val="nil"/>
              <w:bottom w:val="nil"/>
            </w:tcBorders>
          </w:tcPr>
          <w:p w14:paraId="0B0C7AB2" w14:textId="77777777" w:rsidR="001E58F2" w:rsidRPr="00463667" w:rsidRDefault="001E58F2" w:rsidP="00F3111D">
            <w:pPr>
              <w:pStyle w:val="TableText"/>
            </w:pPr>
          </w:p>
        </w:tc>
        <w:tc>
          <w:tcPr>
            <w:tcW w:w="579" w:type="pct"/>
          </w:tcPr>
          <w:p w14:paraId="78CBBF53" w14:textId="77777777" w:rsidR="001E58F2" w:rsidRPr="00463667" w:rsidRDefault="001E58F2" w:rsidP="00F3111D">
            <w:pPr>
              <w:pStyle w:val="TableText"/>
            </w:pPr>
            <w:r w:rsidRPr="00463667">
              <w:t>Count</w:t>
            </w:r>
          </w:p>
        </w:tc>
        <w:tc>
          <w:tcPr>
            <w:tcW w:w="2798" w:type="pct"/>
          </w:tcPr>
          <w:p w14:paraId="3B77C9FD" w14:textId="77777777" w:rsidR="001E58F2" w:rsidRPr="00463667" w:rsidRDefault="001E58F2" w:rsidP="00F3111D">
            <w:pPr>
              <w:pStyle w:val="TableText"/>
            </w:pPr>
            <w:r w:rsidRPr="00463667">
              <w:t>Inpatient Facility: Nonacute: Discharges</w:t>
            </w:r>
          </w:p>
        </w:tc>
      </w:tr>
      <w:tr w:rsidR="001E58F2" w:rsidRPr="00463667" w14:paraId="52415887" w14:textId="77777777" w:rsidTr="00F3111D">
        <w:trPr>
          <w:cantSplit/>
        </w:trPr>
        <w:tc>
          <w:tcPr>
            <w:tcW w:w="598" w:type="pct"/>
            <w:tcBorders>
              <w:top w:val="nil"/>
              <w:left w:val="nil"/>
              <w:bottom w:val="nil"/>
              <w:right w:val="nil"/>
            </w:tcBorders>
            <w:vAlign w:val="center"/>
          </w:tcPr>
          <w:p w14:paraId="1D7CB9BC" w14:textId="77777777" w:rsidR="001E58F2" w:rsidRPr="00463667" w:rsidRDefault="001E58F2" w:rsidP="00F3111D">
            <w:pPr>
              <w:pStyle w:val="TableText"/>
            </w:pPr>
          </w:p>
        </w:tc>
        <w:tc>
          <w:tcPr>
            <w:tcW w:w="465" w:type="pct"/>
            <w:tcBorders>
              <w:top w:val="nil"/>
              <w:left w:val="nil"/>
              <w:bottom w:val="nil"/>
              <w:right w:val="nil"/>
            </w:tcBorders>
            <w:vAlign w:val="center"/>
          </w:tcPr>
          <w:p w14:paraId="54EE1EF6" w14:textId="77777777" w:rsidR="001E58F2" w:rsidRPr="00463667" w:rsidRDefault="001E58F2" w:rsidP="00F3111D">
            <w:pPr>
              <w:pStyle w:val="TableText"/>
            </w:pPr>
          </w:p>
        </w:tc>
        <w:tc>
          <w:tcPr>
            <w:tcW w:w="561" w:type="pct"/>
            <w:tcBorders>
              <w:top w:val="nil"/>
              <w:left w:val="nil"/>
              <w:bottom w:val="nil"/>
            </w:tcBorders>
          </w:tcPr>
          <w:p w14:paraId="4E26B003" w14:textId="77777777" w:rsidR="001E58F2" w:rsidRPr="00463667" w:rsidRDefault="001E58F2" w:rsidP="00F3111D">
            <w:pPr>
              <w:pStyle w:val="TableText"/>
            </w:pPr>
          </w:p>
        </w:tc>
        <w:tc>
          <w:tcPr>
            <w:tcW w:w="579" w:type="pct"/>
          </w:tcPr>
          <w:p w14:paraId="3D3B4B77" w14:textId="77777777" w:rsidR="001E58F2" w:rsidRPr="00463667" w:rsidRDefault="001E58F2" w:rsidP="00F3111D">
            <w:pPr>
              <w:pStyle w:val="TableText"/>
            </w:pPr>
            <w:r w:rsidRPr="00463667">
              <w:t>Count</w:t>
            </w:r>
          </w:p>
        </w:tc>
        <w:tc>
          <w:tcPr>
            <w:tcW w:w="2798" w:type="pct"/>
          </w:tcPr>
          <w:p w14:paraId="26CAEF0C" w14:textId="77777777" w:rsidR="001E58F2" w:rsidRPr="00463667" w:rsidRDefault="001E58F2" w:rsidP="00F3111D">
            <w:pPr>
              <w:pStyle w:val="TableText"/>
            </w:pPr>
            <w:r w:rsidRPr="00463667">
              <w:t>ED Discharges</w:t>
            </w:r>
          </w:p>
        </w:tc>
      </w:tr>
      <w:tr w:rsidR="001E58F2" w:rsidRPr="00463667" w14:paraId="62D90AE2" w14:textId="77777777" w:rsidTr="00F3111D">
        <w:trPr>
          <w:cantSplit/>
        </w:trPr>
        <w:tc>
          <w:tcPr>
            <w:tcW w:w="598" w:type="pct"/>
            <w:tcBorders>
              <w:top w:val="nil"/>
              <w:left w:val="nil"/>
              <w:bottom w:val="nil"/>
              <w:right w:val="nil"/>
            </w:tcBorders>
            <w:vAlign w:val="center"/>
          </w:tcPr>
          <w:p w14:paraId="2FEE2396" w14:textId="77777777" w:rsidR="001E58F2" w:rsidRPr="00463667" w:rsidRDefault="001E58F2" w:rsidP="00F3111D">
            <w:pPr>
              <w:pStyle w:val="TableText"/>
            </w:pPr>
          </w:p>
        </w:tc>
        <w:tc>
          <w:tcPr>
            <w:tcW w:w="465" w:type="pct"/>
            <w:tcBorders>
              <w:top w:val="nil"/>
              <w:left w:val="nil"/>
              <w:bottom w:val="nil"/>
              <w:right w:val="nil"/>
            </w:tcBorders>
            <w:vAlign w:val="center"/>
          </w:tcPr>
          <w:p w14:paraId="5DD80496" w14:textId="77777777" w:rsidR="001E58F2" w:rsidRPr="00463667" w:rsidRDefault="001E58F2" w:rsidP="00F3111D">
            <w:pPr>
              <w:pStyle w:val="TableText"/>
            </w:pPr>
          </w:p>
        </w:tc>
        <w:tc>
          <w:tcPr>
            <w:tcW w:w="561" w:type="pct"/>
            <w:tcBorders>
              <w:top w:val="nil"/>
              <w:left w:val="nil"/>
              <w:bottom w:val="nil"/>
              <w:right w:val="single" w:sz="4" w:space="0" w:color="auto"/>
            </w:tcBorders>
          </w:tcPr>
          <w:p w14:paraId="4334D931" w14:textId="77777777" w:rsidR="001E58F2" w:rsidRPr="00463667" w:rsidRDefault="001E58F2" w:rsidP="00F3111D">
            <w:pPr>
              <w:pStyle w:val="TableText"/>
            </w:pPr>
          </w:p>
        </w:tc>
        <w:tc>
          <w:tcPr>
            <w:tcW w:w="579" w:type="pct"/>
            <w:tcBorders>
              <w:top w:val="single" w:sz="4" w:space="0" w:color="auto"/>
              <w:left w:val="single" w:sz="4" w:space="0" w:color="auto"/>
              <w:bottom w:val="single" w:sz="4" w:space="0" w:color="auto"/>
              <w:right w:val="single" w:sz="4" w:space="0" w:color="auto"/>
            </w:tcBorders>
          </w:tcPr>
          <w:p w14:paraId="5D7CF973" w14:textId="77777777" w:rsidR="001E58F2" w:rsidRPr="00463667" w:rsidRDefault="001E58F2" w:rsidP="00F3111D">
            <w:pPr>
              <w:pStyle w:val="TableText"/>
            </w:pPr>
            <w:r w:rsidRPr="00463667">
              <w:t>Mem</w:t>
            </w:r>
          </w:p>
        </w:tc>
        <w:tc>
          <w:tcPr>
            <w:tcW w:w="2798" w:type="pct"/>
            <w:tcBorders>
              <w:top w:val="single" w:sz="4" w:space="0" w:color="auto"/>
              <w:left w:val="single" w:sz="4" w:space="0" w:color="auto"/>
              <w:bottom w:val="single" w:sz="4" w:space="0" w:color="auto"/>
              <w:right w:val="single" w:sz="4" w:space="0" w:color="auto"/>
            </w:tcBorders>
          </w:tcPr>
          <w:p w14:paraId="1E7AAA04" w14:textId="77777777" w:rsidR="001E58F2" w:rsidRPr="00463667" w:rsidRDefault="001E58F2" w:rsidP="00F3111D">
            <w:pPr>
              <w:pStyle w:val="TableText"/>
            </w:pPr>
            <w:r w:rsidRPr="00463667">
              <w:t>Member Months Medical</w:t>
            </w:r>
          </w:p>
        </w:tc>
      </w:tr>
      <w:tr w:rsidR="001E58F2" w:rsidRPr="00463667" w14:paraId="226C5526" w14:textId="77777777" w:rsidTr="00F3111D">
        <w:trPr>
          <w:cantSplit/>
        </w:trPr>
        <w:tc>
          <w:tcPr>
            <w:tcW w:w="598" w:type="pct"/>
            <w:tcBorders>
              <w:top w:val="nil"/>
              <w:left w:val="nil"/>
              <w:bottom w:val="nil"/>
              <w:right w:val="nil"/>
            </w:tcBorders>
            <w:vAlign w:val="center"/>
          </w:tcPr>
          <w:p w14:paraId="3B83591E" w14:textId="77777777" w:rsidR="001E58F2" w:rsidRPr="00463667" w:rsidRDefault="001E58F2" w:rsidP="00F3111D">
            <w:pPr>
              <w:pStyle w:val="TableText"/>
            </w:pPr>
          </w:p>
        </w:tc>
        <w:tc>
          <w:tcPr>
            <w:tcW w:w="465" w:type="pct"/>
            <w:tcBorders>
              <w:top w:val="nil"/>
              <w:left w:val="nil"/>
              <w:bottom w:val="nil"/>
              <w:right w:val="nil"/>
            </w:tcBorders>
            <w:vAlign w:val="center"/>
          </w:tcPr>
          <w:p w14:paraId="38FEA5A5" w14:textId="77777777" w:rsidR="001E58F2" w:rsidRPr="00463667" w:rsidRDefault="001E58F2" w:rsidP="00F3111D">
            <w:pPr>
              <w:pStyle w:val="TableText"/>
            </w:pPr>
          </w:p>
        </w:tc>
        <w:tc>
          <w:tcPr>
            <w:tcW w:w="561" w:type="pct"/>
            <w:tcBorders>
              <w:top w:val="nil"/>
              <w:left w:val="nil"/>
              <w:bottom w:val="nil"/>
              <w:right w:val="single" w:sz="4" w:space="0" w:color="auto"/>
            </w:tcBorders>
          </w:tcPr>
          <w:p w14:paraId="1C258B4D" w14:textId="77777777" w:rsidR="001E58F2" w:rsidRPr="00463667" w:rsidRDefault="001E58F2" w:rsidP="00F3111D">
            <w:pPr>
              <w:pStyle w:val="TableText"/>
            </w:pPr>
          </w:p>
        </w:tc>
        <w:tc>
          <w:tcPr>
            <w:tcW w:w="579" w:type="pct"/>
            <w:tcBorders>
              <w:top w:val="single" w:sz="4" w:space="0" w:color="auto"/>
              <w:left w:val="single" w:sz="4" w:space="0" w:color="auto"/>
              <w:bottom w:val="single" w:sz="4" w:space="0" w:color="auto"/>
              <w:right w:val="single" w:sz="4" w:space="0" w:color="auto"/>
            </w:tcBorders>
          </w:tcPr>
          <w:p w14:paraId="675DD313" w14:textId="77777777" w:rsidR="001E58F2" w:rsidRPr="00463667" w:rsidRDefault="001E58F2" w:rsidP="00F3111D">
            <w:pPr>
              <w:pStyle w:val="TableText"/>
            </w:pPr>
            <w:r w:rsidRPr="00463667">
              <w:t>Mem</w:t>
            </w:r>
          </w:p>
        </w:tc>
        <w:tc>
          <w:tcPr>
            <w:tcW w:w="2798" w:type="pct"/>
            <w:tcBorders>
              <w:top w:val="single" w:sz="4" w:space="0" w:color="auto"/>
              <w:left w:val="single" w:sz="4" w:space="0" w:color="auto"/>
              <w:bottom w:val="single" w:sz="4" w:space="0" w:color="auto"/>
              <w:right w:val="single" w:sz="4" w:space="0" w:color="auto"/>
            </w:tcBorders>
          </w:tcPr>
          <w:p w14:paraId="15777265" w14:textId="77777777" w:rsidR="001E58F2" w:rsidRPr="00463667" w:rsidRDefault="001E58F2" w:rsidP="00F3111D">
            <w:pPr>
              <w:pStyle w:val="TableText"/>
            </w:pPr>
            <w:r w:rsidRPr="00463667">
              <w:t>Member Months Pharmacy</w:t>
            </w:r>
          </w:p>
        </w:tc>
      </w:tr>
    </w:tbl>
    <w:p w14:paraId="310B5F15" w14:textId="77777777" w:rsidR="001E58F2" w:rsidRPr="00463667" w:rsidRDefault="001E58F2" w:rsidP="001E58F2">
      <w:pPr>
        <w:sectPr w:rsidR="001E58F2" w:rsidRPr="00463667" w:rsidSect="00C56CA6">
          <w:pgSz w:w="12240" w:h="15840" w:code="1"/>
          <w:pgMar w:top="1080" w:right="1080" w:bottom="1080" w:left="1440" w:header="720" w:footer="720" w:gutter="0"/>
          <w:cols w:space="720"/>
          <w:docGrid w:linePitch="272"/>
        </w:sectPr>
      </w:pPr>
    </w:p>
    <w:p w14:paraId="1C4B7F06" w14:textId="77777777" w:rsidR="001E58F2" w:rsidRPr="00463667" w:rsidRDefault="001E58F2" w:rsidP="00FC1D3A">
      <w:pPr>
        <w:pStyle w:val="TableHeadNotCondensed"/>
        <w:spacing w:before="0"/>
        <w:ind w:left="1800" w:hanging="1800"/>
      </w:pPr>
      <w:r w:rsidRPr="00DB46BD">
        <w:lastRenderedPageBreak/>
        <w:t>Table RAS-B-2:</w:t>
      </w:r>
      <w:r w:rsidRPr="00DB46BD">
        <w:tab/>
        <w:t xml:space="preserve">Data Elements for Relative Resource Use for People </w:t>
      </w:r>
      <w:r w:rsidRPr="00DB46BD">
        <w:br/>
        <w:t>With Asthma</w:t>
      </w:r>
    </w:p>
    <w:tbl>
      <w:tblPr>
        <w:tblW w:w="38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5"/>
        <w:gridCol w:w="704"/>
        <w:gridCol w:w="850"/>
        <w:gridCol w:w="877"/>
        <w:gridCol w:w="4236"/>
      </w:tblGrid>
      <w:tr w:rsidR="001E58F2" w:rsidRPr="00463667" w14:paraId="13D49EBC" w14:textId="77777777" w:rsidTr="00F3111D">
        <w:trPr>
          <w:cantSplit/>
        </w:trPr>
        <w:tc>
          <w:tcPr>
            <w:tcW w:w="598" w:type="pct"/>
            <w:tcBorders>
              <w:right w:val="single" w:sz="6" w:space="0" w:color="FFFFFF"/>
            </w:tcBorders>
            <w:shd w:val="clear" w:color="auto" w:fill="000000"/>
            <w:vAlign w:val="bottom"/>
          </w:tcPr>
          <w:p w14:paraId="1754CD38" w14:textId="77777777" w:rsidR="001E58F2" w:rsidRPr="00463667" w:rsidRDefault="001E58F2" w:rsidP="00F3111D">
            <w:pPr>
              <w:pStyle w:val="TableHead"/>
              <w:rPr>
                <w:color w:val="auto"/>
              </w:rPr>
            </w:pPr>
            <w:r w:rsidRPr="00463667">
              <w:rPr>
                <w:color w:val="auto"/>
              </w:rPr>
              <w:t>Gender</w:t>
            </w:r>
          </w:p>
        </w:tc>
        <w:tc>
          <w:tcPr>
            <w:tcW w:w="465" w:type="pct"/>
            <w:tcBorders>
              <w:left w:val="single" w:sz="6" w:space="0" w:color="FFFFFF"/>
              <w:right w:val="single" w:sz="6" w:space="0" w:color="FFFFFF"/>
            </w:tcBorders>
            <w:shd w:val="clear" w:color="auto" w:fill="000000"/>
            <w:vAlign w:val="bottom"/>
          </w:tcPr>
          <w:p w14:paraId="2B518E20" w14:textId="77777777" w:rsidR="001E58F2" w:rsidRPr="00463667" w:rsidRDefault="001E58F2" w:rsidP="00F3111D">
            <w:pPr>
              <w:pStyle w:val="TableHead"/>
              <w:rPr>
                <w:color w:val="auto"/>
              </w:rPr>
            </w:pPr>
            <w:r w:rsidRPr="00463667">
              <w:rPr>
                <w:color w:val="auto"/>
              </w:rPr>
              <w:t>Age</w:t>
            </w:r>
          </w:p>
        </w:tc>
        <w:tc>
          <w:tcPr>
            <w:tcW w:w="561" w:type="pct"/>
            <w:tcBorders>
              <w:left w:val="single" w:sz="6" w:space="0" w:color="FFFFFF"/>
              <w:right w:val="single" w:sz="6" w:space="0" w:color="FFFFFF"/>
            </w:tcBorders>
            <w:shd w:val="clear" w:color="auto" w:fill="000000"/>
            <w:vAlign w:val="bottom"/>
          </w:tcPr>
          <w:p w14:paraId="72C61E9D" w14:textId="77777777" w:rsidR="001E58F2" w:rsidRPr="00463667" w:rsidRDefault="001E58F2" w:rsidP="00F3111D">
            <w:pPr>
              <w:pStyle w:val="TableHead"/>
              <w:rPr>
                <w:color w:val="auto"/>
              </w:rPr>
            </w:pPr>
            <w:r w:rsidRPr="00463667">
              <w:rPr>
                <w:color w:val="auto"/>
              </w:rPr>
              <w:t>Risk Group</w:t>
            </w:r>
          </w:p>
        </w:tc>
        <w:tc>
          <w:tcPr>
            <w:tcW w:w="579" w:type="pct"/>
            <w:tcBorders>
              <w:left w:val="single" w:sz="6" w:space="0" w:color="FFFFFF"/>
              <w:right w:val="single" w:sz="6" w:space="0" w:color="FFFFFF"/>
            </w:tcBorders>
            <w:shd w:val="clear" w:color="auto" w:fill="000000"/>
            <w:vAlign w:val="bottom"/>
          </w:tcPr>
          <w:p w14:paraId="359167B2" w14:textId="77777777" w:rsidR="001E58F2" w:rsidRPr="00463667" w:rsidRDefault="001E58F2" w:rsidP="00F3111D">
            <w:pPr>
              <w:pStyle w:val="TableHead"/>
              <w:rPr>
                <w:color w:val="auto"/>
              </w:rPr>
            </w:pPr>
            <w:r w:rsidRPr="00463667">
              <w:rPr>
                <w:color w:val="auto"/>
              </w:rPr>
              <w:t>Type</w:t>
            </w:r>
          </w:p>
        </w:tc>
        <w:tc>
          <w:tcPr>
            <w:tcW w:w="2797" w:type="pct"/>
            <w:tcBorders>
              <w:left w:val="single" w:sz="6" w:space="0" w:color="FFFFFF"/>
            </w:tcBorders>
            <w:shd w:val="clear" w:color="auto" w:fill="000000"/>
            <w:vAlign w:val="bottom"/>
          </w:tcPr>
          <w:p w14:paraId="2643D87B" w14:textId="77777777" w:rsidR="001E58F2" w:rsidRPr="00463667" w:rsidRDefault="001E58F2" w:rsidP="00F3111D">
            <w:pPr>
              <w:pStyle w:val="TableHead"/>
              <w:rPr>
                <w:color w:val="auto"/>
              </w:rPr>
            </w:pPr>
            <w:r w:rsidRPr="00463667">
              <w:rPr>
                <w:color w:val="auto"/>
              </w:rPr>
              <w:t>Metric Specification Name</w:t>
            </w:r>
          </w:p>
        </w:tc>
      </w:tr>
      <w:tr w:rsidR="001E58F2" w:rsidRPr="00463667" w14:paraId="5E5C998F" w14:textId="77777777" w:rsidTr="00F3111D">
        <w:trPr>
          <w:cantSplit/>
        </w:trPr>
        <w:tc>
          <w:tcPr>
            <w:tcW w:w="598" w:type="pct"/>
            <w:vAlign w:val="center"/>
          </w:tcPr>
          <w:p w14:paraId="5EDA40AD" w14:textId="77777777" w:rsidR="001E58F2" w:rsidRPr="00463667" w:rsidRDefault="001E58F2" w:rsidP="00F3111D">
            <w:pPr>
              <w:pStyle w:val="TableText"/>
            </w:pPr>
            <w:r w:rsidRPr="00463667">
              <w:t>Male</w:t>
            </w:r>
          </w:p>
        </w:tc>
        <w:tc>
          <w:tcPr>
            <w:tcW w:w="465" w:type="pct"/>
          </w:tcPr>
          <w:p w14:paraId="75F01765" w14:textId="77777777" w:rsidR="001E58F2" w:rsidRPr="00463667" w:rsidRDefault="001E58F2" w:rsidP="00F3111D">
            <w:pPr>
              <w:pStyle w:val="TableText"/>
            </w:pPr>
            <w:r w:rsidRPr="00463667">
              <w:t>5-17</w:t>
            </w:r>
          </w:p>
        </w:tc>
        <w:tc>
          <w:tcPr>
            <w:tcW w:w="561" w:type="pct"/>
          </w:tcPr>
          <w:p w14:paraId="16BE62C6" w14:textId="77777777" w:rsidR="001E58F2" w:rsidRPr="00463667" w:rsidRDefault="001E58F2" w:rsidP="00F3111D">
            <w:pPr>
              <w:pStyle w:val="TableText"/>
              <w:ind w:right="288"/>
              <w:jc w:val="right"/>
            </w:pPr>
            <w:r w:rsidRPr="00463667">
              <w:t>1</w:t>
            </w:r>
          </w:p>
        </w:tc>
        <w:tc>
          <w:tcPr>
            <w:tcW w:w="579" w:type="pct"/>
          </w:tcPr>
          <w:p w14:paraId="20DFFAC2" w14:textId="77777777" w:rsidR="001E58F2" w:rsidRPr="00463667" w:rsidRDefault="001E58F2" w:rsidP="00F3111D">
            <w:pPr>
              <w:pStyle w:val="TableText"/>
            </w:pPr>
            <w:r w:rsidRPr="00463667">
              <w:t>Cost</w:t>
            </w:r>
          </w:p>
        </w:tc>
        <w:tc>
          <w:tcPr>
            <w:tcW w:w="2797" w:type="pct"/>
          </w:tcPr>
          <w:p w14:paraId="4BA39A20" w14:textId="77777777" w:rsidR="001E58F2" w:rsidRPr="00463667" w:rsidRDefault="001E58F2" w:rsidP="00F3111D">
            <w:pPr>
              <w:pStyle w:val="TableText"/>
            </w:pPr>
            <w:r w:rsidRPr="00463667">
              <w:t>Inpatient Facility</w:t>
            </w:r>
          </w:p>
        </w:tc>
      </w:tr>
      <w:tr w:rsidR="001E58F2" w:rsidRPr="00463667" w14:paraId="19068758" w14:textId="77777777" w:rsidTr="00F3111D">
        <w:trPr>
          <w:cantSplit/>
        </w:trPr>
        <w:tc>
          <w:tcPr>
            <w:tcW w:w="598" w:type="pct"/>
            <w:vAlign w:val="center"/>
          </w:tcPr>
          <w:p w14:paraId="217BFE49" w14:textId="77777777" w:rsidR="001E58F2" w:rsidRPr="00463667" w:rsidRDefault="001E58F2" w:rsidP="00F3111D">
            <w:pPr>
              <w:pStyle w:val="TableText"/>
            </w:pPr>
            <w:r w:rsidRPr="00463667">
              <w:t>Female</w:t>
            </w:r>
          </w:p>
        </w:tc>
        <w:tc>
          <w:tcPr>
            <w:tcW w:w="465" w:type="pct"/>
          </w:tcPr>
          <w:p w14:paraId="2CD6E93F" w14:textId="77777777" w:rsidR="001E58F2" w:rsidRPr="00463667" w:rsidRDefault="001E58F2" w:rsidP="00F3111D">
            <w:pPr>
              <w:pStyle w:val="TableText"/>
            </w:pPr>
            <w:r w:rsidRPr="00463667">
              <w:t>18-44</w:t>
            </w:r>
          </w:p>
        </w:tc>
        <w:tc>
          <w:tcPr>
            <w:tcW w:w="561" w:type="pct"/>
          </w:tcPr>
          <w:p w14:paraId="4BBEEE9A" w14:textId="77777777" w:rsidR="001E58F2" w:rsidRPr="00463667" w:rsidRDefault="001E58F2" w:rsidP="00F3111D">
            <w:pPr>
              <w:pStyle w:val="TableText"/>
              <w:ind w:right="288"/>
              <w:jc w:val="right"/>
            </w:pPr>
            <w:r w:rsidRPr="00463667">
              <w:t>2</w:t>
            </w:r>
          </w:p>
        </w:tc>
        <w:tc>
          <w:tcPr>
            <w:tcW w:w="579" w:type="pct"/>
          </w:tcPr>
          <w:p w14:paraId="76D4662E" w14:textId="77777777" w:rsidR="001E58F2" w:rsidRPr="00463667" w:rsidRDefault="001E58F2" w:rsidP="00F3111D">
            <w:pPr>
              <w:pStyle w:val="TableText"/>
            </w:pPr>
            <w:r w:rsidRPr="00463667">
              <w:t>Cost</w:t>
            </w:r>
          </w:p>
        </w:tc>
        <w:tc>
          <w:tcPr>
            <w:tcW w:w="2797" w:type="pct"/>
          </w:tcPr>
          <w:p w14:paraId="4D60E38D" w14:textId="77777777" w:rsidR="001E58F2" w:rsidRPr="00463667" w:rsidRDefault="001E58F2" w:rsidP="00F3111D">
            <w:pPr>
              <w:pStyle w:val="TableText"/>
            </w:pPr>
            <w:r w:rsidRPr="00463667">
              <w:t>E&amp;M Inpatient Services</w:t>
            </w:r>
          </w:p>
        </w:tc>
      </w:tr>
      <w:tr w:rsidR="001E58F2" w:rsidRPr="00463667" w14:paraId="677657AC" w14:textId="77777777" w:rsidTr="00F3111D">
        <w:trPr>
          <w:cantSplit/>
        </w:trPr>
        <w:tc>
          <w:tcPr>
            <w:tcW w:w="598" w:type="pct"/>
            <w:tcBorders>
              <w:left w:val="nil"/>
              <w:bottom w:val="nil"/>
            </w:tcBorders>
            <w:vAlign w:val="center"/>
          </w:tcPr>
          <w:p w14:paraId="2A82FCC2" w14:textId="77777777" w:rsidR="001E58F2" w:rsidRPr="00463667" w:rsidRDefault="001E58F2" w:rsidP="00F3111D">
            <w:pPr>
              <w:pStyle w:val="TableText"/>
            </w:pPr>
          </w:p>
        </w:tc>
        <w:tc>
          <w:tcPr>
            <w:tcW w:w="465" w:type="pct"/>
          </w:tcPr>
          <w:p w14:paraId="7E276462" w14:textId="77777777" w:rsidR="001E58F2" w:rsidRPr="00463667" w:rsidRDefault="001E58F2" w:rsidP="00F3111D">
            <w:pPr>
              <w:pStyle w:val="TableText"/>
            </w:pPr>
            <w:r w:rsidRPr="00463667">
              <w:t>45-54</w:t>
            </w:r>
          </w:p>
        </w:tc>
        <w:tc>
          <w:tcPr>
            <w:tcW w:w="561" w:type="pct"/>
          </w:tcPr>
          <w:p w14:paraId="4842EF80" w14:textId="77777777" w:rsidR="001E58F2" w:rsidRPr="00463667" w:rsidRDefault="001E58F2" w:rsidP="00F3111D">
            <w:pPr>
              <w:pStyle w:val="TableText"/>
              <w:ind w:right="288"/>
              <w:jc w:val="right"/>
            </w:pPr>
            <w:r w:rsidRPr="00463667">
              <w:t>3</w:t>
            </w:r>
          </w:p>
        </w:tc>
        <w:tc>
          <w:tcPr>
            <w:tcW w:w="579" w:type="pct"/>
          </w:tcPr>
          <w:p w14:paraId="4AEACA8E" w14:textId="77777777" w:rsidR="001E58F2" w:rsidRPr="00463667" w:rsidRDefault="001E58F2" w:rsidP="00F3111D">
            <w:pPr>
              <w:pStyle w:val="TableText"/>
            </w:pPr>
            <w:r w:rsidRPr="00463667">
              <w:t>Cost</w:t>
            </w:r>
          </w:p>
        </w:tc>
        <w:tc>
          <w:tcPr>
            <w:tcW w:w="2797" w:type="pct"/>
          </w:tcPr>
          <w:p w14:paraId="2C69873F" w14:textId="77777777" w:rsidR="001E58F2" w:rsidRPr="00463667" w:rsidRDefault="001E58F2" w:rsidP="00F3111D">
            <w:pPr>
              <w:pStyle w:val="TableText"/>
            </w:pPr>
            <w:r w:rsidRPr="00463667">
              <w:t>E&amp;M Outpatient Services</w:t>
            </w:r>
          </w:p>
        </w:tc>
      </w:tr>
      <w:tr w:rsidR="001E58F2" w:rsidRPr="00463667" w14:paraId="2DC60B6D" w14:textId="77777777" w:rsidTr="00F3111D">
        <w:trPr>
          <w:cantSplit/>
        </w:trPr>
        <w:tc>
          <w:tcPr>
            <w:tcW w:w="598" w:type="pct"/>
            <w:tcBorders>
              <w:top w:val="nil"/>
              <w:left w:val="nil"/>
              <w:bottom w:val="nil"/>
              <w:right w:val="nil"/>
            </w:tcBorders>
            <w:vAlign w:val="center"/>
          </w:tcPr>
          <w:p w14:paraId="420E4EE1" w14:textId="77777777" w:rsidR="001E58F2" w:rsidRPr="00463667" w:rsidRDefault="001E58F2" w:rsidP="00F3111D">
            <w:pPr>
              <w:pStyle w:val="TableText"/>
            </w:pPr>
          </w:p>
        </w:tc>
        <w:tc>
          <w:tcPr>
            <w:tcW w:w="465" w:type="pct"/>
            <w:tcBorders>
              <w:bottom w:val="single" w:sz="4" w:space="0" w:color="auto"/>
            </w:tcBorders>
          </w:tcPr>
          <w:p w14:paraId="39F4EF12" w14:textId="77777777" w:rsidR="001E58F2" w:rsidRPr="00463667" w:rsidRDefault="001E58F2" w:rsidP="00F3111D">
            <w:pPr>
              <w:pStyle w:val="TableText"/>
            </w:pPr>
            <w:r w:rsidRPr="00463667">
              <w:t>55-64</w:t>
            </w:r>
          </w:p>
        </w:tc>
        <w:tc>
          <w:tcPr>
            <w:tcW w:w="561" w:type="pct"/>
          </w:tcPr>
          <w:p w14:paraId="04845D82" w14:textId="77777777" w:rsidR="001E58F2" w:rsidRPr="00463667" w:rsidRDefault="001E58F2" w:rsidP="00F3111D">
            <w:pPr>
              <w:pStyle w:val="TableText"/>
              <w:ind w:right="288"/>
              <w:jc w:val="right"/>
            </w:pPr>
            <w:r w:rsidRPr="00463667">
              <w:t>4</w:t>
            </w:r>
          </w:p>
        </w:tc>
        <w:tc>
          <w:tcPr>
            <w:tcW w:w="579" w:type="pct"/>
          </w:tcPr>
          <w:p w14:paraId="65040124" w14:textId="77777777" w:rsidR="001E58F2" w:rsidRPr="00463667" w:rsidRDefault="001E58F2" w:rsidP="00F3111D">
            <w:pPr>
              <w:pStyle w:val="TableText"/>
            </w:pPr>
            <w:r w:rsidRPr="00463667">
              <w:t>Cost</w:t>
            </w:r>
          </w:p>
        </w:tc>
        <w:tc>
          <w:tcPr>
            <w:tcW w:w="2797" w:type="pct"/>
          </w:tcPr>
          <w:p w14:paraId="65ACB5C4" w14:textId="77777777" w:rsidR="001E58F2" w:rsidRPr="00463667" w:rsidRDefault="001E58F2" w:rsidP="00F3111D">
            <w:pPr>
              <w:pStyle w:val="TableText"/>
            </w:pPr>
            <w:r w:rsidRPr="00463667">
              <w:t>Surgery &amp; Procedure Inpatient Services</w:t>
            </w:r>
          </w:p>
        </w:tc>
      </w:tr>
      <w:tr w:rsidR="001E58F2" w:rsidRPr="00463667" w14:paraId="35D9671A" w14:textId="77777777" w:rsidTr="00F3111D">
        <w:trPr>
          <w:cantSplit/>
        </w:trPr>
        <w:tc>
          <w:tcPr>
            <w:tcW w:w="598" w:type="pct"/>
            <w:tcBorders>
              <w:top w:val="nil"/>
              <w:left w:val="nil"/>
              <w:bottom w:val="nil"/>
              <w:right w:val="single" w:sz="4" w:space="0" w:color="auto"/>
            </w:tcBorders>
            <w:vAlign w:val="center"/>
          </w:tcPr>
          <w:p w14:paraId="21B12BAB" w14:textId="77777777" w:rsidR="001E58F2" w:rsidRPr="00463667" w:rsidRDefault="001E58F2" w:rsidP="00F3111D">
            <w:pPr>
              <w:pStyle w:val="TableText"/>
            </w:pPr>
          </w:p>
        </w:tc>
        <w:tc>
          <w:tcPr>
            <w:tcW w:w="465" w:type="pct"/>
            <w:tcBorders>
              <w:left w:val="single" w:sz="4" w:space="0" w:color="auto"/>
              <w:bottom w:val="single" w:sz="4" w:space="0" w:color="auto"/>
            </w:tcBorders>
            <w:vAlign w:val="center"/>
          </w:tcPr>
          <w:p w14:paraId="24E4F525" w14:textId="77777777" w:rsidR="001E58F2" w:rsidRPr="00463667" w:rsidRDefault="001E58F2" w:rsidP="00F3111D">
            <w:pPr>
              <w:pStyle w:val="TableText"/>
            </w:pPr>
            <w:r>
              <w:t>65-85</w:t>
            </w:r>
          </w:p>
        </w:tc>
        <w:tc>
          <w:tcPr>
            <w:tcW w:w="561" w:type="pct"/>
          </w:tcPr>
          <w:p w14:paraId="7E9D64DA" w14:textId="77777777" w:rsidR="001E58F2" w:rsidRPr="00463667" w:rsidRDefault="001E58F2" w:rsidP="00F3111D">
            <w:pPr>
              <w:pStyle w:val="TableText"/>
              <w:ind w:right="288"/>
              <w:jc w:val="right"/>
            </w:pPr>
            <w:r w:rsidRPr="00463667">
              <w:t>5</w:t>
            </w:r>
          </w:p>
        </w:tc>
        <w:tc>
          <w:tcPr>
            <w:tcW w:w="579" w:type="pct"/>
          </w:tcPr>
          <w:p w14:paraId="77330C48" w14:textId="77777777" w:rsidR="001E58F2" w:rsidRPr="00463667" w:rsidRDefault="001E58F2" w:rsidP="00F3111D">
            <w:pPr>
              <w:pStyle w:val="TableText"/>
            </w:pPr>
            <w:r w:rsidRPr="00463667">
              <w:t>Cost</w:t>
            </w:r>
          </w:p>
        </w:tc>
        <w:tc>
          <w:tcPr>
            <w:tcW w:w="2797" w:type="pct"/>
          </w:tcPr>
          <w:p w14:paraId="7C6B278E" w14:textId="77777777" w:rsidR="001E58F2" w:rsidRPr="00463667" w:rsidRDefault="001E58F2" w:rsidP="00F3111D">
            <w:pPr>
              <w:pStyle w:val="TableText"/>
            </w:pPr>
            <w:r w:rsidRPr="00463667">
              <w:t>Surgery &amp; Procedure Outpatient Services</w:t>
            </w:r>
          </w:p>
        </w:tc>
      </w:tr>
      <w:tr w:rsidR="001E58F2" w:rsidRPr="00463667" w14:paraId="049F2931" w14:textId="77777777" w:rsidTr="00F3111D">
        <w:trPr>
          <w:cantSplit/>
        </w:trPr>
        <w:tc>
          <w:tcPr>
            <w:tcW w:w="598" w:type="pct"/>
            <w:tcBorders>
              <w:top w:val="nil"/>
              <w:left w:val="nil"/>
              <w:bottom w:val="nil"/>
              <w:right w:val="nil"/>
            </w:tcBorders>
            <w:vAlign w:val="center"/>
          </w:tcPr>
          <w:p w14:paraId="7055154D" w14:textId="77777777" w:rsidR="001E58F2" w:rsidRPr="00463667" w:rsidRDefault="001E58F2" w:rsidP="00F3111D">
            <w:pPr>
              <w:pStyle w:val="TableText"/>
            </w:pPr>
          </w:p>
        </w:tc>
        <w:tc>
          <w:tcPr>
            <w:tcW w:w="465" w:type="pct"/>
            <w:tcBorders>
              <w:top w:val="single" w:sz="4" w:space="0" w:color="auto"/>
              <w:left w:val="nil"/>
              <w:bottom w:val="nil"/>
            </w:tcBorders>
            <w:vAlign w:val="center"/>
          </w:tcPr>
          <w:p w14:paraId="0B1F2868" w14:textId="77777777" w:rsidR="001E58F2" w:rsidRPr="00463667" w:rsidRDefault="001E58F2" w:rsidP="00F3111D">
            <w:pPr>
              <w:pStyle w:val="TableText"/>
            </w:pPr>
          </w:p>
        </w:tc>
        <w:tc>
          <w:tcPr>
            <w:tcW w:w="561" w:type="pct"/>
          </w:tcPr>
          <w:p w14:paraId="455DD3F4" w14:textId="77777777" w:rsidR="001E58F2" w:rsidRPr="00463667" w:rsidRDefault="001E58F2" w:rsidP="00F3111D">
            <w:pPr>
              <w:pStyle w:val="TableText"/>
              <w:ind w:right="288"/>
              <w:jc w:val="right"/>
            </w:pPr>
            <w:r w:rsidRPr="00463667">
              <w:t>6</w:t>
            </w:r>
          </w:p>
        </w:tc>
        <w:tc>
          <w:tcPr>
            <w:tcW w:w="579" w:type="pct"/>
          </w:tcPr>
          <w:p w14:paraId="3B991DFE" w14:textId="77777777" w:rsidR="001E58F2" w:rsidRPr="00463667" w:rsidRDefault="001E58F2" w:rsidP="00F3111D">
            <w:pPr>
              <w:pStyle w:val="TableText"/>
            </w:pPr>
            <w:r w:rsidRPr="00463667">
              <w:t>Cost</w:t>
            </w:r>
          </w:p>
        </w:tc>
        <w:tc>
          <w:tcPr>
            <w:tcW w:w="2797" w:type="pct"/>
          </w:tcPr>
          <w:p w14:paraId="7C2077C1" w14:textId="77777777" w:rsidR="001E58F2" w:rsidRPr="00463667" w:rsidRDefault="001E58F2" w:rsidP="00F3111D">
            <w:pPr>
              <w:pStyle w:val="TableText"/>
            </w:pPr>
            <w:r w:rsidRPr="00463667">
              <w:t>Imaging Services</w:t>
            </w:r>
          </w:p>
        </w:tc>
      </w:tr>
      <w:tr w:rsidR="001E58F2" w:rsidRPr="00463667" w14:paraId="6D6B7304" w14:textId="77777777" w:rsidTr="00F3111D">
        <w:trPr>
          <w:cantSplit/>
        </w:trPr>
        <w:tc>
          <w:tcPr>
            <w:tcW w:w="598" w:type="pct"/>
            <w:tcBorders>
              <w:top w:val="nil"/>
              <w:left w:val="nil"/>
              <w:bottom w:val="nil"/>
              <w:right w:val="nil"/>
            </w:tcBorders>
            <w:vAlign w:val="center"/>
          </w:tcPr>
          <w:p w14:paraId="68FBFCDD" w14:textId="77777777" w:rsidR="001E58F2" w:rsidRPr="00463667" w:rsidRDefault="001E58F2" w:rsidP="00F3111D">
            <w:pPr>
              <w:pStyle w:val="TableText"/>
            </w:pPr>
          </w:p>
        </w:tc>
        <w:tc>
          <w:tcPr>
            <w:tcW w:w="465" w:type="pct"/>
            <w:tcBorders>
              <w:top w:val="nil"/>
              <w:left w:val="nil"/>
              <w:bottom w:val="nil"/>
            </w:tcBorders>
            <w:vAlign w:val="center"/>
          </w:tcPr>
          <w:p w14:paraId="26208FBD" w14:textId="77777777" w:rsidR="001E58F2" w:rsidRPr="00463667" w:rsidRDefault="001E58F2" w:rsidP="00F3111D">
            <w:pPr>
              <w:pStyle w:val="TableText"/>
            </w:pPr>
          </w:p>
        </w:tc>
        <w:tc>
          <w:tcPr>
            <w:tcW w:w="561" w:type="pct"/>
          </w:tcPr>
          <w:p w14:paraId="4A371D40" w14:textId="77777777" w:rsidR="001E58F2" w:rsidRPr="00463667" w:rsidRDefault="001E58F2" w:rsidP="00F3111D">
            <w:pPr>
              <w:pStyle w:val="TableText"/>
              <w:ind w:right="288"/>
              <w:jc w:val="right"/>
            </w:pPr>
            <w:r w:rsidRPr="00463667">
              <w:t>7</w:t>
            </w:r>
          </w:p>
        </w:tc>
        <w:tc>
          <w:tcPr>
            <w:tcW w:w="579" w:type="pct"/>
          </w:tcPr>
          <w:p w14:paraId="3F6A070D" w14:textId="77777777" w:rsidR="001E58F2" w:rsidRPr="00463667" w:rsidRDefault="001E58F2" w:rsidP="00F3111D">
            <w:pPr>
              <w:pStyle w:val="TableText"/>
            </w:pPr>
            <w:r w:rsidRPr="00463667">
              <w:t>Cost</w:t>
            </w:r>
          </w:p>
        </w:tc>
        <w:tc>
          <w:tcPr>
            <w:tcW w:w="2797" w:type="pct"/>
          </w:tcPr>
          <w:p w14:paraId="619D5FA7" w14:textId="77777777" w:rsidR="001E58F2" w:rsidRPr="00463667" w:rsidRDefault="001E58F2" w:rsidP="00F3111D">
            <w:pPr>
              <w:pStyle w:val="TableText"/>
            </w:pPr>
            <w:r w:rsidRPr="00463667">
              <w:t>Laboratory Services</w:t>
            </w:r>
          </w:p>
        </w:tc>
      </w:tr>
      <w:tr w:rsidR="001E58F2" w:rsidRPr="00463667" w14:paraId="731B9748" w14:textId="77777777" w:rsidTr="00F3111D">
        <w:trPr>
          <w:cantSplit/>
        </w:trPr>
        <w:tc>
          <w:tcPr>
            <w:tcW w:w="598" w:type="pct"/>
            <w:tcBorders>
              <w:top w:val="nil"/>
              <w:left w:val="nil"/>
              <w:bottom w:val="nil"/>
              <w:right w:val="nil"/>
            </w:tcBorders>
            <w:vAlign w:val="center"/>
          </w:tcPr>
          <w:p w14:paraId="4E284921" w14:textId="77777777" w:rsidR="001E58F2" w:rsidRPr="00463667" w:rsidRDefault="001E58F2" w:rsidP="00F3111D">
            <w:pPr>
              <w:pStyle w:val="TableText"/>
            </w:pPr>
          </w:p>
        </w:tc>
        <w:tc>
          <w:tcPr>
            <w:tcW w:w="465" w:type="pct"/>
            <w:tcBorders>
              <w:top w:val="nil"/>
              <w:left w:val="nil"/>
              <w:bottom w:val="nil"/>
            </w:tcBorders>
            <w:vAlign w:val="center"/>
          </w:tcPr>
          <w:p w14:paraId="7A8A4762" w14:textId="77777777" w:rsidR="001E58F2" w:rsidRPr="00463667" w:rsidRDefault="001E58F2" w:rsidP="00F3111D">
            <w:pPr>
              <w:pStyle w:val="TableText"/>
            </w:pPr>
          </w:p>
        </w:tc>
        <w:tc>
          <w:tcPr>
            <w:tcW w:w="561" w:type="pct"/>
          </w:tcPr>
          <w:p w14:paraId="25E176FC" w14:textId="77777777" w:rsidR="001E58F2" w:rsidRPr="00463667" w:rsidRDefault="001E58F2" w:rsidP="00F3111D">
            <w:pPr>
              <w:pStyle w:val="TableText"/>
              <w:ind w:right="288"/>
              <w:jc w:val="right"/>
            </w:pPr>
            <w:r w:rsidRPr="00463667">
              <w:t>8</w:t>
            </w:r>
          </w:p>
        </w:tc>
        <w:tc>
          <w:tcPr>
            <w:tcW w:w="579" w:type="pct"/>
          </w:tcPr>
          <w:p w14:paraId="559E691A" w14:textId="77777777" w:rsidR="001E58F2" w:rsidRPr="00463667" w:rsidRDefault="001E58F2" w:rsidP="00F3111D">
            <w:pPr>
              <w:pStyle w:val="TableText"/>
            </w:pPr>
            <w:r w:rsidRPr="00463667">
              <w:t>Cost</w:t>
            </w:r>
          </w:p>
        </w:tc>
        <w:tc>
          <w:tcPr>
            <w:tcW w:w="2797" w:type="pct"/>
          </w:tcPr>
          <w:p w14:paraId="3932F631" w14:textId="77777777" w:rsidR="001E58F2" w:rsidRPr="00463667" w:rsidRDefault="001E58F2" w:rsidP="00F3111D">
            <w:pPr>
              <w:pStyle w:val="TableText"/>
            </w:pPr>
            <w:r w:rsidRPr="00463667">
              <w:t>Pharmacy</w:t>
            </w:r>
          </w:p>
        </w:tc>
      </w:tr>
      <w:tr w:rsidR="001E58F2" w:rsidRPr="00463667" w14:paraId="28B1F618" w14:textId="77777777" w:rsidTr="00F3111D">
        <w:trPr>
          <w:cantSplit/>
        </w:trPr>
        <w:tc>
          <w:tcPr>
            <w:tcW w:w="598" w:type="pct"/>
            <w:tcBorders>
              <w:top w:val="nil"/>
              <w:left w:val="nil"/>
              <w:bottom w:val="nil"/>
              <w:right w:val="nil"/>
            </w:tcBorders>
            <w:vAlign w:val="center"/>
          </w:tcPr>
          <w:p w14:paraId="04878B10" w14:textId="77777777" w:rsidR="001E58F2" w:rsidRPr="00463667" w:rsidRDefault="001E58F2" w:rsidP="00F3111D">
            <w:pPr>
              <w:pStyle w:val="TableText"/>
            </w:pPr>
          </w:p>
        </w:tc>
        <w:tc>
          <w:tcPr>
            <w:tcW w:w="465" w:type="pct"/>
            <w:tcBorders>
              <w:top w:val="nil"/>
              <w:left w:val="nil"/>
              <w:bottom w:val="nil"/>
            </w:tcBorders>
            <w:vAlign w:val="center"/>
          </w:tcPr>
          <w:p w14:paraId="5EEE997C" w14:textId="77777777" w:rsidR="001E58F2" w:rsidRPr="00463667" w:rsidRDefault="001E58F2" w:rsidP="00F3111D">
            <w:pPr>
              <w:pStyle w:val="TableText"/>
            </w:pPr>
          </w:p>
        </w:tc>
        <w:tc>
          <w:tcPr>
            <w:tcW w:w="561" w:type="pct"/>
          </w:tcPr>
          <w:p w14:paraId="02831E7D" w14:textId="77777777" w:rsidR="001E58F2" w:rsidRPr="00463667" w:rsidRDefault="001E58F2" w:rsidP="00F3111D">
            <w:pPr>
              <w:pStyle w:val="TableText"/>
              <w:ind w:right="288"/>
              <w:jc w:val="right"/>
            </w:pPr>
            <w:r w:rsidRPr="00463667">
              <w:t>9</w:t>
            </w:r>
          </w:p>
        </w:tc>
        <w:tc>
          <w:tcPr>
            <w:tcW w:w="579" w:type="pct"/>
          </w:tcPr>
          <w:p w14:paraId="7B355F39" w14:textId="77777777" w:rsidR="001E58F2" w:rsidRPr="00463667" w:rsidRDefault="001E58F2" w:rsidP="00F3111D">
            <w:pPr>
              <w:pStyle w:val="TableText"/>
            </w:pPr>
            <w:r w:rsidRPr="00463667">
              <w:t>Count</w:t>
            </w:r>
          </w:p>
        </w:tc>
        <w:tc>
          <w:tcPr>
            <w:tcW w:w="2797" w:type="pct"/>
          </w:tcPr>
          <w:p w14:paraId="4993084B" w14:textId="77777777" w:rsidR="001E58F2" w:rsidRPr="00463667" w:rsidRDefault="001E58F2" w:rsidP="00F3111D">
            <w:pPr>
              <w:pStyle w:val="TableText"/>
            </w:pPr>
            <w:r w:rsidRPr="00463667">
              <w:t>Inpatient Facility: Acute Inpatient: Medical Days</w:t>
            </w:r>
          </w:p>
        </w:tc>
      </w:tr>
      <w:tr w:rsidR="001E58F2" w:rsidRPr="00463667" w14:paraId="212D9EBB" w14:textId="77777777" w:rsidTr="00F3111D">
        <w:trPr>
          <w:cantSplit/>
        </w:trPr>
        <w:tc>
          <w:tcPr>
            <w:tcW w:w="598" w:type="pct"/>
            <w:tcBorders>
              <w:top w:val="nil"/>
              <w:left w:val="nil"/>
              <w:bottom w:val="nil"/>
              <w:right w:val="nil"/>
            </w:tcBorders>
            <w:vAlign w:val="center"/>
          </w:tcPr>
          <w:p w14:paraId="4E3AD02F" w14:textId="77777777" w:rsidR="001E58F2" w:rsidRPr="00463667" w:rsidRDefault="001E58F2" w:rsidP="00F3111D">
            <w:pPr>
              <w:pStyle w:val="TableText"/>
            </w:pPr>
          </w:p>
        </w:tc>
        <w:tc>
          <w:tcPr>
            <w:tcW w:w="465" w:type="pct"/>
            <w:tcBorders>
              <w:top w:val="nil"/>
              <w:left w:val="nil"/>
              <w:bottom w:val="nil"/>
            </w:tcBorders>
            <w:vAlign w:val="center"/>
          </w:tcPr>
          <w:p w14:paraId="41517045" w14:textId="77777777" w:rsidR="001E58F2" w:rsidRPr="00463667" w:rsidRDefault="001E58F2" w:rsidP="00F3111D">
            <w:pPr>
              <w:pStyle w:val="TableText"/>
            </w:pPr>
          </w:p>
        </w:tc>
        <w:tc>
          <w:tcPr>
            <w:tcW w:w="561" w:type="pct"/>
          </w:tcPr>
          <w:p w14:paraId="6C4CCEB2" w14:textId="77777777" w:rsidR="001E58F2" w:rsidRPr="00463667" w:rsidRDefault="001E58F2" w:rsidP="00F3111D">
            <w:pPr>
              <w:pStyle w:val="TableText"/>
              <w:ind w:right="288"/>
              <w:jc w:val="right"/>
            </w:pPr>
            <w:r w:rsidRPr="00463667">
              <w:t>10</w:t>
            </w:r>
          </w:p>
        </w:tc>
        <w:tc>
          <w:tcPr>
            <w:tcW w:w="579" w:type="pct"/>
          </w:tcPr>
          <w:p w14:paraId="59A27561" w14:textId="77777777" w:rsidR="001E58F2" w:rsidRPr="00463667" w:rsidRDefault="001E58F2" w:rsidP="00F3111D">
            <w:pPr>
              <w:pStyle w:val="TableText"/>
            </w:pPr>
            <w:r w:rsidRPr="00463667">
              <w:t>Count</w:t>
            </w:r>
          </w:p>
        </w:tc>
        <w:tc>
          <w:tcPr>
            <w:tcW w:w="2797" w:type="pct"/>
          </w:tcPr>
          <w:p w14:paraId="487DE7AC" w14:textId="77777777" w:rsidR="001E58F2" w:rsidRPr="00463667" w:rsidRDefault="001E58F2" w:rsidP="00F3111D">
            <w:pPr>
              <w:pStyle w:val="TableText"/>
            </w:pPr>
            <w:r w:rsidRPr="00463667">
              <w:t>Inpatient Facility: Acute Inpatient: Medical Discharges</w:t>
            </w:r>
          </w:p>
        </w:tc>
      </w:tr>
      <w:tr w:rsidR="001E58F2" w:rsidRPr="00463667" w14:paraId="76967B5A" w14:textId="77777777" w:rsidTr="00F3111D">
        <w:trPr>
          <w:cantSplit/>
        </w:trPr>
        <w:tc>
          <w:tcPr>
            <w:tcW w:w="598" w:type="pct"/>
            <w:tcBorders>
              <w:top w:val="nil"/>
              <w:left w:val="nil"/>
              <w:bottom w:val="nil"/>
              <w:right w:val="nil"/>
            </w:tcBorders>
            <w:vAlign w:val="center"/>
          </w:tcPr>
          <w:p w14:paraId="6E2F3F54" w14:textId="77777777" w:rsidR="001E58F2" w:rsidRPr="00463667" w:rsidRDefault="001E58F2" w:rsidP="00F3111D">
            <w:pPr>
              <w:pStyle w:val="TableText"/>
            </w:pPr>
          </w:p>
        </w:tc>
        <w:tc>
          <w:tcPr>
            <w:tcW w:w="465" w:type="pct"/>
            <w:tcBorders>
              <w:top w:val="nil"/>
              <w:left w:val="nil"/>
              <w:bottom w:val="nil"/>
            </w:tcBorders>
            <w:vAlign w:val="center"/>
          </w:tcPr>
          <w:p w14:paraId="259D59BA" w14:textId="77777777" w:rsidR="001E58F2" w:rsidRPr="00463667" w:rsidRDefault="001E58F2" w:rsidP="00F3111D">
            <w:pPr>
              <w:pStyle w:val="TableText"/>
            </w:pPr>
          </w:p>
        </w:tc>
        <w:tc>
          <w:tcPr>
            <w:tcW w:w="561" w:type="pct"/>
          </w:tcPr>
          <w:p w14:paraId="2087F0BD" w14:textId="77777777" w:rsidR="001E58F2" w:rsidRPr="00463667" w:rsidRDefault="001E58F2" w:rsidP="00F3111D">
            <w:pPr>
              <w:pStyle w:val="TableText"/>
              <w:ind w:right="288"/>
              <w:jc w:val="right"/>
            </w:pPr>
            <w:r w:rsidRPr="00463667">
              <w:t>11</w:t>
            </w:r>
          </w:p>
        </w:tc>
        <w:tc>
          <w:tcPr>
            <w:tcW w:w="579" w:type="pct"/>
          </w:tcPr>
          <w:p w14:paraId="1A2B5708" w14:textId="77777777" w:rsidR="001E58F2" w:rsidRPr="00463667" w:rsidRDefault="001E58F2" w:rsidP="00F3111D">
            <w:pPr>
              <w:pStyle w:val="TableText"/>
            </w:pPr>
            <w:r w:rsidRPr="00463667">
              <w:t>Count</w:t>
            </w:r>
          </w:p>
        </w:tc>
        <w:tc>
          <w:tcPr>
            <w:tcW w:w="2797" w:type="pct"/>
          </w:tcPr>
          <w:p w14:paraId="0BB6959E" w14:textId="77777777" w:rsidR="001E58F2" w:rsidRPr="00463667" w:rsidRDefault="001E58F2" w:rsidP="00F3111D">
            <w:pPr>
              <w:pStyle w:val="TableText"/>
            </w:pPr>
            <w:r w:rsidRPr="00463667">
              <w:t>Inpatient Facility: Acute Inpatient: Surgery Days</w:t>
            </w:r>
          </w:p>
        </w:tc>
      </w:tr>
      <w:tr w:rsidR="001E58F2" w:rsidRPr="00463667" w14:paraId="35FF410D" w14:textId="77777777" w:rsidTr="00F3111D">
        <w:trPr>
          <w:cantSplit/>
        </w:trPr>
        <w:tc>
          <w:tcPr>
            <w:tcW w:w="598" w:type="pct"/>
            <w:tcBorders>
              <w:top w:val="nil"/>
              <w:left w:val="nil"/>
              <w:bottom w:val="nil"/>
              <w:right w:val="nil"/>
            </w:tcBorders>
            <w:vAlign w:val="center"/>
          </w:tcPr>
          <w:p w14:paraId="06072B4D" w14:textId="77777777" w:rsidR="001E58F2" w:rsidRPr="00463667" w:rsidRDefault="001E58F2" w:rsidP="00F3111D">
            <w:pPr>
              <w:pStyle w:val="TableText"/>
            </w:pPr>
          </w:p>
        </w:tc>
        <w:tc>
          <w:tcPr>
            <w:tcW w:w="465" w:type="pct"/>
            <w:tcBorders>
              <w:top w:val="nil"/>
              <w:left w:val="nil"/>
              <w:bottom w:val="nil"/>
            </w:tcBorders>
            <w:vAlign w:val="center"/>
          </w:tcPr>
          <w:p w14:paraId="5C14E956" w14:textId="77777777" w:rsidR="001E58F2" w:rsidRPr="00463667" w:rsidRDefault="001E58F2" w:rsidP="00F3111D">
            <w:pPr>
              <w:pStyle w:val="TableText"/>
            </w:pPr>
          </w:p>
        </w:tc>
        <w:tc>
          <w:tcPr>
            <w:tcW w:w="561" w:type="pct"/>
          </w:tcPr>
          <w:p w14:paraId="29486335" w14:textId="77777777" w:rsidR="001E58F2" w:rsidRPr="00463667" w:rsidRDefault="001E58F2" w:rsidP="00F3111D">
            <w:pPr>
              <w:pStyle w:val="TableText"/>
              <w:ind w:right="288"/>
              <w:jc w:val="right"/>
            </w:pPr>
            <w:r w:rsidRPr="00463667">
              <w:t>12</w:t>
            </w:r>
          </w:p>
        </w:tc>
        <w:tc>
          <w:tcPr>
            <w:tcW w:w="579" w:type="pct"/>
          </w:tcPr>
          <w:p w14:paraId="5912AF5C" w14:textId="77777777" w:rsidR="001E58F2" w:rsidRPr="00463667" w:rsidRDefault="001E58F2" w:rsidP="00F3111D">
            <w:pPr>
              <w:pStyle w:val="TableText"/>
            </w:pPr>
            <w:r w:rsidRPr="00463667">
              <w:t>Count</w:t>
            </w:r>
          </w:p>
        </w:tc>
        <w:tc>
          <w:tcPr>
            <w:tcW w:w="2797" w:type="pct"/>
          </w:tcPr>
          <w:p w14:paraId="3CDE44B9" w14:textId="77777777" w:rsidR="001E58F2" w:rsidRPr="00463667" w:rsidRDefault="001E58F2" w:rsidP="00F3111D">
            <w:pPr>
              <w:pStyle w:val="TableText"/>
            </w:pPr>
            <w:r w:rsidRPr="00463667">
              <w:t>Inpatient Facility: Acute Inpatient: Surgery Discharges</w:t>
            </w:r>
          </w:p>
        </w:tc>
      </w:tr>
      <w:tr w:rsidR="001E58F2" w:rsidRPr="00463667" w14:paraId="5E3AAC0F" w14:textId="77777777" w:rsidTr="00F3111D">
        <w:trPr>
          <w:cantSplit/>
        </w:trPr>
        <w:tc>
          <w:tcPr>
            <w:tcW w:w="598" w:type="pct"/>
            <w:tcBorders>
              <w:top w:val="nil"/>
              <w:left w:val="nil"/>
              <w:bottom w:val="nil"/>
              <w:right w:val="nil"/>
            </w:tcBorders>
            <w:vAlign w:val="center"/>
          </w:tcPr>
          <w:p w14:paraId="1C6F7361" w14:textId="77777777" w:rsidR="001E58F2" w:rsidRPr="00463667" w:rsidRDefault="001E58F2" w:rsidP="00F3111D">
            <w:pPr>
              <w:pStyle w:val="TableText"/>
            </w:pPr>
          </w:p>
        </w:tc>
        <w:tc>
          <w:tcPr>
            <w:tcW w:w="465" w:type="pct"/>
            <w:tcBorders>
              <w:top w:val="nil"/>
              <w:left w:val="nil"/>
              <w:bottom w:val="nil"/>
            </w:tcBorders>
            <w:vAlign w:val="center"/>
          </w:tcPr>
          <w:p w14:paraId="7AAA1A0A" w14:textId="77777777" w:rsidR="001E58F2" w:rsidRPr="00463667" w:rsidRDefault="001E58F2" w:rsidP="00F3111D">
            <w:pPr>
              <w:pStyle w:val="TableText"/>
            </w:pPr>
          </w:p>
        </w:tc>
        <w:tc>
          <w:tcPr>
            <w:tcW w:w="561" w:type="pct"/>
            <w:tcBorders>
              <w:bottom w:val="single" w:sz="4" w:space="0" w:color="auto"/>
            </w:tcBorders>
          </w:tcPr>
          <w:p w14:paraId="6AB5EE9C" w14:textId="77777777" w:rsidR="001E58F2" w:rsidRPr="00463667" w:rsidRDefault="001E58F2" w:rsidP="00F3111D">
            <w:pPr>
              <w:pStyle w:val="TableText"/>
              <w:ind w:right="288"/>
              <w:jc w:val="right"/>
            </w:pPr>
            <w:r w:rsidRPr="00463667">
              <w:t>13</w:t>
            </w:r>
          </w:p>
        </w:tc>
        <w:tc>
          <w:tcPr>
            <w:tcW w:w="579" w:type="pct"/>
          </w:tcPr>
          <w:p w14:paraId="608FD5F9" w14:textId="77777777" w:rsidR="001E58F2" w:rsidRPr="00463667" w:rsidRDefault="001E58F2" w:rsidP="00F3111D">
            <w:pPr>
              <w:pStyle w:val="TableText"/>
            </w:pPr>
            <w:r w:rsidRPr="00463667">
              <w:t>Count</w:t>
            </w:r>
          </w:p>
        </w:tc>
        <w:tc>
          <w:tcPr>
            <w:tcW w:w="2797" w:type="pct"/>
          </w:tcPr>
          <w:p w14:paraId="0910A29A" w14:textId="77777777" w:rsidR="001E58F2" w:rsidRPr="00463667" w:rsidRDefault="001E58F2" w:rsidP="00F3111D">
            <w:pPr>
              <w:pStyle w:val="TableText"/>
            </w:pPr>
            <w:r w:rsidRPr="00463667">
              <w:t>Inpatient Facility: Nonacute: Days</w:t>
            </w:r>
          </w:p>
        </w:tc>
      </w:tr>
      <w:tr w:rsidR="001E58F2" w:rsidRPr="00463667" w14:paraId="35560199" w14:textId="77777777" w:rsidTr="00F3111D">
        <w:trPr>
          <w:cantSplit/>
        </w:trPr>
        <w:tc>
          <w:tcPr>
            <w:tcW w:w="598" w:type="pct"/>
            <w:tcBorders>
              <w:top w:val="nil"/>
              <w:left w:val="nil"/>
              <w:bottom w:val="nil"/>
              <w:right w:val="nil"/>
            </w:tcBorders>
            <w:vAlign w:val="center"/>
          </w:tcPr>
          <w:p w14:paraId="0BE7AB8C" w14:textId="77777777" w:rsidR="001E58F2" w:rsidRPr="00463667" w:rsidRDefault="001E58F2" w:rsidP="00F3111D">
            <w:pPr>
              <w:pStyle w:val="TableText"/>
            </w:pPr>
          </w:p>
        </w:tc>
        <w:tc>
          <w:tcPr>
            <w:tcW w:w="465" w:type="pct"/>
            <w:tcBorders>
              <w:top w:val="nil"/>
              <w:left w:val="nil"/>
              <w:bottom w:val="nil"/>
              <w:right w:val="nil"/>
            </w:tcBorders>
            <w:vAlign w:val="center"/>
          </w:tcPr>
          <w:p w14:paraId="51ACC325" w14:textId="77777777" w:rsidR="001E58F2" w:rsidRPr="00463667" w:rsidRDefault="001E58F2" w:rsidP="00F3111D">
            <w:pPr>
              <w:pStyle w:val="TableText"/>
            </w:pPr>
          </w:p>
        </w:tc>
        <w:tc>
          <w:tcPr>
            <w:tcW w:w="561" w:type="pct"/>
            <w:tcBorders>
              <w:left w:val="nil"/>
              <w:bottom w:val="nil"/>
            </w:tcBorders>
          </w:tcPr>
          <w:p w14:paraId="6BC73F80" w14:textId="77777777" w:rsidR="001E58F2" w:rsidRPr="00463667" w:rsidRDefault="001E58F2" w:rsidP="00F3111D">
            <w:pPr>
              <w:pStyle w:val="TableText"/>
            </w:pPr>
          </w:p>
        </w:tc>
        <w:tc>
          <w:tcPr>
            <w:tcW w:w="579" w:type="pct"/>
          </w:tcPr>
          <w:p w14:paraId="55DC0244" w14:textId="77777777" w:rsidR="001E58F2" w:rsidRPr="00463667" w:rsidRDefault="001E58F2" w:rsidP="00F3111D">
            <w:pPr>
              <w:pStyle w:val="TableText"/>
            </w:pPr>
            <w:r w:rsidRPr="00463667">
              <w:t>Count</w:t>
            </w:r>
          </w:p>
        </w:tc>
        <w:tc>
          <w:tcPr>
            <w:tcW w:w="2797" w:type="pct"/>
          </w:tcPr>
          <w:p w14:paraId="744FD2C7" w14:textId="77777777" w:rsidR="001E58F2" w:rsidRPr="00463667" w:rsidRDefault="001E58F2" w:rsidP="00F3111D">
            <w:pPr>
              <w:pStyle w:val="TableText"/>
            </w:pPr>
            <w:r w:rsidRPr="00463667">
              <w:t>Inpatient Facility: Nonacute: Discharges</w:t>
            </w:r>
          </w:p>
        </w:tc>
      </w:tr>
      <w:tr w:rsidR="001E58F2" w:rsidRPr="00463667" w14:paraId="40448933" w14:textId="77777777" w:rsidTr="00F3111D">
        <w:trPr>
          <w:cantSplit/>
        </w:trPr>
        <w:tc>
          <w:tcPr>
            <w:tcW w:w="598" w:type="pct"/>
            <w:tcBorders>
              <w:top w:val="nil"/>
              <w:left w:val="nil"/>
              <w:bottom w:val="nil"/>
              <w:right w:val="nil"/>
            </w:tcBorders>
            <w:vAlign w:val="center"/>
          </w:tcPr>
          <w:p w14:paraId="3F88143D" w14:textId="77777777" w:rsidR="001E58F2" w:rsidRPr="00463667" w:rsidRDefault="001E58F2" w:rsidP="00F3111D">
            <w:pPr>
              <w:pStyle w:val="TableText"/>
            </w:pPr>
          </w:p>
        </w:tc>
        <w:tc>
          <w:tcPr>
            <w:tcW w:w="465" w:type="pct"/>
            <w:tcBorders>
              <w:top w:val="nil"/>
              <w:left w:val="nil"/>
              <w:bottom w:val="nil"/>
              <w:right w:val="nil"/>
            </w:tcBorders>
            <w:vAlign w:val="center"/>
          </w:tcPr>
          <w:p w14:paraId="627D30D7" w14:textId="77777777" w:rsidR="001E58F2" w:rsidRPr="00463667" w:rsidRDefault="001E58F2" w:rsidP="00F3111D">
            <w:pPr>
              <w:pStyle w:val="TableText"/>
            </w:pPr>
          </w:p>
        </w:tc>
        <w:tc>
          <w:tcPr>
            <w:tcW w:w="561" w:type="pct"/>
            <w:tcBorders>
              <w:top w:val="nil"/>
              <w:left w:val="nil"/>
              <w:bottom w:val="nil"/>
            </w:tcBorders>
          </w:tcPr>
          <w:p w14:paraId="77C78949" w14:textId="77777777" w:rsidR="001E58F2" w:rsidRPr="00463667" w:rsidRDefault="001E58F2" w:rsidP="00F3111D">
            <w:pPr>
              <w:pStyle w:val="TableText"/>
            </w:pPr>
          </w:p>
        </w:tc>
        <w:tc>
          <w:tcPr>
            <w:tcW w:w="579" w:type="pct"/>
          </w:tcPr>
          <w:p w14:paraId="3CEAA5EA" w14:textId="77777777" w:rsidR="001E58F2" w:rsidRPr="00463667" w:rsidRDefault="001E58F2" w:rsidP="00F3111D">
            <w:pPr>
              <w:pStyle w:val="TableText"/>
            </w:pPr>
            <w:r w:rsidRPr="00463667">
              <w:t>Count</w:t>
            </w:r>
          </w:p>
        </w:tc>
        <w:tc>
          <w:tcPr>
            <w:tcW w:w="2797" w:type="pct"/>
          </w:tcPr>
          <w:p w14:paraId="10EBC72B" w14:textId="77777777" w:rsidR="001E58F2" w:rsidRPr="00463667" w:rsidRDefault="001E58F2" w:rsidP="00F3111D">
            <w:pPr>
              <w:pStyle w:val="TableText"/>
            </w:pPr>
            <w:r w:rsidRPr="00463667">
              <w:t>ED Discharges</w:t>
            </w:r>
          </w:p>
        </w:tc>
      </w:tr>
      <w:tr w:rsidR="001E58F2" w:rsidRPr="00463667" w14:paraId="46C07E2C" w14:textId="77777777" w:rsidTr="00F3111D">
        <w:trPr>
          <w:cantSplit/>
        </w:trPr>
        <w:tc>
          <w:tcPr>
            <w:tcW w:w="598" w:type="pct"/>
            <w:tcBorders>
              <w:top w:val="nil"/>
              <w:left w:val="nil"/>
              <w:bottom w:val="nil"/>
              <w:right w:val="nil"/>
            </w:tcBorders>
            <w:vAlign w:val="center"/>
          </w:tcPr>
          <w:p w14:paraId="2050356F" w14:textId="77777777" w:rsidR="001E58F2" w:rsidRPr="00463667" w:rsidRDefault="001E58F2" w:rsidP="00F3111D">
            <w:pPr>
              <w:pStyle w:val="TableText"/>
            </w:pPr>
          </w:p>
        </w:tc>
        <w:tc>
          <w:tcPr>
            <w:tcW w:w="465" w:type="pct"/>
            <w:tcBorders>
              <w:top w:val="nil"/>
              <w:left w:val="nil"/>
              <w:bottom w:val="nil"/>
              <w:right w:val="nil"/>
            </w:tcBorders>
            <w:vAlign w:val="center"/>
          </w:tcPr>
          <w:p w14:paraId="401E96E0" w14:textId="77777777" w:rsidR="001E58F2" w:rsidRPr="00463667" w:rsidRDefault="001E58F2" w:rsidP="00F3111D">
            <w:pPr>
              <w:pStyle w:val="TableText"/>
            </w:pPr>
          </w:p>
        </w:tc>
        <w:tc>
          <w:tcPr>
            <w:tcW w:w="561" w:type="pct"/>
            <w:tcBorders>
              <w:top w:val="nil"/>
              <w:left w:val="nil"/>
              <w:bottom w:val="nil"/>
              <w:right w:val="single" w:sz="4" w:space="0" w:color="auto"/>
            </w:tcBorders>
          </w:tcPr>
          <w:p w14:paraId="708EE803" w14:textId="77777777" w:rsidR="001E58F2" w:rsidRPr="00463667" w:rsidRDefault="001E58F2" w:rsidP="00F3111D">
            <w:pPr>
              <w:pStyle w:val="TableText"/>
            </w:pPr>
          </w:p>
        </w:tc>
        <w:tc>
          <w:tcPr>
            <w:tcW w:w="579" w:type="pct"/>
            <w:tcBorders>
              <w:top w:val="single" w:sz="4" w:space="0" w:color="auto"/>
              <w:left w:val="single" w:sz="4" w:space="0" w:color="auto"/>
              <w:bottom w:val="single" w:sz="4" w:space="0" w:color="auto"/>
              <w:right w:val="single" w:sz="4" w:space="0" w:color="auto"/>
            </w:tcBorders>
          </w:tcPr>
          <w:p w14:paraId="3567B6B9" w14:textId="77777777" w:rsidR="001E58F2" w:rsidRPr="00463667" w:rsidRDefault="001E58F2" w:rsidP="00F3111D">
            <w:pPr>
              <w:pStyle w:val="TableText"/>
            </w:pPr>
            <w:r w:rsidRPr="00463667">
              <w:t>Mem</w:t>
            </w:r>
          </w:p>
        </w:tc>
        <w:tc>
          <w:tcPr>
            <w:tcW w:w="2797" w:type="pct"/>
            <w:tcBorders>
              <w:top w:val="single" w:sz="4" w:space="0" w:color="auto"/>
              <w:left w:val="single" w:sz="4" w:space="0" w:color="auto"/>
              <w:bottom w:val="single" w:sz="4" w:space="0" w:color="auto"/>
              <w:right w:val="single" w:sz="4" w:space="0" w:color="auto"/>
            </w:tcBorders>
          </w:tcPr>
          <w:p w14:paraId="66D9A5F4" w14:textId="77777777" w:rsidR="001E58F2" w:rsidRPr="00463667" w:rsidRDefault="001E58F2" w:rsidP="00F3111D">
            <w:pPr>
              <w:pStyle w:val="TableText"/>
            </w:pPr>
            <w:r w:rsidRPr="00463667">
              <w:t>Member Months Medical</w:t>
            </w:r>
          </w:p>
        </w:tc>
      </w:tr>
      <w:tr w:rsidR="001E58F2" w:rsidRPr="00463667" w14:paraId="72A4D8CF" w14:textId="77777777" w:rsidTr="00F3111D">
        <w:trPr>
          <w:cantSplit/>
        </w:trPr>
        <w:tc>
          <w:tcPr>
            <w:tcW w:w="598" w:type="pct"/>
            <w:tcBorders>
              <w:top w:val="nil"/>
              <w:left w:val="nil"/>
              <w:bottom w:val="nil"/>
              <w:right w:val="nil"/>
            </w:tcBorders>
            <w:vAlign w:val="center"/>
          </w:tcPr>
          <w:p w14:paraId="61B5337A" w14:textId="77777777" w:rsidR="001E58F2" w:rsidRPr="00463667" w:rsidRDefault="001E58F2" w:rsidP="00F3111D">
            <w:pPr>
              <w:pStyle w:val="TableText"/>
            </w:pPr>
          </w:p>
        </w:tc>
        <w:tc>
          <w:tcPr>
            <w:tcW w:w="465" w:type="pct"/>
            <w:tcBorders>
              <w:top w:val="nil"/>
              <w:left w:val="nil"/>
              <w:bottom w:val="nil"/>
              <w:right w:val="nil"/>
            </w:tcBorders>
            <w:vAlign w:val="center"/>
          </w:tcPr>
          <w:p w14:paraId="7F84B2D2" w14:textId="77777777" w:rsidR="001E58F2" w:rsidRPr="00463667" w:rsidRDefault="001E58F2" w:rsidP="00F3111D">
            <w:pPr>
              <w:pStyle w:val="TableText"/>
            </w:pPr>
          </w:p>
        </w:tc>
        <w:tc>
          <w:tcPr>
            <w:tcW w:w="561" w:type="pct"/>
            <w:tcBorders>
              <w:top w:val="nil"/>
              <w:left w:val="nil"/>
              <w:bottom w:val="nil"/>
              <w:right w:val="single" w:sz="4" w:space="0" w:color="auto"/>
            </w:tcBorders>
          </w:tcPr>
          <w:p w14:paraId="20CD2AE3" w14:textId="77777777" w:rsidR="001E58F2" w:rsidRPr="00463667" w:rsidRDefault="001E58F2" w:rsidP="00F3111D">
            <w:pPr>
              <w:pStyle w:val="TableText"/>
            </w:pPr>
          </w:p>
        </w:tc>
        <w:tc>
          <w:tcPr>
            <w:tcW w:w="579" w:type="pct"/>
            <w:tcBorders>
              <w:top w:val="single" w:sz="4" w:space="0" w:color="auto"/>
              <w:left w:val="single" w:sz="4" w:space="0" w:color="auto"/>
              <w:bottom w:val="single" w:sz="4" w:space="0" w:color="auto"/>
              <w:right w:val="single" w:sz="4" w:space="0" w:color="auto"/>
            </w:tcBorders>
          </w:tcPr>
          <w:p w14:paraId="79F2FF08" w14:textId="77777777" w:rsidR="001E58F2" w:rsidRPr="00463667" w:rsidRDefault="001E58F2" w:rsidP="00F3111D">
            <w:pPr>
              <w:pStyle w:val="TableText"/>
            </w:pPr>
            <w:r w:rsidRPr="00463667">
              <w:t>Mem</w:t>
            </w:r>
          </w:p>
        </w:tc>
        <w:tc>
          <w:tcPr>
            <w:tcW w:w="2797" w:type="pct"/>
            <w:tcBorders>
              <w:top w:val="single" w:sz="4" w:space="0" w:color="auto"/>
              <w:left w:val="single" w:sz="4" w:space="0" w:color="auto"/>
              <w:bottom w:val="single" w:sz="4" w:space="0" w:color="auto"/>
              <w:right w:val="single" w:sz="4" w:space="0" w:color="auto"/>
            </w:tcBorders>
          </w:tcPr>
          <w:p w14:paraId="7A2EDB6D" w14:textId="77777777" w:rsidR="001E58F2" w:rsidRPr="00463667" w:rsidRDefault="001E58F2" w:rsidP="00F3111D">
            <w:pPr>
              <w:pStyle w:val="TableText"/>
            </w:pPr>
            <w:r w:rsidRPr="00463667">
              <w:t>Member Months Pharmacy</w:t>
            </w:r>
          </w:p>
        </w:tc>
      </w:tr>
    </w:tbl>
    <w:p w14:paraId="391E72EA" w14:textId="77777777" w:rsidR="001E58F2" w:rsidRPr="00463667" w:rsidRDefault="001E58F2" w:rsidP="001E58F2">
      <w:pPr>
        <w:pStyle w:val="TableHeadNotCondensed"/>
        <w:ind w:left="1800" w:hanging="1800"/>
      </w:pPr>
      <w:r w:rsidRPr="00DB46BD">
        <w:t>Table RAS-B-3:</w:t>
      </w:r>
      <w:r w:rsidRPr="00DB46BD">
        <w:tab/>
        <w:t xml:space="preserve">Data Elements for Relative Resource Use for People </w:t>
      </w:r>
      <w:r w:rsidRPr="00DB46BD">
        <w:br/>
        <w:t>With Asthma</w:t>
      </w:r>
    </w:p>
    <w:tbl>
      <w:tblPr>
        <w:tblW w:w="38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5"/>
        <w:gridCol w:w="704"/>
        <w:gridCol w:w="850"/>
        <w:gridCol w:w="877"/>
        <w:gridCol w:w="4236"/>
      </w:tblGrid>
      <w:tr w:rsidR="001E58F2" w:rsidRPr="00463667" w14:paraId="27878E7B" w14:textId="77777777" w:rsidTr="00F3111D">
        <w:trPr>
          <w:cantSplit/>
        </w:trPr>
        <w:tc>
          <w:tcPr>
            <w:tcW w:w="598" w:type="pct"/>
            <w:tcBorders>
              <w:right w:val="single" w:sz="6" w:space="0" w:color="FFFFFF"/>
            </w:tcBorders>
            <w:shd w:val="clear" w:color="auto" w:fill="000000"/>
            <w:vAlign w:val="bottom"/>
          </w:tcPr>
          <w:p w14:paraId="602B3C45" w14:textId="77777777" w:rsidR="001E58F2" w:rsidRPr="00463667" w:rsidRDefault="001E58F2" w:rsidP="00F3111D">
            <w:pPr>
              <w:pStyle w:val="TableHead"/>
              <w:rPr>
                <w:color w:val="auto"/>
              </w:rPr>
            </w:pPr>
            <w:r w:rsidRPr="00463667">
              <w:rPr>
                <w:color w:val="auto"/>
              </w:rPr>
              <w:t>Gender</w:t>
            </w:r>
          </w:p>
        </w:tc>
        <w:tc>
          <w:tcPr>
            <w:tcW w:w="465" w:type="pct"/>
            <w:tcBorders>
              <w:left w:val="single" w:sz="6" w:space="0" w:color="FFFFFF"/>
              <w:right w:val="single" w:sz="6" w:space="0" w:color="FFFFFF"/>
            </w:tcBorders>
            <w:shd w:val="clear" w:color="auto" w:fill="000000"/>
            <w:vAlign w:val="bottom"/>
          </w:tcPr>
          <w:p w14:paraId="75B404EB" w14:textId="77777777" w:rsidR="001E58F2" w:rsidRPr="00463667" w:rsidRDefault="001E58F2" w:rsidP="00F3111D">
            <w:pPr>
              <w:pStyle w:val="TableHead"/>
              <w:rPr>
                <w:color w:val="auto"/>
              </w:rPr>
            </w:pPr>
            <w:r w:rsidRPr="00463667">
              <w:rPr>
                <w:color w:val="auto"/>
              </w:rPr>
              <w:t>Age</w:t>
            </w:r>
          </w:p>
        </w:tc>
        <w:tc>
          <w:tcPr>
            <w:tcW w:w="561" w:type="pct"/>
            <w:tcBorders>
              <w:left w:val="single" w:sz="6" w:space="0" w:color="FFFFFF"/>
              <w:right w:val="single" w:sz="6" w:space="0" w:color="FFFFFF"/>
            </w:tcBorders>
            <w:shd w:val="clear" w:color="auto" w:fill="000000"/>
            <w:vAlign w:val="bottom"/>
          </w:tcPr>
          <w:p w14:paraId="162DB41E" w14:textId="77777777" w:rsidR="001E58F2" w:rsidRPr="00463667" w:rsidRDefault="001E58F2" w:rsidP="00F3111D">
            <w:pPr>
              <w:pStyle w:val="TableHead"/>
              <w:rPr>
                <w:color w:val="auto"/>
              </w:rPr>
            </w:pPr>
            <w:r w:rsidRPr="00463667">
              <w:rPr>
                <w:color w:val="auto"/>
              </w:rPr>
              <w:t>Risk Group</w:t>
            </w:r>
          </w:p>
        </w:tc>
        <w:tc>
          <w:tcPr>
            <w:tcW w:w="579" w:type="pct"/>
            <w:tcBorders>
              <w:left w:val="single" w:sz="6" w:space="0" w:color="FFFFFF"/>
              <w:right w:val="single" w:sz="6" w:space="0" w:color="FFFFFF"/>
            </w:tcBorders>
            <w:shd w:val="clear" w:color="auto" w:fill="000000"/>
            <w:vAlign w:val="bottom"/>
          </w:tcPr>
          <w:p w14:paraId="7263A967" w14:textId="77777777" w:rsidR="001E58F2" w:rsidRPr="00463667" w:rsidRDefault="001E58F2" w:rsidP="00F3111D">
            <w:pPr>
              <w:pStyle w:val="TableHead"/>
              <w:rPr>
                <w:color w:val="auto"/>
              </w:rPr>
            </w:pPr>
            <w:r w:rsidRPr="00463667">
              <w:rPr>
                <w:color w:val="auto"/>
              </w:rPr>
              <w:t>Type</w:t>
            </w:r>
          </w:p>
        </w:tc>
        <w:tc>
          <w:tcPr>
            <w:tcW w:w="2798" w:type="pct"/>
            <w:tcBorders>
              <w:left w:val="single" w:sz="6" w:space="0" w:color="FFFFFF"/>
            </w:tcBorders>
            <w:shd w:val="clear" w:color="auto" w:fill="000000"/>
            <w:vAlign w:val="bottom"/>
          </w:tcPr>
          <w:p w14:paraId="7466D1B2" w14:textId="77777777" w:rsidR="001E58F2" w:rsidRPr="00463667" w:rsidRDefault="001E58F2" w:rsidP="00F3111D">
            <w:pPr>
              <w:pStyle w:val="TableHead"/>
              <w:rPr>
                <w:color w:val="auto"/>
              </w:rPr>
            </w:pPr>
            <w:r w:rsidRPr="00463667">
              <w:rPr>
                <w:color w:val="auto"/>
              </w:rPr>
              <w:t>Metric Specification Name</w:t>
            </w:r>
          </w:p>
        </w:tc>
      </w:tr>
      <w:tr w:rsidR="001E58F2" w:rsidRPr="00463667" w14:paraId="417F9A5B" w14:textId="77777777" w:rsidTr="00F3111D">
        <w:trPr>
          <w:cantSplit/>
        </w:trPr>
        <w:tc>
          <w:tcPr>
            <w:tcW w:w="598" w:type="pct"/>
            <w:vAlign w:val="center"/>
          </w:tcPr>
          <w:p w14:paraId="1671BF0E" w14:textId="77777777" w:rsidR="001E58F2" w:rsidRPr="00463667" w:rsidRDefault="001E58F2" w:rsidP="00F3111D">
            <w:pPr>
              <w:pStyle w:val="TableText"/>
            </w:pPr>
            <w:r w:rsidRPr="00463667">
              <w:t>Male</w:t>
            </w:r>
          </w:p>
        </w:tc>
        <w:tc>
          <w:tcPr>
            <w:tcW w:w="465" w:type="pct"/>
          </w:tcPr>
          <w:p w14:paraId="24BB42AC" w14:textId="77777777" w:rsidR="001E58F2" w:rsidRPr="00463667" w:rsidRDefault="001E58F2" w:rsidP="00F3111D">
            <w:pPr>
              <w:pStyle w:val="TableText"/>
            </w:pPr>
            <w:r>
              <w:t>18-44</w:t>
            </w:r>
          </w:p>
        </w:tc>
        <w:tc>
          <w:tcPr>
            <w:tcW w:w="561" w:type="pct"/>
          </w:tcPr>
          <w:p w14:paraId="3EF97802" w14:textId="77777777" w:rsidR="001E58F2" w:rsidRPr="00463667" w:rsidRDefault="001E58F2" w:rsidP="00F3111D">
            <w:pPr>
              <w:pStyle w:val="TableText"/>
              <w:ind w:right="288"/>
              <w:jc w:val="right"/>
            </w:pPr>
            <w:r w:rsidRPr="00463667">
              <w:t>1</w:t>
            </w:r>
          </w:p>
        </w:tc>
        <w:tc>
          <w:tcPr>
            <w:tcW w:w="579" w:type="pct"/>
          </w:tcPr>
          <w:p w14:paraId="037DAF0F" w14:textId="77777777" w:rsidR="001E58F2" w:rsidRPr="00463667" w:rsidRDefault="001E58F2" w:rsidP="00F3111D">
            <w:pPr>
              <w:pStyle w:val="TableText"/>
            </w:pPr>
            <w:r w:rsidRPr="00463667">
              <w:t>Cost</w:t>
            </w:r>
          </w:p>
        </w:tc>
        <w:tc>
          <w:tcPr>
            <w:tcW w:w="2798" w:type="pct"/>
          </w:tcPr>
          <w:p w14:paraId="07B18D1F" w14:textId="77777777" w:rsidR="001E58F2" w:rsidRPr="00463667" w:rsidRDefault="001E58F2" w:rsidP="00F3111D">
            <w:pPr>
              <w:pStyle w:val="TableText"/>
            </w:pPr>
            <w:r w:rsidRPr="00463667">
              <w:t>Inpatient Facility</w:t>
            </w:r>
          </w:p>
        </w:tc>
      </w:tr>
      <w:tr w:rsidR="001E58F2" w:rsidRPr="00463667" w14:paraId="55352577" w14:textId="77777777" w:rsidTr="00F3111D">
        <w:trPr>
          <w:cantSplit/>
        </w:trPr>
        <w:tc>
          <w:tcPr>
            <w:tcW w:w="598" w:type="pct"/>
            <w:vAlign w:val="center"/>
          </w:tcPr>
          <w:p w14:paraId="57516275" w14:textId="77777777" w:rsidR="001E58F2" w:rsidRPr="00463667" w:rsidRDefault="001E58F2" w:rsidP="00F3111D">
            <w:pPr>
              <w:pStyle w:val="TableText"/>
            </w:pPr>
            <w:r w:rsidRPr="00463667">
              <w:t>Female</w:t>
            </w:r>
          </w:p>
        </w:tc>
        <w:tc>
          <w:tcPr>
            <w:tcW w:w="465" w:type="pct"/>
          </w:tcPr>
          <w:p w14:paraId="683B14B1" w14:textId="77777777" w:rsidR="001E58F2" w:rsidRPr="00463667" w:rsidRDefault="001E58F2" w:rsidP="00F3111D">
            <w:pPr>
              <w:pStyle w:val="TableText"/>
            </w:pPr>
            <w:r>
              <w:t>45-54</w:t>
            </w:r>
          </w:p>
        </w:tc>
        <w:tc>
          <w:tcPr>
            <w:tcW w:w="561" w:type="pct"/>
          </w:tcPr>
          <w:p w14:paraId="3D95C39C" w14:textId="77777777" w:rsidR="001E58F2" w:rsidRPr="00463667" w:rsidRDefault="001E58F2" w:rsidP="00F3111D">
            <w:pPr>
              <w:pStyle w:val="TableText"/>
              <w:ind w:right="288"/>
              <w:jc w:val="right"/>
            </w:pPr>
            <w:r w:rsidRPr="00463667">
              <w:t>2</w:t>
            </w:r>
          </w:p>
        </w:tc>
        <w:tc>
          <w:tcPr>
            <w:tcW w:w="579" w:type="pct"/>
          </w:tcPr>
          <w:p w14:paraId="357E146F" w14:textId="77777777" w:rsidR="001E58F2" w:rsidRPr="00463667" w:rsidRDefault="001E58F2" w:rsidP="00F3111D">
            <w:pPr>
              <w:pStyle w:val="TableText"/>
            </w:pPr>
            <w:r w:rsidRPr="00463667">
              <w:t>Cost</w:t>
            </w:r>
          </w:p>
        </w:tc>
        <w:tc>
          <w:tcPr>
            <w:tcW w:w="2798" w:type="pct"/>
          </w:tcPr>
          <w:p w14:paraId="40E2BB38" w14:textId="77777777" w:rsidR="001E58F2" w:rsidRPr="00463667" w:rsidRDefault="001E58F2" w:rsidP="00F3111D">
            <w:pPr>
              <w:pStyle w:val="TableText"/>
            </w:pPr>
            <w:r w:rsidRPr="00463667">
              <w:t>E&amp;M Inpatient Services</w:t>
            </w:r>
          </w:p>
        </w:tc>
      </w:tr>
      <w:tr w:rsidR="001E58F2" w:rsidRPr="00463667" w14:paraId="2164F256" w14:textId="77777777" w:rsidTr="00F3111D">
        <w:trPr>
          <w:cantSplit/>
        </w:trPr>
        <w:tc>
          <w:tcPr>
            <w:tcW w:w="598" w:type="pct"/>
            <w:tcBorders>
              <w:left w:val="nil"/>
              <w:bottom w:val="nil"/>
            </w:tcBorders>
            <w:vAlign w:val="center"/>
          </w:tcPr>
          <w:p w14:paraId="72EB2310" w14:textId="77777777" w:rsidR="001E58F2" w:rsidRPr="00463667" w:rsidRDefault="001E58F2" w:rsidP="00F3111D">
            <w:pPr>
              <w:pStyle w:val="TableText"/>
            </w:pPr>
          </w:p>
        </w:tc>
        <w:tc>
          <w:tcPr>
            <w:tcW w:w="465" w:type="pct"/>
          </w:tcPr>
          <w:p w14:paraId="41AD1F0A" w14:textId="77777777" w:rsidR="001E58F2" w:rsidRPr="00463667" w:rsidRDefault="001E58F2" w:rsidP="00F3111D">
            <w:pPr>
              <w:pStyle w:val="TableText"/>
            </w:pPr>
            <w:r>
              <w:t>55-64</w:t>
            </w:r>
          </w:p>
        </w:tc>
        <w:tc>
          <w:tcPr>
            <w:tcW w:w="561" w:type="pct"/>
          </w:tcPr>
          <w:p w14:paraId="298C90C9" w14:textId="77777777" w:rsidR="001E58F2" w:rsidRPr="00463667" w:rsidRDefault="001E58F2" w:rsidP="00F3111D">
            <w:pPr>
              <w:pStyle w:val="TableText"/>
              <w:ind w:right="288"/>
              <w:jc w:val="right"/>
            </w:pPr>
            <w:r w:rsidRPr="00463667">
              <w:t>3</w:t>
            </w:r>
          </w:p>
        </w:tc>
        <w:tc>
          <w:tcPr>
            <w:tcW w:w="579" w:type="pct"/>
          </w:tcPr>
          <w:p w14:paraId="109B33CF" w14:textId="77777777" w:rsidR="001E58F2" w:rsidRPr="00463667" w:rsidRDefault="001E58F2" w:rsidP="00F3111D">
            <w:pPr>
              <w:pStyle w:val="TableText"/>
            </w:pPr>
            <w:r w:rsidRPr="00463667">
              <w:t>Cost</w:t>
            </w:r>
          </w:p>
        </w:tc>
        <w:tc>
          <w:tcPr>
            <w:tcW w:w="2798" w:type="pct"/>
          </w:tcPr>
          <w:p w14:paraId="2D1F35F0" w14:textId="77777777" w:rsidR="001E58F2" w:rsidRPr="00463667" w:rsidRDefault="001E58F2" w:rsidP="00F3111D">
            <w:pPr>
              <w:pStyle w:val="TableText"/>
            </w:pPr>
            <w:r w:rsidRPr="00463667">
              <w:t>E&amp;M Outpatient Services</w:t>
            </w:r>
          </w:p>
        </w:tc>
      </w:tr>
      <w:tr w:rsidR="001E58F2" w:rsidRPr="00463667" w14:paraId="1FB0F999" w14:textId="77777777" w:rsidTr="00F3111D">
        <w:trPr>
          <w:cantSplit/>
        </w:trPr>
        <w:tc>
          <w:tcPr>
            <w:tcW w:w="598" w:type="pct"/>
            <w:tcBorders>
              <w:top w:val="nil"/>
              <w:left w:val="nil"/>
              <w:bottom w:val="nil"/>
              <w:right w:val="nil"/>
            </w:tcBorders>
            <w:vAlign w:val="center"/>
          </w:tcPr>
          <w:p w14:paraId="38B17EEC" w14:textId="77777777" w:rsidR="001E58F2" w:rsidRPr="00463667" w:rsidRDefault="001E58F2" w:rsidP="00F3111D">
            <w:pPr>
              <w:pStyle w:val="TableText"/>
            </w:pPr>
          </w:p>
        </w:tc>
        <w:tc>
          <w:tcPr>
            <w:tcW w:w="465" w:type="pct"/>
            <w:tcBorders>
              <w:bottom w:val="single" w:sz="4" w:space="0" w:color="auto"/>
            </w:tcBorders>
          </w:tcPr>
          <w:p w14:paraId="0C5EE79F" w14:textId="77777777" w:rsidR="001E58F2" w:rsidRPr="00463667" w:rsidRDefault="001E58F2" w:rsidP="00F3111D">
            <w:pPr>
              <w:pStyle w:val="TableText"/>
            </w:pPr>
            <w:r>
              <w:t>65-85</w:t>
            </w:r>
          </w:p>
        </w:tc>
        <w:tc>
          <w:tcPr>
            <w:tcW w:w="561" w:type="pct"/>
          </w:tcPr>
          <w:p w14:paraId="2FE887F8" w14:textId="77777777" w:rsidR="001E58F2" w:rsidRPr="00463667" w:rsidRDefault="001E58F2" w:rsidP="00F3111D">
            <w:pPr>
              <w:pStyle w:val="TableText"/>
              <w:ind w:right="288"/>
              <w:jc w:val="right"/>
            </w:pPr>
            <w:r w:rsidRPr="00463667">
              <w:t>4</w:t>
            </w:r>
          </w:p>
        </w:tc>
        <w:tc>
          <w:tcPr>
            <w:tcW w:w="579" w:type="pct"/>
          </w:tcPr>
          <w:p w14:paraId="06B4FA55" w14:textId="77777777" w:rsidR="001E58F2" w:rsidRPr="00463667" w:rsidRDefault="001E58F2" w:rsidP="00F3111D">
            <w:pPr>
              <w:pStyle w:val="TableText"/>
            </w:pPr>
            <w:r w:rsidRPr="00463667">
              <w:t>Cost</w:t>
            </w:r>
          </w:p>
        </w:tc>
        <w:tc>
          <w:tcPr>
            <w:tcW w:w="2798" w:type="pct"/>
          </w:tcPr>
          <w:p w14:paraId="67F43C0F" w14:textId="77777777" w:rsidR="001E58F2" w:rsidRPr="00463667" w:rsidRDefault="001E58F2" w:rsidP="00F3111D">
            <w:pPr>
              <w:pStyle w:val="TableText"/>
            </w:pPr>
            <w:r w:rsidRPr="00463667">
              <w:t>Surgery &amp; Procedure Inpatient Services</w:t>
            </w:r>
          </w:p>
        </w:tc>
      </w:tr>
      <w:tr w:rsidR="001E58F2" w:rsidRPr="00463667" w14:paraId="60CEF667" w14:textId="77777777" w:rsidTr="00F3111D">
        <w:trPr>
          <w:cantSplit/>
        </w:trPr>
        <w:tc>
          <w:tcPr>
            <w:tcW w:w="598" w:type="pct"/>
            <w:tcBorders>
              <w:top w:val="nil"/>
              <w:left w:val="nil"/>
              <w:bottom w:val="nil"/>
              <w:right w:val="nil"/>
            </w:tcBorders>
            <w:vAlign w:val="center"/>
          </w:tcPr>
          <w:p w14:paraId="63641681" w14:textId="77777777" w:rsidR="001E58F2" w:rsidRPr="00463667" w:rsidRDefault="001E58F2" w:rsidP="00F3111D">
            <w:pPr>
              <w:pStyle w:val="TableText"/>
            </w:pPr>
          </w:p>
        </w:tc>
        <w:tc>
          <w:tcPr>
            <w:tcW w:w="465" w:type="pct"/>
            <w:tcBorders>
              <w:left w:val="nil"/>
              <w:bottom w:val="nil"/>
            </w:tcBorders>
            <w:vAlign w:val="center"/>
          </w:tcPr>
          <w:p w14:paraId="11C04E59" w14:textId="77777777" w:rsidR="001E58F2" w:rsidRPr="00463667" w:rsidRDefault="001E58F2" w:rsidP="00F3111D">
            <w:pPr>
              <w:pStyle w:val="TableText"/>
            </w:pPr>
          </w:p>
        </w:tc>
        <w:tc>
          <w:tcPr>
            <w:tcW w:w="561" w:type="pct"/>
          </w:tcPr>
          <w:p w14:paraId="198A6CFF" w14:textId="77777777" w:rsidR="001E58F2" w:rsidRPr="00463667" w:rsidRDefault="001E58F2" w:rsidP="00F3111D">
            <w:pPr>
              <w:pStyle w:val="TableText"/>
              <w:ind w:right="288"/>
              <w:jc w:val="right"/>
            </w:pPr>
            <w:r w:rsidRPr="00463667">
              <w:t>5</w:t>
            </w:r>
          </w:p>
        </w:tc>
        <w:tc>
          <w:tcPr>
            <w:tcW w:w="579" w:type="pct"/>
          </w:tcPr>
          <w:p w14:paraId="6E84431B" w14:textId="77777777" w:rsidR="001E58F2" w:rsidRPr="00463667" w:rsidRDefault="001E58F2" w:rsidP="00F3111D">
            <w:pPr>
              <w:pStyle w:val="TableText"/>
            </w:pPr>
            <w:r w:rsidRPr="00463667">
              <w:t>Cost</w:t>
            </w:r>
          </w:p>
        </w:tc>
        <w:tc>
          <w:tcPr>
            <w:tcW w:w="2798" w:type="pct"/>
          </w:tcPr>
          <w:p w14:paraId="630F6628" w14:textId="77777777" w:rsidR="001E58F2" w:rsidRPr="00463667" w:rsidRDefault="001E58F2" w:rsidP="00F3111D">
            <w:pPr>
              <w:pStyle w:val="TableText"/>
            </w:pPr>
            <w:r w:rsidRPr="00463667">
              <w:t>Surgery &amp; Procedure Outpatient Services</w:t>
            </w:r>
          </w:p>
        </w:tc>
      </w:tr>
      <w:tr w:rsidR="001E58F2" w:rsidRPr="00463667" w14:paraId="08AA00F3" w14:textId="77777777" w:rsidTr="00F3111D">
        <w:trPr>
          <w:cantSplit/>
        </w:trPr>
        <w:tc>
          <w:tcPr>
            <w:tcW w:w="598" w:type="pct"/>
            <w:tcBorders>
              <w:top w:val="nil"/>
              <w:left w:val="nil"/>
              <w:bottom w:val="nil"/>
              <w:right w:val="nil"/>
            </w:tcBorders>
            <w:vAlign w:val="center"/>
          </w:tcPr>
          <w:p w14:paraId="7ECFC081" w14:textId="77777777" w:rsidR="001E58F2" w:rsidRPr="00463667" w:rsidRDefault="001E58F2" w:rsidP="00F3111D">
            <w:pPr>
              <w:pStyle w:val="TableText"/>
            </w:pPr>
          </w:p>
        </w:tc>
        <w:tc>
          <w:tcPr>
            <w:tcW w:w="465" w:type="pct"/>
            <w:tcBorders>
              <w:top w:val="nil"/>
              <w:left w:val="nil"/>
              <w:bottom w:val="nil"/>
            </w:tcBorders>
            <w:vAlign w:val="center"/>
          </w:tcPr>
          <w:p w14:paraId="03191512" w14:textId="77777777" w:rsidR="001E58F2" w:rsidRPr="00463667" w:rsidRDefault="001E58F2" w:rsidP="00F3111D">
            <w:pPr>
              <w:pStyle w:val="TableText"/>
            </w:pPr>
          </w:p>
        </w:tc>
        <w:tc>
          <w:tcPr>
            <w:tcW w:w="561" w:type="pct"/>
          </w:tcPr>
          <w:p w14:paraId="7449FEEB" w14:textId="77777777" w:rsidR="001E58F2" w:rsidRPr="00463667" w:rsidRDefault="001E58F2" w:rsidP="00F3111D">
            <w:pPr>
              <w:pStyle w:val="TableText"/>
              <w:ind w:right="288"/>
              <w:jc w:val="right"/>
            </w:pPr>
            <w:r w:rsidRPr="00463667">
              <w:t>6</w:t>
            </w:r>
          </w:p>
        </w:tc>
        <w:tc>
          <w:tcPr>
            <w:tcW w:w="579" w:type="pct"/>
          </w:tcPr>
          <w:p w14:paraId="55C58418" w14:textId="77777777" w:rsidR="001E58F2" w:rsidRPr="00463667" w:rsidRDefault="001E58F2" w:rsidP="00F3111D">
            <w:pPr>
              <w:pStyle w:val="TableText"/>
            </w:pPr>
            <w:r w:rsidRPr="00463667">
              <w:t>Cost</w:t>
            </w:r>
          </w:p>
        </w:tc>
        <w:tc>
          <w:tcPr>
            <w:tcW w:w="2798" w:type="pct"/>
          </w:tcPr>
          <w:p w14:paraId="15696DE7" w14:textId="77777777" w:rsidR="001E58F2" w:rsidRPr="00463667" w:rsidRDefault="001E58F2" w:rsidP="00F3111D">
            <w:pPr>
              <w:pStyle w:val="TableText"/>
            </w:pPr>
            <w:r w:rsidRPr="00463667">
              <w:t>Imaging Services</w:t>
            </w:r>
          </w:p>
        </w:tc>
      </w:tr>
      <w:tr w:rsidR="001E58F2" w:rsidRPr="00463667" w14:paraId="13548B02" w14:textId="77777777" w:rsidTr="00F3111D">
        <w:trPr>
          <w:cantSplit/>
        </w:trPr>
        <w:tc>
          <w:tcPr>
            <w:tcW w:w="598" w:type="pct"/>
            <w:tcBorders>
              <w:top w:val="nil"/>
              <w:left w:val="nil"/>
              <w:bottom w:val="nil"/>
              <w:right w:val="nil"/>
            </w:tcBorders>
            <w:vAlign w:val="center"/>
          </w:tcPr>
          <w:p w14:paraId="7CF32F6F" w14:textId="77777777" w:rsidR="001E58F2" w:rsidRPr="00463667" w:rsidRDefault="001E58F2" w:rsidP="00F3111D">
            <w:pPr>
              <w:pStyle w:val="TableText"/>
            </w:pPr>
          </w:p>
        </w:tc>
        <w:tc>
          <w:tcPr>
            <w:tcW w:w="465" w:type="pct"/>
            <w:tcBorders>
              <w:top w:val="nil"/>
              <w:left w:val="nil"/>
              <w:bottom w:val="nil"/>
            </w:tcBorders>
            <w:vAlign w:val="center"/>
          </w:tcPr>
          <w:p w14:paraId="186FA844" w14:textId="77777777" w:rsidR="001E58F2" w:rsidRPr="00463667" w:rsidRDefault="001E58F2" w:rsidP="00F3111D">
            <w:pPr>
              <w:pStyle w:val="TableText"/>
            </w:pPr>
          </w:p>
        </w:tc>
        <w:tc>
          <w:tcPr>
            <w:tcW w:w="561" w:type="pct"/>
          </w:tcPr>
          <w:p w14:paraId="0E9704C2" w14:textId="77777777" w:rsidR="001E58F2" w:rsidRPr="00463667" w:rsidRDefault="001E58F2" w:rsidP="00F3111D">
            <w:pPr>
              <w:pStyle w:val="TableText"/>
              <w:ind w:right="288"/>
              <w:jc w:val="right"/>
            </w:pPr>
            <w:r w:rsidRPr="00463667">
              <w:t>7</w:t>
            </w:r>
          </w:p>
        </w:tc>
        <w:tc>
          <w:tcPr>
            <w:tcW w:w="579" w:type="pct"/>
          </w:tcPr>
          <w:p w14:paraId="529E47F7" w14:textId="77777777" w:rsidR="001E58F2" w:rsidRPr="00463667" w:rsidRDefault="001E58F2" w:rsidP="00F3111D">
            <w:pPr>
              <w:pStyle w:val="TableText"/>
            </w:pPr>
            <w:r w:rsidRPr="00463667">
              <w:t>Cost</w:t>
            </w:r>
          </w:p>
        </w:tc>
        <w:tc>
          <w:tcPr>
            <w:tcW w:w="2798" w:type="pct"/>
          </w:tcPr>
          <w:p w14:paraId="1D3B9F22" w14:textId="77777777" w:rsidR="001E58F2" w:rsidRPr="00463667" w:rsidRDefault="001E58F2" w:rsidP="00F3111D">
            <w:pPr>
              <w:pStyle w:val="TableText"/>
            </w:pPr>
            <w:r w:rsidRPr="00463667">
              <w:t>Laboratory Services</w:t>
            </w:r>
          </w:p>
        </w:tc>
      </w:tr>
      <w:tr w:rsidR="001E58F2" w:rsidRPr="00463667" w14:paraId="6222F312" w14:textId="77777777" w:rsidTr="00F3111D">
        <w:trPr>
          <w:cantSplit/>
        </w:trPr>
        <w:tc>
          <w:tcPr>
            <w:tcW w:w="598" w:type="pct"/>
            <w:tcBorders>
              <w:top w:val="nil"/>
              <w:left w:val="nil"/>
              <w:bottom w:val="nil"/>
              <w:right w:val="nil"/>
            </w:tcBorders>
            <w:vAlign w:val="center"/>
          </w:tcPr>
          <w:p w14:paraId="2D659349" w14:textId="77777777" w:rsidR="001E58F2" w:rsidRPr="00463667" w:rsidRDefault="001E58F2" w:rsidP="00F3111D">
            <w:pPr>
              <w:pStyle w:val="TableText"/>
            </w:pPr>
          </w:p>
        </w:tc>
        <w:tc>
          <w:tcPr>
            <w:tcW w:w="465" w:type="pct"/>
            <w:tcBorders>
              <w:top w:val="nil"/>
              <w:left w:val="nil"/>
              <w:bottom w:val="nil"/>
            </w:tcBorders>
            <w:vAlign w:val="center"/>
          </w:tcPr>
          <w:p w14:paraId="2CD01CE8" w14:textId="77777777" w:rsidR="001E58F2" w:rsidRPr="00463667" w:rsidRDefault="001E58F2" w:rsidP="00F3111D">
            <w:pPr>
              <w:pStyle w:val="TableText"/>
            </w:pPr>
          </w:p>
        </w:tc>
        <w:tc>
          <w:tcPr>
            <w:tcW w:w="561" w:type="pct"/>
          </w:tcPr>
          <w:p w14:paraId="46F1AB66" w14:textId="77777777" w:rsidR="001E58F2" w:rsidRPr="00463667" w:rsidRDefault="001E58F2" w:rsidP="00F3111D">
            <w:pPr>
              <w:pStyle w:val="TableText"/>
              <w:ind w:right="288"/>
              <w:jc w:val="right"/>
            </w:pPr>
            <w:r w:rsidRPr="00463667">
              <w:t>8</w:t>
            </w:r>
          </w:p>
        </w:tc>
        <w:tc>
          <w:tcPr>
            <w:tcW w:w="579" w:type="pct"/>
          </w:tcPr>
          <w:p w14:paraId="40494DF5" w14:textId="77777777" w:rsidR="001E58F2" w:rsidRPr="00463667" w:rsidRDefault="001E58F2" w:rsidP="00F3111D">
            <w:pPr>
              <w:pStyle w:val="TableText"/>
            </w:pPr>
            <w:r w:rsidRPr="00463667">
              <w:t>Cost</w:t>
            </w:r>
          </w:p>
        </w:tc>
        <w:tc>
          <w:tcPr>
            <w:tcW w:w="2798" w:type="pct"/>
          </w:tcPr>
          <w:p w14:paraId="57408B0A" w14:textId="77777777" w:rsidR="001E58F2" w:rsidRPr="00463667" w:rsidRDefault="001E58F2" w:rsidP="00F3111D">
            <w:pPr>
              <w:pStyle w:val="TableText"/>
            </w:pPr>
            <w:r w:rsidRPr="00463667">
              <w:t>Pharmacy</w:t>
            </w:r>
          </w:p>
        </w:tc>
      </w:tr>
      <w:tr w:rsidR="001E58F2" w:rsidRPr="00463667" w14:paraId="21BFF2E5" w14:textId="77777777" w:rsidTr="00F3111D">
        <w:trPr>
          <w:cantSplit/>
        </w:trPr>
        <w:tc>
          <w:tcPr>
            <w:tcW w:w="598" w:type="pct"/>
            <w:tcBorders>
              <w:top w:val="nil"/>
              <w:left w:val="nil"/>
              <w:bottom w:val="nil"/>
              <w:right w:val="nil"/>
            </w:tcBorders>
            <w:vAlign w:val="center"/>
          </w:tcPr>
          <w:p w14:paraId="71D3DDB7" w14:textId="77777777" w:rsidR="001E58F2" w:rsidRPr="00463667" w:rsidRDefault="001E58F2" w:rsidP="00F3111D">
            <w:pPr>
              <w:pStyle w:val="TableText"/>
            </w:pPr>
          </w:p>
        </w:tc>
        <w:tc>
          <w:tcPr>
            <w:tcW w:w="465" w:type="pct"/>
            <w:tcBorders>
              <w:top w:val="nil"/>
              <w:left w:val="nil"/>
              <w:bottom w:val="nil"/>
            </w:tcBorders>
            <w:vAlign w:val="center"/>
          </w:tcPr>
          <w:p w14:paraId="67EDB010" w14:textId="77777777" w:rsidR="001E58F2" w:rsidRPr="00463667" w:rsidRDefault="001E58F2" w:rsidP="00F3111D">
            <w:pPr>
              <w:pStyle w:val="TableText"/>
            </w:pPr>
          </w:p>
        </w:tc>
        <w:tc>
          <w:tcPr>
            <w:tcW w:w="561" w:type="pct"/>
          </w:tcPr>
          <w:p w14:paraId="248835F3" w14:textId="77777777" w:rsidR="001E58F2" w:rsidRPr="00463667" w:rsidRDefault="001E58F2" w:rsidP="00F3111D">
            <w:pPr>
              <w:pStyle w:val="TableText"/>
              <w:ind w:right="288"/>
              <w:jc w:val="right"/>
            </w:pPr>
            <w:r w:rsidRPr="00463667">
              <w:t>9</w:t>
            </w:r>
          </w:p>
        </w:tc>
        <w:tc>
          <w:tcPr>
            <w:tcW w:w="579" w:type="pct"/>
          </w:tcPr>
          <w:p w14:paraId="188A607B" w14:textId="77777777" w:rsidR="001E58F2" w:rsidRPr="00463667" w:rsidRDefault="001E58F2" w:rsidP="00F3111D">
            <w:pPr>
              <w:pStyle w:val="TableText"/>
            </w:pPr>
            <w:r w:rsidRPr="00463667">
              <w:t>Count</w:t>
            </w:r>
          </w:p>
        </w:tc>
        <w:tc>
          <w:tcPr>
            <w:tcW w:w="2798" w:type="pct"/>
          </w:tcPr>
          <w:p w14:paraId="0FA400D0" w14:textId="77777777" w:rsidR="001E58F2" w:rsidRPr="00463667" w:rsidRDefault="001E58F2" w:rsidP="00F3111D">
            <w:pPr>
              <w:pStyle w:val="TableText"/>
            </w:pPr>
            <w:r w:rsidRPr="00463667">
              <w:t>Inpatient Facility: Acute Inpatient: Medical Days</w:t>
            </w:r>
          </w:p>
        </w:tc>
      </w:tr>
      <w:tr w:rsidR="001E58F2" w:rsidRPr="00463667" w14:paraId="1D74D928" w14:textId="77777777" w:rsidTr="00F3111D">
        <w:trPr>
          <w:cantSplit/>
        </w:trPr>
        <w:tc>
          <w:tcPr>
            <w:tcW w:w="598" w:type="pct"/>
            <w:tcBorders>
              <w:top w:val="nil"/>
              <w:left w:val="nil"/>
              <w:bottom w:val="nil"/>
              <w:right w:val="nil"/>
            </w:tcBorders>
            <w:vAlign w:val="center"/>
          </w:tcPr>
          <w:p w14:paraId="5BD61208" w14:textId="77777777" w:rsidR="001E58F2" w:rsidRPr="00463667" w:rsidRDefault="001E58F2" w:rsidP="00F3111D">
            <w:pPr>
              <w:pStyle w:val="TableText"/>
            </w:pPr>
          </w:p>
        </w:tc>
        <w:tc>
          <w:tcPr>
            <w:tcW w:w="465" w:type="pct"/>
            <w:tcBorders>
              <w:top w:val="nil"/>
              <w:left w:val="nil"/>
              <w:bottom w:val="nil"/>
            </w:tcBorders>
            <w:vAlign w:val="center"/>
          </w:tcPr>
          <w:p w14:paraId="3E7EAAC0" w14:textId="77777777" w:rsidR="001E58F2" w:rsidRPr="00463667" w:rsidRDefault="001E58F2" w:rsidP="00F3111D">
            <w:pPr>
              <w:pStyle w:val="TableText"/>
            </w:pPr>
          </w:p>
        </w:tc>
        <w:tc>
          <w:tcPr>
            <w:tcW w:w="561" w:type="pct"/>
          </w:tcPr>
          <w:p w14:paraId="1C696C88" w14:textId="77777777" w:rsidR="001E58F2" w:rsidRPr="00463667" w:rsidRDefault="001E58F2" w:rsidP="00F3111D">
            <w:pPr>
              <w:pStyle w:val="TableText"/>
              <w:ind w:right="288"/>
              <w:jc w:val="right"/>
            </w:pPr>
            <w:r w:rsidRPr="00463667">
              <w:t>10</w:t>
            </w:r>
          </w:p>
        </w:tc>
        <w:tc>
          <w:tcPr>
            <w:tcW w:w="579" w:type="pct"/>
          </w:tcPr>
          <w:p w14:paraId="13755CA6" w14:textId="77777777" w:rsidR="001E58F2" w:rsidRPr="00463667" w:rsidRDefault="001E58F2" w:rsidP="00F3111D">
            <w:pPr>
              <w:pStyle w:val="TableText"/>
            </w:pPr>
            <w:r w:rsidRPr="00463667">
              <w:t>Count</w:t>
            </w:r>
          </w:p>
        </w:tc>
        <w:tc>
          <w:tcPr>
            <w:tcW w:w="2798" w:type="pct"/>
          </w:tcPr>
          <w:p w14:paraId="18700B79" w14:textId="77777777" w:rsidR="001E58F2" w:rsidRPr="00463667" w:rsidRDefault="001E58F2" w:rsidP="00F3111D">
            <w:pPr>
              <w:pStyle w:val="TableText"/>
            </w:pPr>
            <w:r w:rsidRPr="00463667">
              <w:t>Inpatient Facility: Acute Inpatient: Medical Discharges</w:t>
            </w:r>
          </w:p>
        </w:tc>
      </w:tr>
      <w:tr w:rsidR="001E58F2" w:rsidRPr="00463667" w14:paraId="149C40E5" w14:textId="77777777" w:rsidTr="00F3111D">
        <w:trPr>
          <w:cantSplit/>
        </w:trPr>
        <w:tc>
          <w:tcPr>
            <w:tcW w:w="598" w:type="pct"/>
            <w:tcBorders>
              <w:top w:val="nil"/>
              <w:left w:val="nil"/>
              <w:bottom w:val="nil"/>
              <w:right w:val="nil"/>
            </w:tcBorders>
            <w:vAlign w:val="center"/>
          </w:tcPr>
          <w:p w14:paraId="26BB8FDA" w14:textId="77777777" w:rsidR="001E58F2" w:rsidRPr="00463667" w:rsidRDefault="001E58F2" w:rsidP="00F3111D">
            <w:pPr>
              <w:pStyle w:val="TableText"/>
            </w:pPr>
          </w:p>
        </w:tc>
        <w:tc>
          <w:tcPr>
            <w:tcW w:w="465" w:type="pct"/>
            <w:tcBorders>
              <w:top w:val="nil"/>
              <w:left w:val="nil"/>
              <w:bottom w:val="nil"/>
            </w:tcBorders>
            <w:vAlign w:val="center"/>
          </w:tcPr>
          <w:p w14:paraId="048A5A24" w14:textId="77777777" w:rsidR="001E58F2" w:rsidRPr="00463667" w:rsidRDefault="001E58F2" w:rsidP="00F3111D">
            <w:pPr>
              <w:pStyle w:val="TableText"/>
            </w:pPr>
          </w:p>
        </w:tc>
        <w:tc>
          <w:tcPr>
            <w:tcW w:w="561" w:type="pct"/>
          </w:tcPr>
          <w:p w14:paraId="4AB0D68B" w14:textId="77777777" w:rsidR="001E58F2" w:rsidRPr="00463667" w:rsidRDefault="001E58F2" w:rsidP="00F3111D">
            <w:pPr>
              <w:pStyle w:val="TableText"/>
              <w:ind w:right="288"/>
              <w:jc w:val="right"/>
            </w:pPr>
            <w:r w:rsidRPr="00463667">
              <w:t>11</w:t>
            </w:r>
          </w:p>
        </w:tc>
        <w:tc>
          <w:tcPr>
            <w:tcW w:w="579" w:type="pct"/>
          </w:tcPr>
          <w:p w14:paraId="7D236690" w14:textId="77777777" w:rsidR="001E58F2" w:rsidRPr="00463667" w:rsidRDefault="001E58F2" w:rsidP="00F3111D">
            <w:pPr>
              <w:pStyle w:val="TableText"/>
            </w:pPr>
            <w:r w:rsidRPr="00463667">
              <w:t>Count</w:t>
            </w:r>
          </w:p>
        </w:tc>
        <w:tc>
          <w:tcPr>
            <w:tcW w:w="2798" w:type="pct"/>
          </w:tcPr>
          <w:p w14:paraId="52229ADF" w14:textId="77777777" w:rsidR="001E58F2" w:rsidRPr="00463667" w:rsidRDefault="001E58F2" w:rsidP="00F3111D">
            <w:pPr>
              <w:pStyle w:val="TableText"/>
            </w:pPr>
            <w:r w:rsidRPr="00463667">
              <w:t>Inpatient Facility: Acute Inpatient: Surgery Days</w:t>
            </w:r>
          </w:p>
        </w:tc>
      </w:tr>
      <w:tr w:rsidR="001E58F2" w:rsidRPr="00463667" w14:paraId="3FC6F82E" w14:textId="77777777" w:rsidTr="00F3111D">
        <w:trPr>
          <w:cantSplit/>
        </w:trPr>
        <w:tc>
          <w:tcPr>
            <w:tcW w:w="598" w:type="pct"/>
            <w:tcBorders>
              <w:top w:val="nil"/>
              <w:left w:val="nil"/>
              <w:bottom w:val="nil"/>
              <w:right w:val="nil"/>
            </w:tcBorders>
            <w:vAlign w:val="center"/>
          </w:tcPr>
          <w:p w14:paraId="4972498A" w14:textId="77777777" w:rsidR="001E58F2" w:rsidRPr="00463667" w:rsidRDefault="001E58F2" w:rsidP="00F3111D">
            <w:pPr>
              <w:pStyle w:val="TableText"/>
            </w:pPr>
          </w:p>
        </w:tc>
        <w:tc>
          <w:tcPr>
            <w:tcW w:w="465" w:type="pct"/>
            <w:tcBorders>
              <w:top w:val="nil"/>
              <w:left w:val="nil"/>
              <w:bottom w:val="nil"/>
            </w:tcBorders>
            <w:vAlign w:val="center"/>
          </w:tcPr>
          <w:p w14:paraId="407BFD63" w14:textId="77777777" w:rsidR="001E58F2" w:rsidRPr="00463667" w:rsidRDefault="001E58F2" w:rsidP="00F3111D">
            <w:pPr>
              <w:pStyle w:val="TableText"/>
            </w:pPr>
          </w:p>
        </w:tc>
        <w:tc>
          <w:tcPr>
            <w:tcW w:w="561" w:type="pct"/>
          </w:tcPr>
          <w:p w14:paraId="6FB49907" w14:textId="77777777" w:rsidR="001E58F2" w:rsidRPr="00463667" w:rsidRDefault="001E58F2" w:rsidP="00F3111D">
            <w:pPr>
              <w:pStyle w:val="TableText"/>
              <w:ind w:right="288"/>
              <w:jc w:val="right"/>
            </w:pPr>
            <w:r w:rsidRPr="00463667">
              <w:t>12</w:t>
            </w:r>
          </w:p>
        </w:tc>
        <w:tc>
          <w:tcPr>
            <w:tcW w:w="579" w:type="pct"/>
          </w:tcPr>
          <w:p w14:paraId="7E5F881E" w14:textId="77777777" w:rsidR="001E58F2" w:rsidRPr="00463667" w:rsidRDefault="001E58F2" w:rsidP="00F3111D">
            <w:pPr>
              <w:pStyle w:val="TableText"/>
            </w:pPr>
            <w:r w:rsidRPr="00463667">
              <w:t>Count</w:t>
            </w:r>
          </w:p>
        </w:tc>
        <w:tc>
          <w:tcPr>
            <w:tcW w:w="2798" w:type="pct"/>
          </w:tcPr>
          <w:p w14:paraId="31F5DA5D" w14:textId="77777777" w:rsidR="001E58F2" w:rsidRPr="00463667" w:rsidRDefault="001E58F2" w:rsidP="00F3111D">
            <w:pPr>
              <w:pStyle w:val="TableText"/>
            </w:pPr>
            <w:r w:rsidRPr="00463667">
              <w:t>Inpatient Facility: Acute Inpatient: Surgery Discharges</w:t>
            </w:r>
          </w:p>
        </w:tc>
      </w:tr>
      <w:tr w:rsidR="001E58F2" w:rsidRPr="00463667" w14:paraId="2F1913C4" w14:textId="77777777" w:rsidTr="00F3111D">
        <w:trPr>
          <w:cantSplit/>
        </w:trPr>
        <w:tc>
          <w:tcPr>
            <w:tcW w:w="598" w:type="pct"/>
            <w:tcBorders>
              <w:top w:val="nil"/>
              <w:left w:val="nil"/>
              <w:bottom w:val="nil"/>
              <w:right w:val="nil"/>
            </w:tcBorders>
            <w:vAlign w:val="center"/>
          </w:tcPr>
          <w:p w14:paraId="4F2BC0BF" w14:textId="77777777" w:rsidR="001E58F2" w:rsidRPr="00463667" w:rsidRDefault="001E58F2" w:rsidP="00F3111D">
            <w:pPr>
              <w:pStyle w:val="TableText"/>
            </w:pPr>
          </w:p>
        </w:tc>
        <w:tc>
          <w:tcPr>
            <w:tcW w:w="465" w:type="pct"/>
            <w:tcBorders>
              <w:top w:val="nil"/>
              <w:left w:val="nil"/>
              <w:bottom w:val="nil"/>
            </w:tcBorders>
            <w:vAlign w:val="center"/>
          </w:tcPr>
          <w:p w14:paraId="5C8E3687" w14:textId="77777777" w:rsidR="001E58F2" w:rsidRPr="00463667" w:rsidRDefault="001E58F2" w:rsidP="00F3111D">
            <w:pPr>
              <w:pStyle w:val="TableText"/>
            </w:pPr>
          </w:p>
        </w:tc>
        <w:tc>
          <w:tcPr>
            <w:tcW w:w="561" w:type="pct"/>
            <w:tcBorders>
              <w:bottom w:val="single" w:sz="4" w:space="0" w:color="auto"/>
            </w:tcBorders>
          </w:tcPr>
          <w:p w14:paraId="56CEBC66" w14:textId="77777777" w:rsidR="001E58F2" w:rsidRPr="00463667" w:rsidRDefault="001E58F2" w:rsidP="00F3111D">
            <w:pPr>
              <w:pStyle w:val="TableText"/>
              <w:ind w:right="288"/>
              <w:jc w:val="right"/>
            </w:pPr>
            <w:r w:rsidRPr="00463667">
              <w:t>13</w:t>
            </w:r>
          </w:p>
        </w:tc>
        <w:tc>
          <w:tcPr>
            <w:tcW w:w="579" w:type="pct"/>
          </w:tcPr>
          <w:p w14:paraId="541E6959" w14:textId="77777777" w:rsidR="001E58F2" w:rsidRPr="00463667" w:rsidRDefault="001E58F2" w:rsidP="00F3111D">
            <w:pPr>
              <w:pStyle w:val="TableText"/>
            </w:pPr>
            <w:r w:rsidRPr="00463667">
              <w:t>Count</w:t>
            </w:r>
          </w:p>
        </w:tc>
        <w:tc>
          <w:tcPr>
            <w:tcW w:w="2798" w:type="pct"/>
          </w:tcPr>
          <w:p w14:paraId="2DBC626F" w14:textId="77777777" w:rsidR="001E58F2" w:rsidRPr="00463667" w:rsidRDefault="001E58F2" w:rsidP="00F3111D">
            <w:pPr>
              <w:pStyle w:val="TableText"/>
            </w:pPr>
            <w:r w:rsidRPr="00463667">
              <w:t>Inpatient Facility: Nonacute: Days</w:t>
            </w:r>
          </w:p>
        </w:tc>
      </w:tr>
      <w:tr w:rsidR="001E58F2" w:rsidRPr="00463667" w14:paraId="43CE9D9B" w14:textId="77777777" w:rsidTr="00F3111D">
        <w:trPr>
          <w:cantSplit/>
        </w:trPr>
        <w:tc>
          <w:tcPr>
            <w:tcW w:w="598" w:type="pct"/>
            <w:tcBorders>
              <w:top w:val="nil"/>
              <w:left w:val="nil"/>
              <w:bottom w:val="nil"/>
              <w:right w:val="nil"/>
            </w:tcBorders>
            <w:vAlign w:val="center"/>
          </w:tcPr>
          <w:p w14:paraId="70181F11" w14:textId="77777777" w:rsidR="001E58F2" w:rsidRPr="00463667" w:rsidRDefault="001E58F2" w:rsidP="00F3111D">
            <w:pPr>
              <w:pStyle w:val="TableText"/>
            </w:pPr>
          </w:p>
        </w:tc>
        <w:tc>
          <w:tcPr>
            <w:tcW w:w="465" w:type="pct"/>
            <w:tcBorders>
              <w:top w:val="nil"/>
              <w:left w:val="nil"/>
              <w:bottom w:val="nil"/>
              <w:right w:val="nil"/>
            </w:tcBorders>
            <w:vAlign w:val="center"/>
          </w:tcPr>
          <w:p w14:paraId="686CB959" w14:textId="77777777" w:rsidR="001E58F2" w:rsidRPr="00463667" w:rsidRDefault="001E58F2" w:rsidP="00F3111D">
            <w:pPr>
              <w:pStyle w:val="TableText"/>
            </w:pPr>
          </w:p>
        </w:tc>
        <w:tc>
          <w:tcPr>
            <w:tcW w:w="561" w:type="pct"/>
            <w:tcBorders>
              <w:left w:val="nil"/>
              <w:bottom w:val="nil"/>
            </w:tcBorders>
          </w:tcPr>
          <w:p w14:paraId="2E0F7402" w14:textId="77777777" w:rsidR="001E58F2" w:rsidRPr="00463667" w:rsidRDefault="001E58F2" w:rsidP="00F3111D">
            <w:pPr>
              <w:pStyle w:val="TableText"/>
            </w:pPr>
          </w:p>
        </w:tc>
        <w:tc>
          <w:tcPr>
            <w:tcW w:w="579" w:type="pct"/>
          </w:tcPr>
          <w:p w14:paraId="21E2410D" w14:textId="77777777" w:rsidR="001E58F2" w:rsidRPr="00463667" w:rsidRDefault="001E58F2" w:rsidP="00F3111D">
            <w:pPr>
              <w:pStyle w:val="TableText"/>
            </w:pPr>
            <w:r w:rsidRPr="00463667">
              <w:t>Count</w:t>
            </w:r>
          </w:p>
        </w:tc>
        <w:tc>
          <w:tcPr>
            <w:tcW w:w="2798" w:type="pct"/>
          </w:tcPr>
          <w:p w14:paraId="7FE65EC5" w14:textId="77777777" w:rsidR="001E58F2" w:rsidRPr="00463667" w:rsidRDefault="001E58F2" w:rsidP="00F3111D">
            <w:pPr>
              <w:pStyle w:val="TableText"/>
            </w:pPr>
            <w:r w:rsidRPr="00463667">
              <w:t>Inpatient Facility: Nonacute: Discharges</w:t>
            </w:r>
          </w:p>
        </w:tc>
      </w:tr>
      <w:tr w:rsidR="001E58F2" w:rsidRPr="00463667" w14:paraId="2265871B" w14:textId="77777777" w:rsidTr="00F3111D">
        <w:trPr>
          <w:cantSplit/>
        </w:trPr>
        <w:tc>
          <w:tcPr>
            <w:tcW w:w="598" w:type="pct"/>
            <w:tcBorders>
              <w:top w:val="nil"/>
              <w:left w:val="nil"/>
              <w:bottom w:val="nil"/>
              <w:right w:val="nil"/>
            </w:tcBorders>
            <w:vAlign w:val="center"/>
          </w:tcPr>
          <w:p w14:paraId="68812ED4" w14:textId="77777777" w:rsidR="001E58F2" w:rsidRPr="00463667" w:rsidRDefault="001E58F2" w:rsidP="00F3111D">
            <w:pPr>
              <w:pStyle w:val="TableText"/>
            </w:pPr>
          </w:p>
        </w:tc>
        <w:tc>
          <w:tcPr>
            <w:tcW w:w="465" w:type="pct"/>
            <w:tcBorders>
              <w:top w:val="nil"/>
              <w:left w:val="nil"/>
              <w:bottom w:val="nil"/>
              <w:right w:val="nil"/>
            </w:tcBorders>
            <w:vAlign w:val="center"/>
          </w:tcPr>
          <w:p w14:paraId="3EEE6DF5" w14:textId="77777777" w:rsidR="001E58F2" w:rsidRPr="00463667" w:rsidRDefault="001E58F2" w:rsidP="00F3111D">
            <w:pPr>
              <w:pStyle w:val="TableText"/>
            </w:pPr>
          </w:p>
        </w:tc>
        <w:tc>
          <w:tcPr>
            <w:tcW w:w="561" w:type="pct"/>
            <w:tcBorders>
              <w:top w:val="nil"/>
              <w:left w:val="nil"/>
              <w:bottom w:val="nil"/>
            </w:tcBorders>
          </w:tcPr>
          <w:p w14:paraId="5BFD1BE8" w14:textId="77777777" w:rsidR="001E58F2" w:rsidRPr="00463667" w:rsidRDefault="001E58F2" w:rsidP="00F3111D">
            <w:pPr>
              <w:pStyle w:val="TableText"/>
            </w:pPr>
          </w:p>
        </w:tc>
        <w:tc>
          <w:tcPr>
            <w:tcW w:w="579" w:type="pct"/>
          </w:tcPr>
          <w:p w14:paraId="18246D33" w14:textId="77777777" w:rsidR="001E58F2" w:rsidRPr="00463667" w:rsidRDefault="001E58F2" w:rsidP="00F3111D">
            <w:pPr>
              <w:pStyle w:val="TableText"/>
            </w:pPr>
            <w:r w:rsidRPr="00463667">
              <w:t>Count</w:t>
            </w:r>
          </w:p>
        </w:tc>
        <w:tc>
          <w:tcPr>
            <w:tcW w:w="2798" w:type="pct"/>
          </w:tcPr>
          <w:p w14:paraId="487DEFCE" w14:textId="77777777" w:rsidR="001E58F2" w:rsidRPr="00463667" w:rsidRDefault="001E58F2" w:rsidP="00F3111D">
            <w:pPr>
              <w:pStyle w:val="TableText"/>
            </w:pPr>
            <w:r w:rsidRPr="00463667">
              <w:t>ED Discharges</w:t>
            </w:r>
          </w:p>
        </w:tc>
      </w:tr>
      <w:tr w:rsidR="001E58F2" w:rsidRPr="00463667" w14:paraId="222972B9" w14:textId="77777777" w:rsidTr="00F3111D">
        <w:trPr>
          <w:cantSplit/>
        </w:trPr>
        <w:tc>
          <w:tcPr>
            <w:tcW w:w="598" w:type="pct"/>
            <w:tcBorders>
              <w:top w:val="nil"/>
              <w:left w:val="nil"/>
              <w:bottom w:val="nil"/>
              <w:right w:val="nil"/>
            </w:tcBorders>
            <w:vAlign w:val="center"/>
          </w:tcPr>
          <w:p w14:paraId="2BFCE569" w14:textId="77777777" w:rsidR="001E58F2" w:rsidRPr="00463667" w:rsidRDefault="001E58F2" w:rsidP="00F3111D">
            <w:pPr>
              <w:pStyle w:val="TableText"/>
            </w:pPr>
          </w:p>
        </w:tc>
        <w:tc>
          <w:tcPr>
            <w:tcW w:w="465" w:type="pct"/>
            <w:tcBorders>
              <w:top w:val="nil"/>
              <w:left w:val="nil"/>
              <w:bottom w:val="nil"/>
              <w:right w:val="nil"/>
            </w:tcBorders>
            <w:vAlign w:val="center"/>
          </w:tcPr>
          <w:p w14:paraId="1FF9B561" w14:textId="77777777" w:rsidR="001E58F2" w:rsidRPr="00463667" w:rsidRDefault="001E58F2" w:rsidP="00F3111D">
            <w:pPr>
              <w:pStyle w:val="TableText"/>
            </w:pPr>
          </w:p>
        </w:tc>
        <w:tc>
          <w:tcPr>
            <w:tcW w:w="561" w:type="pct"/>
            <w:tcBorders>
              <w:top w:val="nil"/>
              <w:left w:val="nil"/>
              <w:bottom w:val="nil"/>
              <w:right w:val="single" w:sz="4" w:space="0" w:color="auto"/>
            </w:tcBorders>
          </w:tcPr>
          <w:p w14:paraId="49B0019C" w14:textId="77777777" w:rsidR="001E58F2" w:rsidRPr="00463667" w:rsidRDefault="001E58F2" w:rsidP="00F3111D">
            <w:pPr>
              <w:pStyle w:val="TableText"/>
            </w:pPr>
          </w:p>
        </w:tc>
        <w:tc>
          <w:tcPr>
            <w:tcW w:w="579" w:type="pct"/>
            <w:tcBorders>
              <w:top w:val="single" w:sz="4" w:space="0" w:color="auto"/>
              <w:left w:val="single" w:sz="4" w:space="0" w:color="auto"/>
              <w:bottom w:val="single" w:sz="4" w:space="0" w:color="auto"/>
              <w:right w:val="single" w:sz="4" w:space="0" w:color="auto"/>
            </w:tcBorders>
          </w:tcPr>
          <w:p w14:paraId="003AA06E" w14:textId="77777777" w:rsidR="001E58F2" w:rsidRPr="00463667" w:rsidRDefault="001E58F2" w:rsidP="00F3111D">
            <w:pPr>
              <w:pStyle w:val="TableText"/>
            </w:pPr>
            <w:r w:rsidRPr="00463667">
              <w:t>Mem</w:t>
            </w:r>
          </w:p>
        </w:tc>
        <w:tc>
          <w:tcPr>
            <w:tcW w:w="2798" w:type="pct"/>
            <w:tcBorders>
              <w:top w:val="single" w:sz="4" w:space="0" w:color="auto"/>
              <w:left w:val="single" w:sz="4" w:space="0" w:color="auto"/>
              <w:bottom w:val="single" w:sz="4" w:space="0" w:color="auto"/>
              <w:right w:val="single" w:sz="4" w:space="0" w:color="auto"/>
            </w:tcBorders>
          </w:tcPr>
          <w:p w14:paraId="64295EDF" w14:textId="77777777" w:rsidR="001E58F2" w:rsidRPr="00463667" w:rsidRDefault="001E58F2" w:rsidP="00F3111D">
            <w:pPr>
              <w:pStyle w:val="TableText"/>
            </w:pPr>
            <w:r w:rsidRPr="00463667">
              <w:t>Member Months Medical</w:t>
            </w:r>
          </w:p>
        </w:tc>
      </w:tr>
      <w:tr w:rsidR="001E58F2" w:rsidRPr="00463667" w14:paraId="1A6CFFAF" w14:textId="77777777" w:rsidTr="00F3111D">
        <w:trPr>
          <w:cantSplit/>
        </w:trPr>
        <w:tc>
          <w:tcPr>
            <w:tcW w:w="598" w:type="pct"/>
            <w:tcBorders>
              <w:top w:val="nil"/>
              <w:left w:val="nil"/>
              <w:bottom w:val="nil"/>
              <w:right w:val="nil"/>
            </w:tcBorders>
            <w:vAlign w:val="center"/>
          </w:tcPr>
          <w:p w14:paraId="2B22DFAD" w14:textId="77777777" w:rsidR="001E58F2" w:rsidRPr="00463667" w:rsidRDefault="001E58F2" w:rsidP="00F3111D">
            <w:pPr>
              <w:pStyle w:val="TableText"/>
            </w:pPr>
          </w:p>
        </w:tc>
        <w:tc>
          <w:tcPr>
            <w:tcW w:w="465" w:type="pct"/>
            <w:tcBorders>
              <w:top w:val="nil"/>
              <w:left w:val="nil"/>
              <w:bottom w:val="nil"/>
              <w:right w:val="nil"/>
            </w:tcBorders>
            <w:vAlign w:val="center"/>
          </w:tcPr>
          <w:p w14:paraId="73EBB9B9" w14:textId="77777777" w:rsidR="001E58F2" w:rsidRPr="00463667" w:rsidRDefault="001E58F2" w:rsidP="00F3111D">
            <w:pPr>
              <w:pStyle w:val="TableText"/>
            </w:pPr>
          </w:p>
        </w:tc>
        <w:tc>
          <w:tcPr>
            <w:tcW w:w="561" w:type="pct"/>
            <w:tcBorders>
              <w:top w:val="nil"/>
              <w:left w:val="nil"/>
              <w:bottom w:val="nil"/>
              <w:right w:val="single" w:sz="4" w:space="0" w:color="auto"/>
            </w:tcBorders>
          </w:tcPr>
          <w:p w14:paraId="3540F228" w14:textId="77777777" w:rsidR="001E58F2" w:rsidRPr="00463667" w:rsidRDefault="001E58F2" w:rsidP="00F3111D">
            <w:pPr>
              <w:pStyle w:val="TableText"/>
            </w:pPr>
          </w:p>
        </w:tc>
        <w:tc>
          <w:tcPr>
            <w:tcW w:w="579" w:type="pct"/>
            <w:tcBorders>
              <w:top w:val="single" w:sz="4" w:space="0" w:color="auto"/>
              <w:left w:val="single" w:sz="4" w:space="0" w:color="auto"/>
              <w:bottom w:val="single" w:sz="4" w:space="0" w:color="auto"/>
              <w:right w:val="single" w:sz="4" w:space="0" w:color="auto"/>
            </w:tcBorders>
          </w:tcPr>
          <w:p w14:paraId="1796BD6E" w14:textId="77777777" w:rsidR="001E58F2" w:rsidRPr="00463667" w:rsidRDefault="001E58F2" w:rsidP="00F3111D">
            <w:pPr>
              <w:pStyle w:val="TableText"/>
            </w:pPr>
            <w:r w:rsidRPr="00463667">
              <w:t>Mem</w:t>
            </w:r>
          </w:p>
        </w:tc>
        <w:tc>
          <w:tcPr>
            <w:tcW w:w="2798" w:type="pct"/>
            <w:tcBorders>
              <w:top w:val="single" w:sz="4" w:space="0" w:color="auto"/>
              <w:left w:val="single" w:sz="4" w:space="0" w:color="auto"/>
              <w:bottom w:val="single" w:sz="4" w:space="0" w:color="auto"/>
              <w:right w:val="single" w:sz="4" w:space="0" w:color="auto"/>
            </w:tcBorders>
          </w:tcPr>
          <w:p w14:paraId="0CEDD0B9" w14:textId="77777777" w:rsidR="001E58F2" w:rsidRPr="00463667" w:rsidRDefault="001E58F2" w:rsidP="00F3111D">
            <w:pPr>
              <w:pStyle w:val="TableText"/>
            </w:pPr>
            <w:r w:rsidRPr="00463667">
              <w:t>Member Months Pharmacy</w:t>
            </w:r>
          </w:p>
        </w:tc>
      </w:tr>
    </w:tbl>
    <w:p w14:paraId="5A02D01E" w14:textId="77777777" w:rsidR="00FC1D3A" w:rsidRDefault="00FC1D3A" w:rsidP="001E58F2">
      <w:pPr>
        <w:sectPr w:rsidR="00FC1D3A" w:rsidSect="00C56CA6">
          <w:pgSz w:w="12240" w:h="15840" w:code="1"/>
          <w:pgMar w:top="1080" w:right="1080" w:bottom="1080" w:left="1440" w:header="720" w:footer="720" w:gutter="0"/>
          <w:cols w:space="720"/>
          <w:docGrid w:linePitch="360"/>
        </w:sectPr>
      </w:pPr>
    </w:p>
    <w:p w14:paraId="7BE06B20" w14:textId="77777777" w:rsidR="001E58F2" w:rsidRPr="00463667" w:rsidRDefault="001E58F2" w:rsidP="00FC1D3A">
      <w:pPr>
        <w:pStyle w:val="TableHeadNotCondensed"/>
        <w:spacing w:before="0"/>
        <w:ind w:left="1980" w:hanging="1980"/>
      </w:pPr>
      <w:r>
        <w:lastRenderedPageBreak/>
        <w:t>Table RAS-C-1/2/</w:t>
      </w:r>
      <w:r w:rsidRPr="00DB46BD">
        <w:t>3</w:t>
      </w:r>
      <w:r>
        <w:t>:</w:t>
      </w:r>
      <w:r>
        <w:tab/>
      </w:r>
      <w:r w:rsidRPr="00463667">
        <w:t xml:space="preserve">Data Elements for Relative Resource Use for People </w:t>
      </w:r>
      <w:r>
        <w:br/>
      </w:r>
      <w:r w:rsidRPr="00463667">
        <w:t>With Asthma</w:t>
      </w:r>
    </w:p>
    <w:tbl>
      <w:tblPr>
        <w:tblW w:w="7650" w:type="dxa"/>
        <w:tblInd w:w="-10" w:type="dxa"/>
        <w:tblCellMar>
          <w:left w:w="0" w:type="dxa"/>
          <w:right w:w="0" w:type="dxa"/>
        </w:tblCellMar>
        <w:tblLook w:val="04A0" w:firstRow="1" w:lastRow="0" w:firstColumn="1" w:lastColumn="0" w:noHBand="0" w:noVBand="1"/>
      </w:tblPr>
      <w:tblGrid>
        <w:gridCol w:w="7650"/>
      </w:tblGrid>
      <w:tr w:rsidR="001E58F2" w:rsidRPr="00463667" w14:paraId="5BBEDB59" w14:textId="77777777" w:rsidTr="00F3111D">
        <w:tc>
          <w:tcPr>
            <w:tcW w:w="7650" w:type="dxa"/>
            <w:tcBorders>
              <w:top w:val="single" w:sz="8" w:space="0" w:color="auto"/>
              <w:left w:val="single" w:sz="8" w:space="0" w:color="auto"/>
              <w:bottom w:val="single" w:sz="4" w:space="0" w:color="auto"/>
              <w:right w:val="single" w:sz="4" w:space="0" w:color="auto"/>
            </w:tcBorders>
            <w:shd w:val="clear" w:color="auto" w:fill="000000"/>
            <w:noWrap/>
            <w:tcMar>
              <w:top w:w="0" w:type="dxa"/>
              <w:left w:w="108" w:type="dxa"/>
              <w:bottom w:w="0" w:type="dxa"/>
              <w:right w:w="108" w:type="dxa"/>
            </w:tcMar>
            <w:vAlign w:val="bottom"/>
            <w:hideMark/>
          </w:tcPr>
          <w:p w14:paraId="6B7AA954" w14:textId="77777777" w:rsidR="001E58F2" w:rsidRPr="00463667" w:rsidRDefault="001E58F2" w:rsidP="00F3111D">
            <w:pPr>
              <w:pStyle w:val="TableHead"/>
              <w:rPr>
                <w:color w:val="auto"/>
              </w:rPr>
            </w:pPr>
            <w:r w:rsidRPr="00463667">
              <w:rPr>
                <w:color w:val="auto"/>
              </w:rPr>
              <w:t>Data Element</w:t>
            </w:r>
          </w:p>
        </w:tc>
      </w:tr>
      <w:tr w:rsidR="001E58F2" w:rsidRPr="00463667" w14:paraId="2E173773"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43F1CB76" w14:textId="77777777" w:rsidR="001E58F2" w:rsidRPr="00463667" w:rsidRDefault="001E58F2" w:rsidP="00F3111D">
            <w:pPr>
              <w:pStyle w:val="TableText"/>
            </w:pPr>
            <w:r w:rsidRPr="00463667">
              <w:t>Eligible Population</w:t>
            </w:r>
          </w:p>
        </w:tc>
      </w:tr>
      <w:tr w:rsidR="001E58F2" w:rsidRPr="00463667" w14:paraId="4567B8B7"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4BB6F87D" w14:textId="77777777" w:rsidR="001E58F2" w:rsidRPr="00463667" w:rsidRDefault="001E58F2" w:rsidP="00F3111D">
            <w:pPr>
              <w:pStyle w:val="TableText"/>
            </w:pPr>
            <w:r w:rsidRPr="00463667">
              <w:t>Exclusions</w:t>
            </w:r>
          </w:p>
        </w:tc>
      </w:tr>
      <w:tr w:rsidR="001E58F2" w:rsidRPr="00463667" w14:paraId="49F91D65"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37260E23" w14:textId="77777777" w:rsidR="001E58F2" w:rsidRPr="00463667" w:rsidRDefault="001E58F2" w:rsidP="00F3111D">
            <w:pPr>
              <w:pStyle w:val="TableText"/>
            </w:pPr>
            <w:r w:rsidRPr="00463667">
              <w:t xml:space="preserve">Eligible Population per 1,000 MY Medical </w:t>
            </w:r>
          </w:p>
        </w:tc>
      </w:tr>
      <w:tr w:rsidR="001E58F2" w:rsidRPr="00463667" w14:paraId="3ECE3768"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4E98CDF" w14:textId="77777777" w:rsidR="001E58F2" w:rsidRPr="00463667" w:rsidRDefault="001E58F2" w:rsidP="00F3111D">
            <w:pPr>
              <w:pStyle w:val="TableText"/>
            </w:pPr>
            <w:r w:rsidRPr="00463667">
              <w:t>Eligible Population per 1,000 MY Pharmacy</w:t>
            </w:r>
          </w:p>
        </w:tc>
      </w:tr>
      <w:tr w:rsidR="001E58F2" w:rsidRPr="00463667" w14:paraId="415DCB21"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083055F2" w14:textId="77777777" w:rsidR="001E58F2" w:rsidRPr="00463667" w:rsidRDefault="001E58F2" w:rsidP="00F3111D">
            <w:pPr>
              <w:pStyle w:val="TableText"/>
            </w:pPr>
            <w:r w:rsidRPr="00463667">
              <w:t>Name Brand Only Count (N1)</w:t>
            </w:r>
          </w:p>
        </w:tc>
      </w:tr>
      <w:tr w:rsidR="001E58F2" w:rsidRPr="00463667" w14:paraId="193210BF"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46467CE4" w14:textId="77777777" w:rsidR="001E58F2" w:rsidRPr="00463667" w:rsidRDefault="001E58F2" w:rsidP="00F3111D">
            <w:pPr>
              <w:pStyle w:val="TableText"/>
            </w:pPr>
            <w:r w:rsidRPr="00463667">
              <w:t>Name Brand Generic Exists Count (N2)</w:t>
            </w:r>
          </w:p>
        </w:tc>
      </w:tr>
      <w:tr w:rsidR="001E58F2" w:rsidRPr="00463667" w14:paraId="494D4C07"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0B921AA" w14:textId="77777777" w:rsidR="001E58F2" w:rsidRPr="00463667" w:rsidRDefault="001E58F2" w:rsidP="00F3111D">
            <w:pPr>
              <w:pStyle w:val="TableText"/>
            </w:pPr>
            <w:r w:rsidRPr="00463667">
              <w:t>Generic Only Count (G1)</w:t>
            </w:r>
          </w:p>
        </w:tc>
      </w:tr>
      <w:tr w:rsidR="001E58F2" w:rsidRPr="00463667" w14:paraId="50698EAC"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56A7725" w14:textId="77777777" w:rsidR="001E58F2" w:rsidRPr="00463667" w:rsidRDefault="001E58F2" w:rsidP="00F3111D">
            <w:pPr>
              <w:pStyle w:val="TableText"/>
            </w:pPr>
            <w:r w:rsidRPr="00463667">
              <w:t>Generic Name Brand Exists Count (G2)</w:t>
            </w:r>
          </w:p>
        </w:tc>
      </w:tr>
      <w:tr w:rsidR="001E58F2" w:rsidRPr="00463667" w14:paraId="372D591A"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7C933A37" w14:textId="77777777" w:rsidR="001E58F2" w:rsidRPr="00463667" w:rsidRDefault="001E58F2" w:rsidP="00F3111D">
            <w:pPr>
              <w:pStyle w:val="TableText"/>
            </w:pPr>
            <w:r w:rsidRPr="00463667">
              <w:t>Total Prescriptions (N1+N2+G1+G2)</w:t>
            </w:r>
          </w:p>
        </w:tc>
      </w:tr>
      <w:tr w:rsidR="001E58F2" w:rsidRPr="00463667" w14:paraId="1D6D2D82"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1BFFD81" w14:textId="77777777" w:rsidR="001E58F2" w:rsidRPr="00463667" w:rsidRDefault="001E58F2" w:rsidP="00F3111D">
            <w:pPr>
              <w:pStyle w:val="TableText"/>
            </w:pPr>
            <w:r w:rsidRPr="00463667">
              <w:t>Generic Utilization Rate [(G1 + G2)/(N2+G1+G2)]</w:t>
            </w:r>
          </w:p>
        </w:tc>
      </w:tr>
      <w:tr w:rsidR="001E58F2" w:rsidRPr="00463667" w14:paraId="08526B63"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0077A06F" w14:textId="77777777" w:rsidR="001E58F2" w:rsidRPr="00463667" w:rsidRDefault="001E58F2" w:rsidP="00F3111D">
            <w:pPr>
              <w:pStyle w:val="TableText"/>
            </w:pPr>
            <w:r w:rsidRPr="00463667">
              <w:t>Generic Substitution Rate [(G2)/(N2+G2)]</w:t>
            </w:r>
          </w:p>
        </w:tc>
      </w:tr>
      <w:tr w:rsidR="001E58F2" w:rsidRPr="00463667" w14:paraId="4442F088"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5CEE7D1F" w14:textId="77777777" w:rsidR="001E58F2" w:rsidRPr="00463667" w:rsidRDefault="001E58F2" w:rsidP="00F3111D">
            <w:pPr>
              <w:pStyle w:val="TableText"/>
            </w:pPr>
            <w:r w:rsidRPr="00463667">
              <w:t>Overall Generic Utilization [(G1+G2)/(N1+N2+G1+G2)]</w:t>
            </w:r>
          </w:p>
        </w:tc>
      </w:tr>
      <w:tr w:rsidR="001E58F2" w:rsidRPr="00463667" w14:paraId="770E140D"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57126088" w14:textId="77777777" w:rsidR="001E58F2" w:rsidRPr="00463667" w:rsidRDefault="001E58F2" w:rsidP="00F3111D">
            <w:pPr>
              <w:pStyle w:val="TableText"/>
            </w:pPr>
            <w:r w:rsidRPr="00463667">
              <w:t>Inpatient Facility PMPM</w:t>
            </w:r>
          </w:p>
        </w:tc>
      </w:tr>
      <w:tr w:rsidR="001E58F2" w:rsidRPr="00463667" w14:paraId="6E9EBEFB"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2241DF9" w14:textId="77777777" w:rsidR="001E58F2" w:rsidRPr="00463667" w:rsidRDefault="001E58F2" w:rsidP="00F3111D">
            <w:pPr>
              <w:pStyle w:val="TableText"/>
            </w:pPr>
            <w:r w:rsidRPr="00463667">
              <w:t>E&amp;M Inpatient Services PMPM</w:t>
            </w:r>
          </w:p>
        </w:tc>
      </w:tr>
      <w:tr w:rsidR="001E58F2" w:rsidRPr="00463667" w14:paraId="4F6DD66F"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5B11A82E" w14:textId="77777777" w:rsidR="001E58F2" w:rsidRPr="00463667" w:rsidRDefault="001E58F2" w:rsidP="00F3111D">
            <w:pPr>
              <w:pStyle w:val="TableText"/>
            </w:pPr>
            <w:r w:rsidRPr="00463667">
              <w:t>E&amp;M Outpatient Services PMPM</w:t>
            </w:r>
          </w:p>
        </w:tc>
      </w:tr>
      <w:tr w:rsidR="001E58F2" w:rsidRPr="00463667" w14:paraId="751E3B66"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43C8457A" w14:textId="77777777" w:rsidR="001E58F2" w:rsidRPr="00463667" w:rsidRDefault="001E58F2" w:rsidP="00F3111D">
            <w:pPr>
              <w:pStyle w:val="TableText"/>
            </w:pPr>
            <w:r w:rsidRPr="00463667">
              <w:t>Surgery &amp; Procedure Inpatient Services PMPM</w:t>
            </w:r>
          </w:p>
        </w:tc>
      </w:tr>
      <w:tr w:rsidR="001E58F2" w:rsidRPr="00463667" w14:paraId="71287D09"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23D9AF58" w14:textId="77777777" w:rsidR="001E58F2" w:rsidRPr="00463667" w:rsidRDefault="001E58F2" w:rsidP="00F3111D">
            <w:pPr>
              <w:pStyle w:val="TableText"/>
            </w:pPr>
            <w:r w:rsidRPr="00463667">
              <w:t>Surgery &amp; Procedure Outpatient Services PMPM</w:t>
            </w:r>
          </w:p>
        </w:tc>
      </w:tr>
      <w:tr w:rsidR="001E58F2" w:rsidRPr="00463667" w14:paraId="0F4E1CEA"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3951B9B5" w14:textId="77777777" w:rsidR="001E58F2" w:rsidRPr="00463667" w:rsidRDefault="001E58F2" w:rsidP="00F3111D">
            <w:pPr>
              <w:pStyle w:val="TableText"/>
            </w:pPr>
            <w:r w:rsidRPr="00463667">
              <w:t>Imaging Services PMPM</w:t>
            </w:r>
          </w:p>
        </w:tc>
      </w:tr>
      <w:tr w:rsidR="001E58F2" w:rsidRPr="00463667" w14:paraId="251BBC06"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42B7ED69" w14:textId="77777777" w:rsidR="001E58F2" w:rsidRPr="00463667" w:rsidRDefault="001E58F2" w:rsidP="00F3111D">
            <w:pPr>
              <w:pStyle w:val="TableText"/>
            </w:pPr>
            <w:r w:rsidRPr="00463667">
              <w:t>Laboratory Services PMPM</w:t>
            </w:r>
          </w:p>
        </w:tc>
      </w:tr>
      <w:tr w:rsidR="001E58F2" w:rsidRPr="00463667" w14:paraId="56A0F5B5"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3408F4B8" w14:textId="77777777" w:rsidR="001E58F2" w:rsidRPr="00463667" w:rsidRDefault="001E58F2" w:rsidP="00F3111D">
            <w:pPr>
              <w:pStyle w:val="TableText"/>
            </w:pPr>
            <w:r w:rsidRPr="00463667">
              <w:t>Pharmacy PMPM</w:t>
            </w:r>
          </w:p>
        </w:tc>
      </w:tr>
      <w:tr w:rsidR="001E58F2" w:rsidRPr="00463667" w14:paraId="0E27F0A4"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7FF09CD" w14:textId="77777777" w:rsidR="001E58F2" w:rsidRPr="00463667" w:rsidRDefault="001E58F2" w:rsidP="00F3111D">
            <w:pPr>
              <w:pStyle w:val="TableText"/>
            </w:pPr>
            <w:r w:rsidRPr="00463667">
              <w:t>Inpatient Facility: Acute Inpatient: Medical Days per 1,000 MY</w:t>
            </w:r>
          </w:p>
        </w:tc>
      </w:tr>
      <w:tr w:rsidR="001E58F2" w:rsidRPr="00463667" w14:paraId="2ABD599A"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2D477E19" w14:textId="77777777" w:rsidR="001E58F2" w:rsidRPr="00463667" w:rsidRDefault="001E58F2" w:rsidP="00F3111D">
            <w:pPr>
              <w:pStyle w:val="TableText"/>
            </w:pPr>
            <w:r w:rsidRPr="00463667">
              <w:t>Inpatient Facility: Acute Inpatient: Medical Discharges per 1,000 MY</w:t>
            </w:r>
          </w:p>
        </w:tc>
      </w:tr>
      <w:tr w:rsidR="001E58F2" w:rsidRPr="00463667" w14:paraId="0C24F1F0"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3D233E97" w14:textId="77777777" w:rsidR="001E58F2" w:rsidRPr="00463667" w:rsidRDefault="001E58F2" w:rsidP="00F3111D">
            <w:pPr>
              <w:pStyle w:val="TableText"/>
            </w:pPr>
            <w:r w:rsidRPr="00463667">
              <w:t>Inpatient Facility: Acute Inpatient: Surgery Days per 1,000 MY</w:t>
            </w:r>
          </w:p>
        </w:tc>
      </w:tr>
      <w:tr w:rsidR="001E58F2" w:rsidRPr="00463667" w14:paraId="5304062C"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006237D1" w14:textId="77777777" w:rsidR="001E58F2" w:rsidRPr="00463667" w:rsidRDefault="001E58F2" w:rsidP="00F3111D">
            <w:pPr>
              <w:pStyle w:val="TableText"/>
            </w:pPr>
            <w:r w:rsidRPr="00463667">
              <w:t>Inpatient Facility: Acute Inpatient: Surgery Discharges per 1,000 MY</w:t>
            </w:r>
          </w:p>
        </w:tc>
      </w:tr>
      <w:tr w:rsidR="001E58F2" w:rsidRPr="00463667" w14:paraId="734BD0B6"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5C6D9722" w14:textId="77777777" w:rsidR="001E58F2" w:rsidRPr="00463667" w:rsidRDefault="001E58F2" w:rsidP="00F3111D">
            <w:pPr>
              <w:pStyle w:val="TableText"/>
            </w:pPr>
            <w:r w:rsidRPr="00463667">
              <w:t>Inpatient Facility: Nonacute Days per 1,000 MY</w:t>
            </w:r>
          </w:p>
        </w:tc>
      </w:tr>
      <w:tr w:rsidR="001E58F2" w:rsidRPr="00463667" w14:paraId="1E524649"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3E92BC65" w14:textId="77777777" w:rsidR="001E58F2" w:rsidRPr="00463667" w:rsidRDefault="001E58F2" w:rsidP="00F3111D">
            <w:pPr>
              <w:pStyle w:val="TableText"/>
            </w:pPr>
            <w:r w:rsidRPr="00463667">
              <w:t>Inpatient Facility: Nonacute Discharges per 1,000 MY</w:t>
            </w:r>
          </w:p>
        </w:tc>
      </w:tr>
      <w:tr w:rsidR="001E58F2" w:rsidRPr="00463667" w14:paraId="3D337EF0"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555F1EF5" w14:textId="77777777" w:rsidR="001E58F2" w:rsidRPr="00463667" w:rsidRDefault="001E58F2" w:rsidP="00F3111D">
            <w:pPr>
              <w:pStyle w:val="TableText"/>
            </w:pPr>
            <w:r w:rsidRPr="00463667">
              <w:t>Inpatient Facility Acute Medical ALOS</w:t>
            </w:r>
          </w:p>
        </w:tc>
      </w:tr>
      <w:tr w:rsidR="001E58F2" w:rsidRPr="00463667" w14:paraId="4AD700A9"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B99802C" w14:textId="77777777" w:rsidR="001E58F2" w:rsidRPr="00463667" w:rsidRDefault="001E58F2" w:rsidP="00F3111D">
            <w:pPr>
              <w:pStyle w:val="TableText"/>
            </w:pPr>
            <w:r w:rsidRPr="00463667">
              <w:t>Inpatient Facility Acute Surgery ALOS</w:t>
            </w:r>
          </w:p>
        </w:tc>
      </w:tr>
      <w:tr w:rsidR="001E58F2" w:rsidRPr="00463667" w14:paraId="1F06F8C4"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354123CB" w14:textId="77777777" w:rsidR="001E58F2" w:rsidRPr="00463667" w:rsidRDefault="001E58F2" w:rsidP="00F3111D">
            <w:pPr>
              <w:pStyle w:val="TableText"/>
            </w:pPr>
            <w:r w:rsidRPr="00463667">
              <w:t>Inpatient Facility Nonacute ALOS</w:t>
            </w:r>
          </w:p>
        </w:tc>
      </w:tr>
      <w:tr w:rsidR="001E58F2" w:rsidRPr="00463667" w14:paraId="44AE8439"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69823EC2" w14:textId="77777777" w:rsidR="001E58F2" w:rsidRPr="00463667" w:rsidRDefault="001E58F2" w:rsidP="00F3111D">
            <w:pPr>
              <w:pStyle w:val="TableText"/>
            </w:pPr>
            <w:r w:rsidRPr="00463667">
              <w:t xml:space="preserve">Total Inpatient Facility Acute ALOS </w:t>
            </w:r>
          </w:p>
        </w:tc>
      </w:tr>
      <w:tr w:rsidR="001E58F2" w:rsidRPr="00463667" w14:paraId="605DF757"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76136030" w14:textId="77777777" w:rsidR="001E58F2" w:rsidRPr="00463667" w:rsidRDefault="001E58F2" w:rsidP="00F3111D">
            <w:pPr>
              <w:pStyle w:val="TableText"/>
            </w:pPr>
            <w:r w:rsidRPr="00463667">
              <w:t>Total Inpatient Facility ALOS</w:t>
            </w:r>
          </w:p>
        </w:tc>
      </w:tr>
      <w:tr w:rsidR="001E58F2" w:rsidRPr="00463667" w14:paraId="1D874B05" w14:textId="77777777" w:rsidTr="00F3111D">
        <w:tc>
          <w:tcPr>
            <w:tcW w:w="765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0FE69FA6" w14:textId="77777777" w:rsidR="001E58F2" w:rsidRPr="00463667" w:rsidRDefault="001E58F2" w:rsidP="00F3111D">
            <w:pPr>
              <w:pStyle w:val="TableText"/>
            </w:pPr>
            <w:r w:rsidRPr="00463667">
              <w:t>ED Discharges per 1,000 MY Medical</w:t>
            </w:r>
          </w:p>
        </w:tc>
      </w:tr>
    </w:tbl>
    <w:p w14:paraId="6A55BCA1" w14:textId="77777777" w:rsidR="001E58F2" w:rsidRDefault="001E58F2" w:rsidP="001E58F2">
      <w:pPr>
        <w:pStyle w:val="Note"/>
      </w:pPr>
      <w:r w:rsidRPr="00463667">
        <w:rPr>
          <w:b/>
          <w:szCs w:val="20"/>
        </w:rPr>
        <w:t>Note:</w:t>
      </w:r>
      <w:r w:rsidRPr="00463667">
        <w:t xml:space="preserve"> This table indicates the calculated fields that NCQA provides for the age-gender-risk totals. </w:t>
      </w:r>
    </w:p>
    <w:p w14:paraId="40733769" w14:textId="77777777" w:rsidR="007F7DC6" w:rsidRDefault="007F7DC6" w:rsidP="001E58F2">
      <w:pPr>
        <w:pStyle w:val="Note"/>
      </w:pPr>
    </w:p>
    <w:p w14:paraId="1F218D17" w14:textId="77777777" w:rsidR="007F7DC6" w:rsidRDefault="007F7DC6" w:rsidP="001E58F2">
      <w:pPr>
        <w:pStyle w:val="Note"/>
      </w:pPr>
    </w:p>
    <w:p w14:paraId="777ED660" w14:textId="76642E71" w:rsidR="00DE38AC" w:rsidRPr="00463667" w:rsidRDefault="00DE38AC" w:rsidP="000F3E3D"/>
    <w:sectPr w:rsidR="00DE38AC" w:rsidRPr="00463667" w:rsidSect="007F7DC6">
      <w:headerReference w:type="default" r:id="rId67"/>
      <w:type w:val="evenPage"/>
      <w:pgSz w:w="12240" w:h="15840" w:code="1"/>
      <w:pgMar w:top="1080" w:right="1080" w:bottom="108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48" wne:kcmSecondary="0032">
      <wne:acd wne:acdName="acd2"/>
    </wne:keymap>
    <wne:keymap wne:kcmPrimary="0252" wne:kcmSecondary="0048">
      <wne:acd wne:acdName="acd1"/>
    </wne:keymap>
    <wne:keymap wne:kcmPrimary="0254" wne:kcmSecondary="0048">
      <wne:acd wne:acdName="acd0"/>
    </wne:keymap>
  </wne:keymaps>
  <wne:toolbars>
    <wne:acdManifest>
      <wne:acdEntry wne:acdName="acd0"/>
      <wne:acdEntry wne:acdName="acd1"/>
      <wne:acdEntry wne:acdName="acd2"/>
    </wne:acdManifest>
  </wne:toolbars>
  <wne:acds>
    <wne:acd wne:argValue="AgBUAGEAYgBsAGUAIABIAGUAYQBkACAATgBvAHQAIABDAG8AbgBkAGUAbgBzAGUAZAA=" wne:acdName="acd0" wne:fciIndexBasedOn="0065"/>
    <wne:acd wne:argValue="AgBSAGUAdgBlAHIAcwBlACAASABlAGEAZAA=" wne:acdName="acd1" wne:fciIndexBasedOn="0065"/>
    <wne:acd wne:argValue="AgBIAGUAYQBkAGkAbgBnADIATgBPAFQATwBDA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B3504" w14:textId="77777777" w:rsidR="00F3111D" w:rsidRDefault="00F3111D">
      <w:r>
        <w:separator/>
      </w:r>
    </w:p>
  </w:endnote>
  <w:endnote w:type="continuationSeparator" w:id="0">
    <w:p w14:paraId="478DEA20" w14:textId="77777777" w:rsidR="00F3111D" w:rsidRDefault="00F3111D">
      <w:r>
        <w:continuationSeparator/>
      </w:r>
    </w:p>
  </w:endnote>
  <w:endnote w:type="continuationNotice" w:id="1">
    <w:p w14:paraId="1762A6DB" w14:textId="77777777" w:rsidR="00F3111D" w:rsidRDefault="00F311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Bold">
    <w:altName w:val="Arial Narrow"/>
    <w:panose1 w:val="020B0706020202030204"/>
    <w:charset w:val="00"/>
    <w:family w:val="auto"/>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A4231" w14:textId="77777777" w:rsidR="00F3111D" w:rsidRDefault="00F3111D">
    <w:pPr>
      <w:pStyle w:val="Footer"/>
      <w:pBdr>
        <w:top w:val="none" w:sz="0" w:space="0" w:color="auto"/>
      </w:pBd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909F2" w14:textId="46297EC2" w:rsidR="00F3111D" w:rsidRPr="00646415" w:rsidRDefault="00F3111D">
    <w:pPr>
      <w:pStyle w:val="Footer"/>
    </w:pPr>
    <w:r w:rsidRPr="00646415">
      <w:t xml:space="preserve">HEDIS </w:t>
    </w:r>
    <w:r>
      <w:t>2016</w:t>
    </w:r>
    <w:r w:rsidRPr="00646415">
      <w:t>, Volume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AF5AD" w14:textId="77777777" w:rsidR="00F3111D" w:rsidRDefault="00F3111D">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E50DA" w14:textId="6AA57A0E" w:rsidR="00F3111D" w:rsidRDefault="00F3111D">
    <w:pPr>
      <w:pStyle w:val="Footer"/>
    </w:pPr>
    <w:r>
      <w:t>HEDIS 2016, Volume 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20579" w14:textId="32CEA8F9" w:rsidR="00F3111D" w:rsidRPr="00646415" w:rsidRDefault="00F3111D" w:rsidP="00C56CA6">
    <w:pPr>
      <w:pStyle w:val="Footer"/>
      <w:jc w:val="right"/>
    </w:pPr>
    <w:r w:rsidRPr="00646415">
      <w:t xml:space="preserve">HEDIS </w:t>
    </w:r>
    <w:r>
      <w:t>2016</w:t>
    </w:r>
    <w:r w:rsidRPr="00646415">
      <w:t>, Volume 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02D50" w14:textId="77777777" w:rsidR="00E451F8" w:rsidRPr="00646415" w:rsidRDefault="00E451F8" w:rsidP="00C56CA6">
    <w:pPr>
      <w:pStyle w:val="Footer"/>
      <w:jc w:val="right"/>
    </w:pPr>
    <w:r w:rsidRPr="00646415">
      <w:t xml:space="preserve">HEDIS </w:t>
    </w:r>
    <w:r>
      <w:t>2016</w:t>
    </w:r>
    <w:r w:rsidRPr="00646415">
      <w:t>, Volume 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8B1E2" w14:textId="3D352CD4" w:rsidR="00F3111D" w:rsidRDefault="00F3111D">
    <w:pPr>
      <w:pStyle w:val="Footer"/>
    </w:pPr>
    <w:r>
      <w:t>HEDIS 2016, Volume 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2F13F" w14:textId="3C0588B9" w:rsidR="00F3111D" w:rsidRPr="00646415" w:rsidRDefault="00F3111D" w:rsidP="00C56CA6">
    <w:pPr>
      <w:pStyle w:val="Footer"/>
      <w:jc w:val="right"/>
    </w:pPr>
    <w:r w:rsidRPr="00646415">
      <w:t xml:space="preserve">HEDIS </w:t>
    </w:r>
    <w:r>
      <w:t>2016</w:t>
    </w:r>
    <w:r w:rsidRPr="00646415">
      <w:t>, Volume 2</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FD3C9" w14:textId="1900938E" w:rsidR="00F3111D" w:rsidRDefault="00F3111D">
    <w:pPr>
      <w:pStyle w:val="Footer"/>
    </w:pPr>
    <w:r>
      <w:t>HEDIS 2016, Volume 2</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914E0" w14:textId="77777777" w:rsidR="00F3111D" w:rsidRDefault="00F31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50153" w14:textId="77777777" w:rsidR="00F3111D" w:rsidRDefault="00F3111D">
      <w:pPr>
        <w:pStyle w:val="AnswerText"/>
        <w:ind w:left="0"/>
        <w:rPr>
          <w:rFonts w:ascii="Times New Roman" w:hAnsi="Times New Roman"/>
        </w:rPr>
      </w:pPr>
      <w:r>
        <w:separator/>
      </w:r>
    </w:p>
  </w:footnote>
  <w:footnote w:type="continuationSeparator" w:id="0">
    <w:p w14:paraId="12A45878" w14:textId="77777777" w:rsidR="00F3111D" w:rsidRDefault="00F3111D">
      <w:r>
        <w:continuationSeparator/>
      </w:r>
    </w:p>
  </w:footnote>
  <w:footnote w:type="continuationNotice" w:id="1">
    <w:p w14:paraId="22A3558D" w14:textId="77777777" w:rsidR="00F3111D" w:rsidRDefault="00F311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D7177" w14:textId="77777777" w:rsidR="00F3111D" w:rsidRDefault="00F3111D">
    <w:pPr>
      <w:pStyle w:val="Header"/>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091D3" w14:textId="77777777" w:rsidR="00F3111D" w:rsidRDefault="00F3111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99D4F" w14:textId="77777777" w:rsidR="00F3111D" w:rsidRDefault="00F3111D" w:rsidP="00C56CA6">
    <w:pPr>
      <w:pStyle w:val="Header"/>
      <w:ind w:left="720" w:hanging="720"/>
    </w:pP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386</w:t>
    </w:r>
    <w:r>
      <w:rPr>
        <w:rStyle w:val="PageNumber"/>
      </w:rPr>
      <w:fldChar w:fldCharType="end"/>
    </w:r>
    <w:r>
      <w:rPr>
        <w:rStyle w:val="PageNumber"/>
      </w:rPr>
      <w:tab/>
    </w:r>
    <w:r w:rsidRPr="00F957AC">
      <w:t xml:space="preserve">Guidelines for </w:t>
    </w:r>
    <w:r>
      <w:t xml:space="preserve">Relative </w:t>
    </w:r>
    <w:r w:rsidRPr="00F957AC">
      <w:t>Resource Use Measures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51881" w14:textId="77777777" w:rsidR="00F3111D" w:rsidRDefault="00F3111D" w:rsidP="00C56CA6">
    <w:pPr>
      <w:pStyle w:val="Header"/>
      <w:ind w:left="720" w:hanging="720"/>
    </w:pP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392</w:t>
    </w:r>
    <w:r>
      <w:rPr>
        <w:rStyle w:val="PageNumber"/>
      </w:rPr>
      <w:fldChar w:fldCharType="end"/>
    </w:r>
    <w:r>
      <w:rPr>
        <w:rStyle w:val="PageNumber"/>
      </w:rPr>
      <w:tab/>
    </w:r>
    <w:r>
      <w:t>Relative Resource Use for People With Diabetes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8AE12" w14:textId="77777777" w:rsidR="00F3111D" w:rsidRDefault="00F3111D">
    <w:pPr>
      <w:pStyle w:val="Header"/>
    </w:pPr>
    <w:r>
      <w:tab/>
      <w:t>Relative Resource Use for People With Diabetes</w:t>
    </w:r>
    <w:r>
      <w:tab/>
    </w: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389</w:t>
    </w:r>
    <w:r>
      <w:rPr>
        <w:rStyle w:val="PageNumbe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DFE5A" w14:textId="77777777" w:rsidR="00F3111D" w:rsidRDefault="00F3111D" w:rsidP="00C56CA6">
    <w:pPr>
      <w:pStyle w:val="Header"/>
      <w:tabs>
        <w:tab w:val="right" w:pos="12960"/>
        <w:tab w:val="right" w:pos="13680"/>
      </w:tabs>
    </w:pPr>
    <w:r>
      <w:tab/>
      <w:t>Relative Resource Use for People With Diabetes</w:t>
    </w:r>
    <w:r>
      <w:tab/>
    </w: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391</w:t>
    </w:r>
    <w:r>
      <w:rPr>
        <w:rStyle w:val="PageNumber"/>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1D090" w14:textId="77777777" w:rsidR="00F3111D" w:rsidRDefault="00F3111D" w:rsidP="00C56CA6">
    <w:pPr>
      <w:pStyle w:val="Header"/>
      <w:tabs>
        <w:tab w:val="right" w:pos="12960"/>
        <w:tab w:val="right" w:pos="13680"/>
      </w:tabs>
    </w:pPr>
    <w:r>
      <w:tab/>
      <w:t>Relative Resource Use for People With Diabetes</w:t>
    </w:r>
    <w:r>
      <w:tab/>
    </w: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393</w:t>
    </w:r>
    <w:r>
      <w:rPr>
        <w:rStyle w:val="PageNumber"/>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C53E6" w14:textId="77777777" w:rsidR="00F3111D" w:rsidRDefault="00F3111D" w:rsidP="00C56CA6">
    <w:pPr>
      <w:pStyle w:val="Header"/>
      <w:ind w:left="720" w:hanging="720"/>
    </w:pP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394</w:t>
    </w:r>
    <w:r>
      <w:rPr>
        <w:rStyle w:val="PageNumber"/>
      </w:rPr>
      <w:fldChar w:fldCharType="end"/>
    </w:r>
    <w:r>
      <w:rPr>
        <w:rStyle w:val="PageNumber"/>
      </w:rPr>
      <w:tab/>
    </w:r>
    <w:r>
      <w:t>Relative Resource Use for People With Cardiovascular Conditions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A8A81" w14:textId="77777777" w:rsidR="00F3111D" w:rsidRDefault="00F3111D" w:rsidP="00C56CA6">
    <w:pPr>
      <w:pStyle w:val="Header"/>
    </w:pPr>
    <w:r>
      <w:tab/>
      <w:t>Relative Resource Use for People With Cardiovascular Conditions</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367</w:t>
    </w:r>
    <w:r>
      <w:rPr>
        <w:rStyle w:val="PageNumber"/>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260D7" w14:textId="77777777" w:rsidR="00F3111D" w:rsidRDefault="00F3111D" w:rsidP="00C56CA6">
    <w:pPr>
      <w:pStyle w:val="Header"/>
      <w:ind w:left="720" w:hanging="720"/>
    </w:pP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398</w:t>
    </w:r>
    <w:r>
      <w:rPr>
        <w:rStyle w:val="PageNumber"/>
      </w:rPr>
      <w:fldChar w:fldCharType="end"/>
    </w:r>
    <w:r>
      <w:rPr>
        <w:rStyle w:val="PageNumber"/>
      </w:rPr>
      <w:tab/>
    </w:r>
    <w:r>
      <w:t>Relative Resource Use for People With Cardiovascular Conditions</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C01E2" w14:textId="77777777" w:rsidR="00F3111D" w:rsidRDefault="00F3111D" w:rsidP="00C56CA6">
    <w:pPr>
      <w:pStyle w:val="Header"/>
    </w:pPr>
    <w:r>
      <w:tab/>
      <w:t>Relative Resource Use for People With Cardiovascular Conditions</w:t>
    </w:r>
    <w:r>
      <w:tab/>
    </w: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395</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36BC4" w14:textId="77777777" w:rsidR="00F3111D" w:rsidRDefault="00F3111D">
    <w:pPr>
      <w:pStyle w:val="Header"/>
      <w:pBdr>
        <w:bottom w:val="none" w:sz="0" w:space="0"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63443" w14:textId="77777777" w:rsidR="00F3111D" w:rsidRDefault="00F3111D" w:rsidP="00C56CA6">
    <w:pPr>
      <w:pStyle w:val="Header"/>
    </w:pPr>
    <w:r>
      <w:tab/>
      <w:t>Relative Resource Use for People With Cardiovascular Conditions</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369</w:t>
    </w:r>
    <w:r>
      <w:rPr>
        <w:rStyle w:val="PageNumber"/>
      </w:rP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F6AAF" w14:textId="77777777" w:rsidR="00F3111D" w:rsidRDefault="00F3111D" w:rsidP="00C56CA6">
    <w:pPr>
      <w:pStyle w:val="Header"/>
    </w:pPr>
    <w:r>
      <w:tab/>
      <w:t>Relative Resource Use for People With Cardiovascular Conditions</w:t>
    </w:r>
    <w:r>
      <w:tab/>
    </w: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399</w:t>
    </w:r>
    <w:r>
      <w:rPr>
        <w:rStyle w:val="PageNumber"/>
      </w:rPr>
      <w:fldChar w:fldCharType="end"/>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93CDE" w14:textId="77777777" w:rsidR="00F3111D" w:rsidRDefault="00F3111D" w:rsidP="00C56CA6">
    <w:pPr>
      <w:pStyle w:val="Header"/>
      <w:ind w:left="720" w:hanging="720"/>
    </w:pP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400</w:t>
    </w:r>
    <w:r>
      <w:rPr>
        <w:rStyle w:val="PageNumber"/>
      </w:rPr>
      <w:fldChar w:fldCharType="end"/>
    </w:r>
    <w:r>
      <w:rPr>
        <w:rStyle w:val="PageNumber"/>
      </w:rPr>
      <w:tab/>
    </w:r>
    <w:r>
      <w:t>Relative Resource Use for People With Hypertension</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FDCCA" w14:textId="77777777" w:rsidR="00F3111D" w:rsidRDefault="00F3111D" w:rsidP="00C56CA6">
    <w:pPr>
      <w:pStyle w:val="Header"/>
    </w:pPr>
    <w:r>
      <w:tab/>
      <w:t>Relative Resource Use for People With Cardiovascular Conditions</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373</w:t>
    </w:r>
    <w:r>
      <w:rPr>
        <w:rStyle w:val="PageNumber"/>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1428C" w14:textId="77777777" w:rsidR="00F3111D" w:rsidRDefault="00F3111D" w:rsidP="00C56CA6">
    <w:pPr>
      <w:pStyle w:val="Header"/>
      <w:ind w:left="720" w:hanging="720"/>
    </w:pP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404</w:t>
    </w:r>
    <w:r>
      <w:rPr>
        <w:rStyle w:val="PageNumber"/>
      </w:rPr>
      <w:fldChar w:fldCharType="end"/>
    </w:r>
    <w:r>
      <w:rPr>
        <w:rStyle w:val="PageNumber"/>
      </w:rPr>
      <w:tab/>
    </w:r>
    <w:r>
      <w:t>Relative Resource Use for People With Hypertension</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722A6" w14:textId="77777777" w:rsidR="00F3111D" w:rsidRDefault="00F3111D" w:rsidP="00C56CA6">
    <w:pPr>
      <w:pStyle w:val="Header"/>
    </w:pPr>
    <w:r>
      <w:tab/>
      <w:t>Relative Resource Use for People With Hypertension</w:t>
    </w:r>
    <w:r>
      <w:tab/>
    </w: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403</w:t>
    </w:r>
    <w:r>
      <w:rPr>
        <w:rStyle w:val="PageNumber"/>
      </w:rPr>
      <w:fldChar w:fldCharType="end"/>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279D0" w14:textId="77777777" w:rsidR="00F3111D" w:rsidRDefault="00F3111D" w:rsidP="00C56CA6">
    <w:pPr>
      <w:pStyle w:val="Header"/>
    </w:pPr>
    <w:r>
      <w:tab/>
      <w:t>Relative Resource Use for People With Hypertension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377</w:t>
    </w:r>
    <w:r>
      <w:rPr>
        <w:rStyle w:val="PageNumber"/>
      </w:rPr>
      <w:fldChar w:fldCharType="end"/>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85DC1" w14:textId="77777777" w:rsidR="00F3111D" w:rsidRDefault="00F3111D" w:rsidP="00C56CA6">
    <w:pPr>
      <w:pStyle w:val="Header"/>
      <w:ind w:left="720" w:hanging="720"/>
    </w:pPr>
    <w:r>
      <w:rPr>
        <w:rStyle w:val="PageNumber"/>
      </w:rPr>
      <w:fldChar w:fldCharType="begin"/>
    </w:r>
    <w:r>
      <w:rPr>
        <w:rStyle w:val="PageNumber"/>
      </w:rPr>
      <w:instrText xml:space="preserve"> PAGE </w:instrText>
    </w:r>
    <w:r>
      <w:rPr>
        <w:rStyle w:val="PageNumber"/>
      </w:rPr>
      <w:fldChar w:fldCharType="separate"/>
    </w:r>
    <w:r w:rsidR="00FA6F5E">
      <w:rPr>
        <w:rStyle w:val="PageNumber"/>
        <w:noProof/>
      </w:rPr>
      <w:t>406</w:t>
    </w:r>
    <w:r>
      <w:rPr>
        <w:rStyle w:val="PageNumber"/>
      </w:rPr>
      <w:fldChar w:fldCharType="end"/>
    </w:r>
    <w:r>
      <w:rPr>
        <w:rStyle w:val="PageNumber"/>
      </w:rPr>
      <w:tab/>
      <w:t>Relative Resource Use for People With COPD</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A6010" w14:textId="77777777" w:rsidR="00F3111D" w:rsidRDefault="00F3111D" w:rsidP="00C56CA6">
    <w:pPr>
      <w:pStyle w:val="Header"/>
    </w:pPr>
    <w:r>
      <w:tab/>
    </w:r>
    <w:r w:rsidRPr="00D94965">
      <w:t>Relative Resource Use for People With COPD</w:t>
    </w:r>
    <w:r>
      <w:tab/>
    </w: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405</w:t>
    </w:r>
    <w:r>
      <w:rPr>
        <w:rStyle w:val="PageNumber"/>
      </w:rPr>
      <w:fldChar w:fldCharType="end"/>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74DAA" w14:textId="77777777" w:rsidR="00FA6F5E" w:rsidRDefault="00FA6F5E" w:rsidP="00C56CA6">
    <w:pPr>
      <w:pStyle w:val="Header"/>
      <w:ind w:left="720" w:hanging="720"/>
    </w:pP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408</w:t>
    </w:r>
    <w:r>
      <w:rPr>
        <w:rStyle w:val="PageNumber"/>
      </w:rPr>
      <w:fldChar w:fldCharType="end"/>
    </w:r>
    <w:r>
      <w:rPr>
        <w:rStyle w:val="PageNumber"/>
      </w:rPr>
      <w:tab/>
      <w:t>Relative Resource Use for People With COPD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44491" w14:textId="77777777" w:rsidR="00F3111D" w:rsidRDefault="00F3111D" w:rsidP="00C56CA6">
    <w:pPr>
      <w:pStyle w:val="Header"/>
      <w:tabs>
        <w:tab w:val="left" w:pos="720"/>
      </w:tabs>
      <w:ind w:left="720" w:hanging="720"/>
    </w:pPr>
    <w:r>
      <w:fldChar w:fldCharType="begin"/>
    </w:r>
    <w:r>
      <w:instrText xml:space="preserve"> PAGE </w:instrText>
    </w:r>
    <w:r>
      <w:fldChar w:fldCharType="separate"/>
    </w:r>
    <w:r w:rsidR="00E451F8">
      <w:rPr>
        <w:noProof/>
      </w:rPr>
      <w:t>366</w:t>
    </w:r>
    <w:r>
      <w:rPr>
        <w:noProof/>
      </w:rPr>
      <w:fldChar w:fldCharType="end"/>
    </w:r>
    <w:r>
      <w:tab/>
      <w:t xml:space="preserve">Guidelines for Relative Resource Use </w:t>
    </w:r>
    <w:r w:rsidRPr="004E7250">
      <w:t>Measures</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F04C8" w14:textId="77777777" w:rsidR="00F3111D" w:rsidRDefault="00F3111D" w:rsidP="00C56CA6">
    <w:pPr>
      <w:pStyle w:val="Header"/>
    </w:pPr>
    <w:r>
      <w:tab/>
      <w:t>Relative Resource Use for People With COPD</w:t>
    </w:r>
    <w:r>
      <w:tab/>
    </w: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409</w:t>
    </w:r>
    <w:r>
      <w:rPr>
        <w:rStyle w:val="PageNumber"/>
      </w:rPr>
      <w:fldChar w:fldCharType="end"/>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8FDAD" w14:textId="77777777" w:rsidR="00F3111D" w:rsidRDefault="00F3111D" w:rsidP="00C56CA6">
    <w:pPr>
      <w:pStyle w:val="Header"/>
      <w:ind w:left="720" w:hanging="720"/>
    </w:pP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410</w:t>
    </w:r>
    <w:r>
      <w:rPr>
        <w:rStyle w:val="PageNumber"/>
      </w:rPr>
      <w:fldChar w:fldCharType="end"/>
    </w:r>
    <w:r>
      <w:rPr>
        <w:rStyle w:val="PageNumber"/>
      </w:rPr>
      <w:tab/>
      <w:t>Relative Resource Use for People With Asthma</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E03B8" w14:textId="77777777" w:rsidR="00F3111D" w:rsidRPr="006513CD" w:rsidRDefault="00F3111D" w:rsidP="00C56CA6">
    <w:pPr>
      <w:pStyle w:val="Header"/>
    </w:pPr>
    <w:r w:rsidRPr="006513CD">
      <w:tab/>
      <w:t>Relative Resource Use for People With Asthma</w:t>
    </w:r>
    <w:r w:rsidRPr="006513CD">
      <w:tab/>
    </w:r>
    <w:r w:rsidRPr="006513CD">
      <w:rPr>
        <w:rStyle w:val="PageNumber"/>
      </w:rPr>
      <w:fldChar w:fldCharType="begin"/>
    </w:r>
    <w:r w:rsidRPr="006513CD">
      <w:rPr>
        <w:rStyle w:val="PageNumber"/>
      </w:rPr>
      <w:instrText xml:space="preserve"> PAGE </w:instrText>
    </w:r>
    <w:r w:rsidRPr="006513CD">
      <w:rPr>
        <w:rStyle w:val="PageNumber"/>
      </w:rPr>
      <w:fldChar w:fldCharType="separate"/>
    </w:r>
    <w:r>
      <w:rPr>
        <w:rStyle w:val="PageNumber"/>
        <w:noProof/>
      </w:rPr>
      <w:t>383</w:t>
    </w:r>
    <w:r w:rsidRPr="006513CD">
      <w:rPr>
        <w:rStyle w:val="PageNumber"/>
      </w:rPr>
      <w:fldChar w:fldCharType="end"/>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14729" w14:textId="77777777" w:rsidR="00F3111D" w:rsidRDefault="00F3111D" w:rsidP="00C56CA6">
    <w:pPr>
      <w:pStyle w:val="Header"/>
      <w:ind w:left="720" w:hanging="720"/>
    </w:pP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416</w:t>
    </w:r>
    <w:r>
      <w:rPr>
        <w:rStyle w:val="PageNumber"/>
      </w:rPr>
      <w:fldChar w:fldCharType="end"/>
    </w:r>
    <w:r>
      <w:rPr>
        <w:rStyle w:val="PageNumber"/>
      </w:rPr>
      <w:tab/>
      <w:t>Relative Resource Use for People With Asthma</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59A70" w14:textId="77777777" w:rsidR="00F3111D" w:rsidRPr="006513CD" w:rsidRDefault="00F3111D" w:rsidP="00C56CA6">
    <w:pPr>
      <w:pStyle w:val="Header"/>
    </w:pPr>
    <w:r w:rsidRPr="006513CD">
      <w:tab/>
      <w:t>Relative Resource Use for People With Asthma</w:t>
    </w:r>
    <w:r w:rsidRPr="006513CD">
      <w:tab/>
    </w:r>
    <w:r w:rsidRPr="006513CD">
      <w:rPr>
        <w:rStyle w:val="PageNumber"/>
      </w:rPr>
      <w:fldChar w:fldCharType="begin"/>
    </w:r>
    <w:r w:rsidRPr="006513CD">
      <w:rPr>
        <w:rStyle w:val="PageNumber"/>
      </w:rPr>
      <w:instrText xml:space="preserve"> PAGE </w:instrText>
    </w:r>
    <w:r w:rsidRPr="006513CD">
      <w:rPr>
        <w:rStyle w:val="PageNumber"/>
      </w:rPr>
      <w:fldChar w:fldCharType="separate"/>
    </w:r>
    <w:r w:rsidR="00E451F8">
      <w:rPr>
        <w:rStyle w:val="PageNumber"/>
        <w:noProof/>
      </w:rPr>
      <w:t>415</w:t>
    </w:r>
    <w:r w:rsidRPr="006513CD">
      <w:rPr>
        <w:rStyle w:val="PageNumber"/>
      </w:rPr>
      <w:fldChar w:fldCharType="end"/>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8B051" w14:textId="77777777" w:rsidR="00F3111D" w:rsidRPr="006513CD" w:rsidRDefault="00F3111D" w:rsidP="00C56CA6">
    <w:pPr>
      <w:pStyle w:val="Header"/>
    </w:pPr>
    <w:r w:rsidRPr="006513CD">
      <w:tab/>
      <w:t>Relative Resource Use for People With Asthma</w:t>
    </w:r>
    <w:r w:rsidRPr="006513CD">
      <w:tab/>
    </w:r>
    <w:r w:rsidRPr="006513CD">
      <w:rPr>
        <w:rStyle w:val="PageNumber"/>
      </w:rPr>
      <w:fldChar w:fldCharType="begin"/>
    </w:r>
    <w:r w:rsidRPr="006513CD">
      <w:rPr>
        <w:rStyle w:val="PageNumber"/>
      </w:rPr>
      <w:instrText xml:space="preserve"> PAGE </w:instrText>
    </w:r>
    <w:r w:rsidRPr="006513CD">
      <w:rPr>
        <w:rStyle w:val="PageNumber"/>
      </w:rPr>
      <w:fldChar w:fldCharType="separate"/>
    </w:r>
    <w:r w:rsidR="007F7DC6">
      <w:rPr>
        <w:rStyle w:val="PageNumber"/>
        <w:noProof/>
      </w:rPr>
      <w:t>417</w:t>
    </w:r>
    <w:r w:rsidRPr="006513CD">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0D362" w14:textId="77777777" w:rsidR="00F3111D" w:rsidRDefault="00F3111D" w:rsidP="00C56CA6">
    <w:pPr>
      <w:pStyle w:val="Header"/>
    </w:pPr>
    <w:r>
      <w:tab/>
    </w:r>
    <w:r w:rsidRPr="004E7250">
      <w:t xml:space="preserve">Guidelines for </w:t>
    </w:r>
    <w:r>
      <w:t xml:space="preserve">Relative </w:t>
    </w:r>
    <w:r w:rsidRPr="004E7250">
      <w:t>Resource Use Measures</w:t>
    </w:r>
    <w:r>
      <w:tab/>
    </w:r>
    <w:r>
      <w:fldChar w:fldCharType="begin"/>
    </w:r>
    <w:r>
      <w:instrText xml:space="preserve"> PAGE </w:instrText>
    </w:r>
    <w:r>
      <w:fldChar w:fldCharType="separate"/>
    </w:r>
    <w:r w:rsidR="00E451F8">
      <w:rPr>
        <w:noProof/>
      </w:rPr>
      <w:t>367</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D6EA" w14:textId="77777777" w:rsidR="00F3111D" w:rsidRDefault="00F3111D" w:rsidP="00C56CA6">
    <w:pPr>
      <w:pStyle w:val="Header"/>
      <w:tabs>
        <w:tab w:val="left" w:pos="720"/>
      </w:tabs>
    </w:pPr>
    <w:r>
      <w:rPr>
        <w:rStyle w:val="PageNumber"/>
      </w:rPr>
      <w:fldChar w:fldCharType="begin"/>
    </w:r>
    <w:r>
      <w:rPr>
        <w:rStyle w:val="PageNumber"/>
      </w:rPr>
      <w:instrText xml:space="preserve"> PAGE </w:instrText>
    </w:r>
    <w:r>
      <w:rPr>
        <w:rStyle w:val="PageNumber"/>
      </w:rPr>
      <w:fldChar w:fldCharType="separate"/>
    </w:r>
    <w:r w:rsidR="00E451F8">
      <w:rPr>
        <w:rStyle w:val="PageNumber"/>
        <w:noProof/>
      </w:rPr>
      <w:t>368</w:t>
    </w:r>
    <w:r>
      <w:rPr>
        <w:rStyle w:val="PageNumber"/>
      </w:rPr>
      <w:fldChar w:fldCharType="end"/>
    </w:r>
    <w:r w:rsidRPr="008B6D00">
      <w:tab/>
    </w:r>
    <w:r w:rsidRPr="00FF6843">
      <w:t xml:space="preserve">Guidelines for </w:t>
    </w:r>
    <w:r>
      <w:t xml:space="preserve">Relative </w:t>
    </w:r>
    <w:r w:rsidRPr="00FF6843">
      <w:t>Resource Use Measures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2AC94" w14:textId="77777777" w:rsidR="00E451F8" w:rsidRDefault="00E451F8" w:rsidP="00C56CA6">
    <w:pPr>
      <w:pStyle w:val="Header"/>
    </w:pPr>
    <w:r>
      <w:tab/>
    </w:r>
    <w:r w:rsidRPr="004E7250">
      <w:t xml:space="preserve">Guidelines for </w:t>
    </w:r>
    <w:r>
      <w:t xml:space="preserve">Relative </w:t>
    </w:r>
    <w:r w:rsidRPr="004E7250">
      <w:t>Resource Use Measures</w:t>
    </w:r>
    <w:r>
      <w:tab/>
    </w:r>
    <w:r>
      <w:fldChar w:fldCharType="begin"/>
    </w:r>
    <w:r>
      <w:instrText xml:space="preserve"> PAGE </w:instrText>
    </w:r>
    <w:r>
      <w:fldChar w:fldCharType="separate"/>
    </w:r>
    <w:r>
      <w:rPr>
        <w:noProof/>
      </w:rPr>
      <w:t>367</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F9BA8" w14:textId="77777777" w:rsidR="00F3111D" w:rsidRDefault="00F3111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9F45F" w14:textId="77777777" w:rsidR="00F3111D" w:rsidRDefault="00F3111D" w:rsidP="00C56CA6">
    <w:pPr>
      <w:pStyle w:val="Header"/>
      <w:tabs>
        <w:tab w:val="left" w:pos="720"/>
      </w:tabs>
      <w:ind w:left="720" w:hanging="720"/>
    </w:pPr>
    <w:r>
      <w:fldChar w:fldCharType="begin"/>
    </w:r>
    <w:r>
      <w:instrText xml:space="preserve"> PAGE </w:instrText>
    </w:r>
    <w:r>
      <w:fldChar w:fldCharType="separate"/>
    </w:r>
    <w:r w:rsidR="00E451F8">
      <w:rPr>
        <w:noProof/>
      </w:rPr>
      <w:t>384</w:t>
    </w:r>
    <w:r>
      <w:rPr>
        <w:noProof/>
      </w:rPr>
      <w:fldChar w:fldCharType="end"/>
    </w:r>
    <w:r>
      <w:tab/>
      <w:t xml:space="preserve">Guidelines for Relative Resource Use </w:t>
    </w:r>
    <w:r w:rsidRPr="004E7250">
      <w:t>Measures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BCBBB" w14:textId="77777777" w:rsidR="00F3111D" w:rsidRDefault="00F3111D" w:rsidP="00C56CA6">
    <w:pPr>
      <w:pStyle w:val="Header"/>
    </w:pPr>
    <w:r>
      <w:tab/>
    </w:r>
    <w:r w:rsidRPr="004E7250">
      <w:t xml:space="preserve">Guidelines for </w:t>
    </w:r>
    <w:r>
      <w:t xml:space="preserve">Relative </w:t>
    </w:r>
    <w:r w:rsidRPr="004E7250">
      <w:t>Resource Use Measures</w:t>
    </w:r>
    <w:r>
      <w:tab/>
    </w:r>
    <w:r>
      <w:fldChar w:fldCharType="begin"/>
    </w:r>
    <w:r>
      <w:instrText xml:space="preserve"> PAGE </w:instrText>
    </w:r>
    <w:r>
      <w:fldChar w:fldCharType="separate"/>
    </w:r>
    <w:r w:rsidR="00E451F8">
      <w:rPr>
        <w:noProof/>
      </w:rPr>
      <w:t>387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3862"/>
    <w:multiLevelType w:val="hybridMultilevel"/>
    <w:tmpl w:val="2EB8D128"/>
    <w:lvl w:ilvl="0" w:tplc="4000BC2A">
      <w:start w:val="1"/>
      <w:numFmt w:val="bullet"/>
      <w:pStyle w:val="DocuBullet"/>
      <w:lvlText w:val=""/>
      <w:lvlJc w:val="left"/>
      <w:pPr>
        <w:ind w:left="778" w:hanging="360"/>
      </w:pPr>
      <w:rPr>
        <w:rFonts w:ascii="Symbol" w:hAnsi="Symbol" w:hint="default"/>
        <w:sz w:val="20"/>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 w15:restartNumberingAfterBreak="0">
    <w:nsid w:val="0AE10B43"/>
    <w:multiLevelType w:val="hybridMultilevel"/>
    <w:tmpl w:val="9B98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6607A"/>
    <w:multiLevelType w:val="hybridMultilevel"/>
    <w:tmpl w:val="044C1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C0FB0"/>
    <w:multiLevelType w:val="hybridMultilevel"/>
    <w:tmpl w:val="18026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634E1"/>
    <w:multiLevelType w:val="hybridMultilevel"/>
    <w:tmpl w:val="A2D68078"/>
    <w:lvl w:ilvl="0" w:tplc="707CB0F4">
      <w:start w:val="1"/>
      <w:numFmt w:val="bullet"/>
      <w:pStyle w:val="Table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163AC4"/>
    <w:multiLevelType w:val="hybridMultilevel"/>
    <w:tmpl w:val="3C66884A"/>
    <w:lvl w:ilvl="0" w:tplc="BFB07F1E">
      <w:start w:val="1"/>
      <w:numFmt w:val="bullet"/>
      <w:pStyle w:val="Dash"/>
      <w:lvlText w:val="–"/>
      <w:lvlJc w:val="left"/>
      <w:pPr>
        <w:tabs>
          <w:tab w:val="num" w:pos="792"/>
        </w:tabs>
        <w:ind w:left="792" w:hanging="216"/>
      </w:pPr>
      <w:rPr>
        <w:rFonts w:ascii="Arial" w:hAnsi="Arial"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914FBF"/>
    <w:multiLevelType w:val="hybridMultilevel"/>
    <w:tmpl w:val="25628A82"/>
    <w:lvl w:ilvl="0" w:tplc="46CECBE2">
      <w:start w:val="1"/>
      <w:numFmt w:val="bullet"/>
      <w:pStyle w:val="Process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441A46"/>
    <w:multiLevelType w:val="hybridMultilevel"/>
    <w:tmpl w:val="01EA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034AF"/>
    <w:multiLevelType w:val="hybridMultilevel"/>
    <w:tmpl w:val="C77EA10A"/>
    <w:lvl w:ilvl="0" w:tplc="0409000F">
      <w:start w:val="1"/>
      <w:numFmt w:val="decimal"/>
      <w:lvlText w:val="%1."/>
      <w:lvlJc w:val="left"/>
      <w:pPr>
        <w:tabs>
          <w:tab w:val="num" w:pos="576"/>
        </w:tabs>
        <w:ind w:left="936" w:hanging="216"/>
      </w:pPr>
      <w:rPr>
        <w:rFonts w:hint="default"/>
        <w:sz w:val="20"/>
        <w:szCs w:val="20"/>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AF248B1"/>
    <w:multiLevelType w:val="hybridMultilevel"/>
    <w:tmpl w:val="0250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E613C"/>
    <w:multiLevelType w:val="hybridMultilevel"/>
    <w:tmpl w:val="18027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51E12"/>
    <w:multiLevelType w:val="hybridMultilevel"/>
    <w:tmpl w:val="AFC46A34"/>
    <w:lvl w:ilvl="0" w:tplc="9DA44C80">
      <w:start w:val="1"/>
      <w:numFmt w:val="bullet"/>
      <w:pStyle w:val="Margin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50331"/>
    <w:multiLevelType w:val="hybridMultilevel"/>
    <w:tmpl w:val="2AC6638E"/>
    <w:lvl w:ilvl="0" w:tplc="E892C6EE">
      <w:start w:val="1"/>
      <w:numFmt w:val="bullet"/>
      <w:lvlText w:val="●"/>
      <w:lvlJc w:val="left"/>
      <w:pPr>
        <w:tabs>
          <w:tab w:val="num" w:pos="216"/>
        </w:tabs>
        <w:ind w:left="216" w:hanging="216"/>
      </w:pPr>
      <w:rPr>
        <w:rFonts w:ascii="Arial" w:hAnsi="Aria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3269DC"/>
    <w:multiLevelType w:val="hybridMultilevel"/>
    <w:tmpl w:val="386C1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9227BA"/>
    <w:multiLevelType w:val="hybridMultilevel"/>
    <w:tmpl w:val="AD7E2B9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356527E5"/>
    <w:multiLevelType w:val="hybridMultilevel"/>
    <w:tmpl w:val="6F161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E7C85"/>
    <w:multiLevelType w:val="hybridMultilevel"/>
    <w:tmpl w:val="88E64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46E40"/>
    <w:multiLevelType w:val="hybridMultilevel"/>
    <w:tmpl w:val="EA6CCE7A"/>
    <w:lvl w:ilvl="0" w:tplc="2A3C8A1A">
      <w:start w:val="1"/>
      <w:numFmt w:val="bullet"/>
      <w:pStyle w:val="TableBullet"/>
      <w:lvlText w:val=""/>
      <w:lvlJc w:val="left"/>
      <w:pPr>
        <w:tabs>
          <w:tab w:val="num" w:pos="306"/>
        </w:tabs>
        <w:ind w:left="306" w:hanging="216"/>
      </w:pPr>
      <w:rPr>
        <w:rFonts w:ascii="Symbol" w:hAnsi="Symbol" w:hint="default"/>
        <w:sz w:val="20"/>
        <w:szCs w:val="20"/>
      </w:rPr>
    </w:lvl>
    <w:lvl w:ilvl="1" w:tplc="04090003">
      <w:start w:val="1"/>
      <w:numFmt w:val="bullet"/>
      <w:lvlText w:val="o"/>
      <w:lvlJc w:val="left"/>
      <w:pPr>
        <w:tabs>
          <w:tab w:val="num" w:pos="1756"/>
        </w:tabs>
        <w:ind w:left="1756" w:hanging="360"/>
      </w:pPr>
      <w:rPr>
        <w:rFonts w:ascii="Courier New" w:hAnsi="Courier New" w:cs="Courier New" w:hint="default"/>
      </w:rPr>
    </w:lvl>
    <w:lvl w:ilvl="2" w:tplc="04090005" w:tentative="1">
      <w:start w:val="1"/>
      <w:numFmt w:val="bullet"/>
      <w:lvlText w:val=""/>
      <w:lvlJc w:val="left"/>
      <w:pPr>
        <w:tabs>
          <w:tab w:val="num" w:pos="2476"/>
        </w:tabs>
        <w:ind w:left="2476" w:hanging="360"/>
      </w:pPr>
      <w:rPr>
        <w:rFonts w:ascii="Wingdings" w:hAnsi="Wingdings" w:hint="default"/>
      </w:rPr>
    </w:lvl>
    <w:lvl w:ilvl="3" w:tplc="04090001" w:tentative="1">
      <w:start w:val="1"/>
      <w:numFmt w:val="bullet"/>
      <w:lvlText w:val=""/>
      <w:lvlJc w:val="left"/>
      <w:pPr>
        <w:tabs>
          <w:tab w:val="num" w:pos="3196"/>
        </w:tabs>
        <w:ind w:left="3196" w:hanging="360"/>
      </w:pPr>
      <w:rPr>
        <w:rFonts w:ascii="Symbol" w:hAnsi="Symbol" w:hint="default"/>
      </w:rPr>
    </w:lvl>
    <w:lvl w:ilvl="4" w:tplc="04090003" w:tentative="1">
      <w:start w:val="1"/>
      <w:numFmt w:val="bullet"/>
      <w:lvlText w:val="o"/>
      <w:lvlJc w:val="left"/>
      <w:pPr>
        <w:tabs>
          <w:tab w:val="num" w:pos="3916"/>
        </w:tabs>
        <w:ind w:left="3916" w:hanging="360"/>
      </w:pPr>
      <w:rPr>
        <w:rFonts w:ascii="Courier New" w:hAnsi="Courier New" w:cs="Courier New" w:hint="default"/>
      </w:rPr>
    </w:lvl>
    <w:lvl w:ilvl="5" w:tplc="04090005" w:tentative="1">
      <w:start w:val="1"/>
      <w:numFmt w:val="bullet"/>
      <w:lvlText w:val=""/>
      <w:lvlJc w:val="left"/>
      <w:pPr>
        <w:tabs>
          <w:tab w:val="num" w:pos="4636"/>
        </w:tabs>
        <w:ind w:left="4636" w:hanging="360"/>
      </w:pPr>
      <w:rPr>
        <w:rFonts w:ascii="Wingdings" w:hAnsi="Wingdings" w:hint="default"/>
      </w:rPr>
    </w:lvl>
    <w:lvl w:ilvl="6" w:tplc="04090001" w:tentative="1">
      <w:start w:val="1"/>
      <w:numFmt w:val="bullet"/>
      <w:lvlText w:val=""/>
      <w:lvlJc w:val="left"/>
      <w:pPr>
        <w:tabs>
          <w:tab w:val="num" w:pos="5356"/>
        </w:tabs>
        <w:ind w:left="5356" w:hanging="360"/>
      </w:pPr>
      <w:rPr>
        <w:rFonts w:ascii="Symbol" w:hAnsi="Symbol" w:hint="default"/>
      </w:rPr>
    </w:lvl>
    <w:lvl w:ilvl="7" w:tplc="04090003" w:tentative="1">
      <w:start w:val="1"/>
      <w:numFmt w:val="bullet"/>
      <w:lvlText w:val="o"/>
      <w:lvlJc w:val="left"/>
      <w:pPr>
        <w:tabs>
          <w:tab w:val="num" w:pos="6076"/>
        </w:tabs>
        <w:ind w:left="6076" w:hanging="360"/>
      </w:pPr>
      <w:rPr>
        <w:rFonts w:ascii="Courier New" w:hAnsi="Courier New" w:cs="Courier New" w:hint="default"/>
      </w:rPr>
    </w:lvl>
    <w:lvl w:ilvl="8" w:tplc="04090005" w:tentative="1">
      <w:start w:val="1"/>
      <w:numFmt w:val="bullet"/>
      <w:lvlText w:val=""/>
      <w:lvlJc w:val="left"/>
      <w:pPr>
        <w:tabs>
          <w:tab w:val="num" w:pos="6796"/>
        </w:tabs>
        <w:ind w:left="6796" w:hanging="360"/>
      </w:pPr>
      <w:rPr>
        <w:rFonts w:ascii="Wingdings" w:hAnsi="Wingdings" w:hint="default"/>
      </w:rPr>
    </w:lvl>
  </w:abstractNum>
  <w:abstractNum w:abstractNumId="18" w15:restartNumberingAfterBreak="0">
    <w:nsid w:val="3D5F2929"/>
    <w:multiLevelType w:val="hybridMultilevel"/>
    <w:tmpl w:val="A0F0C412"/>
    <w:lvl w:ilvl="0" w:tplc="E22EA3FC">
      <w:start w:val="1"/>
      <w:numFmt w:val="decimal"/>
      <w:lvlText w:val="%1."/>
      <w:lvlJc w:val="left"/>
      <w:pPr>
        <w:tabs>
          <w:tab w:val="num" w:pos="576"/>
        </w:tabs>
        <w:ind w:left="936" w:hanging="216"/>
      </w:pPr>
      <w:rPr>
        <w:rFonts w:hint="default"/>
        <w:b w:val="0"/>
        <w:i w:val="0"/>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DC45453"/>
    <w:multiLevelType w:val="singleLevel"/>
    <w:tmpl w:val="1D1AF1D8"/>
    <w:lvl w:ilvl="0">
      <w:start w:val="1"/>
      <w:numFmt w:val="bullet"/>
      <w:pStyle w:val="Bullet2"/>
      <w:lvlText w:val=""/>
      <w:lvlJc w:val="left"/>
      <w:pPr>
        <w:tabs>
          <w:tab w:val="num" w:pos="360"/>
        </w:tabs>
        <w:ind w:left="360" w:hanging="360"/>
      </w:pPr>
      <w:rPr>
        <w:rFonts w:ascii="Symbol" w:hAnsi="Symbol" w:hint="default"/>
      </w:rPr>
    </w:lvl>
  </w:abstractNum>
  <w:abstractNum w:abstractNumId="20" w15:restartNumberingAfterBreak="0">
    <w:nsid w:val="466C709B"/>
    <w:multiLevelType w:val="hybridMultilevel"/>
    <w:tmpl w:val="1F14AEA8"/>
    <w:lvl w:ilvl="0" w:tplc="D6E259D4">
      <w:start w:val="1"/>
      <w:numFmt w:val="bullet"/>
      <w:pStyle w:val="Process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7F2FB0"/>
    <w:multiLevelType w:val="hybridMultilevel"/>
    <w:tmpl w:val="439C32C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2" w15:restartNumberingAfterBreak="0">
    <w:nsid w:val="474260CC"/>
    <w:multiLevelType w:val="hybridMultilevel"/>
    <w:tmpl w:val="8D46489A"/>
    <w:lvl w:ilvl="0" w:tplc="BB68F55C">
      <w:start w:val="1"/>
      <w:numFmt w:val="bullet"/>
      <w:pStyle w:val="MarginDash"/>
      <w:lvlText w:val="–"/>
      <w:lvlJc w:val="left"/>
      <w:pPr>
        <w:tabs>
          <w:tab w:val="num" w:pos="0"/>
        </w:tabs>
        <w:ind w:left="317" w:hanging="159"/>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1C0B85"/>
    <w:multiLevelType w:val="hybridMultilevel"/>
    <w:tmpl w:val="48707078"/>
    <w:lvl w:ilvl="0" w:tplc="B79EE1F8">
      <w:start w:val="1"/>
      <w:numFmt w:val="decimal"/>
      <w:lvlText w:val="%1."/>
      <w:lvlJc w:val="left"/>
      <w:pPr>
        <w:tabs>
          <w:tab w:val="num" w:pos="576"/>
        </w:tabs>
        <w:ind w:left="936" w:hanging="216"/>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852009"/>
    <w:multiLevelType w:val="hybridMultilevel"/>
    <w:tmpl w:val="54A4A1DA"/>
    <w:lvl w:ilvl="0" w:tplc="539A8E44">
      <w:start w:val="1"/>
      <w:numFmt w:val="decimal"/>
      <w:lvlText w:val="%1."/>
      <w:lvlJc w:val="left"/>
      <w:pPr>
        <w:tabs>
          <w:tab w:val="num" w:pos="0"/>
        </w:tabs>
        <w:ind w:left="288" w:firstLine="72"/>
      </w:pPr>
      <w:rPr>
        <w:rFonts w:hint="default"/>
        <w:b w:val="0"/>
        <w:i w:val="0"/>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1DF17B8"/>
    <w:multiLevelType w:val="hybridMultilevel"/>
    <w:tmpl w:val="FBC2D5FE"/>
    <w:lvl w:ilvl="0" w:tplc="966651C2">
      <w:start w:val="1"/>
      <w:numFmt w:val="bullet"/>
      <w:pStyle w:val="marginbullet0"/>
      <w:lvlText w:val=""/>
      <w:lvlJc w:val="left"/>
      <w:pPr>
        <w:ind w:left="418" w:hanging="360"/>
      </w:pPr>
      <w:rPr>
        <w:rFonts w:ascii="Symbol" w:hAnsi="Symbol" w:hint="default"/>
        <w:sz w:val="20"/>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6" w15:restartNumberingAfterBreak="0">
    <w:nsid w:val="51F01DD2"/>
    <w:multiLevelType w:val="hybridMultilevel"/>
    <w:tmpl w:val="8CAC3146"/>
    <w:lvl w:ilvl="0" w:tplc="0409000F">
      <w:start w:val="1"/>
      <w:numFmt w:val="decimal"/>
      <w:lvlText w:val="%1."/>
      <w:lvlJc w:val="left"/>
      <w:pPr>
        <w:tabs>
          <w:tab w:val="num" w:pos="792"/>
        </w:tabs>
        <w:ind w:left="792"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D726AC"/>
    <w:multiLevelType w:val="hybridMultilevel"/>
    <w:tmpl w:val="B68E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181EB5"/>
    <w:multiLevelType w:val="hybridMultilevel"/>
    <w:tmpl w:val="9D8C8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32050A"/>
    <w:multiLevelType w:val="hybridMultilevel"/>
    <w:tmpl w:val="136EBDBA"/>
    <w:lvl w:ilvl="0" w:tplc="84C4D046">
      <w:start w:val="1"/>
      <w:numFmt w:val="bullet"/>
      <w:pStyle w:val="Bullet"/>
      <w:lvlText w:val=""/>
      <w:lvlJc w:val="left"/>
      <w:pPr>
        <w:tabs>
          <w:tab w:val="num" w:pos="576"/>
        </w:tabs>
        <w:ind w:left="936" w:hanging="216"/>
      </w:pPr>
      <w:rPr>
        <w:rFonts w:ascii="Symbol" w:hAnsi="Symbo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A7D2F40"/>
    <w:multiLevelType w:val="hybridMultilevel"/>
    <w:tmpl w:val="595697AA"/>
    <w:lvl w:ilvl="0" w:tplc="060C4A9A">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C93C1C"/>
    <w:multiLevelType w:val="hybridMultilevel"/>
    <w:tmpl w:val="686C88D6"/>
    <w:lvl w:ilvl="0" w:tplc="40347548">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6145C28"/>
    <w:multiLevelType w:val="hybridMultilevel"/>
    <w:tmpl w:val="5E8201D6"/>
    <w:lvl w:ilvl="0" w:tplc="0409000F">
      <w:start w:val="1"/>
      <w:numFmt w:val="decimal"/>
      <w:lvlText w:val="%1."/>
      <w:lvlJc w:val="left"/>
      <w:pPr>
        <w:tabs>
          <w:tab w:val="num" w:pos="720"/>
        </w:tabs>
        <w:ind w:left="720" w:hanging="360"/>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2A65A7"/>
    <w:multiLevelType w:val="hybridMultilevel"/>
    <w:tmpl w:val="06B00224"/>
    <w:lvl w:ilvl="0" w:tplc="84C4D046">
      <w:start w:val="1"/>
      <w:numFmt w:val="bullet"/>
      <w:lvlText w:val=""/>
      <w:lvlJc w:val="left"/>
      <w:pPr>
        <w:tabs>
          <w:tab w:val="num" w:pos="576"/>
        </w:tabs>
        <w:ind w:left="936" w:hanging="216"/>
      </w:pPr>
      <w:rPr>
        <w:rFonts w:ascii="Symbol" w:hAnsi="Symbol" w:hint="default"/>
        <w:sz w:val="20"/>
        <w:szCs w:val="20"/>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B7C4320"/>
    <w:multiLevelType w:val="hybridMultilevel"/>
    <w:tmpl w:val="B94A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83BE8"/>
    <w:multiLevelType w:val="hybridMultilevel"/>
    <w:tmpl w:val="F306CC3E"/>
    <w:lvl w:ilvl="0" w:tplc="E6FCCFC4">
      <w:start w:val="1"/>
      <w:numFmt w:val="decimal"/>
      <w:lvlText w:val="%1."/>
      <w:lvlJc w:val="left"/>
      <w:pPr>
        <w:tabs>
          <w:tab w:val="num" w:pos="720"/>
        </w:tabs>
        <w:ind w:left="720" w:hanging="360"/>
      </w:pPr>
    </w:lvl>
    <w:lvl w:ilvl="1" w:tplc="23BE8DEA" w:tentative="1">
      <w:start w:val="1"/>
      <w:numFmt w:val="lowerLetter"/>
      <w:lvlText w:val="%2."/>
      <w:lvlJc w:val="left"/>
      <w:pPr>
        <w:tabs>
          <w:tab w:val="num" w:pos="1440"/>
        </w:tabs>
        <w:ind w:left="1440" w:hanging="360"/>
      </w:pPr>
    </w:lvl>
    <w:lvl w:ilvl="2" w:tplc="D9C02EFE" w:tentative="1">
      <w:start w:val="1"/>
      <w:numFmt w:val="lowerRoman"/>
      <w:lvlText w:val="%3."/>
      <w:lvlJc w:val="right"/>
      <w:pPr>
        <w:tabs>
          <w:tab w:val="num" w:pos="2160"/>
        </w:tabs>
        <w:ind w:left="2160" w:hanging="180"/>
      </w:pPr>
    </w:lvl>
    <w:lvl w:ilvl="3" w:tplc="30245E02" w:tentative="1">
      <w:start w:val="1"/>
      <w:numFmt w:val="decimal"/>
      <w:lvlText w:val="%4."/>
      <w:lvlJc w:val="left"/>
      <w:pPr>
        <w:tabs>
          <w:tab w:val="num" w:pos="2880"/>
        </w:tabs>
        <w:ind w:left="2880" w:hanging="360"/>
      </w:pPr>
    </w:lvl>
    <w:lvl w:ilvl="4" w:tplc="0CE8A1E2" w:tentative="1">
      <w:start w:val="1"/>
      <w:numFmt w:val="lowerLetter"/>
      <w:lvlText w:val="%5."/>
      <w:lvlJc w:val="left"/>
      <w:pPr>
        <w:tabs>
          <w:tab w:val="num" w:pos="3600"/>
        </w:tabs>
        <w:ind w:left="3600" w:hanging="360"/>
      </w:pPr>
    </w:lvl>
    <w:lvl w:ilvl="5" w:tplc="C42C4130" w:tentative="1">
      <w:start w:val="1"/>
      <w:numFmt w:val="lowerRoman"/>
      <w:lvlText w:val="%6."/>
      <w:lvlJc w:val="right"/>
      <w:pPr>
        <w:tabs>
          <w:tab w:val="num" w:pos="4320"/>
        </w:tabs>
        <w:ind w:left="4320" w:hanging="180"/>
      </w:pPr>
    </w:lvl>
    <w:lvl w:ilvl="6" w:tplc="1B8C1B48" w:tentative="1">
      <w:start w:val="1"/>
      <w:numFmt w:val="decimal"/>
      <w:lvlText w:val="%7."/>
      <w:lvlJc w:val="left"/>
      <w:pPr>
        <w:tabs>
          <w:tab w:val="num" w:pos="5040"/>
        </w:tabs>
        <w:ind w:left="5040" w:hanging="360"/>
      </w:pPr>
    </w:lvl>
    <w:lvl w:ilvl="7" w:tplc="DDFCAA48" w:tentative="1">
      <w:start w:val="1"/>
      <w:numFmt w:val="lowerLetter"/>
      <w:lvlText w:val="%8."/>
      <w:lvlJc w:val="left"/>
      <w:pPr>
        <w:tabs>
          <w:tab w:val="num" w:pos="5760"/>
        </w:tabs>
        <w:ind w:left="5760" w:hanging="360"/>
      </w:pPr>
    </w:lvl>
    <w:lvl w:ilvl="8" w:tplc="FE1E72FA" w:tentative="1">
      <w:start w:val="1"/>
      <w:numFmt w:val="lowerRoman"/>
      <w:lvlText w:val="%9."/>
      <w:lvlJc w:val="right"/>
      <w:pPr>
        <w:tabs>
          <w:tab w:val="num" w:pos="6480"/>
        </w:tabs>
        <w:ind w:left="6480" w:hanging="180"/>
      </w:pPr>
    </w:lvl>
  </w:abstractNum>
  <w:abstractNum w:abstractNumId="36" w15:restartNumberingAfterBreak="0">
    <w:nsid w:val="74C44ADF"/>
    <w:multiLevelType w:val="hybridMultilevel"/>
    <w:tmpl w:val="453ED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162B61"/>
    <w:multiLevelType w:val="hybridMultilevel"/>
    <w:tmpl w:val="D3D07836"/>
    <w:lvl w:ilvl="0" w:tplc="A15E0C30">
      <w:start w:val="1"/>
      <w:numFmt w:val="bullet"/>
      <w:pStyle w:val="Bullet3"/>
      <w:lvlText w:val=""/>
      <w:lvlJc w:val="left"/>
      <w:pPr>
        <w:tabs>
          <w:tab w:val="num" w:pos="360"/>
        </w:tabs>
        <w:ind w:left="576" w:firstLine="144"/>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EE27812"/>
    <w:multiLevelType w:val="singleLevel"/>
    <w:tmpl w:val="4E9C22FE"/>
    <w:lvl w:ilvl="0">
      <w:start w:val="1"/>
      <w:numFmt w:val="bullet"/>
      <w:pStyle w:val="BulletedText"/>
      <w:lvlText w:val=""/>
      <w:lvlJc w:val="left"/>
      <w:pPr>
        <w:tabs>
          <w:tab w:val="num" w:pos="360"/>
        </w:tabs>
        <w:ind w:left="360" w:hanging="360"/>
      </w:pPr>
      <w:rPr>
        <w:rFonts w:ascii="Symbol" w:hAnsi="Symbol" w:hint="default"/>
      </w:rPr>
    </w:lvl>
  </w:abstractNum>
  <w:num w:numId="1">
    <w:abstractNumId w:val="29"/>
  </w:num>
  <w:num w:numId="2">
    <w:abstractNumId w:val="5"/>
  </w:num>
  <w:num w:numId="3">
    <w:abstractNumId w:val="17"/>
  </w:num>
  <w:num w:numId="4">
    <w:abstractNumId w:val="4"/>
  </w:num>
  <w:num w:numId="5">
    <w:abstractNumId w:val="20"/>
  </w:num>
  <w:num w:numId="6">
    <w:abstractNumId w:val="6"/>
  </w:num>
  <w:num w:numId="7">
    <w:abstractNumId w:val="19"/>
  </w:num>
  <w:num w:numId="8">
    <w:abstractNumId w:val="32"/>
  </w:num>
  <w:num w:numId="9">
    <w:abstractNumId w:val="31"/>
  </w:num>
  <w:num w:numId="10">
    <w:abstractNumId w:val="12"/>
  </w:num>
  <w:num w:numId="11">
    <w:abstractNumId w:val="38"/>
  </w:num>
  <w:num w:numId="12">
    <w:abstractNumId w:val="22"/>
  </w:num>
  <w:num w:numId="13">
    <w:abstractNumId w:val="37"/>
  </w:num>
  <w:num w:numId="14">
    <w:abstractNumId w:val="11"/>
  </w:num>
  <w:num w:numId="15">
    <w:abstractNumId w:val="21"/>
  </w:num>
  <w:num w:numId="16">
    <w:abstractNumId w:val="1"/>
  </w:num>
  <w:num w:numId="17">
    <w:abstractNumId w:val="7"/>
  </w:num>
  <w:num w:numId="18">
    <w:abstractNumId w:val="27"/>
  </w:num>
  <w:num w:numId="19">
    <w:abstractNumId w:val="26"/>
  </w:num>
  <w:num w:numId="20">
    <w:abstractNumId w:val="30"/>
  </w:num>
  <w:num w:numId="21">
    <w:abstractNumId w:val="0"/>
  </w:num>
  <w:num w:numId="22">
    <w:abstractNumId w:val="25"/>
  </w:num>
  <w:num w:numId="23">
    <w:abstractNumId w:val="33"/>
  </w:num>
  <w:num w:numId="24">
    <w:abstractNumId w:val="3"/>
  </w:num>
  <w:num w:numId="25">
    <w:abstractNumId w:val="36"/>
  </w:num>
  <w:num w:numId="26">
    <w:abstractNumId w:val="28"/>
  </w:num>
  <w:num w:numId="27">
    <w:abstractNumId w:val="34"/>
  </w:num>
  <w:num w:numId="28">
    <w:abstractNumId w:val="9"/>
  </w:num>
  <w:num w:numId="29">
    <w:abstractNumId w:val="2"/>
  </w:num>
  <w:num w:numId="30">
    <w:abstractNumId w:val="10"/>
  </w:num>
  <w:num w:numId="31">
    <w:abstractNumId w:val="15"/>
  </w:num>
  <w:num w:numId="32">
    <w:abstractNumId w:val="24"/>
  </w:num>
  <w:num w:numId="33">
    <w:abstractNumId w:val="18"/>
  </w:num>
  <w:num w:numId="34">
    <w:abstractNumId w:val="16"/>
  </w:num>
  <w:num w:numId="35">
    <w:abstractNumId w:val="35"/>
  </w:num>
  <w:num w:numId="36">
    <w:abstractNumId w:val="13"/>
  </w:num>
  <w:num w:numId="37">
    <w:abstractNumId w:val="14"/>
  </w:num>
  <w:num w:numId="38">
    <w:abstractNumId w:val="8"/>
  </w:num>
  <w:num w:numId="39">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20"/>
  <w:embedSystemFonts/>
  <w:mirrorMargins/>
  <w:activeWritingStyle w:appName="MSWord" w:lang="en-US" w:vendorID="64" w:dllVersion="131078" w:nlCheck="1" w:checkStyle="0"/>
  <w:activeWritingStyle w:appName="MSWord" w:lang="es-E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8765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AC"/>
    <w:rsid w:val="000002C0"/>
    <w:rsid w:val="000004DC"/>
    <w:rsid w:val="00000AEF"/>
    <w:rsid w:val="0000193D"/>
    <w:rsid w:val="0000246F"/>
    <w:rsid w:val="00003401"/>
    <w:rsid w:val="000037D1"/>
    <w:rsid w:val="00006AB3"/>
    <w:rsid w:val="000071C3"/>
    <w:rsid w:val="00007907"/>
    <w:rsid w:val="00010491"/>
    <w:rsid w:val="00010721"/>
    <w:rsid w:val="00010C49"/>
    <w:rsid w:val="000111CA"/>
    <w:rsid w:val="00011985"/>
    <w:rsid w:val="00011D92"/>
    <w:rsid w:val="00013D68"/>
    <w:rsid w:val="000145B7"/>
    <w:rsid w:val="00015DCE"/>
    <w:rsid w:val="00016519"/>
    <w:rsid w:val="0001755F"/>
    <w:rsid w:val="00017DE6"/>
    <w:rsid w:val="00020833"/>
    <w:rsid w:val="00020EB6"/>
    <w:rsid w:val="00021920"/>
    <w:rsid w:val="000225B1"/>
    <w:rsid w:val="00022719"/>
    <w:rsid w:val="000230CE"/>
    <w:rsid w:val="0002312B"/>
    <w:rsid w:val="00023C68"/>
    <w:rsid w:val="000240FB"/>
    <w:rsid w:val="00024510"/>
    <w:rsid w:val="0002493F"/>
    <w:rsid w:val="00024E75"/>
    <w:rsid w:val="000257A6"/>
    <w:rsid w:val="0002592A"/>
    <w:rsid w:val="00025E03"/>
    <w:rsid w:val="00025FDA"/>
    <w:rsid w:val="000264C3"/>
    <w:rsid w:val="00026812"/>
    <w:rsid w:val="00026A37"/>
    <w:rsid w:val="00026DEC"/>
    <w:rsid w:val="0002700F"/>
    <w:rsid w:val="0002766E"/>
    <w:rsid w:val="00030468"/>
    <w:rsid w:val="00030720"/>
    <w:rsid w:val="00031075"/>
    <w:rsid w:val="00031624"/>
    <w:rsid w:val="00033210"/>
    <w:rsid w:val="00034067"/>
    <w:rsid w:val="000341ED"/>
    <w:rsid w:val="0003492B"/>
    <w:rsid w:val="000349AA"/>
    <w:rsid w:val="00035501"/>
    <w:rsid w:val="000355E0"/>
    <w:rsid w:val="00036B3A"/>
    <w:rsid w:val="0003723D"/>
    <w:rsid w:val="000376A2"/>
    <w:rsid w:val="0004035C"/>
    <w:rsid w:val="00040AC1"/>
    <w:rsid w:val="00040F9D"/>
    <w:rsid w:val="00040FB3"/>
    <w:rsid w:val="00041047"/>
    <w:rsid w:val="00041969"/>
    <w:rsid w:val="00041B2B"/>
    <w:rsid w:val="0004324F"/>
    <w:rsid w:val="00043374"/>
    <w:rsid w:val="00043AEA"/>
    <w:rsid w:val="00043B24"/>
    <w:rsid w:val="00043E18"/>
    <w:rsid w:val="000440B5"/>
    <w:rsid w:val="00044BF8"/>
    <w:rsid w:val="00044DC2"/>
    <w:rsid w:val="00044E71"/>
    <w:rsid w:val="000454F8"/>
    <w:rsid w:val="00045953"/>
    <w:rsid w:val="00047AC1"/>
    <w:rsid w:val="00050100"/>
    <w:rsid w:val="00050617"/>
    <w:rsid w:val="00050D96"/>
    <w:rsid w:val="000515EB"/>
    <w:rsid w:val="0005204C"/>
    <w:rsid w:val="00052102"/>
    <w:rsid w:val="000522E0"/>
    <w:rsid w:val="000522E2"/>
    <w:rsid w:val="0005295A"/>
    <w:rsid w:val="000538DA"/>
    <w:rsid w:val="00054060"/>
    <w:rsid w:val="00054D31"/>
    <w:rsid w:val="00054DD6"/>
    <w:rsid w:val="00054F67"/>
    <w:rsid w:val="000552AF"/>
    <w:rsid w:val="00055408"/>
    <w:rsid w:val="00055F72"/>
    <w:rsid w:val="00056267"/>
    <w:rsid w:val="00056668"/>
    <w:rsid w:val="00056E53"/>
    <w:rsid w:val="00057A2A"/>
    <w:rsid w:val="00057B40"/>
    <w:rsid w:val="00057EB2"/>
    <w:rsid w:val="00057F8B"/>
    <w:rsid w:val="000600D8"/>
    <w:rsid w:val="00061640"/>
    <w:rsid w:val="00062F3F"/>
    <w:rsid w:val="00063242"/>
    <w:rsid w:val="0006370B"/>
    <w:rsid w:val="00064E47"/>
    <w:rsid w:val="00065309"/>
    <w:rsid w:val="00065833"/>
    <w:rsid w:val="00066168"/>
    <w:rsid w:val="00066651"/>
    <w:rsid w:val="00066673"/>
    <w:rsid w:val="00067E0E"/>
    <w:rsid w:val="000701A1"/>
    <w:rsid w:val="000705D6"/>
    <w:rsid w:val="0007064B"/>
    <w:rsid w:val="000711F0"/>
    <w:rsid w:val="00071DBC"/>
    <w:rsid w:val="0007422B"/>
    <w:rsid w:val="00074231"/>
    <w:rsid w:val="00074876"/>
    <w:rsid w:val="00074A36"/>
    <w:rsid w:val="00074BA8"/>
    <w:rsid w:val="00074F23"/>
    <w:rsid w:val="00075081"/>
    <w:rsid w:val="000750A5"/>
    <w:rsid w:val="000756F2"/>
    <w:rsid w:val="00075F51"/>
    <w:rsid w:val="000765F6"/>
    <w:rsid w:val="00076685"/>
    <w:rsid w:val="0007753C"/>
    <w:rsid w:val="000775BC"/>
    <w:rsid w:val="000777CB"/>
    <w:rsid w:val="000779A9"/>
    <w:rsid w:val="00077C41"/>
    <w:rsid w:val="00077DB0"/>
    <w:rsid w:val="00081B91"/>
    <w:rsid w:val="00081D64"/>
    <w:rsid w:val="00081EA9"/>
    <w:rsid w:val="00081F45"/>
    <w:rsid w:val="00082F1E"/>
    <w:rsid w:val="00083782"/>
    <w:rsid w:val="000837CA"/>
    <w:rsid w:val="000841B7"/>
    <w:rsid w:val="00084358"/>
    <w:rsid w:val="0008448D"/>
    <w:rsid w:val="00084C8B"/>
    <w:rsid w:val="00084FE2"/>
    <w:rsid w:val="000852A4"/>
    <w:rsid w:val="000854CD"/>
    <w:rsid w:val="00085637"/>
    <w:rsid w:val="00086601"/>
    <w:rsid w:val="000868CE"/>
    <w:rsid w:val="00090B16"/>
    <w:rsid w:val="00090B92"/>
    <w:rsid w:val="00090CC6"/>
    <w:rsid w:val="00090E95"/>
    <w:rsid w:val="00091579"/>
    <w:rsid w:val="000919DF"/>
    <w:rsid w:val="00091AFE"/>
    <w:rsid w:val="00092178"/>
    <w:rsid w:val="00093CDA"/>
    <w:rsid w:val="0009440F"/>
    <w:rsid w:val="00094F4D"/>
    <w:rsid w:val="00095148"/>
    <w:rsid w:val="0009622D"/>
    <w:rsid w:val="000964E7"/>
    <w:rsid w:val="00097B3B"/>
    <w:rsid w:val="000A0D3F"/>
    <w:rsid w:val="000A142F"/>
    <w:rsid w:val="000A17E5"/>
    <w:rsid w:val="000A1AB9"/>
    <w:rsid w:val="000A2490"/>
    <w:rsid w:val="000A33C5"/>
    <w:rsid w:val="000A3C2E"/>
    <w:rsid w:val="000A4B96"/>
    <w:rsid w:val="000A4C70"/>
    <w:rsid w:val="000A4EA1"/>
    <w:rsid w:val="000A5C9F"/>
    <w:rsid w:val="000A5D15"/>
    <w:rsid w:val="000A6D3C"/>
    <w:rsid w:val="000A7838"/>
    <w:rsid w:val="000A7FCF"/>
    <w:rsid w:val="000B0050"/>
    <w:rsid w:val="000B0084"/>
    <w:rsid w:val="000B097C"/>
    <w:rsid w:val="000B0A66"/>
    <w:rsid w:val="000B0D0E"/>
    <w:rsid w:val="000B1BCC"/>
    <w:rsid w:val="000B2182"/>
    <w:rsid w:val="000B26AE"/>
    <w:rsid w:val="000B2804"/>
    <w:rsid w:val="000B2824"/>
    <w:rsid w:val="000B3D33"/>
    <w:rsid w:val="000B41CB"/>
    <w:rsid w:val="000B4F57"/>
    <w:rsid w:val="000B528B"/>
    <w:rsid w:val="000B529C"/>
    <w:rsid w:val="000B554F"/>
    <w:rsid w:val="000B57CC"/>
    <w:rsid w:val="000B58E7"/>
    <w:rsid w:val="000B5D4D"/>
    <w:rsid w:val="000B5EB4"/>
    <w:rsid w:val="000B685D"/>
    <w:rsid w:val="000B68AB"/>
    <w:rsid w:val="000B6A8D"/>
    <w:rsid w:val="000B74DF"/>
    <w:rsid w:val="000B7D65"/>
    <w:rsid w:val="000C03D1"/>
    <w:rsid w:val="000C0618"/>
    <w:rsid w:val="000C0F86"/>
    <w:rsid w:val="000C1431"/>
    <w:rsid w:val="000C2333"/>
    <w:rsid w:val="000C2A8B"/>
    <w:rsid w:val="000C2B83"/>
    <w:rsid w:val="000C30A7"/>
    <w:rsid w:val="000C33BF"/>
    <w:rsid w:val="000C39F5"/>
    <w:rsid w:val="000C3C9D"/>
    <w:rsid w:val="000C3D7F"/>
    <w:rsid w:val="000C3E6D"/>
    <w:rsid w:val="000C4B10"/>
    <w:rsid w:val="000C4EA6"/>
    <w:rsid w:val="000C5163"/>
    <w:rsid w:val="000C51B8"/>
    <w:rsid w:val="000C550F"/>
    <w:rsid w:val="000C62C7"/>
    <w:rsid w:val="000D0A0B"/>
    <w:rsid w:val="000D0B41"/>
    <w:rsid w:val="000D152D"/>
    <w:rsid w:val="000D25ED"/>
    <w:rsid w:val="000D270E"/>
    <w:rsid w:val="000D29EB"/>
    <w:rsid w:val="000D2CF8"/>
    <w:rsid w:val="000D3212"/>
    <w:rsid w:val="000D3B0D"/>
    <w:rsid w:val="000D4226"/>
    <w:rsid w:val="000D4660"/>
    <w:rsid w:val="000D4B43"/>
    <w:rsid w:val="000D5780"/>
    <w:rsid w:val="000D5BF4"/>
    <w:rsid w:val="000D5F24"/>
    <w:rsid w:val="000D67E9"/>
    <w:rsid w:val="000D692F"/>
    <w:rsid w:val="000D74B9"/>
    <w:rsid w:val="000D74DC"/>
    <w:rsid w:val="000E1538"/>
    <w:rsid w:val="000E19AC"/>
    <w:rsid w:val="000E2327"/>
    <w:rsid w:val="000E2BB8"/>
    <w:rsid w:val="000E3784"/>
    <w:rsid w:val="000E5E16"/>
    <w:rsid w:val="000E68C6"/>
    <w:rsid w:val="000E7002"/>
    <w:rsid w:val="000E731B"/>
    <w:rsid w:val="000F0547"/>
    <w:rsid w:val="000F1989"/>
    <w:rsid w:val="000F1C38"/>
    <w:rsid w:val="000F2D22"/>
    <w:rsid w:val="000F38B9"/>
    <w:rsid w:val="000F39EE"/>
    <w:rsid w:val="000F3E3D"/>
    <w:rsid w:val="000F49EE"/>
    <w:rsid w:val="000F4F1F"/>
    <w:rsid w:val="000F50A1"/>
    <w:rsid w:val="000F5148"/>
    <w:rsid w:val="000F621A"/>
    <w:rsid w:val="000F6CE8"/>
    <w:rsid w:val="00101F4E"/>
    <w:rsid w:val="00102245"/>
    <w:rsid w:val="0010335A"/>
    <w:rsid w:val="0010413A"/>
    <w:rsid w:val="00104A30"/>
    <w:rsid w:val="001052BF"/>
    <w:rsid w:val="0010572A"/>
    <w:rsid w:val="00105811"/>
    <w:rsid w:val="00105ABD"/>
    <w:rsid w:val="0010699C"/>
    <w:rsid w:val="001069E8"/>
    <w:rsid w:val="00107F95"/>
    <w:rsid w:val="0011077E"/>
    <w:rsid w:val="00110BAC"/>
    <w:rsid w:val="0011121C"/>
    <w:rsid w:val="0011210B"/>
    <w:rsid w:val="0011265F"/>
    <w:rsid w:val="001126FA"/>
    <w:rsid w:val="0011297E"/>
    <w:rsid w:val="001162A0"/>
    <w:rsid w:val="00116328"/>
    <w:rsid w:val="0011717E"/>
    <w:rsid w:val="00117AB7"/>
    <w:rsid w:val="00117CA3"/>
    <w:rsid w:val="00117DC9"/>
    <w:rsid w:val="00120B7B"/>
    <w:rsid w:val="00120C57"/>
    <w:rsid w:val="001213CB"/>
    <w:rsid w:val="001223CF"/>
    <w:rsid w:val="001228D2"/>
    <w:rsid w:val="00123280"/>
    <w:rsid w:val="00123F4F"/>
    <w:rsid w:val="00124897"/>
    <w:rsid w:val="00125739"/>
    <w:rsid w:val="00126F76"/>
    <w:rsid w:val="001274D1"/>
    <w:rsid w:val="00127585"/>
    <w:rsid w:val="00127B2E"/>
    <w:rsid w:val="00127D58"/>
    <w:rsid w:val="001301B1"/>
    <w:rsid w:val="00131315"/>
    <w:rsid w:val="00132DF4"/>
    <w:rsid w:val="00132F0A"/>
    <w:rsid w:val="001331B5"/>
    <w:rsid w:val="001336C4"/>
    <w:rsid w:val="00133A03"/>
    <w:rsid w:val="00133B2B"/>
    <w:rsid w:val="0013402C"/>
    <w:rsid w:val="0013510F"/>
    <w:rsid w:val="001351C5"/>
    <w:rsid w:val="001353AB"/>
    <w:rsid w:val="00135598"/>
    <w:rsid w:val="001368FC"/>
    <w:rsid w:val="0013714F"/>
    <w:rsid w:val="00137374"/>
    <w:rsid w:val="00137B69"/>
    <w:rsid w:val="00137C63"/>
    <w:rsid w:val="00140192"/>
    <w:rsid w:val="001414C7"/>
    <w:rsid w:val="00141559"/>
    <w:rsid w:val="0014159D"/>
    <w:rsid w:val="00141B45"/>
    <w:rsid w:val="001421F5"/>
    <w:rsid w:val="001438B8"/>
    <w:rsid w:val="00144A9C"/>
    <w:rsid w:val="00144C19"/>
    <w:rsid w:val="00144C22"/>
    <w:rsid w:val="00144DDB"/>
    <w:rsid w:val="00145821"/>
    <w:rsid w:val="00145975"/>
    <w:rsid w:val="0014598D"/>
    <w:rsid w:val="001462FA"/>
    <w:rsid w:val="0014675A"/>
    <w:rsid w:val="001469BA"/>
    <w:rsid w:val="00146DB3"/>
    <w:rsid w:val="0014735D"/>
    <w:rsid w:val="00150A77"/>
    <w:rsid w:val="00150EC5"/>
    <w:rsid w:val="0015286B"/>
    <w:rsid w:val="001528AD"/>
    <w:rsid w:val="00152979"/>
    <w:rsid w:val="001532CB"/>
    <w:rsid w:val="00153CF5"/>
    <w:rsid w:val="00153DBE"/>
    <w:rsid w:val="001547BC"/>
    <w:rsid w:val="001551CD"/>
    <w:rsid w:val="001553C3"/>
    <w:rsid w:val="00155BD2"/>
    <w:rsid w:val="0015722E"/>
    <w:rsid w:val="00157430"/>
    <w:rsid w:val="00157667"/>
    <w:rsid w:val="00160611"/>
    <w:rsid w:val="00161334"/>
    <w:rsid w:val="0016211B"/>
    <w:rsid w:val="001623ED"/>
    <w:rsid w:val="001632E6"/>
    <w:rsid w:val="00163469"/>
    <w:rsid w:val="001634DC"/>
    <w:rsid w:val="001637C2"/>
    <w:rsid w:val="00163FA3"/>
    <w:rsid w:val="00164548"/>
    <w:rsid w:val="001647C2"/>
    <w:rsid w:val="00164BCD"/>
    <w:rsid w:val="00166BE9"/>
    <w:rsid w:val="00166DDA"/>
    <w:rsid w:val="001670B2"/>
    <w:rsid w:val="0016711E"/>
    <w:rsid w:val="00167548"/>
    <w:rsid w:val="0017029C"/>
    <w:rsid w:val="0017095C"/>
    <w:rsid w:val="00171D75"/>
    <w:rsid w:val="00171F26"/>
    <w:rsid w:val="001729DA"/>
    <w:rsid w:val="00172E2B"/>
    <w:rsid w:val="00173BA5"/>
    <w:rsid w:val="00173C60"/>
    <w:rsid w:val="00174649"/>
    <w:rsid w:val="00175C13"/>
    <w:rsid w:val="00175FBA"/>
    <w:rsid w:val="001763AD"/>
    <w:rsid w:val="00176676"/>
    <w:rsid w:val="00176E50"/>
    <w:rsid w:val="0018012D"/>
    <w:rsid w:val="001802CD"/>
    <w:rsid w:val="001818EF"/>
    <w:rsid w:val="00182BD6"/>
    <w:rsid w:val="0018300E"/>
    <w:rsid w:val="001832F0"/>
    <w:rsid w:val="001843FC"/>
    <w:rsid w:val="0018462F"/>
    <w:rsid w:val="001850D4"/>
    <w:rsid w:val="0018566F"/>
    <w:rsid w:val="001856EE"/>
    <w:rsid w:val="001857DE"/>
    <w:rsid w:val="00185B1E"/>
    <w:rsid w:val="00186418"/>
    <w:rsid w:val="00186B40"/>
    <w:rsid w:val="00186D82"/>
    <w:rsid w:val="00187F6D"/>
    <w:rsid w:val="0019005E"/>
    <w:rsid w:val="001902AE"/>
    <w:rsid w:val="00190454"/>
    <w:rsid w:val="0019088F"/>
    <w:rsid w:val="00191602"/>
    <w:rsid w:val="00191E56"/>
    <w:rsid w:val="001926F6"/>
    <w:rsid w:val="00192B1C"/>
    <w:rsid w:val="00192DF3"/>
    <w:rsid w:val="00195E10"/>
    <w:rsid w:val="00196034"/>
    <w:rsid w:val="0019685E"/>
    <w:rsid w:val="00197091"/>
    <w:rsid w:val="001970C0"/>
    <w:rsid w:val="00197CAC"/>
    <w:rsid w:val="001A0801"/>
    <w:rsid w:val="001A08CF"/>
    <w:rsid w:val="001A0A65"/>
    <w:rsid w:val="001A287C"/>
    <w:rsid w:val="001A2A56"/>
    <w:rsid w:val="001A378D"/>
    <w:rsid w:val="001A4450"/>
    <w:rsid w:val="001A45B8"/>
    <w:rsid w:val="001A48F9"/>
    <w:rsid w:val="001A4D7E"/>
    <w:rsid w:val="001A53DE"/>
    <w:rsid w:val="001A6085"/>
    <w:rsid w:val="001A65F2"/>
    <w:rsid w:val="001A76BE"/>
    <w:rsid w:val="001A79C4"/>
    <w:rsid w:val="001A7D87"/>
    <w:rsid w:val="001A7D88"/>
    <w:rsid w:val="001B0AFC"/>
    <w:rsid w:val="001B1030"/>
    <w:rsid w:val="001B1684"/>
    <w:rsid w:val="001B1AC0"/>
    <w:rsid w:val="001B2C9E"/>
    <w:rsid w:val="001B2F56"/>
    <w:rsid w:val="001B2FCD"/>
    <w:rsid w:val="001B307D"/>
    <w:rsid w:val="001B3746"/>
    <w:rsid w:val="001B3796"/>
    <w:rsid w:val="001B37D4"/>
    <w:rsid w:val="001B3837"/>
    <w:rsid w:val="001B4625"/>
    <w:rsid w:val="001B4BD4"/>
    <w:rsid w:val="001B4FA9"/>
    <w:rsid w:val="001B5586"/>
    <w:rsid w:val="001B59B0"/>
    <w:rsid w:val="001B5BEA"/>
    <w:rsid w:val="001B5EBA"/>
    <w:rsid w:val="001B5F3F"/>
    <w:rsid w:val="001B7C57"/>
    <w:rsid w:val="001C0F12"/>
    <w:rsid w:val="001C131F"/>
    <w:rsid w:val="001C24D3"/>
    <w:rsid w:val="001C2C46"/>
    <w:rsid w:val="001C2CA5"/>
    <w:rsid w:val="001C2E21"/>
    <w:rsid w:val="001C3801"/>
    <w:rsid w:val="001C49FD"/>
    <w:rsid w:val="001C4A5A"/>
    <w:rsid w:val="001C5205"/>
    <w:rsid w:val="001C545C"/>
    <w:rsid w:val="001C5B85"/>
    <w:rsid w:val="001C6A6B"/>
    <w:rsid w:val="001C6AA8"/>
    <w:rsid w:val="001C7301"/>
    <w:rsid w:val="001C7C90"/>
    <w:rsid w:val="001D0250"/>
    <w:rsid w:val="001D0812"/>
    <w:rsid w:val="001D0B2D"/>
    <w:rsid w:val="001D1117"/>
    <w:rsid w:val="001D1F86"/>
    <w:rsid w:val="001D268E"/>
    <w:rsid w:val="001D3166"/>
    <w:rsid w:val="001D3509"/>
    <w:rsid w:val="001D3C38"/>
    <w:rsid w:val="001D3DFD"/>
    <w:rsid w:val="001D3E38"/>
    <w:rsid w:val="001D4193"/>
    <w:rsid w:val="001D461E"/>
    <w:rsid w:val="001D5562"/>
    <w:rsid w:val="001D569A"/>
    <w:rsid w:val="001D5EB7"/>
    <w:rsid w:val="001D6316"/>
    <w:rsid w:val="001D6DD4"/>
    <w:rsid w:val="001D78B4"/>
    <w:rsid w:val="001E1067"/>
    <w:rsid w:val="001E1398"/>
    <w:rsid w:val="001E1A07"/>
    <w:rsid w:val="001E2457"/>
    <w:rsid w:val="001E2538"/>
    <w:rsid w:val="001E27EA"/>
    <w:rsid w:val="001E285C"/>
    <w:rsid w:val="001E2A16"/>
    <w:rsid w:val="001E300F"/>
    <w:rsid w:val="001E5335"/>
    <w:rsid w:val="001E58F2"/>
    <w:rsid w:val="001E5B57"/>
    <w:rsid w:val="001E64CC"/>
    <w:rsid w:val="001E69E6"/>
    <w:rsid w:val="001E6C4D"/>
    <w:rsid w:val="001E739D"/>
    <w:rsid w:val="001E77A3"/>
    <w:rsid w:val="001E77D6"/>
    <w:rsid w:val="001E77EC"/>
    <w:rsid w:val="001F0260"/>
    <w:rsid w:val="001F093F"/>
    <w:rsid w:val="001F0A88"/>
    <w:rsid w:val="001F1649"/>
    <w:rsid w:val="001F1DD0"/>
    <w:rsid w:val="001F2ECF"/>
    <w:rsid w:val="001F3031"/>
    <w:rsid w:val="001F388F"/>
    <w:rsid w:val="001F4204"/>
    <w:rsid w:val="001F4921"/>
    <w:rsid w:val="001F4CC0"/>
    <w:rsid w:val="001F5BBD"/>
    <w:rsid w:val="001F6015"/>
    <w:rsid w:val="001F64F1"/>
    <w:rsid w:val="001F655F"/>
    <w:rsid w:val="001F7018"/>
    <w:rsid w:val="001F70B3"/>
    <w:rsid w:val="001F70B7"/>
    <w:rsid w:val="001F7202"/>
    <w:rsid w:val="001F740E"/>
    <w:rsid w:val="001F7A9E"/>
    <w:rsid w:val="00200CE7"/>
    <w:rsid w:val="00200FB6"/>
    <w:rsid w:val="00201B3B"/>
    <w:rsid w:val="00202CAE"/>
    <w:rsid w:val="00203F2B"/>
    <w:rsid w:val="00203F98"/>
    <w:rsid w:val="002044EC"/>
    <w:rsid w:val="00204C17"/>
    <w:rsid w:val="002055A1"/>
    <w:rsid w:val="0020582A"/>
    <w:rsid w:val="0020599C"/>
    <w:rsid w:val="00205A0B"/>
    <w:rsid w:val="002063F3"/>
    <w:rsid w:val="0020701F"/>
    <w:rsid w:val="002070EC"/>
    <w:rsid w:val="002070F6"/>
    <w:rsid w:val="002109D4"/>
    <w:rsid w:val="00210B4C"/>
    <w:rsid w:val="00211549"/>
    <w:rsid w:val="00211AC1"/>
    <w:rsid w:val="00211E7B"/>
    <w:rsid w:val="0021280C"/>
    <w:rsid w:val="00213E72"/>
    <w:rsid w:val="00213EB9"/>
    <w:rsid w:val="00214DD6"/>
    <w:rsid w:val="00214E88"/>
    <w:rsid w:val="00215819"/>
    <w:rsid w:val="0021657C"/>
    <w:rsid w:val="00216A58"/>
    <w:rsid w:val="002170F2"/>
    <w:rsid w:val="00217CD7"/>
    <w:rsid w:val="00217E96"/>
    <w:rsid w:val="00220017"/>
    <w:rsid w:val="00220908"/>
    <w:rsid w:val="002211F4"/>
    <w:rsid w:val="002212E6"/>
    <w:rsid w:val="002227A4"/>
    <w:rsid w:val="00222941"/>
    <w:rsid w:val="00222A9F"/>
    <w:rsid w:val="002235B0"/>
    <w:rsid w:val="0022457E"/>
    <w:rsid w:val="0022566A"/>
    <w:rsid w:val="002261F4"/>
    <w:rsid w:val="0022659A"/>
    <w:rsid w:val="00226A54"/>
    <w:rsid w:val="0022717E"/>
    <w:rsid w:val="0022723E"/>
    <w:rsid w:val="002272D6"/>
    <w:rsid w:val="002279B7"/>
    <w:rsid w:val="00227F31"/>
    <w:rsid w:val="002300AB"/>
    <w:rsid w:val="00230843"/>
    <w:rsid w:val="00231275"/>
    <w:rsid w:val="0023174B"/>
    <w:rsid w:val="00231D7B"/>
    <w:rsid w:val="00231DA4"/>
    <w:rsid w:val="00231DB2"/>
    <w:rsid w:val="00232C2B"/>
    <w:rsid w:val="00232CDC"/>
    <w:rsid w:val="0023306C"/>
    <w:rsid w:val="00233353"/>
    <w:rsid w:val="002356F5"/>
    <w:rsid w:val="00236AC3"/>
    <w:rsid w:val="00240519"/>
    <w:rsid w:val="002406DC"/>
    <w:rsid w:val="002410CD"/>
    <w:rsid w:val="002411AF"/>
    <w:rsid w:val="002415C2"/>
    <w:rsid w:val="002419E2"/>
    <w:rsid w:val="00241C1A"/>
    <w:rsid w:val="00242964"/>
    <w:rsid w:val="00243294"/>
    <w:rsid w:val="0024336C"/>
    <w:rsid w:val="002447F6"/>
    <w:rsid w:val="0024498C"/>
    <w:rsid w:val="002452E4"/>
    <w:rsid w:val="00245B05"/>
    <w:rsid w:val="00246109"/>
    <w:rsid w:val="00246AF3"/>
    <w:rsid w:val="00246C78"/>
    <w:rsid w:val="00246D03"/>
    <w:rsid w:val="00246F0F"/>
    <w:rsid w:val="002505A3"/>
    <w:rsid w:val="0025072F"/>
    <w:rsid w:val="002516E0"/>
    <w:rsid w:val="00251B4C"/>
    <w:rsid w:val="00252AA3"/>
    <w:rsid w:val="00252CE4"/>
    <w:rsid w:val="00252DDE"/>
    <w:rsid w:val="002534A3"/>
    <w:rsid w:val="00253596"/>
    <w:rsid w:val="00254596"/>
    <w:rsid w:val="00255023"/>
    <w:rsid w:val="002566FC"/>
    <w:rsid w:val="00256EDB"/>
    <w:rsid w:val="0026022C"/>
    <w:rsid w:val="0026043C"/>
    <w:rsid w:val="0026094D"/>
    <w:rsid w:val="00261076"/>
    <w:rsid w:val="002611F4"/>
    <w:rsid w:val="0026180E"/>
    <w:rsid w:val="00262082"/>
    <w:rsid w:val="00262535"/>
    <w:rsid w:val="00262584"/>
    <w:rsid w:val="00262BCF"/>
    <w:rsid w:val="00262E85"/>
    <w:rsid w:val="00263C91"/>
    <w:rsid w:val="00263ECD"/>
    <w:rsid w:val="00264472"/>
    <w:rsid w:val="00264D96"/>
    <w:rsid w:val="00265750"/>
    <w:rsid w:val="0026619D"/>
    <w:rsid w:val="00270B5D"/>
    <w:rsid w:val="0027210A"/>
    <w:rsid w:val="002727E3"/>
    <w:rsid w:val="0027287E"/>
    <w:rsid w:val="00272C16"/>
    <w:rsid w:val="00272D3B"/>
    <w:rsid w:val="00275098"/>
    <w:rsid w:val="00275732"/>
    <w:rsid w:val="00277F47"/>
    <w:rsid w:val="002805DB"/>
    <w:rsid w:val="002809FE"/>
    <w:rsid w:val="00280D83"/>
    <w:rsid w:val="00282561"/>
    <w:rsid w:val="00282CFC"/>
    <w:rsid w:val="00285F40"/>
    <w:rsid w:val="0028662C"/>
    <w:rsid w:val="00286CE1"/>
    <w:rsid w:val="00286DCE"/>
    <w:rsid w:val="002903A4"/>
    <w:rsid w:val="00290E12"/>
    <w:rsid w:val="00291BE3"/>
    <w:rsid w:val="00292452"/>
    <w:rsid w:val="00292666"/>
    <w:rsid w:val="00292F96"/>
    <w:rsid w:val="002959D8"/>
    <w:rsid w:val="00295E66"/>
    <w:rsid w:val="002969EF"/>
    <w:rsid w:val="00296CD1"/>
    <w:rsid w:val="002A1DDD"/>
    <w:rsid w:val="002A2722"/>
    <w:rsid w:val="002A2E1D"/>
    <w:rsid w:val="002A2E39"/>
    <w:rsid w:val="002A333C"/>
    <w:rsid w:val="002A3AE1"/>
    <w:rsid w:val="002A3CE2"/>
    <w:rsid w:val="002A4466"/>
    <w:rsid w:val="002A4510"/>
    <w:rsid w:val="002A464B"/>
    <w:rsid w:val="002A5A95"/>
    <w:rsid w:val="002A5B03"/>
    <w:rsid w:val="002A5D9B"/>
    <w:rsid w:val="002A66EA"/>
    <w:rsid w:val="002A6A6B"/>
    <w:rsid w:val="002A6C21"/>
    <w:rsid w:val="002A6CC8"/>
    <w:rsid w:val="002A6FA1"/>
    <w:rsid w:val="002A77D6"/>
    <w:rsid w:val="002A7B9B"/>
    <w:rsid w:val="002A7EA0"/>
    <w:rsid w:val="002B0820"/>
    <w:rsid w:val="002B0821"/>
    <w:rsid w:val="002B0BF0"/>
    <w:rsid w:val="002B0FB6"/>
    <w:rsid w:val="002B1341"/>
    <w:rsid w:val="002B1C6A"/>
    <w:rsid w:val="002B1E1B"/>
    <w:rsid w:val="002B2223"/>
    <w:rsid w:val="002B2447"/>
    <w:rsid w:val="002B27D5"/>
    <w:rsid w:val="002B2821"/>
    <w:rsid w:val="002B2952"/>
    <w:rsid w:val="002B2A0C"/>
    <w:rsid w:val="002B32AF"/>
    <w:rsid w:val="002B52F2"/>
    <w:rsid w:val="002B5782"/>
    <w:rsid w:val="002B57D3"/>
    <w:rsid w:val="002B741C"/>
    <w:rsid w:val="002B7792"/>
    <w:rsid w:val="002C0529"/>
    <w:rsid w:val="002C1338"/>
    <w:rsid w:val="002C1D3C"/>
    <w:rsid w:val="002C2334"/>
    <w:rsid w:val="002C29F9"/>
    <w:rsid w:val="002C416D"/>
    <w:rsid w:val="002C48EA"/>
    <w:rsid w:val="002C509C"/>
    <w:rsid w:val="002C50A7"/>
    <w:rsid w:val="002C528D"/>
    <w:rsid w:val="002C52AD"/>
    <w:rsid w:val="002C6518"/>
    <w:rsid w:val="002C6A76"/>
    <w:rsid w:val="002C6E51"/>
    <w:rsid w:val="002D1291"/>
    <w:rsid w:val="002D183F"/>
    <w:rsid w:val="002D1860"/>
    <w:rsid w:val="002D1B22"/>
    <w:rsid w:val="002D202A"/>
    <w:rsid w:val="002D2FE7"/>
    <w:rsid w:val="002D3292"/>
    <w:rsid w:val="002D33A3"/>
    <w:rsid w:val="002D33CE"/>
    <w:rsid w:val="002D3C40"/>
    <w:rsid w:val="002D3E3B"/>
    <w:rsid w:val="002D3F0A"/>
    <w:rsid w:val="002D428B"/>
    <w:rsid w:val="002D5569"/>
    <w:rsid w:val="002D62B2"/>
    <w:rsid w:val="002D6599"/>
    <w:rsid w:val="002D7636"/>
    <w:rsid w:val="002E0199"/>
    <w:rsid w:val="002E223F"/>
    <w:rsid w:val="002E2B31"/>
    <w:rsid w:val="002E3AF6"/>
    <w:rsid w:val="002E3D4A"/>
    <w:rsid w:val="002E4303"/>
    <w:rsid w:val="002E4C87"/>
    <w:rsid w:val="002E628C"/>
    <w:rsid w:val="002E63BB"/>
    <w:rsid w:val="002E6665"/>
    <w:rsid w:val="002E669A"/>
    <w:rsid w:val="002E7A48"/>
    <w:rsid w:val="002F035F"/>
    <w:rsid w:val="002F0380"/>
    <w:rsid w:val="002F1239"/>
    <w:rsid w:val="002F16B6"/>
    <w:rsid w:val="002F21C4"/>
    <w:rsid w:val="002F22AD"/>
    <w:rsid w:val="002F2901"/>
    <w:rsid w:val="002F2ACB"/>
    <w:rsid w:val="002F2E55"/>
    <w:rsid w:val="002F31D0"/>
    <w:rsid w:val="002F435E"/>
    <w:rsid w:val="002F4FF2"/>
    <w:rsid w:val="002F792C"/>
    <w:rsid w:val="002F7ED4"/>
    <w:rsid w:val="00301646"/>
    <w:rsid w:val="003016C7"/>
    <w:rsid w:val="00302C87"/>
    <w:rsid w:val="0030476F"/>
    <w:rsid w:val="003047B1"/>
    <w:rsid w:val="0030505D"/>
    <w:rsid w:val="00306899"/>
    <w:rsid w:val="00306BA6"/>
    <w:rsid w:val="00307A77"/>
    <w:rsid w:val="00310143"/>
    <w:rsid w:val="00310B7E"/>
    <w:rsid w:val="00311F52"/>
    <w:rsid w:val="00312661"/>
    <w:rsid w:val="00312C1F"/>
    <w:rsid w:val="003131D2"/>
    <w:rsid w:val="00314377"/>
    <w:rsid w:val="00314F3C"/>
    <w:rsid w:val="00315358"/>
    <w:rsid w:val="003157BB"/>
    <w:rsid w:val="003158C9"/>
    <w:rsid w:val="00315BD1"/>
    <w:rsid w:val="00315EE8"/>
    <w:rsid w:val="00316A47"/>
    <w:rsid w:val="00320634"/>
    <w:rsid w:val="00320B85"/>
    <w:rsid w:val="00320BF6"/>
    <w:rsid w:val="00320D14"/>
    <w:rsid w:val="00323238"/>
    <w:rsid w:val="00323A7D"/>
    <w:rsid w:val="00323E71"/>
    <w:rsid w:val="0032408F"/>
    <w:rsid w:val="00325019"/>
    <w:rsid w:val="0032579B"/>
    <w:rsid w:val="003258DA"/>
    <w:rsid w:val="00326CA8"/>
    <w:rsid w:val="00327CC7"/>
    <w:rsid w:val="00327FAF"/>
    <w:rsid w:val="00330C9A"/>
    <w:rsid w:val="003330C6"/>
    <w:rsid w:val="00333B76"/>
    <w:rsid w:val="003341E5"/>
    <w:rsid w:val="003349B1"/>
    <w:rsid w:val="00335377"/>
    <w:rsid w:val="00335767"/>
    <w:rsid w:val="00335AB4"/>
    <w:rsid w:val="00336573"/>
    <w:rsid w:val="0033717A"/>
    <w:rsid w:val="00341259"/>
    <w:rsid w:val="00341952"/>
    <w:rsid w:val="0034240C"/>
    <w:rsid w:val="003428D6"/>
    <w:rsid w:val="00342932"/>
    <w:rsid w:val="00342E2F"/>
    <w:rsid w:val="00343088"/>
    <w:rsid w:val="00343766"/>
    <w:rsid w:val="003447C6"/>
    <w:rsid w:val="003457E1"/>
    <w:rsid w:val="00345CF2"/>
    <w:rsid w:val="00345DA0"/>
    <w:rsid w:val="003469B8"/>
    <w:rsid w:val="00347472"/>
    <w:rsid w:val="003509B6"/>
    <w:rsid w:val="00350D22"/>
    <w:rsid w:val="00350F22"/>
    <w:rsid w:val="00351C6C"/>
    <w:rsid w:val="00352823"/>
    <w:rsid w:val="003528AD"/>
    <w:rsid w:val="00352C2A"/>
    <w:rsid w:val="00352DED"/>
    <w:rsid w:val="00354549"/>
    <w:rsid w:val="003545C0"/>
    <w:rsid w:val="003548C5"/>
    <w:rsid w:val="0035594C"/>
    <w:rsid w:val="00356FE3"/>
    <w:rsid w:val="00360201"/>
    <w:rsid w:val="003607A1"/>
    <w:rsid w:val="0036160B"/>
    <w:rsid w:val="0036199A"/>
    <w:rsid w:val="003619B1"/>
    <w:rsid w:val="00361FF0"/>
    <w:rsid w:val="003620BD"/>
    <w:rsid w:val="0036286B"/>
    <w:rsid w:val="00362F7A"/>
    <w:rsid w:val="00363588"/>
    <w:rsid w:val="0036421F"/>
    <w:rsid w:val="00364FFF"/>
    <w:rsid w:val="003653EE"/>
    <w:rsid w:val="00365B0F"/>
    <w:rsid w:val="00366B2B"/>
    <w:rsid w:val="00366D4D"/>
    <w:rsid w:val="00367E6B"/>
    <w:rsid w:val="003701D3"/>
    <w:rsid w:val="003701E5"/>
    <w:rsid w:val="00370A1D"/>
    <w:rsid w:val="0037189A"/>
    <w:rsid w:val="00371B3A"/>
    <w:rsid w:val="003720CA"/>
    <w:rsid w:val="00372B1F"/>
    <w:rsid w:val="00372C59"/>
    <w:rsid w:val="00372EBA"/>
    <w:rsid w:val="0037319E"/>
    <w:rsid w:val="00373203"/>
    <w:rsid w:val="003741F8"/>
    <w:rsid w:val="00374910"/>
    <w:rsid w:val="00374AB2"/>
    <w:rsid w:val="00375147"/>
    <w:rsid w:val="003753E7"/>
    <w:rsid w:val="00375480"/>
    <w:rsid w:val="00375F2A"/>
    <w:rsid w:val="00376080"/>
    <w:rsid w:val="00376331"/>
    <w:rsid w:val="003764F4"/>
    <w:rsid w:val="00376612"/>
    <w:rsid w:val="00377661"/>
    <w:rsid w:val="00377B8E"/>
    <w:rsid w:val="0038106C"/>
    <w:rsid w:val="003816B4"/>
    <w:rsid w:val="003818D1"/>
    <w:rsid w:val="00381926"/>
    <w:rsid w:val="00381CD9"/>
    <w:rsid w:val="00381EC4"/>
    <w:rsid w:val="0038290A"/>
    <w:rsid w:val="003839C4"/>
    <w:rsid w:val="00383ECD"/>
    <w:rsid w:val="00384578"/>
    <w:rsid w:val="003845BE"/>
    <w:rsid w:val="003846E9"/>
    <w:rsid w:val="0038494E"/>
    <w:rsid w:val="00384DF7"/>
    <w:rsid w:val="003855B9"/>
    <w:rsid w:val="003868D7"/>
    <w:rsid w:val="00386E4F"/>
    <w:rsid w:val="003875A0"/>
    <w:rsid w:val="00387DA5"/>
    <w:rsid w:val="00390117"/>
    <w:rsid w:val="0039073C"/>
    <w:rsid w:val="003911C5"/>
    <w:rsid w:val="003916A8"/>
    <w:rsid w:val="0039238C"/>
    <w:rsid w:val="003926E6"/>
    <w:rsid w:val="0039278F"/>
    <w:rsid w:val="003927E5"/>
    <w:rsid w:val="00393529"/>
    <w:rsid w:val="00393603"/>
    <w:rsid w:val="00393A36"/>
    <w:rsid w:val="00393A6E"/>
    <w:rsid w:val="00393F4B"/>
    <w:rsid w:val="00394125"/>
    <w:rsid w:val="00394236"/>
    <w:rsid w:val="003A0142"/>
    <w:rsid w:val="003A08F6"/>
    <w:rsid w:val="003A105E"/>
    <w:rsid w:val="003A1E60"/>
    <w:rsid w:val="003A3504"/>
    <w:rsid w:val="003A3535"/>
    <w:rsid w:val="003A3A7E"/>
    <w:rsid w:val="003A3B55"/>
    <w:rsid w:val="003A443E"/>
    <w:rsid w:val="003A4994"/>
    <w:rsid w:val="003A5312"/>
    <w:rsid w:val="003A53E9"/>
    <w:rsid w:val="003A5823"/>
    <w:rsid w:val="003A5D4A"/>
    <w:rsid w:val="003A668C"/>
    <w:rsid w:val="003A671D"/>
    <w:rsid w:val="003A732B"/>
    <w:rsid w:val="003A79E0"/>
    <w:rsid w:val="003B0D85"/>
    <w:rsid w:val="003B1459"/>
    <w:rsid w:val="003B1D92"/>
    <w:rsid w:val="003B24B4"/>
    <w:rsid w:val="003B3102"/>
    <w:rsid w:val="003B329F"/>
    <w:rsid w:val="003B4418"/>
    <w:rsid w:val="003B47CE"/>
    <w:rsid w:val="003B483F"/>
    <w:rsid w:val="003B4CF3"/>
    <w:rsid w:val="003B6593"/>
    <w:rsid w:val="003B6729"/>
    <w:rsid w:val="003B7048"/>
    <w:rsid w:val="003B7FBC"/>
    <w:rsid w:val="003C0792"/>
    <w:rsid w:val="003C083C"/>
    <w:rsid w:val="003C0E10"/>
    <w:rsid w:val="003C1E60"/>
    <w:rsid w:val="003C253E"/>
    <w:rsid w:val="003C2996"/>
    <w:rsid w:val="003C2FA5"/>
    <w:rsid w:val="003C3562"/>
    <w:rsid w:val="003C3EA1"/>
    <w:rsid w:val="003C55FA"/>
    <w:rsid w:val="003C5FF2"/>
    <w:rsid w:val="003C68B1"/>
    <w:rsid w:val="003C6A71"/>
    <w:rsid w:val="003C7037"/>
    <w:rsid w:val="003C73FF"/>
    <w:rsid w:val="003D01FA"/>
    <w:rsid w:val="003D0241"/>
    <w:rsid w:val="003D1697"/>
    <w:rsid w:val="003D16F0"/>
    <w:rsid w:val="003D198F"/>
    <w:rsid w:val="003D225F"/>
    <w:rsid w:val="003D22F8"/>
    <w:rsid w:val="003D2BA1"/>
    <w:rsid w:val="003D324C"/>
    <w:rsid w:val="003D3590"/>
    <w:rsid w:val="003D3F6C"/>
    <w:rsid w:val="003D4D1F"/>
    <w:rsid w:val="003D4F99"/>
    <w:rsid w:val="003D5BB9"/>
    <w:rsid w:val="003D60DC"/>
    <w:rsid w:val="003D697B"/>
    <w:rsid w:val="003D69C1"/>
    <w:rsid w:val="003D6B67"/>
    <w:rsid w:val="003D79BB"/>
    <w:rsid w:val="003E0ABE"/>
    <w:rsid w:val="003E0BC2"/>
    <w:rsid w:val="003E121B"/>
    <w:rsid w:val="003E1D75"/>
    <w:rsid w:val="003E3481"/>
    <w:rsid w:val="003E3574"/>
    <w:rsid w:val="003E361B"/>
    <w:rsid w:val="003E4729"/>
    <w:rsid w:val="003E4B47"/>
    <w:rsid w:val="003E4BB6"/>
    <w:rsid w:val="003E534F"/>
    <w:rsid w:val="003E5635"/>
    <w:rsid w:val="003E6CEE"/>
    <w:rsid w:val="003E72BE"/>
    <w:rsid w:val="003E76AC"/>
    <w:rsid w:val="003F0264"/>
    <w:rsid w:val="003F175E"/>
    <w:rsid w:val="003F1D03"/>
    <w:rsid w:val="003F2821"/>
    <w:rsid w:val="003F2B77"/>
    <w:rsid w:val="003F2EA6"/>
    <w:rsid w:val="003F3075"/>
    <w:rsid w:val="003F36FA"/>
    <w:rsid w:val="003F3A5D"/>
    <w:rsid w:val="003F3EF2"/>
    <w:rsid w:val="003F469B"/>
    <w:rsid w:val="003F617A"/>
    <w:rsid w:val="003F6306"/>
    <w:rsid w:val="003F7CDF"/>
    <w:rsid w:val="00401670"/>
    <w:rsid w:val="0040169C"/>
    <w:rsid w:val="00401B2E"/>
    <w:rsid w:val="004024B6"/>
    <w:rsid w:val="004025AB"/>
    <w:rsid w:val="004030BD"/>
    <w:rsid w:val="00403FFE"/>
    <w:rsid w:val="00404005"/>
    <w:rsid w:val="00404073"/>
    <w:rsid w:val="00404089"/>
    <w:rsid w:val="00404259"/>
    <w:rsid w:val="004044D7"/>
    <w:rsid w:val="004046A5"/>
    <w:rsid w:val="004048C8"/>
    <w:rsid w:val="0040493F"/>
    <w:rsid w:val="00405079"/>
    <w:rsid w:val="0040581E"/>
    <w:rsid w:val="00405B78"/>
    <w:rsid w:val="00405D65"/>
    <w:rsid w:val="00405E0F"/>
    <w:rsid w:val="00405F13"/>
    <w:rsid w:val="00406F7C"/>
    <w:rsid w:val="004070AA"/>
    <w:rsid w:val="004115A3"/>
    <w:rsid w:val="004116BD"/>
    <w:rsid w:val="00411953"/>
    <w:rsid w:val="004119A8"/>
    <w:rsid w:val="004140C0"/>
    <w:rsid w:val="0041507C"/>
    <w:rsid w:val="004157FE"/>
    <w:rsid w:val="00415A8B"/>
    <w:rsid w:val="00415C87"/>
    <w:rsid w:val="00415D77"/>
    <w:rsid w:val="0041600C"/>
    <w:rsid w:val="00416243"/>
    <w:rsid w:val="00416264"/>
    <w:rsid w:val="00416664"/>
    <w:rsid w:val="0041703F"/>
    <w:rsid w:val="00417503"/>
    <w:rsid w:val="00417A1C"/>
    <w:rsid w:val="00420252"/>
    <w:rsid w:val="0042048E"/>
    <w:rsid w:val="00420684"/>
    <w:rsid w:val="00420FDE"/>
    <w:rsid w:val="004210D7"/>
    <w:rsid w:val="00421F90"/>
    <w:rsid w:val="00422539"/>
    <w:rsid w:val="00422B15"/>
    <w:rsid w:val="00422BD0"/>
    <w:rsid w:val="00423A47"/>
    <w:rsid w:val="00423AA9"/>
    <w:rsid w:val="00424746"/>
    <w:rsid w:val="004248E4"/>
    <w:rsid w:val="004253A2"/>
    <w:rsid w:val="00425C64"/>
    <w:rsid w:val="004264BD"/>
    <w:rsid w:val="004270F5"/>
    <w:rsid w:val="0042712E"/>
    <w:rsid w:val="00427166"/>
    <w:rsid w:val="0042748C"/>
    <w:rsid w:val="00427748"/>
    <w:rsid w:val="00427AF8"/>
    <w:rsid w:val="00427FA4"/>
    <w:rsid w:val="004300D7"/>
    <w:rsid w:val="00430157"/>
    <w:rsid w:val="0043015D"/>
    <w:rsid w:val="00430D53"/>
    <w:rsid w:val="00430F53"/>
    <w:rsid w:val="004310D5"/>
    <w:rsid w:val="004310DA"/>
    <w:rsid w:val="00432014"/>
    <w:rsid w:val="00433BA9"/>
    <w:rsid w:val="004344ED"/>
    <w:rsid w:val="00434A7C"/>
    <w:rsid w:val="00434EF0"/>
    <w:rsid w:val="0043545C"/>
    <w:rsid w:val="0043630E"/>
    <w:rsid w:val="004364F0"/>
    <w:rsid w:val="00436B15"/>
    <w:rsid w:val="00436E1C"/>
    <w:rsid w:val="00440434"/>
    <w:rsid w:val="004404D3"/>
    <w:rsid w:val="00440BE0"/>
    <w:rsid w:val="00440DCA"/>
    <w:rsid w:val="0044166E"/>
    <w:rsid w:val="00442252"/>
    <w:rsid w:val="004428C7"/>
    <w:rsid w:val="004429B6"/>
    <w:rsid w:val="00443738"/>
    <w:rsid w:val="00444AD7"/>
    <w:rsid w:val="00445B1B"/>
    <w:rsid w:val="00445CA5"/>
    <w:rsid w:val="00445FF7"/>
    <w:rsid w:val="00446066"/>
    <w:rsid w:val="004460FF"/>
    <w:rsid w:val="0044613A"/>
    <w:rsid w:val="0044704A"/>
    <w:rsid w:val="00447F00"/>
    <w:rsid w:val="004502C5"/>
    <w:rsid w:val="004504D9"/>
    <w:rsid w:val="00450CD6"/>
    <w:rsid w:val="00451ED8"/>
    <w:rsid w:val="00452255"/>
    <w:rsid w:val="00452358"/>
    <w:rsid w:val="0045243C"/>
    <w:rsid w:val="0045251F"/>
    <w:rsid w:val="00452ACE"/>
    <w:rsid w:val="00453CCF"/>
    <w:rsid w:val="00453E25"/>
    <w:rsid w:val="004541A8"/>
    <w:rsid w:val="00454EE7"/>
    <w:rsid w:val="00455195"/>
    <w:rsid w:val="004555AB"/>
    <w:rsid w:val="0045580F"/>
    <w:rsid w:val="00456F2A"/>
    <w:rsid w:val="00457544"/>
    <w:rsid w:val="00457C6E"/>
    <w:rsid w:val="00460880"/>
    <w:rsid w:val="00460A42"/>
    <w:rsid w:val="0046161D"/>
    <w:rsid w:val="00461AB4"/>
    <w:rsid w:val="00461B4A"/>
    <w:rsid w:val="00462390"/>
    <w:rsid w:val="004625FE"/>
    <w:rsid w:val="004632D9"/>
    <w:rsid w:val="00463667"/>
    <w:rsid w:val="004637FD"/>
    <w:rsid w:val="00463BCC"/>
    <w:rsid w:val="0046416F"/>
    <w:rsid w:val="0046510F"/>
    <w:rsid w:val="00465B63"/>
    <w:rsid w:val="00465D1E"/>
    <w:rsid w:val="00466582"/>
    <w:rsid w:val="00466A41"/>
    <w:rsid w:val="00466DB4"/>
    <w:rsid w:val="004671BE"/>
    <w:rsid w:val="00467268"/>
    <w:rsid w:val="00467637"/>
    <w:rsid w:val="00467A69"/>
    <w:rsid w:val="00470A0E"/>
    <w:rsid w:val="00471241"/>
    <w:rsid w:val="004712C4"/>
    <w:rsid w:val="004718DB"/>
    <w:rsid w:val="004719F0"/>
    <w:rsid w:val="00471FCA"/>
    <w:rsid w:val="004725A7"/>
    <w:rsid w:val="00473C2D"/>
    <w:rsid w:val="00474BA8"/>
    <w:rsid w:val="0047538C"/>
    <w:rsid w:val="004756B8"/>
    <w:rsid w:val="00475D8A"/>
    <w:rsid w:val="0047640D"/>
    <w:rsid w:val="004764FA"/>
    <w:rsid w:val="00477855"/>
    <w:rsid w:val="0047788A"/>
    <w:rsid w:val="00481B96"/>
    <w:rsid w:val="00482199"/>
    <w:rsid w:val="0048240C"/>
    <w:rsid w:val="00482DDD"/>
    <w:rsid w:val="00483D20"/>
    <w:rsid w:val="00484BBD"/>
    <w:rsid w:val="00484C42"/>
    <w:rsid w:val="00484C9D"/>
    <w:rsid w:val="00486605"/>
    <w:rsid w:val="0048668B"/>
    <w:rsid w:val="00486851"/>
    <w:rsid w:val="0048759B"/>
    <w:rsid w:val="00487783"/>
    <w:rsid w:val="00491211"/>
    <w:rsid w:val="00491A97"/>
    <w:rsid w:val="00492A1D"/>
    <w:rsid w:val="00493852"/>
    <w:rsid w:val="00494719"/>
    <w:rsid w:val="0049482B"/>
    <w:rsid w:val="00495044"/>
    <w:rsid w:val="00495FD4"/>
    <w:rsid w:val="004960B0"/>
    <w:rsid w:val="00496231"/>
    <w:rsid w:val="00496C1F"/>
    <w:rsid w:val="004970A4"/>
    <w:rsid w:val="0049786B"/>
    <w:rsid w:val="004A0177"/>
    <w:rsid w:val="004A0515"/>
    <w:rsid w:val="004A208B"/>
    <w:rsid w:val="004A26C9"/>
    <w:rsid w:val="004A2DEA"/>
    <w:rsid w:val="004A41E4"/>
    <w:rsid w:val="004A4AF4"/>
    <w:rsid w:val="004A4C26"/>
    <w:rsid w:val="004A51C7"/>
    <w:rsid w:val="004A5327"/>
    <w:rsid w:val="004A5BCB"/>
    <w:rsid w:val="004A64AD"/>
    <w:rsid w:val="004A6874"/>
    <w:rsid w:val="004A6AC2"/>
    <w:rsid w:val="004A70A4"/>
    <w:rsid w:val="004A77F8"/>
    <w:rsid w:val="004B0594"/>
    <w:rsid w:val="004B0A41"/>
    <w:rsid w:val="004B1295"/>
    <w:rsid w:val="004B1666"/>
    <w:rsid w:val="004B2C83"/>
    <w:rsid w:val="004B3403"/>
    <w:rsid w:val="004B3515"/>
    <w:rsid w:val="004B40BC"/>
    <w:rsid w:val="004B46DD"/>
    <w:rsid w:val="004B510A"/>
    <w:rsid w:val="004B569C"/>
    <w:rsid w:val="004B5904"/>
    <w:rsid w:val="004B74E4"/>
    <w:rsid w:val="004B7648"/>
    <w:rsid w:val="004C07C6"/>
    <w:rsid w:val="004C1384"/>
    <w:rsid w:val="004C2655"/>
    <w:rsid w:val="004C2B07"/>
    <w:rsid w:val="004C2DC9"/>
    <w:rsid w:val="004C2EC9"/>
    <w:rsid w:val="004C33EB"/>
    <w:rsid w:val="004C3768"/>
    <w:rsid w:val="004C37F2"/>
    <w:rsid w:val="004C3BC3"/>
    <w:rsid w:val="004C43B7"/>
    <w:rsid w:val="004C4806"/>
    <w:rsid w:val="004C4FDE"/>
    <w:rsid w:val="004C5FEA"/>
    <w:rsid w:val="004C77FC"/>
    <w:rsid w:val="004C7E2A"/>
    <w:rsid w:val="004D0797"/>
    <w:rsid w:val="004D0AA6"/>
    <w:rsid w:val="004D0ED4"/>
    <w:rsid w:val="004D107B"/>
    <w:rsid w:val="004D1B80"/>
    <w:rsid w:val="004D3B1C"/>
    <w:rsid w:val="004D4628"/>
    <w:rsid w:val="004D4C87"/>
    <w:rsid w:val="004D52EE"/>
    <w:rsid w:val="004D5921"/>
    <w:rsid w:val="004D6FA3"/>
    <w:rsid w:val="004D7C9A"/>
    <w:rsid w:val="004E0095"/>
    <w:rsid w:val="004E01F6"/>
    <w:rsid w:val="004E0DC3"/>
    <w:rsid w:val="004E25CA"/>
    <w:rsid w:val="004E272B"/>
    <w:rsid w:val="004E30CD"/>
    <w:rsid w:val="004E393B"/>
    <w:rsid w:val="004E5037"/>
    <w:rsid w:val="004E5153"/>
    <w:rsid w:val="004E69FB"/>
    <w:rsid w:val="004E6D59"/>
    <w:rsid w:val="004E6D80"/>
    <w:rsid w:val="004E7341"/>
    <w:rsid w:val="004E7A2E"/>
    <w:rsid w:val="004E7CDC"/>
    <w:rsid w:val="004F0256"/>
    <w:rsid w:val="004F0A61"/>
    <w:rsid w:val="004F15B9"/>
    <w:rsid w:val="004F2340"/>
    <w:rsid w:val="004F2482"/>
    <w:rsid w:val="004F29A5"/>
    <w:rsid w:val="004F34A6"/>
    <w:rsid w:val="004F40FA"/>
    <w:rsid w:val="004F42EB"/>
    <w:rsid w:val="004F4578"/>
    <w:rsid w:val="004F458B"/>
    <w:rsid w:val="004F4C9D"/>
    <w:rsid w:val="004F5655"/>
    <w:rsid w:val="004F5990"/>
    <w:rsid w:val="004F599D"/>
    <w:rsid w:val="004F6632"/>
    <w:rsid w:val="004F6BFC"/>
    <w:rsid w:val="004F6DE6"/>
    <w:rsid w:val="004F7994"/>
    <w:rsid w:val="005003E9"/>
    <w:rsid w:val="00500C37"/>
    <w:rsid w:val="00501D57"/>
    <w:rsid w:val="00501D7E"/>
    <w:rsid w:val="005037D3"/>
    <w:rsid w:val="00504560"/>
    <w:rsid w:val="0050540A"/>
    <w:rsid w:val="00505EC8"/>
    <w:rsid w:val="00506449"/>
    <w:rsid w:val="0050660F"/>
    <w:rsid w:val="0050684B"/>
    <w:rsid w:val="00506F94"/>
    <w:rsid w:val="00507BA3"/>
    <w:rsid w:val="00507E79"/>
    <w:rsid w:val="00507F7D"/>
    <w:rsid w:val="00510F3E"/>
    <w:rsid w:val="0051155E"/>
    <w:rsid w:val="00511902"/>
    <w:rsid w:val="005128D6"/>
    <w:rsid w:val="00512BD5"/>
    <w:rsid w:val="00513C0A"/>
    <w:rsid w:val="00513C0D"/>
    <w:rsid w:val="00513F4B"/>
    <w:rsid w:val="00513F51"/>
    <w:rsid w:val="00514250"/>
    <w:rsid w:val="005143C8"/>
    <w:rsid w:val="005146BC"/>
    <w:rsid w:val="00514CF9"/>
    <w:rsid w:val="005151B4"/>
    <w:rsid w:val="005153E8"/>
    <w:rsid w:val="005155B0"/>
    <w:rsid w:val="00515AF4"/>
    <w:rsid w:val="00515B06"/>
    <w:rsid w:val="00515D75"/>
    <w:rsid w:val="005160E4"/>
    <w:rsid w:val="005168B7"/>
    <w:rsid w:val="00517CCE"/>
    <w:rsid w:val="00520961"/>
    <w:rsid w:val="00521110"/>
    <w:rsid w:val="00521D8D"/>
    <w:rsid w:val="00522007"/>
    <w:rsid w:val="00522120"/>
    <w:rsid w:val="005229CF"/>
    <w:rsid w:val="0052326F"/>
    <w:rsid w:val="00523E5F"/>
    <w:rsid w:val="00524531"/>
    <w:rsid w:val="00524EAC"/>
    <w:rsid w:val="0052592F"/>
    <w:rsid w:val="00525B3E"/>
    <w:rsid w:val="00525C76"/>
    <w:rsid w:val="005262D2"/>
    <w:rsid w:val="00526340"/>
    <w:rsid w:val="00526540"/>
    <w:rsid w:val="00526BA6"/>
    <w:rsid w:val="0052701D"/>
    <w:rsid w:val="00527222"/>
    <w:rsid w:val="005278FB"/>
    <w:rsid w:val="005303E2"/>
    <w:rsid w:val="005304C4"/>
    <w:rsid w:val="0053090A"/>
    <w:rsid w:val="00530B0A"/>
    <w:rsid w:val="00530B6E"/>
    <w:rsid w:val="00531DE7"/>
    <w:rsid w:val="0053241F"/>
    <w:rsid w:val="00533472"/>
    <w:rsid w:val="00533D29"/>
    <w:rsid w:val="00534EE9"/>
    <w:rsid w:val="00535875"/>
    <w:rsid w:val="005364B9"/>
    <w:rsid w:val="00536EF3"/>
    <w:rsid w:val="005371CC"/>
    <w:rsid w:val="00537EDC"/>
    <w:rsid w:val="005402BF"/>
    <w:rsid w:val="00540877"/>
    <w:rsid w:val="00540A99"/>
    <w:rsid w:val="00541570"/>
    <w:rsid w:val="005415A7"/>
    <w:rsid w:val="0054223C"/>
    <w:rsid w:val="005423F6"/>
    <w:rsid w:val="0054268A"/>
    <w:rsid w:val="00542804"/>
    <w:rsid w:val="00542CC2"/>
    <w:rsid w:val="00542D3B"/>
    <w:rsid w:val="00542F7E"/>
    <w:rsid w:val="00544C2F"/>
    <w:rsid w:val="0054525B"/>
    <w:rsid w:val="00545655"/>
    <w:rsid w:val="005464EF"/>
    <w:rsid w:val="0054652A"/>
    <w:rsid w:val="005469C3"/>
    <w:rsid w:val="00547AA2"/>
    <w:rsid w:val="00550698"/>
    <w:rsid w:val="00550C9B"/>
    <w:rsid w:val="005517F1"/>
    <w:rsid w:val="005518A3"/>
    <w:rsid w:val="005518E2"/>
    <w:rsid w:val="00551D4D"/>
    <w:rsid w:val="005522B0"/>
    <w:rsid w:val="0055237D"/>
    <w:rsid w:val="0055276F"/>
    <w:rsid w:val="0055367A"/>
    <w:rsid w:val="0055371E"/>
    <w:rsid w:val="00553B31"/>
    <w:rsid w:val="00554600"/>
    <w:rsid w:val="00554609"/>
    <w:rsid w:val="00555195"/>
    <w:rsid w:val="0055527B"/>
    <w:rsid w:val="00555D79"/>
    <w:rsid w:val="00555FE5"/>
    <w:rsid w:val="005572DF"/>
    <w:rsid w:val="0055766B"/>
    <w:rsid w:val="005577C2"/>
    <w:rsid w:val="00557F0D"/>
    <w:rsid w:val="005600CA"/>
    <w:rsid w:val="00560AF5"/>
    <w:rsid w:val="00560CFD"/>
    <w:rsid w:val="00560EA1"/>
    <w:rsid w:val="00560FA1"/>
    <w:rsid w:val="0056197C"/>
    <w:rsid w:val="00561A8B"/>
    <w:rsid w:val="00562AFA"/>
    <w:rsid w:val="005632C4"/>
    <w:rsid w:val="00563DC5"/>
    <w:rsid w:val="0056404A"/>
    <w:rsid w:val="005650B2"/>
    <w:rsid w:val="005653A4"/>
    <w:rsid w:val="00565A47"/>
    <w:rsid w:val="0056631A"/>
    <w:rsid w:val="00567505"/>
    <w:rsid w:val="00567842"/>
    <w:rsid w:val="0057086B"/>
    <w:rsid w:val="00570A80"/>
    <w:rsid w:val="005713B7"/>
    <w:rsid w:val="005714DF"/>
    <w:rsid w:val="00571EB7"/>
    <w:rsid w:val="00573D80"/>
    <w:rsid w:val="005749E7"/>
    <w:rsid w:val="0057567E"/>
    <w:rsid w:val="00576299"/>
    <w:rsid w:val="00576A68"/>
    <w:rsid w:val="00577BCB"/>
    <w:rsid w:val="00577C48"/>
    <w:rsid w:val="00577D55"/>
    <w:rsid w:val="005805C6"/>
    <w:rsid w:val="00581266"/>
    <w:rsid w:val="00581623"/>
    <w:rsid w:val="00581891"/>
    <w:rsid w:val="00581B7A"/>
    <w:rsid w:val="00581D35"/>
    <w:rsid w:val="005823BE"/>
    <w:rsid w:val="00582618"/>
    <w:rsid w:val="00582A36"/>
    <w:rsid w:val="00583E01"/>
    <w:rsid w:val="00583E36"/>
    <w:rsid w:val="005843F2"/>
    <w:rsid w:val="00584517"/>
    <w:rsid w:val="00584524"/>
    <w:rsid w:val="0058466B"/>
    <w:rsid w:val="0058477F"/>
    <w:rsid w:val="005847F3"/>
    <w:rsid w:val="005858C6"/>
    <w:rsid w:val="00585AF1"/>
    <w:rsid w:val="005871E7"/>
    <w:rsid w:val="0058778F"/>
    <w:rsid w:val="0058795C"/>
    <w:rsid w:val="00590E4D"/>
    <w:rsid w:val="00591961"/>
    <w:rsid w:val="005919E5"/>
    <w:rsid w:val="00591E63"/>
    <w:rsid w:val="0059542A"/>
    <w:rsid w:val="005954D2"/>
    <w:rsid w:val="00595B22"/>
    <w:rsid w:val="00596CE7"/>
    <w:rsid w:val="00597C6D"/>
    <w:rsid w:val="005A015B"/>
    <w:rsid w:val="005A0AC1"/>
    <w:rsid w:val="005A0D70"/>
    <w:rsid w:val="005A0FFC"/>
    <w:rsid w:val="005A149D"/>
    <w:rsid w:val="005A20C1"/>
    <w:rsid w:val="005A23F2"/>
    <w:rsid w:val="005A269C"/>
    <w:rsid w:val="005A2854"/>
    <w:rsid w:val="005A2D66"/>
    <w:rsid w:val="005A2F2C"/>
    <w:rsid w:val="005A3931"/>
    <w:rsid w:val="005A42FE"/>
    <w:rsid w:val="005A4624"/>
    <w:rsid w:val="005A5C73"/>
    <w:rsid w:val="005A6617"/>
    <w:rsid w:val="005A6972"/>
    <w:rsid w:val="005A6E3C"/>
    <w:rsid w:val="005A71DD"/>
    <w:rsid w:val="005A738B"/>
    <w:rsid w:val="005B0B60"/>
    <w:rsid w:val="005B12D2"/>
    <w:rsid w:val="005B15E4"/>
    <w:rsid w:val="005B16DE"/>
    <w:rsid w:val="005B1D9A"/>
    <w:rsid w:val="005B27D3"/>
    <w:rsid w:val="005B3025"/>
    <w:rsid w:val="005B3CD7"/>
    <w:rsid w:val="005B4404"/>
    <w:rsid w:val="005B488D"/>
    <w:rsid w:val="005B6C80"/>
    <w:rsid w:val="005B77F3"/>
    <w:rsid w:val="005B7F06"/>
    <w:rsid w:val="005C09A8"/>
    <w:rsid w:val="005C0DC6"/>
    <w:rsid w:val="005C1C57"/>
    <w:rsid w:val="005C1FE3"/>
    <w:rsid w:val="005C3C05"/>
    <w:rsid w:val="005C4568"/>
    <w:rsid w:val="005C583B"/>
    <w:rsid w:val="005C59A7"/>
    <w:rsid w:val="005C7365"/>
    <w:rsid w:val="005D0562"/>
    <w:rsid w:val="005D0710"/>
    <w:rsid w:val="005D1C78"/>
    <w:rsid w:val="005D1EC7"/>
    <w:rsid w:val="005D330D"/>
    <w:rsid w:val="005D3E64"/>
    <w:rsid w:val="005D44DD"/>
    <w:rsid w:val="005D4A5F"/>
    <w:rsid w:val="005D4D5C"/>
    <w:rsid w:val="005D541D"/>
    <w:rsid w:val="005D5975"/>
    <w:rsid w:val="005D5C46"/>
    <w:rsid w:val="005D5D3F"/>
    <w:rsid w:val="005D6045"/>
    <w:rsid w:val="005D6451"/>
    <w:rsid w:val="005D66A6"/>
    <w:rsid w:val="005D6D58"/>
    <w:rsid w:val="005D7A97"/>
    <w:rsid w:val="005D7E23"/>
    <w:rsid w:val="005E0823"/>
    <w:rsid w:val="005E140D"/>
    <w:rsid w:val="005E148E"/>
    <w:rsid w:val="005E240C"/>
    <w:rsid w:val="005E24AC"/>
    <w:rsid w:val="005E24D8"/>
    <w:rsid w:val="005E2932"/>
    <w:rsid w:val="005E2BFE"/>
    <w:rsid w:val="005E2F0E"/>
    <w:rsid w:val="005E34EB"/>
    <w:rsid w:val="005E3546"/>
    <w:rsid w:val="005E36DA"/>
    <w:rsid w:val="005E387A"/>
    <w:rsid w:val="005E3AD6"/>
    <w:rsid w:val="005E3DB9"/>
    <w:rsid w:val="005E4A1C"/>
    <w:rsid w:val="005E56F2"/>
    <w:rsid w:val="005E58DF"/>
    <w:rsid w:val="005E6EC0"/>
    <w:rsid w:val="005E7305"/>
    <w:rsid w:val="005E7BA4"/>
    <w:rsid w:val="005F04EF"/>
    <w:rsid w:val="005F05A8"/>
    <w:rsid w:val="005F07E7"/>
    <w:rsid w:val="005F10D2"/>
    <w:rsid w:val="005F14C2"/>
    <w:rsid w:val="005F1785"/>
    <w:rsid w:val="005F1880"/>
    <w:rsid w:val="005F24D1"/>
    <w:rsid w:val="005F256C"/>
    <w:rsid w:val="005F2919"/>
    <w:rsid w:val="005F35AB"/>
    <w:rsid w:val="005F35F6"/>
    <w:rsid w:val="005F3CBA"/>
    <w:rsid w:val="005F3EEC"/>
    <w:rsid w:val="005F3F5F"/>
    <w:rsid w:val="005F40C0"/>
    <w:rsid w:val="005F474C"/>
    <w:rsid w:val="005F4ADA"/>
    <w:rsid w:val="005F4ADC"/>
    <w:rsid w:val="005F4BD3"/>
    <w:rsid w:val="005F60B8"/>
    <w:rsid w:val="005F621D"/>
    <w:rsid w:val="005F6231"/>
    <w:rsid w:val="005F6AF9"/>
    <w:rsid w:val="005F7AF9"/>
    <w:rsid w:val="005F7FB0"/>
    <w:rsid w:val="00600262"/>
    <w:rsid w:val="00601548"/>
    <w:rsid w:val="00601990"/>
    <w:rsid w:val="006027C4"/>
    <w:rsid w:val="00603491"/>
    <w:rsid w:val="00603BF5"/>
    <w:rsid w:val="00604958"/>
    <w:rsid w:val="006050F1"/>
    <w:rsid w:val="00605D83"/>
    <w:rsid w:val="00606EF8"/>
    <w:rsid w:val="00607AD4"/>
    <w:rsid w:val="00607E49"/>
    <w:rsid w:val="00611297"/>
    <w:rsid w:val="006112A4"/>
    <w:rsid w:val="00612EDD"/>
    <w:rsid w:val="00613036"/>
    <w:rsid w:val="00613502"/>
    <w:rsid w:val="0061378B"/>
    <w:rsid w:val="00613865"/>
    <w:rsid w:val="00613CB5"/>
    <w:rsid w:val="00613EA7"/>
    <w:rsid w:val="00614223"/>
    <w:rsid w:val="0061492D"/>
    <w:rsid w:val="00614CD6"/>
    <w:rsid w:val="0061566D"/>
    <w:rsid w:val="006166C1"/>
    <w:rsid w:val="00617A9F"/>
    <w:rsid w:val="00622431"/>
    <w:rsid w:val="0062374A"/>
    <w:rsid w:val="00623E8E"/>
    <w:rsid w:val="006244EC"/>
    <w:rsid w:val="00624529"/>
    <w:rsid w:val="00624667"/>
    <w:rsid w:val="006248EF"/>
    <w:rsid w:val="00625257"/>
    <w:rsid w:val="0062562B"/>
    <w:rsid w:val="006262FC"/>
    <w:rsid w:val="00626914"/>
    <w:rsid w:val="0062726D"/>
    <w:rsid w:val="00630292"/>
    <w:rsid w:val="00630C1D"/>
    <w:rsid w:val="0063127A"/>
    <w:rsid w:val="00632474"/>
    <w:rsid w:val="00633030"/>
    <w:rsid w:val="006332E2"/>
    <w:rsid w:val="0063339D"/>
    <w:rsid w:val="006337ED"/>
    <w:rsid w:val="006343EB"/>
    <w:rsid w:val="00634DF9"/>
    <w:rsid w:val="00635880"/>
    <w:rsid w:val="00636468"/>
    <w:rsid w:val="00636831"/>
    <w:rsid w:val="00636DAF"/>
    <w:rsid w:val="00636EA3"/>
    <w:rsid w:val="006372AF"/>
    <w:rsid w:val="00642311"/>
    <w:rsid w:val="006440D6"/>
    <w:rsid w:val="00646260"/>
    <w:rsid w:val="00646C35"/>
    <w:rsid w:val="00646EF3"/>
    <w:rsid w:val="0064771F"/>
    <w:rsid w:val="0064782B"/>
    <w:rsid w:val="00647B6C"/>
    <w:rsid w:val="0065117A"/>
    <w:rsid w:val="006512C8"/>
    <w:rsid w:val="006515A2"/>
    <w:rsid w:val="00651B2B"/>
    <w:rsid w:val="00653422"/>
    <w:rsid w:val="006534CB"/>
    <w:rsid w:val="00653CF1"/>
    <w:rsid w:val="006558A2"/>
    <w:rsid w:val="00655975"/>
    <w:rsid w:val="00655A27"/>
    <w:rsid w:val="0065617E"/>
    <w:rsid w:val="0065681E"/>
    <w:rsid w:val="00656CDE"/>
    <w:rsid w:val="00656D9F"/>
    <w:rsid w:val="0065701B"/>
    <w:rsid w:val="00657EAA"/>
    <w:rsid w:val="00660343"/>
    <w:rsid w:val="00660708"/>
    <w:rsid w:val="00660C64"/>
    <w:rsid w:val="006614FC"/>
    <w:rsid w:val="006616B1"/>
    <w:rsid w:val="00661CA2"/>
    <w:rsid w:val="00662269"/>
    <w:rsid w:val="0066279C"/>
    <w:rsid w:val="006627D1"/>
    <w:rsid w:val="006628F0"/>
    <w:rsid w:val="006630B8"/>
    <w:rsid w:val="00663381"/>
    <w:rsid w:val="00663AFE"/>
    <w:rsid w:val="00664967"/>
    <w:rsid w:val="00665B06"/>
    <w:rsid w:val="006667ED"/>
    <w:rsid w:val="00666E47"/>
    <w:rsid w:val="00666F1F"/>
    <w:rsid w:val="00667765"/>
    <w:rsid w:val="00667A2E"/>
    <w:rsid w:val="00667C5D"/>
    <w:rsid w:val="00670214"/>
    <w:rsid w:val="00670515"/>
    <w:rsid w:val="006705D1"/>
    <w:rsid w:val="00670870"/>
    <w:rsid w:val="00670C9A"/>
    <w:rsid w:val="006711A8"/>
    <w:rsid w:val="006715AB"/>
    <w:rsid w:val="00671942"/>
    <w:rsid w:val="006726EE"/>
    <w:rsid w:val="00672EA6"/>
    <w:rsid w:val="00673B6E"/>
    <w:rsid w:val="00673DF6"/>
    <w:rsid w:val="006745C1"/>
    <w:rsid w:val="0067496B"/>
    <w:rsid w:val="00674F30"/>
    <w:rsid w:val="00675B47"/>
    <w:rsid w:val="00676041"/>
    <w:rsid w:val="006768B0"/>
    <w:rsid w:val="00677653"/>
    <w:rsid w:val="006778DE"/>
    <w:rsid w:val="00680778"/>
    <w:rsid w:val="00681588"/>
    <w:rsid w:val="00681871"/>
    <w:rsid w:val="00681944"/>
    <w:rsid w:val="00682136"/>
    <w:rsid w:val="00682B22"/>
    <w:rsid w:val="00683E12"/>
    <w:rsid w:val="00684428"/>
    <w:rsid w:val="0068495B"/>
    <w:rsid w:val="00684C73"/>
    <w:rsid w:val="00685709"/>
    <w:rsid w:val="00686C1A"/>
    <w:rsid w:val="00687357"/>
    <w:rsid w:val="00687746"/>
    <w:rsid w:val="00690BD3"/>
    <w:rsid w:val="00690FC7"/>
    <w:rsid w:val="00692C0B"/>
    <w:rsid w:val="00692F96"/>
    <w:rsid w:val="006930A8"/>
    <w:rsid w:val="00693383"/>
    <w:rsid w:val="00693795"/>
    <w:rsid w:val="0069380E"/>
    <w:rsid w:val="00694611"/>
    <w:rsid w:val="00694B87"/>
    <w:rsid w:val="00694CFE"/>
    <w:rsid w:val="00695139"/>
    <w:rsid w:val="00695AE8"/>
    <w:rsid w:val="00695D1D"/>
    <w:rsid w:val="0069622E"/>
    <w:rsid w:val="0069645D"/>
    <w:rsid w:val="00696C24"/>
    <w:rsid w:val="00696E17"/>
    <w:rsid w:val="0069796E"/>
    <w:rsid w:val="00697CE0"/>
    <w:rsid w:val="00697D15"/>
    <w:rsid w:val="006A0C83"/>
    <w:rsid w:val="006A10E3"/>
    <w:rsid w:val="006A1450"/>
    <w:rsid w:val="006A1690"/>
    <w:rsid w:val="006A1741"/>
    <w:rsid w:val="006A24C8"/>
    <w:rsid w:val="006A29B6"/>
    <w:rsid w:val="006A3D47"/>
    <w:rsid w:val="006A4273"/>
    <w:rsid w:val="006A468E"/>
    <w:rsid w:val="006A4B6D"/>
    <w:rsid w:val="006A501D"/>
    <w:rsid w:val="006A550D"/>
    <w:rsid w:val="006A571B"/>
    <w:rsid w:val="006A58C4"/>
    <w:rsid w:val="006A5A36"/>
    <w:rsid w:val="006A5DCA"/>
    <w:rsid w:val="006A63D6"/>
    <w:rsid w:val="006A6DAC"/>
    <w:rsid w:val="006A6E1E"/>
    <w:rsid w:val="006A71BB"/>
    <w:rsid w:val="006A7AF3"/>
    <w:rsid w:val="006A7D04"/>
    <w:rsid w:val="006B13AB"/>
    <w:rsid w:val="006B197D"/>
    <w:rsid w:val="006B256D"/>
    <w:rsid w:val="006B2BFD"/>
    <w:rsid w:val="006B360B"/>
    <w:rsid w:val="006B418D"/>
    <w:rsid w:val="006B4632"/>
    <w:rsid w:val="006B486E"/>
    <w:rsid w:val="006B51CA"/>
    <w:rsid w:val="006B5ABA"/>
    <w:rsid w:val="006B5BFD"/>
    <w:rsid w:val="006B6754"/>
    <w:rsid w:val="006B69E5"/>
    <w:rsid w:val="006B6C54"/>
    <w:rsid w:val="006B6CAA"/>
    <w:rsid w:val="006B7B19"/>
    <w:rsid w:val="006B7C42"/>
    <w:rsid w:val="006C080D"/>
    <w:rsid w:val="006C0F09"/>
    <w:rsid w:val="006C10C2"/>
    <w:rsid w:val="006C13EC"/>
    <w:rsid w:val="006C1899"/>
    <w:rsid w:val="006C2389"/>
    <w:rsid w:val="006C2B07"/>
    <w:rsid w:val="006C2E8D"/>
    <w:rsid w:val="006C2F5D"/>
    <w:rsid w:val="006C400A"/>
    <w:rsid w:val="006C4784"/>
    <w:rsid w:val="006C4891"/>
    <w:rsid w:val="006C4E2D"/>
    <w:rsid w:val="006C5210"/>
    <w:rsid w:val="006C5608"/>
    <w:rsid w:val="006C58A9"/>
    <w:rsid w:val="006C602A"/>
    <w:rsid w:val="006C6E4B"/>
    <w:rsid w:val="006C79CD"/>
    <w:rsid w:val="006D0946"/>
    <w:rsid w:val="006D0A3C"/>
    <w:rsid w:val="006D0B52"/>
    <w:rsid w:val="006D1E96"/>
    <w:rsid w:val="006D2D74"/>
    <w:rsid w:val="006D37E3"/>
    <w:rsid w:val="006D3C9A"/>
    <w:rsid w:val="006D423F"/>
    <w:rsid w:val="006D4B0C"/>
    <w:rsid w:val="006D4D44"/>
    <w:rsid w:val="006D5A4D"/>
    <w:rsid w:val="006D5DDD"/>
    <w:rsid w:val="006D6B84"/>
    <w:rsid w:val="006D78BC"/>
    <w:rsid w:val="006D7AA2"/>
    <w:rsid w:val="006E00D3"/>
    <w:rsid w:val="006E00F2"/>
    <w:rsid w:val="006E03C9"/>
    <w:rsid w:val="006E0901"/>
    <w:rsid w:val="006E0925"/>
    <w:rsid w:val="006E0A69"/>
    <w:rsid w:val="006E0D36"/>
    <w:rsid w:val="006E1C87"/>
    <w:rsid w:val="006E3F1C"/>
    <w:rsid w:val="006E5C7D"/>
    <w:rsid w:val="006E6153"/>
    <w:rsid w:val="006E671C"/>
    <w:rsid w:val="006E6A10"/>
    <w:rsid w:val="006E7A36"/>
    <w:rsid w:val="006F01E7"/>
    <w:rsid w:val="006F02F0"/>
    <w:rsid w:val="006F132A"/>
    <w:rsid w:val="006F1DC0"/>
    <w:rsid w:val="006F2140"/>
    <w:rsid w:val="006F22E5"/>
    <w:rsid w:val="006F2DB6"/>
    <w:rsid w:val="006F3306"/>
    <w:rsid w:val="006F372A"/>
    <w:rsid w:val="006F461F"/>
    <w:rsid w:val="006F49F8"/>
    <w:rsid w:val="006F5067"/>
    <w:rsid w:val="006F5240"/>
    <w:rsid w:val="006F5CF3"/>
    <w:rsid w:val="006F635E"/>
    <w:rsid w:val="006F639A"/>
    <w:rsid w:val="006F69EE"/>
    <w:rsid w:val="006F7063"/>
    <w:rsid w:val="0070004A"/>
    <w:rsid w:val="00700942"/>
    <w:rsid w:val="00700B65"/>
    <w:rsid w:val="00700E78"/>
    <w:rsid w:val="00701847"/>
    <w:rsid w:val="00701A0E"/>
    <w:rsid w:val="00702242"/>
    <w:rsid w:val="00703073"/>
    <w:rsid w:val="00703817"/>
    <w:rsid w:val="0070444F"/>
    <w:rsid w:val="00704599"/>
    <w:rsid w:val="00704984"/>
    <w:rsid w:val="0070531B"/>
    <w:rsid w:val="007058EB"/>
    <w:rsid w:val="007059A6"/>
    <w:rsid w:val="00705FF6"/>
    <w:rsid w:val="007062CF"/>
    <w:rsid w:val="007067DF"/>
    <w:rsid w:val="007077FC"/>
    <w:rsid w:val="0071001D"/>
    <w:rsid w:val="0071155E"/>
    <w:rsid w:val="00711BAD"/>
    <w:rsid w:val="00711C9E"/>
    <w:rsid w:val="00711DFD"/>
    <w:rsid w:val="007121C4"/>
    <w:rsid w:val="007124A9"/>
    <w:rsid w:val="0071277C"/>
    <w:rsid w:val="00712C80"/>
    <w:rsid w:val="00712F78"/>
    <w:rsid w:val="00713040"/>
    <w:rsid w:val="00713183"/>
    <w:rsid w:val="00713752"/>
    <w:rsid w:val="00713C23"/>
    <w:rsid w:val="00713FFB"/>
    <w:rsid w:val="00714373"/>
    <w:rsid w:val="0071471E"/>
    <w:rsid w:val="00714FB3"/>
    <w:rsid w:val="00715CC3"/>
    <w:rsid w:val="007162C0"/>
    <w:rsid w:val="00717C0A"/>
    <w:rsid w:val="00720004"/>
    <w:rsid w:val="007211A8"/>
    <w:rsid w:val="00721567"/>
    <w:rsid w:val="00721767"/>
    <w:rsid w:val="00721F0A"/>
    <w:rsid w:val="00723FF6"/>
    <w:rsid w:val="00724140"/>
    <w:rsid w:val="007247D5"/>
    <w:rsid w:val="0072564F"/>
    <w:rsid w:val="00725654"/>
    <w:rsid w:val="00725A3D"/>
    <w:rsid w:val="00727367"/>
    <w:rsid w:val="007304CF"/>
    <w:rsid w:val="0073182F"/>
    <w:rsid w:val="0073206E"/>
    <w:rsid w:val="00732688"/>
    <w:rsid w:val="007332EF"/>
    <w:rsid w:val="00733D2C"/>
    <w:rsid w:val="00735315"/>
    <w:rsid w:val="00735478"/>
    <w:rsid w:val="00736502"/>
    <w:rsid w:val="00736C91"/>
    <w:rsid w:val="007375D6"/>
    <w:rsid w:val="00740B54"/>
    <w:rsid w:val="00740BF1"/>
    <w:rsid w:val="00740D50"/>
    <w:rsid w:val="00741357"/>
    <w:rsid w:val="00741E2F"/>
    <w:rsid w:val="00741EC5"/>
    <w:rsid w:val="00742246"/>
    <w:rsid w:val="00742373"/>
    <w:rsid w:val="007431C4"/>
    <w:rsid w:val="00743269"/>
    <w:rsid w:val="007446C8"/>
    <w:rsid w:val="0074692A"/>
    <w:rsid w:val="00747C5A"/>
    <w:rsid w:val="007503D7"/>
    <w:rsid w:val="0075071F"/>
    <w:rsid w:val="00750F45"/>
    <w:rsid w:val="00751064"/>
    <w:rsid w:val="007526F5"/>
    <w:rsid w:val="00752A7E"/>
    <w:rsid w:val="00752BC5"/>
    <w:rsid w:val="007530DC"/>
    <w:rsid w:val="007546F8"/>
    <w:rsid w:val="0075511E"/>
    <w:rsid w:val="007553DF"/>
    <w:rsid w:val="007554B9"/>
    <w:rsid w:val="00756A01"/>
    <w:rsid w:val="00756B48"/>
    <w:rsid w:val="00756BDA"/>
    <w:rsid w:val="007573E9"/>
    <w:rsid w:val="00757495"/>
    <w:rsid w:val="00757668"/>
    <w:rsid w:val="00757941"/>
    <w:rsid w:val="0076059A"/>
    <w:rsid w:val="007621FC"/>
    <w:rsid w:val="0076227C"/>
    <w:rsid w:val="00762991"/>
    <w:rsid w:val="007631A2"/>
    <w:rsid w:val="007631B4"/>
    <w:rsid w:val="00763D61"/>
    <w:rsid w:val="0076440F"/>
    <w:rsid w:val="007650B4"/>
    <w:rsid w:val="00765567"/>
    <w:rsid w:val="00765CD5"/>
    <w:rsid w:val="007661ED"/>
    <w:rsid w:val="00766F9D"/>
    <w:rsid w:val="007679A7"/>
    <w:rsid w:val="00767B87"/>
    <w:rsid w:val="00772131"/>
    <w:rsid w:val="007728A4"/>
    <w:rsid w:val="0077399D"/>
    <w:rsid w:val="00774822"/>
    <w:rsid w:val="00774B77"/>
    <w:rsid w:val="00775389"/>
    <w:rsid w:val="00775633"/>
    <w:rsid w:val="007758F7"/>
    <w:rsid w:val="00775957"/>
    <w:rsid w:val="0077665F"/>
    <w:rsid w:val="00777562"/>
    <w:rsid w:val="00777A89"/>
    <w:rsid w:val="00777B14"/>
    <w:rsid w:val="00777BDD"/>
    <w:rsid w:val="00780B78"/>
    <w:rsid w:val="00780DB4"/>
    <w:rsid w:val="00781292"/>
    <w:rsid w:val="00781387"/>
    <w:rsid w:val="007816F7"/>
    <w:rsid w:val="0078183F"/>
    <w:rsid w:val="0078198D"/>
    <w:rsid w:val="00781CB4"/>
    <w:rsid w:val="00783110"/>
    <w:rsid w:val="00784370"/>
    <w:rsid w:val="00784E97"/>
    <w:rsid w:val="007850AD"/>
    <w:rsid w:val="0078560F"/>
    <w:rsid w:val="007877C3"/>
    <w:rsid w:val="0078784D"/>
    <w:rsid w:val="00790570"/>
    <w:rsid w:val="007907B0"/>
    <w:rsid w:val="00790C01"/>
    <w:rsid w:val="007910C3"/>
    <w:rsid w:val="007910ED"/>
    <w:rsid w:val="007915A6"/>
    <w:rsid w:val="007926FB"/>
    <w:rsid w:val="00792C0A"/>
    <w:rsid w:val="007933FA"/>
    <w:rsid w:val="007938CD"/>
    <w:rsid w:val="00793C41"/>
    <w:rsid w:val="00793EE3"/>
    <w:rsid w:val="00793F80"/>
    <w:rsid w:val="00794285"/>
    <w:rsid w:val="00794C10"/>
    <w:rsid w:val="00794D08"/>
    <w:rsid w:val="007950E9"/>
    <w:rsid w:val="0079595D"/>
    <w:rsid w:val="00795BFC"/>
    <w:rsid w:val="00795CCD"/>
    <w:rsid w:val="00796ED7"/>
    <w:rsid w:val="007A058F"/>
    <w:rsid w:val="007A06AD"/>
    <w:rsid w:val="007A0D77"/>
    <w:rsid w:val="007A18B2"/>
    <w:rsid w:val="007A19CB"/>
    <w:rsid w:val="007A2449"/>
    <w:rsid w:val="007A3368"/>
    <w:rsid w:val="007A3AA6"/>
    <w:rsid w:val="007A4139"/>
    <w:rsid w:val="007A5012"/>
    <w:rsid w:val="007A5252"/>
    <w:rsid w:val="007A559E"/>
    <w:rsid w:val="007A6A6C"/>
    <w:rsid w:val="007A6DB1"/>
    <w:rsid w:val="007A6E42"/>
    <w:rsid w:val="007A76A3"/>
    <w:rsid w:val="007B02CB"/>
    <w:rsid w:val="007B06CC"/>
    <w:rsid w:val="007B0766"/>
    <w:rsid w:val="007B09A7"/>
    <w:rsid w:val="007B102D"/>
    <w:rsid w:val="007B143C"/>
    <w:rsid w:val="007B195C"/>
    <w:rsid w:val="007B20A6"/>
    <w:rsid w:val="007B315D"/>
    <w:rsid w:val="007B3E18"/>
    <w:rsid w:val="007B4EF7"/>
    <w:rsid w:val="007B663F"/>
    <w:rsid w:val="007B6B06"/>
    <w:rsid w:val="007B6E6D"/>
    <w:rsid w:val="007B7182"/>
    <w:rsid w:val="007B7391"/>
    <w:rsid w:val="007C2B93"/>
    <w:rsid w:val="007C2D1D"/>
    <w:rsid w:val="007C2F7F"/>
    <w:rsid w:val="007C366B"/>
    <w:rsid w:val="007C3774"/>
    <w:rsid w:val="007C3E3C"/>
    <w:rsid w:val="007C43F0"/>
    <w:rsid w:val="007C457B"/>
    <w:rsid w:val="007C5195"/>
    <w:rsid w:val="007C5305"/>
    <w:rsid w:val="007C57BF"/>
    <w:rsid w:val="007C5B72"/>
    <w:rsid w:val="007C63A0"/>
    <w:rsid w:val="007C63AD"/>
    <w:rsid w:val="007C7019"/>
    <w:rsid w:val="007C78D9"/>
    <w:rsid w:val="007C7BF3"/>
    <w:rsid w:val="007C7E80"/>
    <w:rsid w:val="007D0292"/>
    <w:rsid w:val="007D0639"/>
    <w:rsid w:val="007D1130"/>
    <w:rsid w:val="007D1DB7"/>
    <w:rsid w:val="007D2078"/>
    <w:rsid w:val="007D3B3A"/>
    <w:rsid w:val="007D3B96"/>
    <w:rsid w:val="007D403A"/>
    <w:rsid w:val="007D54D5"/>
    <w:rsid w:val="007D5ACE"/>
    <w:rsid w:val="007D7BC6"/>
    <w:rsid w:val="007E0425"/>
    <w:rsid w:val="007E1339"/>
    <w:rsid w:val="007E1427"/>
    <w:rsid w:val="007E1CA4"/>
    <w:rsid w:val="007E3164"/>
    <w:rsid w:val="007E3215"/>
    <w:rsid w:val="007E4662"/>
    <w:rsid w:val="007E46D4"/>
    <w:rsid w:val="007E67F6"/>
    <w:rsid w:val="007E6D38"/>
    <w:rsid w:val="007E7090"/>
    <w:rsid w:val="007E79D2"/>
    <w:rsid w:val="007E7C97"/>
    <w:rsid w:val="007F005B"/>
    <w:rsid w:val="007F03EF"/>
    <w:rsid w:val="007F11C6"/>
    <w:rsid w:val="007F1710"/>
    <w:rsid w:val="007F27EF"/>
    <w:rsid w:val="007F2920"/>
    <w:rsid w:val="007F29B5"/>
    <w:rsid w:val="007F2CCE"/>
    <w:rsid w:val="007F3591"/>
    <w:rsid w:val="007F3A9B"/>
    <w:rsid w:val="007F56A7"/>
    <w:rsid w:val="007F651C"/>
    <w:rsid w:val="007F7175"/>
    <w:rsid w:val="007F7605"/>
    <w:rsid w:val="007F7DC6"/>
    <w:rsid w:val="00800138"/>
    <w:rsid w:val="00800445"/>
    <w:rsid w:val="0080047B"/>
    <w:rsid w:val="00800769"/>
    <w:rsid w:val="008019E6"/>
    <w:rsid w:val="00801C4C"/>
    <w:rsid w:val="00801C77"/>
    <w:rsid w:val="00802BA7"/>
    <w:rsid w:val="008031C4"/>
    <w:rsid w:val="008037D2"/>
    <w:rsid w:val="008037E0"/>
    <w:rsid w:val="0080383F"/>
    <w:rsid w:val="00803907"/>
    <w:rsid w:val="00803908"/>
    <w:rsid w:val="00803CB0"/>
    <w:rsid w:val="00803FCD"/>
    <w:rsid w:val="008046A2"/>
    <w:rsid w:val="00804E20"/>
    <w:rsid w:val="00805AD0"/>
    <w:rsid w:val="00806C10"/>
    <w:rsid w:val="008077BB"/>
    <w:rsid w:val="00807EE7"/>
    <w:rsid w:val="008101FB"/>
    <w:rsid w:val="00810E79"/>
    <w:rsid w:val="00811334"/>
    <w:rsid w:val="00811959"/>
    <w:rsid w:val="008123B5"/>
    <w:rsid w:val="00812572"/>
    <w:rsid w:val="0081291B"/>
    <w:rsid w:val="008129E0"/>
    <w:rsid w:val="00812A5A"/>
    <w:rsid w:val="00812E24"/>
    <w:rsid w:val="008130B5"/>
    <w:rsid w:val="00813F31"/>
    <w:rsid w:val="008144FD"/>
    <w:rsid w:val="008149F2"/>
    <w:rsid w:val="00815078"/>
    <w:rsid w:val="00816781"/>
    <w:rsid w:val="00816C64"/>
    <w:rsid w:val="00817221"/>
    <w:rsid w:val="008173C0"/>
    <w:rsid w:val="00820D07"/>
    <w:rsid w:val="0082102C"/>
    <w:rsid w:val="00821418"/>
    <w:rsid w:val="00821F6B"/>
    <w:rsid w:val="00822BFA"/>
    <w:rsid w:val="00822D0E"/>
    <w:rsid w:val="008245E2"/>
    <w:rsid w:val="00824BFF"/>
    <w:rsid w:val="00824F73"/>
    <w:rsid w:val="00826440"/>
    <w:rsid w:val="00826DAF"/>
    <w:rsid w:val="00826F49"/>
    <w:rsid w:val="008272EA"/>
    <w:rsid w:val="00830C2F"/>
    <w:rsid w:val="00830F4A"/>
    <w:rsid w:val="00830F93"/>
    <w:rsid w:val="0083165F"/>
    <w:rsid w:val="00831D34"/>
    <w:rsid w:val="00833550"/>
    <w:rsid w:val="008337BB"/>
    <w:rsid w:val="008344D7"/>
    <w:rsid w:val="00834A39"/>
    <w:rsid w:val="008351A9"/>
    <w:rsid w:val="0083581E"/>
    <w:rsid w:val="00835D81"/>
    <w:rsid w:val="008366CC"/>
    <w:rsid w:val="00836AB1"/>
    <w:rsid w:val="00836D67"/>
    <w:rsid w:val="00836E1D"/>
    <w:rsid w:val="00836E7E"/>
    <w:rsid w:val="008377EA"/>
    <w:rsid w:val="00840E01"/>
    <w:rsid w:val="008411EF"/>
    <w:rsid w:val="00841652"/>
    <w:rsid w:val="00841B38"/>
    <w:rsid w:val="00841DD5"/>
    <w:rsid w:val="00841F92"/>
    <w:rsid w:val="008433AE"/>
    <w:rsid w:val="008438BF"/>
    <w:rsid w:val="00844C6C"/>
    <w:rsid w:val="00844C7A"/>
    <w:rsid w:val="008458A2"/>
    <w:rsid w:val="0084595D"/>
    <w:rsid w:val="00845A2F"/>
    <w:rsid w:val="00845C97"/>
    <w:rsid w:val="00847C8B"/>
    <w:rsid w:val="00850632"/>
    <w:rsid w:val="008509B6"/>
    <w:rsid w:val="00851A25"/>
    <w:rsid w:val="00851AE3"/>
    <w:rsid w:val="00852955"/>
    <w:rsid w:val="00852CA5"/>
    <w:rsid w:val="00854618"/>
    <w:rsid w:val="008551BB"/>
    <w:rsid w:val="00855EDF"/>
    <w:rsid w:val="00856806"/>
    <w:rsid w:val="00856842"/>
    <w:rsid w:val="0085687D"/>
    <w:rsid w:val="008602A8"/>
    <w:rsid w:val="008612E2"/>
    <w:rsid w:val="00861686"/>
    <w:rsid w:val="00862B44"/>
    <w:rsid w:val="0086317E"/>
    <w:rsid w:val="0086338B"/>
    <w:rsid w:val="00864BEA"/>
    <w:rsid w:val="0086582E"/>
    <w:rsid w:val="008665C5"/>
    <w:rsid w:val="0086694E"/>
    <w:rsid w:val="00867829"/>
    <w:rsid w:val="00867E7F"/>
    <w:rsid w:val="008703A4"/>
    <w:rsid w:val="00870A5D"/>
    <w:rsid w:val="00870B5A"/>
    <w:rsid w:val="00871B5C"/>
    <w:rsid w:val="0087206B"/>
    <w:rsid w:val="00872288"/>
    <w:rsid w:val="008726B1"/>
    <w:rsid w:val="00872704"/>
    <w:rsid w:val="00873B8A"/>
    <w:rsid w:val="00873E9B"/>
    <w:rsid w:val="0087517D"/>
    <w:rsid w:val="008757E7"/>
    <w:rsid w:val="00875C0C"/>
    <w:rsid w:val="00876482"/>
    <w:rsid w:val="00877480"/>
    <w:rsid w:val="00877B54"/>
    <w:rsid w:val="00877EFE"/>
    <w:rsid w:val="00880ADB"/>
    <w:rsid w:val="008820E8"/>
    <w:rsid w:val="00882C21"/>
    <w:rsid w:val="00883366"/>
    <w:rsid w:val="00883D5B"/>
    <w:rsid w:val="008842CE"/>
    <w:rsid w:val="00884C2C"/>
    <w:rsid w:val="008855D4"/>
    <w:rsid w:val="00885B85"/>
    <w:rsid w:val="00885D1D"/>
    <w:rsid w:val="00885DBA"/>
    <w:rsid w:val="008863FA"/>
    <w:rsid w:val="0088642B"/>
    <w:rsid w:val="008865BE"/>
    <w:rsid w:val="00886C88"/>
    <w:rsid w:val="00886D34"/>
    <w:rsid w:val="00887733"/>
    <w:rsid w:val="0089037A"/>
    <w:rsid w:val="00890454"/>
    <w:rsid w:val="008904DE"/>
    <w:rsid w:val="008905A9"/>
    <w:rsid w:val="00890A17"/>
    <w:rsid w:val="00890B90"/>
    <w:rsid w:val="00891B38"/>
    <w:rsid w:val="0089272F"/>
    <w:rsid w:val="00892D5F"/>
    <w:rsid w:val="00893441"/>
    <w:rsid w:val="008936C9"/>
    <w:rsid w:val="008946A9"/>
    <w:rsid w:val="00894E69"/>
    <w:rsid w:val="0089514C"/>
    <w:rsid w:val="008953D9"/>
    <w:rsid w:val="008954EC"/>
    <w:rsid w:val="00895ADB"/>
    <w:rsid w:val="00895CBF"/>
    <w:rsid w:val="0089776F"/>
    <w:rsid w:val="008A0056"/>
    <w:rsid w:val="008A039F"/>
    <w:rsid w:val="008A0CC0"/>
    <w:rsid w:val="008A0E5F"/>
    <w:rsid w:val="008A102C"/>
    <w:rsid w:val="008A12D7"/>
    <w:rsid w:val="008A1ED6"/>
    <w:rsid w:val="008A2294"/>
    <w:rsid w:val="008A24E5"/>
    <w:rsid w:val="008A275F"/>
    <w:rsid w:val="008A2C7A"/>
    <w:rsid w:val="008A3AC1"/>
    <w:rsid w:val="008A3B68"/>
    <w:rsid w:val="008A3BB7"/>
    <w:rsid w:val="008A3C5E"/>
    <w:rsid w:val="008A4A05"/>
    <w:rsid w:val="008A4AFB"/>
    <w:rsid w:val="008A5992"/>
    <w:rsid w:val="008A5B6A"/>
    <w:rsid w:val="008A5DB3"/>
    <w:rsid w:val="008A6878"/>
    <w:rsid w:val="008A6ED3"/>
    <w:rsid w:val="008A7A5B"/>
    <w:rsid w:val="008A7D29"/>
    <w:rsid w:val="008B0792"/>
    <w:rsid w:val="008B0B0B"/>
    <w:rsid w:val="008B0F69"/>
    <w:rsid w:val="008B2F75"/>
    <w:rsid w:val="008B4495"/>
    <w:rsid w:val="008B44D9"/>
    <w:rsid w:val="008B4CAB"/>
    <w:rsid w:val="008B5D4F"/>
    <w:rsid w:val="008B7136"/>
    <w:rsid w:val="008B71E4"/>
    <w:rsid w:val="008B74C9"/>
    <w:rsid w:val="008B7A86"/>
    <w:rsid w:val="008C004D"/>
    <w:rsid w:val="008C0225"/>
    <w:rsid w:val="008C0ADF"/>
    <w:rsid w:val="008C0DC9"/>
    <w:rsid w:val="008C1298"/>
    <w:rsid w:val="008C1544"/>
    <w:rsid w:val="008C1E12"/>
    <w:rsid w:val="008C25FC"/>
    <w:rsid w:val="008C2B71"/>
    <w:rsid w:val="008C2B84"/>
    <w:rsid w:val="008C31A3"/>
    <w:rsid w:val="008C4695"/>
    <w:rsid w:val="008C5767"/>
    <w:rsid w:val="008C5881"/>
    <w:rsid w:val="008C5972"/>
    <w:rsid w:val="008C728E"/>
    <w:rsid w:val="008C7934"/>
    <w:rsid w:val="008C79A2"/>
    <w:rsid w:val="008D0894"/>
    <w:rsid w:val="008D0D10"/>
    <w:rsid w:val="008D12BD"/>
    <w:rsid w:val="008D1B85"/>
    <w:rsid w:val="008D287B"/>
    <w:rsid w:val="008D32D4"/>
    <w:rsid w:val="008D4818"/>
    <w:rsid w:val="008D50F4"/>
    <w:rsid w:val="008D51B3"/>
    <w:rsid w:val="008D52B5"/>
    <w:rsid w:val="008D5373"/>
    <w:rsid w:val="008D555C"/>
    <w:rsid w:val="008D6398"/>
    <w:rsid w:val="008E0EEF"/>
    <w:rsid w:val="008E257E"/>
    <w:rsid w:val="008E2A0E"/>
    <w:rsid w:val="008E327D"/>
    <w:rsid w:val="008E39C3"/>
    <w:rsid w:val="008E3C8B"/>
    <w:rsid w:val="008E4544"/>
    <w:rsid w:val="008E4CD3"/>
    <w:rsid w:val="008E53EF"/>
    <w:rsid w:val="008E5547"/>
    <w:rsid w:val="008E5C56"/>
    <w:rsid w:val="008E7162"/>
    <w:rsid w:val="008E72D2"/>
    <w:rsid w:val="008F0A4A"/>
    <w:rsid w:val="008F0BBF"/>
    <w:rsid w:val="008F0FBC"/>
    <w:rsid w:val="008F2979"/>
    <w:rsid w:val="008F38A3"/>
    <w:rsid w:val="008F39CA"/>
    <w:rsid w:val="008F453D"/>
    <w:rsid w:val="008F586D"/>
    <w:rsid w:val="008F62B0"/>
    <w:rsid w:val="008F66AC"/>
    <w:rsid w:val="008F6CC2"/>
    <w:rsid w:val="008F735B"/>
    <w:rsid w:val="008F7922"/>
    <w:rsid w:val="008F7DAF"/>
    <w:rsid w:val="008F7EFB"/>
    <w:rsid w:val="009016CC"/>
    <w:rsid w:val="00901C52"/>
    <w:rsid w:val="00902140"/>
    <w:rsid w:val="00902E1D"/>
    <w:rsid w:val="009033B2"/>
    <w:rsid w:val="009052D5"/>
    <w:rsid w:val="009055E1"/>
    <w:rsid w:val="009068CE"/>
    <w:rsid w:val="00906A0A"/>
    <w:rsid w:val="00906F67"/>
    <w:rsid w:val="00907802"/>
    <w:rsid w:val="00907F91"/>
    <w:rsid w:val="009108DD"/>
    <w:rsid w:val="00911038"/>
    <w:rsid w:val="00911104"/>
    <w:rsid w:val="00911C50"/>
    <w:rsid w:val="00911CB6"/>
    <w:rsid w:val="00911DF9"/>
    <w:rsid w:val="00913A5E"/>
    <w:rsid w:val="00914CC6"/>
    <w:rsid w:val="00914E10"/>
    <w:rsid w:val="00915F79"/>
    <w:rsid w:val="00916005"/>
    <w:rsid w:val="009164E4"/>
    <w:rsid w:val="0091663D"/>
    <w:rsid w:val="00916920"/>
    <w:rsid w:val="009170B8"/>
    <w:rsid w:val="00917BFD"/>
    <w:rsid w:val="00917DF7"/>
    <w:rsid w:val="0092022B"/>
    <w:rsid w:val="00920431"/>
    <w:rsid w:val="009205D2"/>
    <w:rsid w:val="00920B3B"/>
    <w:rsid w:val="00920C50"/>
    <w:rsid w:val="00921EFD"/>
    <w:rsid w:val="00921F05"/>
    <w:rsid w:val="009220D2"/>
    <w:rsid w:val="00922511"/>
    <w:rsid w:val="0092283D"/>
    <w:rsid w:val="0092298D"/>
    <w:rsid w:val="00924935"/>
    <w:rsid w:val="00926391"/>
    <w:rsid w:val="0092647C"/>
    <w:rsid w:val="00926767"/>
    <w:rsid w:val="00927448"/>
    <w:rsid w:val="009279B9"/>
    <w:rsid w:val="0093005A"/>
    <w:rsid w:val="00930B71"/>
    <w:rsid w:val="00930DD7"/>
    <w:rsid w:val="00931428"/>
    <w:rsid w:val="00932041"/>
    <w:rsid w:val="0093248A"/>
    <w:rsid w:val="00932FF1"/>
    <w:rsid w:val="00933D1B"/>
    <w:rsid w:val="00934A00"/>
    <w:rsid w:val="00935BF8"/>
    <w:rsid w:val="00935FCC"/>
    <w:rsid w:val="00935FDF"/>
    <w:rsid w:val="00936ECB"/>
    <w:rsid w:val="00937D4F"/>
    <w:rsid w:val="009401FD"/>
    <w:rsid w:val="00940870"/>
    <w:rsid w:val="00940D0E"/>
    <w:rsid w:val="00940FB5"/>
    <w:rsid w:val="00941219"/>
    <w:rsid w:val="00941356"/>
    <w:rsid w:val="00941469"/>
    <w:rsid w:val="0094193E"/>
    <w:rsid w:val="00942285"/>
    <w:rsid w:val="009423E7"/>
    <w:rsid w:val="009428F6"/>
    <w:rsid w:val="009432AE"/>
    <w:rsid w:val="00943897"/>
    <w:rsid w:val="00943DD6"/>
    <w:rsid w:val="009449B0"/>
    <w:rsid w:val="00944E17"/>
    <w:rsid w:val="00944E5B"/>
    <w:rsid w:val="0094586D"/>
    <w:rsid w:val="0094648D"/>
    <w:rsid w:val="00946985"/>
    <w:rsid w:val="00946F43"/>
    <w:rsid w:val="009473F9"/>
    <w:rsid w:val="00947814"/>
    <w:rsid w:val="00947AE1"/>
    <w:rsid w:val="0095013A"/>
    <w:rsid w:val="00950C4B"/>
    <w:rsid w:val="00951B49"/>
    <w:rsid w:val="009528E5"/>
    <w:rsid w:val="00953027"/>
    <w:rsid w:val="00953E79"/>
    <w:rsid w:val="00954860"/>
    <w:rsid w:val="00954EF8"/>
    <w:rsid w:val="009550C8"/>
    <w:rsid w:val="00955294"/>
    <w:rsid w:val="00955B66"/>
    <w:rsid w:val="00956F38"/>
    <w:rsid w:val="0095720C"/>
    <w:rsid w:val="009573C1"/>
    <w:rsid w:val="00957A65"/>
    <w:rsid w:val="009600EA"/>
    <w:rsid w:val="009601F3"/>
    <w:rsid w:val="009605C3"/>
    <w:rsid w:val="0096074B"/>
    <w:rsid w:val="00961951"/>
    <w:rsid w:val="00962F0F"/>
    <w:rsid w:val="00964414"/>
    <w:rsid w:val="00964659"/>
    <w:rsid w:val="0096553B"/>
    <w:rsid w:val="009663FF"/>
    <w:rsid w:val="00966C97"/>
    <w:rsid w:val="009672BE"/>
    <w:rsid w:val="00967375"/>
    <w:rsid w:val="00967B21"/>
    <w:rsid w:val="0097064C"/>
    <w:rsid w:val="00971013"/>
    <w:rsid w:val="00971AE1"/>
    <w:rsid w:val="00973172"/>
    <w:rsid w:val="0097481C"/>
    <w:rsid w:val="00974DDF"/>
    <w:rsid w:val="00974E25"/>
    <w:rsid w:val="009751A8"/>
    <w:rsid w:val="009754A6"/>
    <w:rsid w:val="00975CCB"/>
    <w:rsid w:val="009762DA"/>
    <w:rsid w:val="00976799"/>
    <w:rsid w:val="00976D8A"/>
    <w:rsid w:val="00980488"/>
    <w:rsid w:val="00980663"/>
    <w:rsid w:val="00980832"/>
    <w:rsid w:val="00980B1B"/>
    <w:rsid w:val="00980BF3"/>
    <w:rsid w:val="00980C1A"/>
    <w:rsid w:val="00981541"/>
    <w:rsid w:val="00981A75"/>
    <w:rsid w:val="009820C4"/>
    <w:rsid w:val="00982D7C"/>
    <w:rsid w:val="00984387"/>
    <w:rsid w:val="00984688"/>
    <w:rsid w:val="009846DA"/>
    <w:rsid w:val="00984BC3"/>
    <w:rsid w:val="009853E4"/>
    <w:rsid w:val="009858E6"/>
    <w:rsid w:val="009863DE"/>
    <w:rsid w:val="0098689F"/>
    <w:rsid w:val="00986D3A"/>
    <w:rsid w:val="0098775A"/>
    <w:rsid w:val="00987A1D"/>
    <w:rsid w:val="00987E41"/>
    <w:rsid w:val="00990792"/>
    <w:rsid w:val="00990E2A"/>
    <w:rsid w:val="00993708"/>
    <w:rsid w:val="00993B21"/>
    <w:rsid w:val="009942EB"/>
    <w:rsid w:val="0099430D"/>
    <w:rsid w:val="00994393"/>
    <w:rsid w:val="00994BB5"/>
    <w:rsid w:val="00995D22"/>
    <w:rsid w:val="00995D44"/>
    <w:rsid w:val="00996386"/>
    <w:rsid w:val="00996574"/>
    <w:rsid w:val="0099704D"/>
    <w:rsid w:val="00997331"/>
    <w:rsid w:val="00997396"/>
    <w:rsid w:val="00997546"/>
    <w:rsid w:val="00997AD3"/>
    <w:rsid w:val="00997F81"/>
    <w:rsid w:val="009A0D56"/>
    <w:rsid w:val="009A1122"/>
    <w:rsid w:val="009A19EA"/>
    <w:rsid w:val="009A209C"/>
    <w:rsid w:val="009A2CDA"/>
    <w:rsid w:val="009A2EB7"/>
    <w:rsid w:val="009A3967"/>
    <w:rsid w:val="009A3BC9"/>
    <w:rsid w:val="009A4187"/>
    <w:rsid w:val="009A4F6A"/>
    <w:rsid w:val="009A53F6"/>
    <w:rsid w:val="009A5474"/>
    <w:rsid w:val="009A5D6C"/>
    <w:rsid w:val="009A6BCA"/>
    <w:rsid w:val="009A6DC2"/>
    <w:rsid w:val="009A6E4F"/>
    <w:rsid w:val="009A7182"/>
    <w:rsid w:val="009A740E"/>
    <w:rsid w:val="009A762B"/>
    <w:rsid w:val="009B06E3"/>
    <w:rsid w:val="009B1548"/>
    <w:rsid w:val="009B15BD"/>
    <w:rsid w:val="009B1C33"/>
    <w:rsid w:val="009B1DEB"/>
    <w:rsid w:val="009B22A9"/>
    <w:rsid w:val="009B2465"/>
    <w:rsid w:val="009B2FC8"/>
    <w:rsid w:val="009B3104"/>
    <w:rsid w:val="009B32AA"/>
    <w:rsid w:val="009B4CB4"/>
    <w:rsid w:val="009B5152"/>
    <w:rsid w:val="009B52E8"/>
    <w:rsid w:val="009B52FE"/>
    <w:rsid w:val="009B661F"/>
    <w:rsid w:val="009B6E92"/>
    <w:rsid w:val="009B75EE"/>
    <w:rsid w:val="009B7BDB"/>
    <w:rsid w:val="009C0422"/>
    <w:rsid w:val="009C173A"/>
    <w:rsid w:val="009C1815"/>
    <w:rsid w:val="009C49FB"/>
    <w:rsid w:val="009C4ADF"/>
    <w:rsid w:val="009C4DF0"/>
    <w:rsid w:val="009C5026"/>
    <w:rsid w:val="009C76CD"/>
    <w:rsid w:val="009D1C3B"/>
    <w:rsid w:val="009D1C49"/>
    <w:rsid w:val="009D2573"/>
    <w:rsid w:val="009D2998"/>
    <w:rsid w:val="009D29D0"/>
    <w:rsid w:val="009D29EA"/>
    <w:rsid w:val="009D2B22"/>
    <w:rsid w:val="009D3167"/>
    <w:rsid w:val="009D3454"/>
    <w:rsid w:val="009D3523"/>
    <w:rsid w:val="009D36EF"/>
    <w:rsid w:val="009D3999"/>
    <w:rsid w:val="009D3B16"/>
    <w:rsid w:val="009D3BC4"/>
    <w:rsid w:val="009D4E6F"/>
    <w:rsid w:val="009D56B3"/>
    <w:rsid w:val="009D5B2E"/>
    <w:rsid w:val="009D5DEB"/>
    <w:rsid w:val="009D641E"/>
    <w:rsid w:val="009D6FCE"/>
    <w:rsid w:val="009D7272"/>
    <w:rsid w:val="009D7C1B"/>
    <w:rsid w:val="009E019B"/>
    <w:rsid w:val="009E07C5"/>
    <w:rsid w:val="009E15E8"/>
    <w:rsid w:val="009E1883"/>
    <w:rsid w:val="009E18D1"/>
    <w:rsid w:val="009E1D7E"/>
    <w:rsid w:val="009E1F89"/>
    <w:rsid w:val="009E282B"/>
    <w:rsid w:val="009E37E4"/>
    <w:rsid w:val="009E3CBC"/>
    <w:rsid w:val="009E3E04"/>
    <w:rsid w:val="009E4140"/>
    <w:rsid w:val="009E4B48"/>
    <w:rsid w:val="009E53DE"/>
    <w:rsid w:val="009E5C18"/>
    <w:rsid w:val="009E6982"/>
    <w:rsid w:val="009E6A89"/>
    <w:rsid w:val="009E7202"/>
    <w:rsid w:val="009E73AE"/>
    <w:rsid w:val="009E79BD"/>
    <w:rsid w:val="009F0ED5"/>
    <w:rsid w:val="009F3777"/>
    <w:rsid w:val="009F39B0"/>
    <w:rsid w:val="009F58CA"/>
    <w:rsid w:val="009F5B7A"/>
    <w:rsid w:val="009F69F7"/>
    <w:rsid w:val="009F6B6F"/>
    <w:rsid w:val="009F7F42"/>
    <w:rsid w:val="00A0066C"/>
    <w:rsid w:val="00A00CDD"/>
    <w:rsid w:val="00A02018"/>
    <w:rsid w:val="00A024CA"/>
    <w:rsid w:val="00A0280B"/>
    <w:rsid w:val="00A02DA6"/>
    <w:rsid w:val="00A041E5"/>
    <w:rsid w:val="00A046C6"/>
    <w:rsid w:val="00A048C1"/>
    <w:rsid w:val="00A04F63"/>
    <w:rsid w:val="00A0532B"/>
    <w:rsid w:val="00A0546D"/>
    <w:rsid w:val="00A063A3"/>
    <w:rsid w:val="00A0722F"/>
    <w:rsid w:val="00A1061F"/>
    <w:rsid w:val="00A10703"/>
    <w:rsid w:val="00A11A89"/>
    <w:rsid w:val="00A11D31"/>
    <w:rsid w:val="00A1247E"/>
    <w:rsid w:val="00A126D0"/>
    <w:rsid w:val="00A1321C"/>
    <w:rsid w:val="00A137EF"/>
    <w:rsid w:val="00A13C43"/>
    <w:rsid w:val="00A13D95"/>
    <w:rsid w:val="00A14285"/>
    <w:rsid w:val="00A1431F"/>
    <w:rsid w:val="00A14544"/>
    <w:rsid w:val="00A14A39"/>
    <w:rsid w:val="00A14DBF"/>
    <w:rsid w:val="00A15E01"/>
    <w:rsid w:val="00A165F2"/>
    <w:rsid w:val="00A16CE2"/>
    <w:rsid w:val="00A16ED9"/>
    <w:rsid w:val="00A178F1"/>
    <w:rsid w:val="00A17D9E"/>
    <w:rsid w:val="00A20682"/>
    <w:rsid w:val="00A20C01"/>
    <w:rsid w:val="00A21EE0"/>
    <w:rsid w:val="00A223D2"/>
    <w:rsid w:val="00A225BF"/>
    <w:rsid w:val="00A22928"/>
    <w:rsid w:val="00A22FBA"/>
    <w:rsid w:val="00A22FEB"/>
    <w:rsid w:val="00A230BD"/>
    <w:rsid w:val="00A23D57"/>
    <w:rsid w:val="00A26BC5"/>
    <w:rsid w:val="00A27646"/>
    <w:rsid w:val="00A27D7F"/>
    <w:rsid w:val="00A30B8C"/>
    <w:rsid w:val="00A310F5"/>
    <w:rsid w:val="00A31AFE"/>
    <w:rsid w:val="00A32448"/>
    <w:rsid w:val="00A32AC8"/>
    <w:rsid w:val="00A32E98"/>
    <w:rsid w:val="00A334A2"/>
    <w:rsid w:val="00A33AFB"/>
    <w:rsid w:val="00A34047"/>
    <w:rsid w:val="00A3446E"/>
    <w:rsid w:val="00A344D4"/>
    <w:rsid w:val="00A34727"/>
    <w:rsid w:val="00A34EBA"/>
    <w:rsid w:val="00A36DCC"/>
    <w:rsid w:val="00A3735C"/>
    <w:rsid w:val="00A379DC"/>
    <w:rsid w:val="00A37EBE"/>
    <w:rsid w:val="00A40283"/>
    <w:rsid w:val="00A4064A"/>
    <w:rsid w:val="00A40D67"/>
    <w:rsid w:val="00A40F2E"/>
    <w:rsid w:val="00A40F34"/>
    <w:rsid w:val="00A41027"/>
    <w:rsid w:val="00A410CA"/>
    <w:rsid w:val="00A411FC"/>
    <w:rsid w:val="00A41C77"/>
    <w:rsid w:val="00A41F68"/>
    <w:rsid w:val="00A4204F"/>
    <w:rsid w:val="00A420D7"/>
    <w:rsid w:val="00A42183"/>
    <w:rsid w:val="00A437FB"/>
    <w:rsid w:val="00A43DE3"/>
    <w:rsid w:val="00A44A19"/>
    <w:rsid w:val="00A4614D"/>
    <w:rsid w:val="00A477CF"/>
    <w:rsid w:val="00A47A7E"/>
    <w:rsid w:val="00A504BD"/>
    <w:rsid w:val="00A505DE"/>
    <w:rsid w:val="00A5091C"/>
    <w:rsid w:val="00A50F38"/>
    <w:rsid w:val="00A51368"/>
    <w:rsid w:val="00A51FE7"/>
    <w:rsid w:val="00A53335"/>
    <w:rsid w:val="00A53883"/>
    <w:rsid w:val="00A53A03"/>
    <w:rsid w:val="00A53F4E"/>
    <w:rsid w:val="00A53FD3"/>
    <w:rsid w:val="00A5548F"/>
    <w:rsid w:val="00A55B91"/>
    <w:rsid w:val="00A561DB"/>
    <w:rsid w:val="00A562C1"/>
    <w:rsid w:val="00A56C0C"/>
    <w:rsid w:val="00A57230"/>
    <w:rsid w:val="00A572DF"/>
    <w:rsid w:val="00A57F95"/>
    <w:rsid w:val="00A601C3"/>
    <w:rsid w:val="00A60297"/>
    <w:rsid w:val="00A60CC0"/>
    <w:rsid w:val="00A610B3"/>
    <w:rsid w:val="00A61685"/>
    <w:rsid w:val="00A6281E"/>
    <w:rsid w:val="00A63ACF"/>
    <w:rsid w:val="00A63FAE"/>
    <w:rsid w:val="00A64F98"/>
    <w:rsid w:val="00A659A1"/>
    <w:rsid w:val="00A65D80"/>
    <w:rsid w:val="00A66148"/>
    <w:rsid w:val="00A700B1"/>
    <w:rsid w:val="00A707DE"/>
    <w:rsid w:val="00A70CCF"/>
    <w:rsid w:val="00A71E32"/>
    <w:rsid w:val="00A73AAD"/>
    <w:rsid w:val="00A74C12"/>
    <w:rsid w:val="00A753AF"/>
    <w:rsid w:val="00A754F3"/>
    <w:rsid w:val="00A7644C"/>
    <w:rsid w:val="00A76CBE"/>
    <w:rsid w:val="00A80622"/>
    <w:rsid w:val="00A81E46"/>
    <w:rsid w:val="00A82E4B"/>
    <w:rsid w:val="00A83735"/>
    <w:rsid w:val="00A838D4"/>
    <w:rsid w:val="00A841C9"/>
    <w:rsid w:val="00A84917"/>
    <w:rsid w:val="00A85075"/>
    <w:rsid w:val="00A85131"/>
    <w:rsid w:val="00A865AB"/>
    <w:rsid w:val="00A87491"/>
    <w:rsid w:val="00A87901"/>
    <w:rsid w:val="00A91065"/>
    <w:rsid w:val="00A91C14"/>
    <w:rsid w:val="00A93B49"/>
    <w:rsid w:val="00A93E11"/>
    <w:rsid w:val="00A94116"/>
    <w:rsid w:val="00A95165"/>
    <w:rsid w:val="00A958FE"/>
    <w:rsid w:val="00A963DA"/>
    <w:rsid w:val="00A964F0"/>
    <w:rsid w:val="00A96FED"/>
    <w:rsid w:val="00A9701A"/>
    <w:rsid w:val="00A97310"/>
    <w:rsid w:val="00A976CD"/>
    <w:rsid w:val="00AA11BF"/>
    <w:rsid w:val="00AA121F"/>
    <w:rsid w:val="00AA18E1"/>
    <w:rsid w:val="00AA1C39"/>
    <w:rsid w:val="00AA212A"/>
    <w:rsid w:val="00AA3DC1"/>
    <w:rsid w:val="00AA3ECA"/>
    <w:rsid w:val="00AA449A"/>
    <w:rsid w:val="00AA56CE"/>
    <w:rsid w:val="00AA5D02"/>
    <w:rsid w:val="00AA6779"/>
    <w:rsid w:val="00AA6A52"/>
    <w:rsid w:val="00AA772F"/>
    <w:rsid w:val="00AA7D24"/>
    <w:rsid w:val="00AB09D6"/>
    <w:rsid w:val="00AB0A80"/>
    <w:rsid w:val="00AB0BC0"/>
    <w:rsid w:val="00AB0D38"/>
    <w:rsid w:val="00AB1B4A"/>
    <w:rsid w:val="00AB21FB"/>
    <w:rsid w:val="00AB2A5D"/>
    <w:rsid w:val="00AB378B"/>
    <w:rsid w:val="00AB3CBD"/>
    <w:rsid w:val="00AB40BC"/>
    <w:rsid w:val="00AB52BC"/>
    <w:rsid w:val="00AB52F2"/>
    <w:rsid w:val="00AB5672"/>
    <w:rsid w:val="00AB6056"/>
    <w:rsid w:val="00AB64E9"/>
    <w:rsid w:val="00AB6D41"/>
    <w:rsid w:val="00AB6E88"/>
    <w:rsid w:val="00AB7A8F"/>
    <w:rsid w:val="00AB7E8F"/>
    <w:rsid w:val="00AC01D4"/>
    <w:rsid w:val="00AC036A"/>
    <w:rsid w:val="00AC03DC"/>
    <w:rsid w:val="00AC1D65"/>
    <w:rsid w:val="00AC22AF"/>
    <w:rsid w:val="00AC25A4"/>
    <w:rsid w:val="00AC2B05"/>
    <w:rsid w:val="00AC2CF6"/>
    <w:rsid w:val="00AC4DDE"/>
    <w:rsid w:val="00AC51B4"/>
    <w:rsid w:val="00AC61C2"/>
    <w:rsid w:val="00AC649F"/>
    <w:rsid w:val="00AC65BD"/>
    <w:rsid w:val="00AD0A42"/>
    <w:rsid w:val="00AD0FBD"/>
    <w:rsid w:val="00AD2345"/>
    <w:rsid w:val="00AD25E8"/>
    <w:rsid w:val="00AD26F7"/>
    <w:rsid w:val="00AD2C31"/>
    <w:rsid w:val="00AD2C43"/>
    <w:rsid w:val="00AD33D6"/>
    <w:rsid w:val="00AD35DD"/>
    <w:rsid w:val="00AD38DD"/>
    <w:rsid w:val="00AD3A7F"/>
    <w:rsid w:val="00AD5871"/>
    <w:rsid w:val="00AD63E3"/>
    <w:rsid w:val="00AD669F"/>
    <w:rsid w:val="00AD756F"/>
    <w:rsid w:val="00AD7577"/>
    <w:rsid w:val="00AD7898"/>
    <w:rsid w:val="00AD7C07"/>
    <w:rsid w:val="00AD7D9A"/>
    <w:rsid w:val="00AE108C"/>
    <w:rsid w:val="00AE1461"/>
    <w:rsid w:val="00AE256A"/>
    <w:rsid w:val="00AE31A7"/>
    <w:rsid w:val="00AE34C9"/>
    <w:rsid w:val="00AE3B22"/>
    <w:rsid w:val="00AE3DCA"/>
    <w:rsid w:val="00AE4684"/>
    <w:rsid w:val="00AE4821"/>
    <w:rsid w:val="00AE4B32"/>
    <w:rsid w:val="00AE509F"/>
    <w:rsid w:val="00AE51FE"/>
    <w:rsid w:val="00AE5803"/>
    <w:rsid w:val="00AE7369"/>
    <w:rsid w:val="00AE7BB4"/>
    <w:rsid w:val="00AE7C09"/>
    <w:rsid w:val="00AF0A9E"/>
    <w:rsid w:val="00AF1248"/>
    <w:rsid w:val="00AF15A8"/>
    <w:rsid w:val="00AF20BE"/>
    <w:rsid w:val="00AF2143"/>
    <w:rsid w:val="00AF2BD9"/>
    <w:rsid w:val="00AF2CAE"/>
    <w:rsid w:val="00AF2EA7"/>
    <w:rsid w:val="00AF3316"/>
    <w:rsid w:val="00AF34A7"/>
    <w:rsid w:val="00AF3A3C"/>
    <w:rsid w:val="00AF3AD8"/>
    <w:rsid w:val="00AF45D7"/>
    <w:rsid w:val="00AF4A54"/>
    <w:rsid w:val="00AF4ECF"/>
    <w:rsid w:val="00AF5488"/>
    <w:rsid w:val="00AF55B6"/>
    <w:rsid w:val="00AF7C23"/>
    <w:rsid w:val="00AF7F1E"/>
    <w:rsid w:val="00B00430"/>
    <w:rsid w:val="00B00A51"/>
    <w:rsid w:val="00B015F8"/>
    <w:rsid w:val="00B0264B"/>
    <w:rsid w:val="00B02F3E"/>
    <w:rsid w:val="00B0387B"/>
    <w:rsid w:val="00B038E1"/>
    <w:rsid w:val="00B05698"/>
    <w:rsid w:val="00B05AA4"/>
    <w:rsid w:val="00B05B3C"/>
    <w:rsid w:val="00B05B8B"/>
    <w:rsid w:val="00B06414"/>
    <w:rsid w:val="00B06474"/>
    <w:rsid w:val="00B0714A"/>
    <w:rsid w:val="00B07CB9"/>
    <w:rsid w:val="00B10948"/>
    <w:rsid w:val="00B11B21"/>
    <w:rsid w:val="00B12144"/>
    <w:rsid w:val="00B12316"/>
    <w:rsid w:val="00B126EA"/>
    <w:rsid w:val="00B1277D"/>
    <w:rsid w:val="00B1362F"/>
    <w:rsid w:val="00B1477B"/>
    <w:rsid w:val="00B160BD"/>
    <w:rsid w:val="00B16292"/>
    <w:rsid w:val="00B16EF2"/>
    <w:rsid w:val="00B173BC"/>
    <w:rsid w:val="00B176E6"/>
    <w:rsid w:val="00B17D23"/>
    <w:rsid w:val="00B17F51"/>
    <w:rsid w:val="00B20A63"/>
    <w:rsid w:val="00B20AFF"/>
    <w:rsid w:val="00B20B5E"/>
    <w:rsid w:val="00B21221"/>
    <w:rsid w:val="00B22FD7"/>
    <w:rsid w:val="00B240B3"/>
    <w:rsid w:val="00B24728"/>
    <w:rsid w:val="00B24921"/>
    <w:rsid w:val="00B24C83"/>
    <w:rsid w:val="00B2517D"/>
    <w:rsid w:val="00B25DEC"/>
    <w:rsid w:val="00B26394"/>
    <w:rsid w:val="00B2688C"/>
    <w:rsid w:val="00B27EA9"/>
    <w:rsid w:val="00B3044A"/>
    <w:rsid w:val="00B30DBE"/>
    <w:rsid w:val="00B30EFA"/>
    <w:rsid w:val="00B3116A"/>
    <w:rsid w:val="00B32199"/>
    <w:rsid w:val="00B32460"/>
    <w:rsid w:val="00B32AE8"/>
    <w:rsid w:val="00B33603"/>
    <w:rsid w:val="00B3411F"/>
    <w:rsid w:val="00B34FEA"/>
    <w:rsid w:val="00B35427"/>
    <w:rsid w:val="00B35485"/>
    <w:rsid w:val="00B3565F"/>
    <w:rsid w:val="00B36875"/>
    <w:rsid w:val="00B36E5C"/>
    <w:rsid w:val="00B40506"/>
    <w:rsid w:val="00B4073D"/>
    <w:rsid w:val="00B40B68"/>
    <w:rsid w:val="00B415A2"/>
    <w:rsid w:val="00B41C6C"/>
    <w:rsid w:val="00B41D03"/>
    <w:rsid w:val="00B42E35"/>
    <w:rsid w:val="00B434E5"/>
    <w:rsid w:val="00B43A98"/>
    <w:rsid w:val="00B43C9F"/>
    <w:rsid w:val="00B445A7"/>
    <w:rsid w:val="00B44686"/>
    <w:rsid w:val="00B44768"/>
    <w:rsid w:val="00B44CF4"/>
    <w:rsid w:val="00B46662"/>
    <w:rsid w:val="00B46BE2"/>
    <w:rsid w:val="00B472A6"/>
    <w:rsid w:val="00B47CD5"/>
    <w:rsid w:val="00B47D69"/>
    <w:rsid w:val="00B50048"/>
    <w:rsid w:val="00B50941"/>
    <w:rsid w:val="00B50F10"/>
    <w:rsid w:val="00B5197B"/>
    <w:rsid w:val="00B51A81"/>
    <w:rsid w:val="00B52D52"/>
    <w:rsid w:val="00B5306E"/>
    <w:rsid w:val="00B53721"/>
    <w:rsid w:val="00B53969"/>
    <w:rsid w:val="00B53AF3"/>
    <w:rsid w:val="00B54E9C"/>
    <w:rsid w:val="00B5504F"/>
    <w:rsid w:val="00B55AA4"/>
    <w:rsid w:val="00B55BB1"/>
    <w:rsid w:val="00B55EC5"/>
    <w:rsid w:val="00B56A38"/>
    <w:rsid w:val="00B56A6D"/>
    <w:rsid w:val="00B572ED"/>
    <w:rsid w:val="00B57EF8"/>
    <w:rsid w:val="00B615C9"/>
    <w:rsid w:val="00B626C7"/>
    <w:rsid w:val="00B629C9"/>
    <w:rsid w:val="00B638B0"/>
    <w:rsid w:val="00B658DB"/>
    <w:rsid w:val="00B65B16"/>
    <w:rsid w:val="00B65B5C"/>
    <w:rsid w:val="00B65D54"/>
    <w:rsid w:val="00B6601F"/>
    <w:rsid w:val="00B66150"/>
    <w:rsid w:val="00B66857"/>
    <w:rsid w:val="00B6704C"/>
    <w:rsid w:val="00B67DDB"/>
    <w:rsid w:val="00B67F2E"/>
    <w:rsid w:val="00B70025"/>
    <w:rsid w:val="00B7019D"/>
    <w:rsid w:val="00B70B21"/>
    <w:rsid w:val="00B73053"/>
    <w:rsid w:val="00B73BE6"/>
    <w:rsid w:val="00B73E40"/>
    <w:rsid w:val="00B74FFE"/>
    <w:rsid w:val="00B75895"/>
    <w:rsid w:val="00B75B40"/>
    <w:rsid w:val="00B7637C"/>
    <w:rsid w:val="00B76A75"/>
    <w:rsid w:val="00B76AEC"/>
    <w:rsid w:val="00B76D26"/>
    <w:rsid w:val="00B77903"/>
    <w:rsid w:val="00B8066C"/>
    <w:rsid w:val="00B80855"/>
    <w:rsid w:val="00B81043"/>
    <w:rsid w:val="00B8112B"/>
    <w:rsid w:val="00B81151"/>
    <w:rsid w:val="00B813F8"/>
    <w:rsid w:val="00B81CDE"/>
    <w:rsid w:val="00B825DF"/>
    <w:rsid w:val="00B82BD9"/>
    <w:rsid w:val="00B82D6C"/>
    <w:rsid w:val="00B82E10"/>
    <w:rsid w:val="00B8305F"/>
    <w:rsid w:val="00B830F3"/>
    <w:rsid w:val="00B83211"/>
    <w:rsid w:val="00B832C3"/>
    <w:rsid w:val="00B842A5"/>
    <w:rsid w:val="00B8485E"/>
    <w:rsid w:val="00B84B92"/>
    <w:rsid w:val="00B852BD"/>
    <w:rsid w:val="00B85499"/>
    <w:rsid w:val="00B854AC"/>
    <w:rsid w:val="00B85F1A"/>
    <w:rsid w:val="00B86214"/>
    <w:rsid w:val="00B90710"/>
    <w:rsid w:val="00B90C39"/>
    <w:rsid w:val="00B91B59"/>
    <w:rsid w:val="00B91B86"/>
    <w:rsid w:val="00B9242A"/>
    <w:rsid w:val="00B92717"/>
    <w:rsid w:val="00B92EE5"/>
    <w:rsid w:val="00B93CA0"/>
    <w:rsid w:val="00B93FCB"/>
    <w:rsid w:val="00B94D81"/>
    <w:rsid w:val="00B954F6"/>
    <w:rsid w:val="00B95893"/>
    <w:rsid w:val="00B96190"/>
    <w:rsid w:val="00B9776F"/>
    <w:rsid w:val="00BA0735"/>
    <w:rsid w:val="00BA0A30"/>
    <w:rsid w:val="00BA0D48"/>
    <w:rsid w:val="00BA16CF"/>
    <w:rsid w:val="00BA1925"/>
    <w:rsid w:val="00BA1A37"/>
    <w:rsid w:val="00BA222F"/>
    <w:rsid w:val="00BA225C"/>
    <w:rsid w:val="00BA25DB"/>
    <w:rsid w:val="00BA3227"/>
    <w:rsid w:val="00BA4358"/>
    <w:rsid w:val="00BA4547"/>
    <w:rsid w:val="00BA49C6"/>
    <w:rsid w:val="00BA6012"/>
    <w:rsid w:val="00BA640E"/>
    <w:rsid w:val="00BA6518"/>
    <w:rsid w:val="00BA6639"/>
    <w:rsid w:val="00BA6B11"/>
    <w:rsid w:val="00BB082D"/>
    <w:rsid w:val="00BB14E5"/>
    <w:rsid w:val="00BB1CDC"/>
    <w:rsid w:val="00BB2157"/>
    <w:rsid w:val="00BB2200"/>
    <w:rsid w:val="00BB2D1A"/>
    <w:rsid w:val="00BB3059"/>
    <w:rsid w:val="00BB3AA3"/>
    <w:rsid w:val="00BB3B52"/>
    <w:rsid w:val="00BB3D21"/>
    <w:rsid w:val="00BB408F"/>
    <w:rsid w:val="00BB431B"/>
    <w:rsid w:val="00BB4675"/>
    <w:rsid w:val="00BB5265"/>
    <w:rsid w:val="00BB5509"/>
    <w:rsid w:val="00BB5908"/>
    <w:rsid w:val="00BB61ED"/>
    <w:rsid w:val="00BB6E4E"/>
    <w:rsid w:val="00BB6ED0"/>
    <w:rsid w:val="00BB70DF"/>
    <w:rsid w:val="00BB70FB"/>
    <w:rsid w:val="00BB765B"/>
    <w:rsid w:val="00BB77C2"/>
    <w:rsid w:val="00BB7A19"/>
    <w:rsid w:val="00BB7DF7"/>
    <w:rsid w:val="00BB7E60"/>
    <w:rsid w:val="00BC164C"/>
    <w:rsid w:val="00BC1FAC"/>
    <w:rsid w:val="00BC20AF"/>
    <w:rsid w:val="00BC2982"/>
    <w:rsid w:val="00BC2C67"/>
    <w:rsid w:val="00BC3FAE"/>
    <w:rsid w:val="00BC4C29"/>
    <w:rsid w:val="00BC55F4"/>
    <w:rsid w:val="00BC6408"/>
    <w:rsid w:val="00BC678B"/>
    <w:rsid w:val="00BC7575"/>
    <w:rsid w:val="00BC7E13"/>
    <w:rsid w:val="00BD02E0"/>
    <w:rsid w:val="00BD0BCA"/>
    <w:rsid w:val="00BD118D"/>
    <w:rsid w:val="00BD12A4"/>
    <w:rsid w:val="00BD1939"/>
    <w:rsid w:val="00BD1C99"/>
    <w:rsid w:val="00BD23EC"/>
    <w:rsid w:val="00BD3240"/>
    <w:rsid w:val="00BD32AF"/>
    <w:rsid w:val="00BD3374"/>
    <w:rsid w:val="00BD3967"/>
    <w:rsid w:val="00BD412A"/>
    <w:rsid w:val="00BD4257"/>
    <w:rsid w:val="00BD42B6"/>
    <w:rsid w:val="00BD4977"/>
    <w:rsid w:val="00BD4CF6"/>
    <w:rsid w:val="00BD4E68"/>
    <w:rsid w:val="00BD5D0F"/>
    <w:rsid w:val="00BD5E8C"/>
    <w:rsid w:val="00BD60A5"/>
    <w:rsid w:val="00BD7BCB"/>
    <w:rsid w:val="00BD7DF5"/>
    <w:rsid w:val="00BE1B39"/>
    <w:rsid w:val="00BE1C58"/>
    <w:rsid w:val="00BE272D"/>
    <w:rsid w:val="00BE2E21"/>
    <w:rsid w:val="00BE397B"/>
    <w:rsid w:val="00BE3DBF"/>
    <w:rsid w:val="00BE450A"/>
    <w:rsid w:val="00BE463A"/>
    <w:rsid w:val="00BE4668"/>
    <w:rsid w:val="00BE4B69"/>
    <w:rsid w:val="00BE4CDA"/>
    <w:rsid w:val="00BE62A0"/>
    <w:rsid w:val="00BE6440"/>
    <w:rsid w:val="00BE75B2"/>
    <w:rsid w:val="00BF022E"/>
    <w:rsid w:val="00BF0A83"/>
    <w:rsid w:val="00BF0DE2"/>
    <w:rsid w:val="00BF17DA"/>
    <w:rsid w:val="00BF1A1B"/>
    <w:rsid w:val="00BF1A7A"/>
    <w:rsid w:val="00BF1C94"/>
    <w:rsid w:val="00BF208B"/>
    <w:rsid w:val="00BF2C7D"/>
    <w:rsid w:val="00BF30FA"/>
    <w:rsid w:val="00BF38B1"/>
    <w:rsid w:val="00BF38E6"/>
    <w:rsid w:val="00BF3DF9"/>
    <w:rsid w:val="00BF474E"/>
    <w:rsid w:val="00BF47A1"/>
    <w:rsid w:val="00BF4F30"/>
    <w:rsid w:val="00BF566D"/>
    <w:rsid w:val="00BF5815"/>
    <w:rsid w:val="00BF5C89"/>
    <w:rsid w:val="00BF64EF"/>
    <w:rsid w:val="00BF7799"/>
    <w:rsid w:val="00BF7B41"/>
    <w:rsid w:val="00C0056A"/>
    <w:rsid w:val="00C00A1B"/>
    <w:rsid w:val="00C010FD"/>
    <w:rsid w:val="00C01343"/>
    <w:rsid w:val="00C02DD3"/>
    <w:rsid w:val="00C03A26"/>
    <w:rsid w:val="00C041C3"/>
    <w:rsid w:val="00C0448D"/>
    <w:rsid w:val="00C046C9"/>
    <w:rsid w:val="00C05627"/>
    <w:rsid w:val="00C057CF"/>
    <w:rsid w:val="00C05BD1"/>
    <w:rsid w:val="00C06600"/>
    <w:rsid w:val="00C071A0"/>
    <w:rsid w:val="00C07A9A"/>
    <w:rsid w:val="00C1001F"/>
    <w:rsid w:val="00C10777"/>
    <w:rsid w:val="00C10797"/>
    <w:rsid w:val="00C107C3"/>
    <w:rsid w:val="00C10C55"/>
    <w:rsid w:val="00C1144E"/>
    <w:rsid w:val="00C1146F"/>
    <w:rsid w:val="00C11AAD"/>
    <w:rsid w:val="00C11E18"/>
    <w:rsid w:val="00C128F1"/>
    <w:rsid w:val="00C13110"/>
    <w:rsid w:val="00C139DE"/>
    <w:rsid w:val="00C13B4A"/>
    <w:rsid w:val="00C13CEC"/>
    <w:rsid w:val="00C14230"/>
    <w:rsid w:val="00C14510"/>
    <w:rsid w:val="00C14A97"/>
    <w:rsid w:val="00C14AF9"/>
    <w:rsid w:val="00C14BE7"/>
    <w:rsid w:val="00C15540"/>
    <w:rsid w:val="00C15669"/>
    <w:rsid w:val="00C158F1"/>
    <w:rsid w:val="00C15A93"/>
    <w:rsid w:val="00C15CD0"/>
    <w:rsid w:val="00C16E01"/>
    <w:rsid w:val="00C171AE"/>
    <w:rsid w:val="00C2000A"/>
    <w:rsid w:val="00C20052"/>
    <w:rsid w:val="00C203D4"/>
    <w:rsid w:val="00C20996"/>
    <w:rsid w:val="00C21714"/>
    <w:rsid w:val="00C22038"/>
    <w:rsid w:val="00C220A8"/>
    <w:rsid w:val="00C224F5"/>
    <w:rsid w:val="00C22CE9"/>
    <w:rsid w:val="00C22F15"/>
    <w:rsid w:val="00C23B98"/>
    <w:rsid w:val="00C24669"/>
    <w:rsid w:val="00C24932"/>
    <w:rsid w:val="00C250D4"/>
    <w:rsid w:val="00C25657"/>
    <w:rsid w:val="00C257DC"/>
    <w:rsid w:val="00C263EA"/>
    <w:rsid w:val="00C263F7"/>
    <w:rsid w:val="00C26509"/>
    <w:rsid w:val="00C26B3D"/>
    <w:rsid w:val="00C2788A"/>
    <w:rsid w:val="00C27B0C"/>
    <w:rsid w:val="00C31910"/>
    <w:rsid w:val="00C31A03"/>
    <w:rsid w:val="00C31DC8"/>
    <w:rsid w:val="00C323A9"/>
    <w:rsid w:val="00C323BE"/>
    <w:rsid w:val="00C32A9B"/>
    <w:rsid w:val="00C32E3F"/>
    <w:rsid w:val="00C33332"/>
    <w:rsid w:val="00C33A20"/>
    <w:rsid w:val="00C33C4E"/>
    <w:rsid w:val="00C343C8"/>
    <w:rsid w:val="00C34D2C"/>
    <w:rsid w:val="00C35D12"/>
    <w:rsid w:val="00C36F8F"/>
    <w:rsid w:val="00C370F1"/>
    <w:rsid w:val="00C37501"/>
    <w:rsid w:val="00C37715"/>
    <w:rsid w:val="00C40452"/>
    <w:rsid w:val="00C40763"/>
    <w:rsid w:val="00C40881"/>
    <w:rsid w:val="00C40E65"/>
    <w:rsid w:val="00C412E0"/>
    <w:rsid w:val="00C42646"/>
    <w:rsid w:val="00C43F41"/>
    <w:rsid w:val="00C4553B"/>
    <w:rsid w:val="00C45565"/>
    <w:rsid w:val="00C4563D"/>
    <w:rsid w:val="00C45AD5"/>
    <w:rsid w:val="00C460A7"/>
    <w:rsid w:val="00C46AB8"/>
    <w:rsid w:val="00C47809"/>
    <w:rsid w:val="00C510E8"/>
    <w:rsid w:val="00C51193"/>
    <w:rsid w:val="00C521CD"/>
    <w:rsid w:val="00C52507"/>
    <w:rsid w:val="00C5260A"/>
    <w:rsid w:val="00C52EF5"/>
    <w:rsid w:val="00C5304E"/>
    <w:rsid w:val="00C531FD"/>
    <w:rsid w:val="00C53929"/>
    <w:rsid w:val="00C53B5E"/>
    <w:rsid w:val="00C53E8F"/>
    <w:rsid w:val="00C54D48"/>
    <w:rsid w:val="00C54F4E"/>
    <w:rsid w:val="00C5532A"/>
    <w:rsid w:val="00C5542D"/>
    <w:rsid w:val="00C56865"/>
    <w:rsid w:val="00C56972"/>
    <w:rsid w:val="00C56CA6"/>
    <w:rsid w:val="00C5713E"/>
    <w:rsid w:val="00C576F1"/>
    <w:rsid w:val="00C57904"/>
    <w:rsid w:val="00C60A4B"/>
    <w:rsid w:val="00C61002"/>
    <w:rsid w:val="00C61619"/>
    <w:rsid w:val="00C616D3"/>
    <w:rsid w:val="00C61B2F"/>
    <w:rsid w:val="00C62538"/>
    <w:rsid w:val="00C625E4"/>
    <w:rsid w:val="00C63397"/>
    <w:rsid w:val="00C63C37"/>
    <w:rsid w:val="00C63D60"/>
    <w:rsid w:val="00C65750"/>
    <w:rsid w:val="00C65DA6"/>
    <w:rsid w:val="00C664A8"/>
    <w:rsid w:val="00C66580"/>
    <w:rsid w:val="00C6767C"/>
    <w:rsid w:val="00C67B6C"/>
    <w:rsid w:val="00C702B2"/>
    <w:rsid w:val="00C70489"/>
    <w:rsid w:val="00C717AF"/>
    <w:rsid w:val="00C719B4"/>
    <w:rsid w:val="00C7219A"/>
    <w:rsid w:val="00C72832"/>
    <w:rsid w:val="00C72E98"/>
    <w:rsid w:val="00C73740"/>
    <w:rsid w:val="00C73943"/>
    <w:rsid w:val="00C73C07"/>
    <w:rsid w:val="00C7480B"/>
    <w:rsid w:val="00C74A2E"/>
    <w:rsid w:val="00C74EFC"/>
    <w:rsid w:val="00C76E57"/>
    <w:rsid w:val="00C77704"/>
    <w:rsid w:val="00C7773A"/>
    <w:rsid w:val="00C77DB5"/>
    <w:rsid w:val="00C77EE1"/>
    <w:rsid w:val="00C8006E"/>
    <w:rsid w:val="00C800A8"/>
    <w:rsid w:val="00C801B8"/>
    <w:rsid w:val="00C8044C"/>
    <w:rsid w:val="00C805E0"/>
    <w:rsid w:val="00C80E74"/>
    <w:rsid w:val="00C81902"/>
    <w:rsid w:val="00C81A6B"/>
    <w:rsid w:val="00C81BCF"/>
    <w:rsid w:val="00C81DA0"/>
    <w:rsid w:val="00C82DF6"/>
    <w:rsid w:val="00C83A92"/>
    <w:rsid w:val="00C84190"/>
    <w:rsid w:val="00C848AA"/>
    <w:rsid w:val="00C848BA"/>
    <w:rsid w:val="00C84BE4"/>
    <w:rsid w:val="00C852C4"/>
    <w:rsid w:val="00C8530B"/>
    <w:rsid w:val="00C8626D"/>
    <w:rsid w:val="00C86EDF"/>
    <w:rsid w:val="00C875C3"/>
    <w:rsid w:val="00C9006E"/>
    <w:rsid w:val="00C908E7"/>
    <w:rsid w:val="00C90C3F"/>
    <w:rsid w:val="00C922BE"/>
    <w:rsid w:val="00C93097"/>
    <w:rsid w:val="00C93170"/>
    <w:rsid w:val="00C93A80"/>
    <w:rsid w:val="00C93A8D"/>
    <w:rsid w:val="00C93CE2"/>
    <w:rsid w:val="00C941DE"/>
    <w:rsid w:val="00C947D8"/>
    <w:rsid w:val="00C9492A"/>
    <w:rsid w:val="00C94B59"/>
    <w:rsid w:val="00C95675"/>
    <w:rsid w:val="00C95960"/>
    <w:rsid w:val="00C959ED"/>
    <w:rsid w:val="00C959FF"/>
    <w:rsid w:val="00C95CBC"/>
    <w:rsid w:val="00C9639A"/>
    <w:rsid w:val="00C96797"/>
    <w:rsid w:val="00C96E55"/>
    <w:rsid w:val="00C9794D"/>
    <w:rsid w:val="00CA071E"/>
    <w:rsid w:val="00CA0BD2"/>
    <w:rsid w:val="00CA0CF6"/>
    <w:rsid w:val="00CA1920"/>
    <w:rsid w:val="00CA201F"/>
    <w:rsid w:val="00CA2ABF"/>
    <w:rsid w:val="00CA363C"/>
    <w:rsid w:val="00CA3798"/>
    <w:rsid w:val="00CA4EAE"/>
    <w:rsid w:val="00CA551E"/>
    <w:rsid w:val="00CA59D9"/>
    <w:rsid w:val="00CA5CB6"/>
    <w:rsid w:val="00CA6AE6"/>
    <w:rsid w:val="00CA7033"/>
    <w:rsid w:val="00CA7BC9"/>
    <w:rsid w:val="00CB019F"/>
    <w:rsid w:val="00CB0EB1"/>
    <w:rsid w:val="00CB1FA0"/>
    <w:rsid w:val="00CB2125"/>
    <w:rsid w:val="00CB2251"/>
    <w:rsid w:val="00CB2DF4"/>
    <w:rsid w:val="00CB4EB6"/>
    <w:rsid w:val="00CB544C"/>
    <w:rsid w:val="00CB5558"/>
    <w:rsid w:val="00CB5BFE"/>
    <w:rsid w:val="00CB617D"/>
    <w:rsid w:val="00CB6230"/>
    <w:rsid w:val="00CB682F"/>
    <w:rsid w:val="00CB6D43"/>
    <w:rsid w:val="00CB748B"/>
    <w:rsid w:val="00CB7823"/>
    <w:rsid w:val="00CB790B"/>
    <w:rsid w:val="00CC1473"/>
    <w:rsid w:val="00CC249C"/>
    <w:rsid w:val="00CC28BA"/>
    <w:rsid w:val="00CC340B"/>
    <w:rsid w:val="00CC388B"/>
    <w:rsid w:val="00CC44EE"/>
    <w:rsid w:val="00CC4C29"/>
    <w:rsid w:val="00CC4DCC"/>
    <w:rsid w:val="00CC5C5B"/>
    <w:rsid w:val="00CC5E29"/>
    <w:rsid w:val="00CC6086"/>
    <w:rsid w:val="00CC671B"/>
    <w:rsid w:val="00CC7166"/>
    <w:rsid w:val="00CC719F"/>
    <w:rsid w:val="00CC7DCF"/>
    <w:rsid w:val="00CD10DE"/>
    <w:rsid w:val="00CD2FE2"/>
    <w:rsid w:val="00CD5AC9"/>
    <w:rsid w:val="00CD60E4"/>
    <w:rsid w:val="00CD6258"/>
    <w:rsid w:val="00CD635B"/>
    <w:rsid w:val="00CD6954"/>
    <w:rsid w:val="00CD7EF2"/>
    <w:rsid w:val="00CE1E2B"/>
    <w:rsid w:val="00CE2702"/>
    <w:rsid w:val="00CE4529"/>
    <w:rsid w:val="00CE4FFB"/>
    <w:rsid w:val="00CE606C"/>
    <w:rsid w:val="00CE6FDE"/>
    <w:rsid w:val="00CE749C"/>
    <w:rsid w:val="00CE7DAA"/>
    <w:rsid w:val="00CE7F62"/>
    <w:rsid w:val="00CF071A"/>
    <w:rsid w:val="00CF0795"/>
    <w:rsid w:val="00CF1B18"/>
    <w:rsid w:val="00CF427B"/>
    <w:rsid w:val="00CF45D6"/>
    <w:rsid w:val="00CF482A"/>
    <w:rsid w:val="00CF5161"/>
    <w:rsid w:val="00CF5215"/>
    <w:rsid w:val="00CF6083"/>
    <w:rsid w:val="00CF65E8"/>
    <w:rsid w:val="00CF694C"/>
    <w:rsid w:val="00CF6C27"/>
    <w:rsid w:val="00D0055B"/>
    <w:rsid w:val="00D00D87"/>
    <w:rsid w:val="00D017D2"/>
    <w:rsid w:val="00D01A86"/>
    <w:rsid w:val="00D01AFA"/>
    <w:rsid w:val="00D0270E"/>
    <w:rsid w:val="00D02F80"/>
    <w:rsid w:val="00D03CB9"/>
    <w:rsid w:val="00D05468"/>
    <w:rsid w:val="00D05EC5"/>
    <w:rsid w:val="00D062A9"/>
    <w:rsid w:val="00D072EE"/>
    <w:rsid w:val="00D074C8"/>
    <w:rsid w:val="00D10FCD"/>
    <w:rsid w:val="00D11488"/>
    <w:rsid w:val="00D13D74"/>
    <w:rsid w:val="00D13DD6"/>
    <w:rsid w:val="00D15D64"/>
    <w:rsid w:val="00D15E26"/>
    <w:rsid w:val="00D15FC1"/>
    <w:rsid w:val="00D160AF"/>
    <w:rsid w:val="00D1691C"/>
    <w:rsid w:val="00D1785A"/>
    <w:rsid w:val="00D179B3"/>
    <w:rsid w:val="00D17E63"/>
    <w:rsid w:val="00D17FFE"/>
    <w:rsid w:val="00D201AC"/>
    <w:rsid w:val="00D20ACE"/>
    <w:rsid w:val="00D20EDE"/>
    <w:rsid w:val="00D218FC"/>
    <w:rsid w:val="00D2216C"/>
    <w:rsid w:val="00D23428"/>
    <w:rsid w:val="00D2344D"/>
    <w:rsid w:val="00D23CCD"/>
    <w:rsid w:val="00D23DEE"/>
    <w:rsid w:val="00D252DC"/>
    <w:rsid w:val="00D264EB"/>
    <w:rsid w:val="00D26823"/>
    <w:rsid w:val="00D27B8C"/>
    <w:rsid w:val="00D305D1"/>
    <w:rsid w:val="00D31B87"/>
    <w:rsid w:val="00D32DA9"/>
    <w:rsid w:val="00D3348E"/>
    <w:rsid w:val="00D35E4E"/>
    <w:rsid w:val="00D36BA7"/>
    <w:rsid w:val="00D372F4"/>
    <w:rsid w:val="00D37343"/>
    <w:rsid w:val="00D37464"/>
    <w:rsid w:val="00D374FB"/>
    <w:rsid w:val="00D37500"/>
    <w:rsid w:val="00D3766C"/>
    <w:rsid w:val="00D401B8"/>
    <w:rsid w:val="00D4045D"/>
    <w:rsid w:val="00D40683"/>
    <w:rsid w:val="00D417C1"/>
    <w:rsid w:val="00D41B97"/>
    <w:rsid w:val="00D42084"/>
    <w:rsid w:val="00D42581"/>
    <w:rsid w:val="00D4339A"/>
    <w:rsid w:val="00D4366A"/>
    <w:rsid w:val="00D44729"/>
    <w:rsid w:val="00D45032"/>
    <w:rsid w:val="00D450E0"/>
    <w:rsid w:val="00D45CFF"/>
    <w:rsid w:val="00D45F6D"/>
    <w:rsid w:val="00D462ED"/>
    <w:rsid w:val="00D46475"/>
    <w:rsid w:val="00D46695"/>
    <w:rsid w:val="00D46ECA"/>
    <w:rsid w:val="00D506AE"/>
    <w:rsid w:val="00D5102D"/>
    <w:rsid w:val="00D513E7"/>
    <w:rsid w:val="00D514BF"/>
    <w:rsid w:val="00D52DD4"/>
    <w:rsid w:val="00D53611"/>
    <w:rsid w:val="00D54C10"/>
    <w:rsid w:val="00D54DDE"/>
    <w:rsid w:val="00D55093"/>
    <w:rsid w:val="00D5594F"/>
    <w:rsid w:val="00D562CF"/>
    <w:rsid w:val="00D566F8"/>
    <w:rsid w:val="00D5707A"/>
    <w:rsid w:val="00D575BC"/>
    <w:rsid w:val="00D57941"/>
    <w:rsid w:val="00D60138"/>
    <w:rsid w:val="00D6107A"/>
    <w:rsid w:val="00D61CCB"/>
    <w:rsid w:val="00D63055"/>
    <w:rsid w:val="00D63D68"/>
    <w:rsid w:val="00D63FEA"/>
    <w:rsid w:val="00D646A8"/>
    <w:rsid w:val="00D647BD"/>
    <w:rsid w:val="00D64D33"/>
    <w:rsid w:val="00D64EB4"/>
    <w:rsid w:val="00D64FB3"/>
    <w:rsid w:val="00D64FE5"/>
    <w:rsid w:val="00D6539E"/>
    <w:rsid w:val="00D655B3"/>
    <w:rsid w:val="00D65F2B"/>
    <w:rsid w:val="00D66185"/>
    <w:rsid w:val="00D6649A"/>
    <w:rsid w:val="00D665EC"/>
    <w:rsid w:val="00D67647"/>
    <w:rsid w:val="00D677F5"/>
    <w:rsid w:val="00D6785C"/>
    <w:rsid w:val="00D67D9C"/>
    <w:rsid w:val="00D67DB4"/>
    <w:rsid w:val="00D702AB"/>
    <w:rsid w:val="00D707C2"/>
    <w:rsid w:val="00D70876"/>
    <w:rsid w:val="00D71138"/>
    <w:rsid w:val="00D71251"/>
    <w:rsid w:val="00D723BB"/>
    <w:rsid w:val="00D72BAF"/>
    <w:rsid w:val="00D730C4"/>
    <w:rsid w:val="00D73626"/>
    <w:rsid w:val="00D752C4"/>
    <w:rsid w:val="00D7554E"/>
    <w:rsid w:val="00D76511"/>
    <w:rsid w:val="00D76875"/>
    <w:rsid w:val="00D81C93"/>
    <w:rsid w:val="00D81E1F"/>
    <w:rsid w:val="00D82123"/>
    <w:rsid w:val="00D82A45"/>
    <w:rsid w:val="00D82EF5"/>
    <w:rsid w:val="00D83B60"/>
    <w:rsid w:val="00D83C98"/>
    <w:rsid w:val="00D83F35"/>
    <w:rsid w:val="00D84E71"/>
    <w:rsid w:val="00D85F10"/>
    <w:rsid w:val="00D869CB"/>
    <w:rsid w:val="00D86C34"/>
    <w:rsid w:val="00D86EB4"/>
    <w:rsid w:val="00D87085"/>
    <w:rsid w:val="00D871CD"/>
    <w:rsid w:val="00D879A7"/>
    <w:rsid w:val="00D91F63"/>
    <w:rsid w:val="00D921FB"/>
    <w:rsid w:val="00D92535"/>
    <w:rsid w:val="00D92631"/>
    <w:rsid w:val="00D92BD4"/>
    <w:rsid w:val="00D93676"/>
    <w:rsid w:val="00D94232"/>
    <w:rsid w:val="00D94296"/>
    <w:rsid w:val="00D944F1"/>
    <w:rsid w:val="00D94716"/>
    <w:rsid w:val="00D947FA"/>
    <w:rsid w:val="00D94A96"/>
    <w:rsid w:val="00D9525C"/>
    <w:rsid w:val="00D954C9"/>
    <w:rsid w:val="00DA040D"/>
    <w:rsid w:val="00DA0684"/>
    <w:rsid w:val="00DA0CFF"/>
    <w:rsid w:val="00DA2318"/>
    <w:rsid w:val="00DA237E"/>
    <w:rsid w:val="00DA23A0"/>
    <w:rsid w:val="00DA2AA2"/>
    <w:rsid w:val="00DA3AE9"/>
    <w:rsid w:val="00DA4A67"/>
    <w:rsid w:val="00DA5958"/>
    <w:rsid w:val="00DA5962"/>
    <w:rsid w:val="00DA6B75"/>
    <w:rsid w:val="00DA71C8"/>
    <w:rsid w:val="00DA721F"/>
    <w:rsid w:val="00DA7644"/>
    <w:rsid w:val="00DA7B0D"/>
    <w:rsid w:val="00DB0844"/>
    <w:rsid w:val="00DB0A92"/>
    <w:rsid w:val="00DB126E"/>
    <w:rsid w:val="00DB13C1"/>
    <w:rsid w:val="00DB2B94"/>
    <w:rsid w:val="00DB2BB6"/>
    <w:rsid w:val="00DB34CF"/>
    <w:rsid w:val="00DB4284"/>
    <w:rsid w:val="00DB48FF"/>
    <w:rsid w:val="00DB4A4E"/>
    <w:rsid w:val="00DB563A"/>
    <w:rsid w:val="00DB5E96"/>
    <w:rsid w:val="00DB5FC5"/>
    <w:rsid w:val="00DB6F5D"/>
    <w:rsid w:val="00DB6FEB"/>
    <w:rsid w:val="00DB77F8"/>
    <w:rsid w:val="00DB7DD2"/>
    <w:rsid w:val="00DC0784"/>
    <w:rsid w:val="00DC0F0E"/>
    <w:rsid w:val="00DC1678"/>
    <w:rsid w:val="00DC17CF"/>
    <w:rsid w:val="00DC1CB7"/>
    <w:rsid w:val="00DC2F87"/>
    <w:rsid w:val="00DC397F"/>
    <w:rsid w:val="00DC3A7E"/>
    <w:rsid w:val="00DC3C63"/>
    <w:rsid w:val="00DC4D12"/>
    <w:rsid w:val="00DC6125"/>
    <w:rsid w:val="00DC63D3"/>
    <w:rsid w:val="00DC67EB"/>
    <w:rsid w:val="00DC6BE2"/>
    <w:rsid w:val="00DC7BB7"/>
    <w:rsid w:val="00DD0784"/>
    <w:rsid w:val="00DD091D"/>
    <w:rsid w:val="00DD0E88"/>
    <w:rsid w:val="00DD24DC"/>
    <w:rsid w:val="00DD3D86"/>
    <w:rsid w:val="00DD5297"/>
    <w:rsid w:val="00DD5A28"/>
    <w:rsid w:val="00DD5BEF"/>
    <w:rsid w:val="00DD68C4"/>
    <w:rsid w:val="00DD6D1F"/>
    <w:rsid w:val="00DD7285"/>
    <w:rsid w:val="00DD72D5"/>
    <w:rsid w:val="00DD750A"/>
    <w:rsid w:val="00DD76FD"/>
    <w:rsid w:val="00DD7B1A"/>
    <w:rsid w:val="00DE0520"/>
    <w:rsid w:val="00DE07EF"/>
    <w:rsid w:val="00DE158D"/>
    <w:rsid w:val="00DE213E"/>
    <w:rsid w:val="00DE26F5"/>
    <w:rsid w:val="00DE38AC"/>
    <w:rsid w:val="00DE3D2F"/>
    <w:rsid w:val="00DE4424"/>
    <w:rsid w:val="00DE45E9"/>
    <w:rsid w:val="00DE4B64"/>
    <w:rsid w:val="00DE542F"/>
    <w:rsid w:val="00DE6534"/>
    <w:rsid w:val="00DE678B"/>
    <w:rsid w:val="00DE6A7F"/>
    <w:rsid w:val="00DE78FD"/>
    <w:rsid w:val="00DF0081"/>
    <w:rsid w:val="00DF06BF"/>
    <w:rsid w:val="00DF082F"/>
    <w:rsid w:val="00DF2C56"/>
    <w:rsid w:val="00DF307F"/>
    <w:rsid w:val="00DF3CAA"/>
    <w:rsid w:val="00DF50CD"/>
    <w:rsid w:val="00DF5636"/>
    <w:rsid w:val="00DF5746"/>
    <w:rsid w:val="00DF5F2F"/>
    <w:rsid w:val="00DF6AE2"/>
    <w:rsid w:val="00DF6C0E"/>
    <w:rsid w:val="00DF6CF6"/>
    <w:rsid w:val="00DF6F11"/>
    <w:rsid w:val="00DF7FE2"/>
    <w:rsid w:val="00E017D8"/>
    <w:rsid w:val="00E026C8"/>
    <w:rsid w:val="00E02856"/>
    <w:rsid w:val="00E02B44"/>
    <w:rsid w:val="00E0371D"/>
    <w:rsid w:val="00E03854"/>
    <w:rsid w:val="00E039D7"/>
    <w:rsid w:val="00E04D94"/>
    <w:rsid w:val="00E05521"/>
    <w:rsid w:val="00E05B23"/>
    <w:rsid w:val="00E07AF0"/>
    <w:rsid w:val="00E07ED1"/>
    <w:rsid w:val="00E10366"/>
    <w:rsid w:val="00E103D7"/>
    <w:rsid w:val="00E11365"/>
    <w:rsid w:val="00E11ED3"/>
    <w:rsid w:val="00E13C39"/>
    <w:rsid w:val="00E150B7"/>
    <w:rsid w:val="00E15CE8"/>
    <w:rsid w:val="00E16018"/>
    <w:rsid w:val="00E16576"/>
    <w:rsid w:val="00E16AD6"/>
    <w:rsid w:val="00E16BF7"/>
    <w:rsid w:val="00E16CA4"/>
    <w:rsid w:val="00E17180"/>
    <w:rsid w:val="00E179FC"/>
    <w:rsid w:val="00E20BE6"/>
    <w:rsid w:val="00E20E66"/>
    <w:rsid w:val="00E220F6"/>
    <w:rsid w:val="00E22CF5"/>
    <w:rsid w:val="00E232C2"/>
    <w:rsid w:val="00E24345"/>
    <w:rsid w:val="00E2446E"/>
    <w:rsid w:val="00E24858"/>
    <w:rsid w:val="00E25DEF"/>
    <w:rsid w:val="00E26049"/>
    <w:rsid w:val="00E262BD"/>
    <w:rsid w:val="00E2640B"/>
    <w:rsid w:val="00E271DB"/>
    <w:rsid w:val="00E27253"/>
    <w:rsid w:val="00E27E72"/>
    <w:rsid w:val="00E31A29"/>
    <w:rsid w:val="00E31AD4"/>
    <w:rsid w:val="00E31E65"/>
    <w:rsid w:val="00E327A0"/>
    <w:rsid w:val="00E32965"/>
    <w:rsid w:val="00E33A64"/>
    <w:rsid w:val="00E3409F"/>
    <w:rsid w:val="00E34C1C"/>
    <w:rsid w:val="00E34C2B"/>
    <w:rsid w:val="00E352FA"/>
    <w:rsid w:val="00E36814"/>
    <w:rsid w:val="00E36D98"/>
    <w:rsid w:val="00E40585"/>
    <w:rsid w:val="00E40BD3"/>
    <w:rsid w:val="00E40F66"/>
    <w:rsid w:val="00E41B1D"/>
    <w:rsid w:val="00E41E35"/>
    <w:rsid w:val="00E41EF0"/>
    <w:rsid w:val="00E4235F"/>
    <w:rsid w:val="00E427F6"/>
    <w:rsid w:val="00E4293A"/>
    <w:rsid w:val="00E432AA"/>
    <w:rsid w:val="00E43FEE"/>
    <w:rsid w:val="00E451F8"/>
    <w:rsid w:val="00E45849"/>
    <w:rsid w:val="00E4737F"/>
    <w:rsid w:val="00E475E9"/>
    <w:rsid w:val="00E476C1"/>
    <w:rsid w:val="00E478E8"/>
    <w:rsid w:val="00E47A7B"/>
    <w:rsid w:val="00E47C82"/>
    <w:rsid w:val="00E5062D"/>
    <w:rsid w:val="00E50C00"/>
    <w:rsid w:val="00E50D4C"/>
    <w:rsid w:val="00E5135F"/>
    <w:rsid w:val="00E51B6B"/>
    <w:rsid w:val="00E51CD7"/>
    <w:rsid w:val="00E52101"/>
    <w:rsid w:val="00E52A94"/>
    <w:rsid w:val="00E52DB7"/>
    <w:rsid w:val="00E534A1"/>
    <w:rsid w:val="00E53F84"/>
    <w:rsid w:val="00E54471"/>
    <w:rsid w:val="00E54503"/>
    <w:rsid w:val="00E55409"/>
    <w:rsid w:val="00E55C98"/>
    <w:rsid w:val="00E55F0F"/>
    <w:rsid w:val="00E56DC8"/>
    <w:rsid w:val="00E5702F"/>
    <w:rsid w:val="00E5792F"/>
    <w:rsid w:val="00E57C74"/>
    <w:rsid w:val="00E60042"/>
    <w:rsid w:val="00E60210"/>
    <w:rsid w:val="00E60322"/>
    <w:rsid w:val="00E60923"/>
    <w:rsid w:val="00E609EC"/>
    <w:rsid w:val="00E60BF7"/>
    <w:rsid w:val="00E6136D"/>
    <w:rsid w:val="00E61CE7"/>
    <w:rsid w:val="00E61FFC"/>
    <w:rsid w:val="00E6227D"/>
    <w:rsid w:val="00E62C2C"/>
    <w:rsid w:val="00E62FE6"/>
    <w:rsid w:val="00E63804"/>
    <w:rsid w:val="00E64262"/>
    <w:rsid w:val="00E6487C"/>
    <w:rsid w:val="00E648FA"/>
    <w:rsid w:val="00E6548F"/>
    <w:rsid w:val="00E662D6"/>
    <w:rsid w:val="00E66BBC"/>
    <w:rsid w:val="00E67865"/>
    <w:rsid w:val="00E67E3F"/>
    <w:rsid w:val="00E71123"/>
    <w:rsid w:val="00E71FFE"/>
    <w:rsid w:val="00E72220"/>
    <w:rsid w:val="00E73065"/>
    <w:rsid w:val="00E73108"/>
    <w:rsid w:val="00E73855"/>
    <w:rsid w:val="00E73D83"/>
    <w:rsid w:val="00E73E1A"/>
    <w:rsid w:val="00E73EFA"/>
    <w:rsid w:val="00E7435C"/>
    <w:rsid w:val="00E74AA2"/>
    <w:rsid w:val="00E75677"/>
    <w:rsid w:val="00E75B7B"/>
    <w:rsid w:val="00E75B7F"/>
    <w:rsid w:val="00E76386"/>
    <w:rsid w:val="00E803DC"/>
    <w:rsid w:val="00E806EE"/>
    <w:rsid w:val="00E80D9A"/>
    <w:rsid w:val="00E80DC2"/>
    <w:rsid w:val="00E81D1A"/>
    <w:rsid w:val="00E81EED"/>
    <w:rsid w:val="00E8217C"/>
    <w:rsid w:val="00E8415A"/>
    <w:rsid w:val="00E848C9"/>
    <w:rsid w:val="00E84D67"/>
    <w:rsid w:val="00E84EED"/>
    <w:rsid w:val="00E8521C"/>
    <w:rsid w:val="00E85301"/>
    <w:rsid w:val="00E8583D"/>
    <w:rsid w:val="00E85902"/>
    <w:rsid w:val="00E86806"/>
    <w:rsid w:val="00E86D6A"/>
    <w:rsid w:val="00E871F0"/>
    <w:rsid w:val="00E872B4"/>
    <w:rsid w:val="00E8762A"/>
    <w:rsid w:val="00E87692"/>
    <w:rsid w:val="00E876DE"/>
    <w:rsid w:val="00E901B1"/>
    <w:rsid w:val="00E90399"/>
    <w:rsid w:val="00E90A96"/>
    <w:rsid w:val="00E90B77"/>
    <w:rsid w:val="00E91363"/>
    <w:rsid w:val="00E91B05"/>
    <w:rsid w:val="00E9315A"/>
    <w:rsid w:val="00E94279"/>
    <w:rsid w:val="00E942BA"/>
    <w:rsid w:val="00E94FF2"/>
    <w:rsid w:val="00E956FC"/>
    <w:rsid w:val="00E95A9D"/>
    <w:rsid w:val="00E973E0"/>
    <w:rsid w:val="00E974DB"/>
    <w:rsid w:val="00E97CFD"/>
    <w:rsid w:val="00E97F8C"/>
    <w:rsid w:val="00EA00FF"/>
    <w:rsid w:val="00EA0372"/>
    <w:rsid w:val="00EA046C"/>
    <w:rsid w:val="00EA0599"/>
    <w:rsid w:val="00EA0D52"/>
    <w:rsid w:val="00EA1D55"/>
    <w:rsid w:val="00EA2BBF"/>
    <w:rsid w:val="00EA3276"/>
    <w:rsid w:val="00EA3B02"/>
    <w:rsid w:val="00EA3B33"/>
    <w:rsid w:val="00EA3CA1"/>
    <w:rsid w:val="00EA3E40"/>
    <w:rsid w:val="00EA437D"/>
    <w:rsid w:val="00EA45D4"/>
    <w:rsid w:val="00EA592F"/>
    <w:rsid w:val="00EA5B60"/>
    <w:rsid w:val="00EA762D"/>
    <w:rsid w:val="00EB00D8"/>
    <w:rsid w:val="00EB067B"/>
    <w:rsid w:val="00EB1503"/>
    <w:rsid w:val="00EB1D1B"/>
    <w:rsid w:val="00EB34F0"/>
    <w:rsid w:val="00EB3BEC"/>
    <w:rsid w:val="00EB490D"/>
    <w:rsid w:val="00EB4990"/>
    <w:rsid w:val="00EB49A4"/>
    <w:rsid w:val="00EB4F17"/>
    <w:rsid w:val="00EB5C9A"/>
    <w:rsid w:val="00EB6527"/>
    <w:rsid w:val="00EB6754"/>
    <w:rsid w:val="00EB775A"/>
    <w:rsid w:val="00EB7B70"/>
    <w:rsid w:val="00EC0C23"/>
    <w:rsid w:val="00EC0FE9"/>
    <w:rsid w:val="00EC13FB"/>
    <w:rsid w:val="00EC14F5"/>
    <w:rsid w:val="00EC1592"/>
    <w:rsid w:val="00EC1687"/>
    <w:rsid w:val="00EC1D89"/>
    <w:rsid w:val="00EC3844"/>
    <w:rsid w:val="00EC3F1A"/>
    <w:rsid w:val="00EC4DE1"/>
    <w:rsid w:val="00EC4EAC"/>
    <w:rsid w:val="00EC520D"/>
    <w:rsid w:val="00EC5561"/>
    <w:rsid w:val="00EC5694"/>
    <w:rsid w:val="00EC610D"/>
    <w:rsid w:val="00EC62B2"/>
    <w:rsid w:val="00EC730A"/>
    <w:rsid w:val="00EC734A"/>
    <w:rsid w:val="00EC7799"/>
    <w:rsid w:val="00EC7A57"/>
    <w:rsid w:val="00ED09B0"/>
    <w:rsid w:val="00ED0D64"/>
    <w:rsid w:val="00ED10CC"/>
    <w:rsid w:val="00ED1450"/>
    <w:rsid w:val="00ED1628"/>
    <w:rsid w:val="00ED169C"/>
    <w:rsid w:val="00ED171C"/>
    <w:rsid w:val="00ED1C83"/>
    <w:rsid w:val="00ED24C1"/>
    <w:rsid w:val="00ED34E4"/>
    <w:rsid w:val="00ED37E1"/>
    <w:rsid w:val="00ED3806"/>
    <w:rsid w:val="00ED4FBE"/>
    <w:rsid w:val="00ED5243"/>
    <w:rsid w:val="00ED5920"/>
    <w:rsid w:val="00ED5BE5"/>
    <w:rsid w:val="00ED5F70"/>
    <w:rsid w:val="00ED66EA"/>
    <w:rsid w:val="00ED6AFC"/>
    <w:rsid w:val="00ED6FD4"/>
    <w:rsid w:val="00ED7450"/>
    <w:rsid w:val="00ED7BBD"/>
    <w:rsid w:val="00EE0EEE"/>
    <w:rsid w:val="00EE111E"/>
    <w:rsid w:val="00EE139A"/>
    <w:rsid w:val="00EE14FF"/>
    <w:rsid w:val="00EE17B4"/>
    <w:rsid w:val="00EE1AEC"/>
    <w:rsid w:val="00EE1C64"/>
    <w:rsid w:val="00EE2557"/>
    <w:rsid w:val="00EE2CF0"/>
    <w:rsid w:val="00EE2FC3"/>
    <w:rsid w:val="00EE419A"/>
    <w:rsid w:val="00EE4634"/>
    <w:rsid w:val="00EE473B"/>
    <w:rsid w:val="00EE4A88"/>
    <w:rsid w:val="00EE5978"/>
    <w:rsid w:val="00EE635C"/>
    <w:rsid w:val="00EE758D"/>
    <w:rsid w:val="00EE7D50"/>
    <w:rsid w:val="00EF0575"/>
    <w:rsid w:val="00EF0902"/>
    <w:rsid w:val="00EF0C41"/>
    <w:rsid w:val="00EF11CB"/>
    <w:rsid w:val="00EF26E5"/>
    <w:rsid w:val="00EF37C1"/>
    <w:rsid w:val="00EF3F76"/>
    <w:rsid w:val="00EF40AC"/>
    <w:rsid w:val="00EF4603"/>
    <w:rsid w:val="00EF55F3"/>
    <w:rsid w:val="00EF56DE"/>
    <w:rsid w:val="00EF6DDB"/>
    <w:rsid w:val="00EF767A"/>
    <w:rsid w:val="00EF7C1A"/>
    <w:rsid w:val="00F00114"/>
    <w:rsid w:val="00F00B5B"/>
    <w:rsid w:val="00F01519"/>
    <w:rsid w:val="00F02E99"/>
    <w:rsid w:val="00F033F2"/>
    <w:rsid w:val="00F03BF2"/>
    <w:rsid w:val="00F04826"/>
    <w:rsid w:val="00F04A0A"/>
    <w:rsid w:val="00F04FEF"/>
    <w:rsid w:val="00F06E95"/>
    <w:rsid w:val="00F07309"/>
    <w:rsid w:val="00F07352"/>
    <w:rsid w:val="00F0767A"/>
    <w:rsid w:val="00F07D46"/>
    <w:rsid w:val="00F111A9"/>
    <w:rsid w:val="00F11916"/>
    <w:rsid w:val="00F119E6"/>
    <w:rsid w:val="00F121F4"/>
    <w:rsid w:val="00F12394"/>
    <w:rsid w:val="00F128ED"/>
    <w:rsid w:val="00F13574"/>
    <w:rsid w:val="00F142FC"/>
    <w:rsid w:val="00F14559"/>
    <w:rsid w:val="00F15E6C"/>
    <w:rsid w:val="00F16801"/>
    <w:rsid w:val="00F17C8D"/>
    <w:rsid w:val="00F20A62"/>
    <w:rsid w:val="00F2104C"/>
    <w:rsid w:val="00F21805"/>
    <w:rsid w:val="00F21CF6"/>
    <w:rsid w:val="00F21E4B"/>
    <w:rsid w:val="00F23024"/>
    <w:rsid w:val="00F2380F"/>
    <w:rsid w:val="00F23C89"/>
    <w:rsid w:val="00F23D2A"/>
    <w:rsid w:val="00F246AD"/>
    <w:rsid w:val="00F248BB"/>
    <w:rsid w:val="00F2491F"/>
    <w:rsid w:val="00F24C97"/>
    <w:rsid w:val="00F24D42"/>
    <w:rsid w:val="00F25636"/>
    <w:rsid w:val="00F26365"/>
    <w:rsid w:val="00F268AA"/>
    <w:rsid w:val="00F26C60"/>
    <w:rsid w:val="00F277BA"/>
    <w:rsid w:val="00F27C62"/>
    <w:rsid w:val="00F30C7B"/>
    <w:rsid w:val="00F30D0C"/>
    <w:rsid w:val="00F3111D"/>
    <w:rsid w:val="00F31458"/>
    <w:rsid w:val="00F316C2"/>
    <w:rsid w:val="00F32552"/>
    <w:rsid w:val="00F3271D"/>
    <w:rsid w:val="00F339EF"/>
    <w:rsid w:val="00F33C2D"/>
    <w:rsid w:val="00F34051"/>
    <w:rsid w:val="00F345B0"/>
    <w:rsid w:val="00F34E79"/>
    <w:rsid w:val="00F35250"/>
    <w:rsid w:val="00F35334"/>
    <w:rsid w:val="00F35AE2"/>
    <w:rsid w:val="00F35FB1"/>
    <w:rsid w:val="00F361BF"/>
    <w:rsid w:val="00F3687F"/>
    <w:rsid w:val="00F36C4E"/>
    <w:rsid w:val="00F378EB"/>
    <w:rsid w:val="00F37F91"/>
    <w:rsid w:val="00F400CE"/>
    <w:rsid w:val="00F40FEB"/>
    <w:rsid w:val="00F41CDA"/>
    <w:rsid w:val="00F41E6C"/>
    <w:rsid w:val="00F42D5B"/>
    <w:rsid w:val="00F450A6"/>
    <w:rsid w:val="00F4514E"/>
    <w:rsid w:val="00F45159"/>
    <w:rsid w:val="00F45BB5"/>
    <w:rsid w:val="00F47144"/>
    <w:rsid w:val="00F47327"/>
    <w:rsid w:val="00F47473"/>
    <w:rsid w:val="00F47D35"/>
    <w:rsid w:val="00F50189"/>
    <w:rsid w:val="00F5099E"/>
    <w:rsid w:val="00F50AD0"/>
    <w:rsid w:val="00F50BD4"/>
    <w:rsid w:val="00F51B49"/>
    <w:rsid w:val="00F523A2"/>
    <w:rsid w:val="00F52B76"/>
    <w:rsid w:val="00F53007"/>
    <w:rsid w:val="00F53DBB"/>
    <w:rsid w:val="00F5451C"/>
    <w:rsid w:val="00F54BC0"/>
    <w:rsid w:val="00F54BE5"/>
    <w:rsid w:val="00F54CF4"/>
    <w:rsid w:val="00F5682E"/>
    <w:rsid w:val="00F56912"/>
    <w:rsid w:val="00F570AB"/>
    <w:rsid w:val="00F578E0"/>
    <w:rsid w:val="00F600B2"/>
    <w:rsid w:val="00F601E2"/>
    <w:rsid w:val="00F6037E"/>
    <w:rsid w:val="00F62042"/>
    <w:rsid w:val="00F626CA"/>
    <w:rsid w:val="00F627C1"/>
    <w:rsid w:val="00F62AD1"/>
    <w:rsid w:val="00F6504B"/>
    <w:rsid w:val="00F657B1"/>
    <w:rsid w:val="00F65E89"/>
    <w:rsid w:val="00F66499"/>
    <w:rsid w:val="00F67031"/>
    <w:rsid w:val="00F67D1B"/>
    <w:rsid w:val="00F7001C"/>
    <w:rsid w:val="00F702C9"/>
    <w:rsid w:val="00F705F6"/>
    <w:rsid w:val="00F72333"/>
    <w:rsid w:val="00F7272D"/>
    <w:rsid w:val="00F7277A"/>
    <w:rsid w:val="00F73D75"/>
    <w:rsid w:val="00F74050"/>
    <w:rsid w:val="00F746C6"/>
    <w:rsid w:val="00F74DEB"/>
    <w:rsid w:val="00F751CD"/>
    <w:rsid w:val="00F76B14"/>
    <w:rsid w:val="00F7794D"/>
    <w:rsid w:val="00F80258"/>
    <w:rsid w:val="00F805C0"/>
    <w:rsid w:val="00F809A3"/>
    <w:rsid w:val="00F80AD3"/>
    <w:rsid w:val="00F8342D"/>
    <w:rsid w:val="00F8374D"/>
    <w:rsid w:val="00F837B6"/>
    <w:rsid w:val="00F850D1"/>
    <w:rsid w:val="00F859B3"/>
    <w:rsid w:val="00F86C23"/>
    <w:rsid w:val="00F878C8"/>
    <w:rsid w:val="00F90640"/>
    <w:rsid w:val="00F9197D"/>
    <w:rsid w:val="00F91A98"/>
    <w:rsid w:val="00F92CD8"/>
    <w:rsid w:val="00F9308C"/>
    <w:rsid w:val="00F931A5"/>
    <w:rsid w:val="00F93760"/>
    <w:rsid w:val="00F93A28"/>
    <w:rsid w:val="00F94061"/>
    <w:rsid w:val="00F947E8"/>
    <w:rsid w:val="00F94D50"/>
    <w:rsid w:val="00F95A23"/>
    <w:rsid w:val="00F95D23"/>
    <w:rsid w:val="00F96206"/>
    <w:rsid w:val="00F966B6"/>
    <w:rsid w:val="00F974E9"/>
    <w:rsid w:val="00F97ADD"/>
    <w:rsid w:val="00FA01AC"/>
    <w:rsid w:val="00FA0A31"/>
    <w:rsid w:val="00FA0D18"/>
    <w:rsid w:val="00FA1499"/>
    <w:rsid w:val="00FA2A22"/>
    <w:rsid w:val="00FA3F41"/>
    <w:rsid w:val="00FA4140"/>
    <w:rsid w:val="00FA453B"/>
    <w:rsid w:val="00FA488A"/>
    <w:rsid w:val="00FA4C10"/>
    <w:rsid w:val="00FA6051"/>
    <w:rsid w:val="00FA6F5E"/>
    <w:rsid w:val="00FA709D"/>
    <w:rsid w:val="00FA7DA4"/>
    <w:rsid w:val="00FA7DC9"/>
    <w:rsid w:val="00FB05C8"/>
    <w:rsid w:val="00FB0903"/>
    <w:rsid w:val="00FB1183"/>
    <w:rsid w:val="00FB12E7"/>
    <w:rsid w:val="00FB1313"/>
    <w:rsid w:val="00FB1653"/>
    <w:rsid w:val="00FB241B"/>
    <w:rsid w:val="00FB2CC7"/>
    <w:rsid w:val="00FB2F3B"/>
    <w:rsid w:val="00FB3101"/>
    <w:rsid w:val="00FB33F3"/>
    <w:rsid w:val="00FB3CC4"/>
    <w:rsid w:val="00FB41FF"/>
    <w:rsid w:val="00FB4658"/>
    <w:rsid w:val="00FB4EB7"/>
    <w:rsid w:val="00FB574E"/>
    <w:rsid w:val="00FB581D"/>
    <w:rsid w:val="00FB5ADD"/>
    <w:rsid w:val="00FB5B2C"/>
    <w:rsid w:val="00FB791F"/>
    <w:rsid w:val="00FB7C6D"/>
    <w:rsid w:val="00FB7D53"/>
    <w:rsid w:val="00FC0156"/>
    <w:rsid w:val="00FC0A0B"/>
    <w:rsid w:val="00FC0B87"/>
    <w:rsid w:val="00FC0DD3"/>
    <w:rsid w:val="00FC15CC"/>
    <w:rsid w:val="00FC1A15"/>
    <w:rsid w:val="00FC1B64"/>
    <w:rsid w:val="00FC1C75"/>
    <w:rsid w:val="00FC1D3A"/>
    <w:rsid w:val="00FC2132"/>
    <w:rsid w:val="00FC2E59"/>
    <w:rsid w:val="00FC3A50"/>
    <w:rsid w:val="00FC444C"/>
    <w:rsid w:val="00FC4887"/>
    <w:rsid w:val="00FC4B76"/>
    <w:rsid w:val="00FC4F26"/>
    <w:rsid w:val="00FC5426"/>
    <w:rsid w:val="00FC6E7A"/>
    <w:rsid w:val="00FC75D3"/>
    <w:rsid w:val="00FC774D"/>
    <w:rsid w:val="00FC7885"/>
    <w:rsid w:val="00FC7D12"/>
    <w:rsid w:val="00FD08CD"/>
    <w:rsid w:val="00FD0BFD"/>
    <w:rsid w:val="00FD111E"/>
    <w:rsid w:val="00FD1C65"/>
    <w:rsid w:val="00FD1C67"/>
    <w:rsid w:val="00FD1DAB"/>
    <w:rsid w:val="00FD1EBA"/>
    <w:rsid w:val="00FD2C22"/>
    <w:rsid w:val="00FD3D5E"/>
    <w:rsid w:val="00FD5309"/>
    <w:rsid w:val="00FD6485"/>
    <w:rsid w:val="00FD6BEB"/>
    <w:rsid w:val="00FE0619"/>
    <w:rsid w:val="00FE09D2"/>
    <w:rsid w:val="00FE11DB"/>
    <w:rsid w:val="00FE22F4"/>
    <w:rsid w:val="00FE32EC"/>
    <w:rsid w:val="00FE5276"/>
    <w:rsid w:val="00FE5450"/>
    <w:rsid w:val="00FE6335"/>
    <w:rsid w:val="00FE6755"/>
    <w:rsid w:val="00FE77C3"/>
    <w:rsid w:val="00FE7963"/>
    <w:rsid w:val="00FE7B70"/>
    <w:rsid w:val="00FE7B77"/>
    <w:rsid w:val="00FF0A45"/>
    <w:rsid w:val="00FF0B82"/>
    <w:rsid w:val="00FF0C6B"/>
    <w:rsid w:val="00FF0CC2"/>
    <w:rsid w:val="00FF0F93"/>
    <w:rsid w:val="00FF1043"/>
    <w:rsid w:val="00FF1CF8"/>
    <w:rsid w:val="00FF25DD"/>
    <w:rsid w:val="00FF2638"/>
    <w:rsid w:val="00FF2861"/>
    <w:rsid w:val="00FF2AB7"/>
    <w:rsid w:val="00FF3725"/>
    <w:rsid w:val="00FF403E"/>
    <w:rsid w:val="00FF4241"/>
    <w:rsid w:val="00FF474C"/>
    <w:rsid w:val="00FF546C"/>
    <w:rsid w:val="00FF5702"/>
    <w:rsid w:val="00FF5A32"/>
    <w:rsid w:val="00FF600C"/>
    <w:rsid w:val="00FF6242"/>
    <w:rsid w:val="00FF6A26"/>
    <w:rsid w:val="00FF757A"/>
    <w:rsid w:val="00FF7A4E"/>
    <w:rsid w:val="00FF7BC2"/>
    <w:rsid w:val="00FF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76545"/>
    <o:shapelayout v:ext="edit">
      <o:idmap v:ext="edit" data="1"/>
    </o:shapelayout>
  </w:shapeDefaults>
  <w:decimalSymbol w:val="."/>
  <w:listSeparator w:val=","/>
  <w14:docId w14:val="703FA197"/>
  <w15:docId w15:val="{E914C419-4B20-4FCC-B556-201CC9BA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95A"/>
    <w:rPr>
      <w:rFonts w:ascii="Arial" w:hAnsi="Arial"/>
      <w:szCs w:val="24"/>
    </w:rPr>
  </w:style>
  <w:style w:type="paragraph" w:styleId="Heading1">
    <w:name w:val="heading 1"/>
    <w:aliases w:val="A Head,H1-Sec.Head"/>
    <w:basedOn w:val="Normal"/>
    <w:next w:val="Normal"/>
    <w:link w:val="Heading1Char"/>
    <w:qFormat/>
    <w:rsid w:val="0005295A"/>
    <w:pPr>
      <w:keepNext/>
      <w:spacing w:after="360"/>
      <w:jc w:val="center"/>
      <w:outlineLvl w:val="0"/>
    </w:pPr>
    <w:rPr>
      <w:b/>
      <w:bCs/>
      <w:kern w:val="32"/>
      <w:sz w:val="32"/>
      <w:szCs w:val="32"/>
    </w:rPr>
  </w:style>
  <w:style w:type="paragraph" w:styleId="Heading2">
    <w:name w:val="heading 2"/>
    <w:aliases w:val="H2-Sec. Head"/>
    <w:basedOn w:val="Normal"/>
    <w:next w:val="Normal"/>
    <w:link w:val="Heading2Char"/>
    <w:qFormat/>
    <w:rsid w:val="00836D67"/>
    <w:pPr>
      <w:keepNext/>
      <w:spacing w:after="360"/>
      <w:jc w:val="center"/>
      <w:outlineLvl w:val="1"/>
    </w:pPr>
    <w:rPr>
      <w:b/>
      <w:i/>
      <w:sz w:val="28"/>
    </w:rPr>
  </w:style>
  <w:style w:type="paragraph" w:styleId="Heading3">
    <w:name w:val="heading 3"/>
    <w:aliases w:val="H3-Sec. Head"/>
    <w:basedOn w:val="Normal"/>
    <w:next w:val="Normal"/>
    <w:link w:val="Heading3Char"/>
    <w:qFormat/>
    <w:rsid w:val="0005295A"/>
    <w:pPr>
      <w:keepNext/>
      <w:spacing w:before="240" w:after="60"/>
      <w:outlineLvl w:val="2"/>
    </w:pPr>
    <w:rPr>
      <w:rFonts w:cs="Arial"/>
      <w:b/>
      <w:bCs/>
      <w:sz w:val="22"/>
      <w:szCs w:val="26"/>
    </w:rPr>
  </w:style>
  <w:style w:type="paragraph" w:styleId="Heading4">
    <w:name w:val="heading 4"/>
    <w:aliases w:val="subhead 3,h4"/>
    <w:basedOn w:val="Normal"/>
    <w:next w:val="Normal"/>
    <w:qFormat/>
    <w:rsid w:val="00836D67"/>
    <w:pPr>
      <w:keepNext/>
      <w:outlineLvl w:val="3"/>
    </w:pPr>
    <w:rPr>
      <w:b/>
    </w:rPr>
  </w:style>
  <w:style w:type="paragraph" w:styleId="Heading5">
    <w:name w:val="heading 5"/>
    <w:basedOn w:val="Normal"/>
    <w:next w:val="Normal"/>
    <w:qFormat/>
    <w:rsid w:val="00836D67"/>
    <w:pPr>
      <w:keepNext/>
      <w:ind w:right="360"/>
      <w:outlineLvl w:val="4"/>
    </w:pPr>
    <w:rPr>
      <w:i/>
      <w:iCs/>
    </w:rPr>
  </w:style>
  <w:style w:type="paragraph" w:styleId="Heading6">
    <w:name w:val="heading 6"/>
    <w:basedOn w:val="Normal"/>
    <w:next w:val="Normal"/>
    <w:qFormat/>
    <w:rsid w:val="00836D67"/>
    <w:pPr>
      <w:keepNext/>
      <w:tabs>
        <w:tab w:val="left" w:pos="360"/>
      </w:tabs>
      <w:outlineLvl w:val="5"/>
    </w:pPr>
    <w:rPr>
      <w:bCs/>
      <w:i/>
    </w:rPr>
  </w:style>
  <w:style w:type="paragraph" w:styleId="Heading7">
    <w:name w:val="heading 7"/>
    <w:basedOn w:val="Normal"/>
    <w:next w:val="Normal"/>
    <w:link w:val="Heading7Char"/>
    <w:qFormat/>
    <w:rsid w:val="00836D67"/>
    <w:pPr>
      <w:keepNext/>
      <w:spacing w:after="240" w:line="600" w:lineRule="exact"/>
      <w:jc w:val="right"/>
      <w:outlineLvl w:val="6"/>
    </w:pPr>
    <w:rPr>
      <w:b/>
      <w:i/>
      <w:smallCaps/>
      <w:sz w:val="48"/>
    </w:rPr>
  </w:style>
  <w:style w:type="paragraph" w:styleId="Heading8">
    <w:name w:val="heading 8"/>
    <w:basedOn w:val="Normal"/>
    <w:next w:val="Normal"/>
    <w:link w:val="Heading8Char"/>
    <w:qFormat/>
    <w:rsid w:val="00BF3DF9"/>
    <w:pPr>
      <w:keepNext/>
      <w:outlineLvl w:val="7"/>
    </w:pPr>
    <w:rPr>
      <w:i/>
    </w:rPr>
  </w:style>
  <w:style w:type="paragraph" w:styleId="Heading9">
    <w:name w:val="heading 9"/>
    <w:basedOn w:val="Normal"/>
    <w:next w:val="Normal"/>
    <w:qFormat/>
    <w:rsid w:val="00836D67"/>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1"/>
    <w:rsid w:val="0005295A"/>
    <w:pPr>
      <w:spacing w:before="180"/>
    </w:pPr>
    <w:rPr>
      <w:rFonts w:ascii="Arial" w:hAnsi="Arial"/>
      <w:szCs w:val="24"/>
    </w:rPr>
  </w:style>
  <w:style w:type="paragraph" w:customStyle="1" w:styleId="StdText">
    <w:name w:val="Std Text"/>
    <w:basedOn w:val="Body"/>
    <w:rsid w:val="00836D67"/>
    <w:rPr>
      <w:b/>
    </w:rPr>
  </w:style>
  <w:style w:type="paragraph" w:customStyle="1" w:styleId="StdIndent1">
    <w:name w:val="Std Indent 1"/>
    <w:basedOn w:val="StdText"/>
    <w:rsid w:val="00836D67"/>
    <w:pPr>
      <w:ind w:left="1714" w:hanging="994"/>
    </w:pPr>
  </w:style>
  <w:style w:type="paragraph" w:customStyle="1" w:styleId="StdIndent2">
    <w:name w:val="Std Indent 2"/>
    <w:basedOn w:val="StdIndent1"/>
    <w:rsid w:val="00836D67"/>
    <w:pPr>
      <w:ind w:left="2880" w:hanging="1166"/>
    </w:pPr>
  </w:style>
  <w:style w:type="paragraph" w:customStyle="1" w:styleId="SectionHead">
    <w:name w:val="Section Head"/>
    <w:basedOn w:val="Heading1"/>
    <w:rsid w:val="00AC649F"/>
    <w:pPr>
      <w:keepNext w:val="0"/>
      <w:widowControl w:val="0"/>
      <w:spacing w:after="240"/>
    </w:pPr>
  </w:style>
  <w:style w:type="paragraph" w:customStyle="1" w:styleId="StdTitle">
    <w:name w:val="Std Title"/>
    <w:basedOn w:val="SectionHead"/>
    <w:rsid w:val="00836D67"/>
    <w:pPr>
      <w:tabs>
        <w:tab w:val="right" w:pos="9720"/>
      </w:tabs>
      <w:spacing w:after="0"/>
      <w:jc w:val="left"/>
    </w:pPr>
    <w:rPr>
      <w:sz w:val="28"/>
    </w:rPr>
  </w:style>
  <w:style w:type="paragraph" w:customStyle="1" w:styleId="MainHead">
    <w:name w:val="Main Head"/>
    <w:basedOn w:val="SectionHead"/>
    <w:rsid w:val="00836D67"/>
    <w:pPr>
      <w:pBdr>
        <w:bottom w:val="single" w:sz="12" w:space="1" w:color="auto"/>
      </w:pBdr>
      <w:spacing w:before="240" w:after="0"/>
      <w:jc w:val="left"/>
      <w:outlineLvl w:val="2"/>
    </w:pPr>
    <w:rPr>
      <w:sz w:val="24"/>
    </w:rPr>
  </w:style>
  <w:style w:type="paragraph" w:customStyle="1" w:styleId="SubHead">
    <w:name w:val="Sub Head"/>
    <w:basedOn w:val="Heading3"/>
    <w:rsid w:val="00C81902"/>
    <w:pPr>
      <w:pBdr>
        <w:bottom w:val="single" w:sz="6" w:space="2" w:color="auto"/>
      </w:pBdr>
      <w:spacing w:after="0"/>
    </w:pPr>
    <w:rPr>
      <w:szCs w:val="24"/>
    </w:rPr>
  </w:style>
  <w:style w:type="paragraph" w:customStyle="1" w:styleId="AnswerText">
    <w:name w:val="Answer Text"/>
    <w:basedOn w:val="Normal"/>
    <w:rsid w:val="00836D67"/>
    <w:pPr>
      <w:widowControl w:val="0"/>
      <w:tabs>
        <w:tab w:val="left" w:pos="994"/>
        <w:tab w:val="left" w:pos="1627"/>
        <w:tab w:val="left" w:pos="2074"/>
      </w:tabs>
      <w:ind w:left="547"/>
    </w:pPr>
  </w:style>
  <w:style w:type="paragraph" w:customStyle="1" w:styleId="Bullet">
    <w:name w:val="Bullet"/>
    <w:link w:val="BulletChar"/>
    <w:rsid w:val="0005295A"/>
    <w:pPr>
      <w:numPr>
        <w:numId w:val="1"/>
      </w:numPr>
      <w:tabs>
        <w:tab w:val="left" w:pos="576"/>
      </w:tabs>
      <w:spacing w:before="120"/>
      <w:ind w:left="576"/>
    </w:pPr>
    <w:rPr>
      <w:rFonts w:ascii="Arial" w:hAnsi="Arial"/>
      <w:szCs w:val="24"/>
    </w:rPr>
  </w:style>
  <w:style w:type="paragraph" w:customStyle="1" w:styleId="Dash">
    <w:name w:val="Dash"/>
    <w:rsid w:val="0005295A"/>
    <w:pPr>
      <w:numPr>
        <w:numId w:val="2"/>
      </w:numPr>
      <w:spacing w:before="60"/>
    </w:pPr>
    <w:rPr>
      <w:rFonts w:ascii="Arial" w:hAnsi="Arial"/>
      <w:szCs w:val="24"/>
    </w:rPr>
  </w:style>
  <w:style w:type="paragraph" w:customStyle="1" w:styleId="ProcessBullet">
    <w:name w:val="Process Bullet"/>
    <w:link w:val="ProcessBulletChar"/>
    <w:rsid w:val="0005295A"/>
    <w:pPr>
      <w:numPr>
        <w:numId w:val="5"/>
      </w:numPr>
      <w:spacing w:before="120"/>
    </w:pPr>
    <w:rPr>
      <w:rFonts w:ascii="Arial" w:hAnsi="Arial"/>
      <w:szCs w:val="24"/>
    </w:rPr>
  </w:style>
  <w:style w:type="paragraph" w:customStyle="1" w:styleId="ProcessDash">
    <w:name w:val="Process Dash"/>
    <w:rsid w:val="0005295A"/>
    <w:pPr>
      <w:numPr>
        <w:numId w:val="6"/>
      </w:numPr>
      <w:tabs>
        <w:tab w:val="clear" w:pos="432"/>
        <w:tab w:val="left" w:pos="216"/>
      </w:tabs>
      <w:spacing w:before="60"/>
    </w:pPr>
    <w:rPr>
      <w:rFonts w:ascii="Arial" w:hAnsi="Arial"/>
      <w:szCs w:val="24"/>
    </w:rPr>
  </w:style>
  <w:style w:type="paragraph" w:customStyle="1" w:styleId="ScoringGuideline">
    <w:name w:val="Scoring Guideline"/>
    <w:basedOn w:val="Heading1"/>
    <w:rsid w:val="00836D67"/>
    <w:pPr>
      <w:spacing w:after="120"/>
    </w:pPr>
    <w:rPr>
      <w:smallCaps/>
    </w:rPr>
  </w:style>
  <w:style w:type="paragraph" w:customStyle="1" w:styleId="StdHead">
    <w:name w:val="Std Head"/>
    <w:basedOn w:val="Heading2"/>
    <w:next w:val="Body"/>
    <w:qFormat/>
    <w:rsid w:val="00AC649F"/>
    <w:pPr>
      <w:widowControl w:val="0"/>
      <w:pBdr>
        <w:top w:val="single" w:sz="6" w:space="2" w:color="auto"/>
        <w:left w:val="single" w:sz="6" w:space="2" w:color="auto"/>
        <w:bottom w:val="single" w:sz="6" w:space="2" w:color="auto"/>
        <w:right w:val="single" w:sz="6" w:space="2" w:color="auto"/>
      </w:pBdr>
      <w:shd w:val="clear" w:color="auto" w:fill="000000"/>
      <w:spacing w:before="360" w:after="0"/>
      <w:jc w:val="left"/>
    </w:pPr>
    <w:rPr>
      <w:i w:val="0"/>
      <w:sz w:val="22"/>
      <w:szCs w:val="28"/>
    </w:rPr>
  </w:style>
  <w:style w:type="paragraph" w:styleId="BodyTextIndent2">
    <w:name w:val="Body Text Indent 2"/>
    <w:basedOn w:val="Normal"/>
    <w:link w:val="BodyTextIndent2Char"/>
    <w:rsid w:val="00836D67"/>
    <w:pPr>
      <w:numPr>
        <w:ilvl w:val="12"/>
      </w:numPr>
      <w:spacing w:after="240" w:line="260" w:lineRule="exact"/>
      <w:ind w:left="360"/>
    </w:pPr>
    <w:rPr>
      <w:snapToGrid w:val="0"/>
    </w:rPr>
  </w:style>
  <w:style w:type="paragraph" w:styleId="Header">
    <w:name w:val="header"/>
    <w:link w:val="HeaderChar"/>
    <w:rsid w:val="0005295A"/>
    <w:pPr>
      <w:pBdr>
        <w:bottom w:val="single" w:sz="6" w:space="1" w:color="auto"/>
      </w:pBdr>
      <w:tabs>
        <w:tab w:val="right" w:pos="9000"/>
        <w:tab w:val="right" w:pos="9720"/>
      </w:tabs>
      <w:spacing w:before="120" w:after="360"/>
    </w:pPr>
    <w:rPr>
      <w:rFonts w:ascii="Arial" w:hAnsi="Arial"/>
      <w:b/>
      <w:i/>
      <w:szCs w:val="24"/>
    </w:rPr>
  </w:style>
  <w:style w:type="paragraph" w:styleId="Footer">
    <w:name w:val="footer"/>
    <w:basedOn w:val="Normal"/>
    <w:link w:val="FooterChar"/>
    <w:rsid w:val="0005295A"/>
    <w:pPr>
      <w:pBdr>
        <w:top w:val="single" w:sz="8" w:space="1" w:color="auto"/>
      </w:pBdr>
      <w:tabs>
        <w:tab w:val="right" w:pos="9720"/>
      </w:tabs>
      <w:spacing w:before="240" w:after="120" w:line="260" w:lineRule="exact"/>
    </w:pPr>
    <w:rPr>
      <w:b/>
      <w:szCs w:val="20"/>
    </w:rPr>
  </w:style>
  <w:style w:type="paragraph" w:customStyle="1" w:styleId="StandardTitle">
    <w:name w:val="Standard Title"/>
    <w:basedOn w:val="MainHead"/>
    <w:rsid w:val="00836D67"/>
    <w:pPr>
      <w:pBdr>
        <w:bottom w:val="none" w:sz="0" w:space="0" w:color="auto"/>
      </w:pBdr>
      <w:spacing w:before="0"/>
    </w:pPr>
    <w:rPr>
      <w:sz w:val="28"/>
    </w:rPr>
  </w:style>
  <w:style w:type="paragraph" w:customStyle="1" w:styleId="TableHead">
    <w:name w:val="Table Head"/>
    <w:link w:val="TableHeadChar"/>
    <w:rsid w:val="0005295A"/>
    <w:pPr>
      <w:spacing w:before="40" w:after="40" w:line="200" w:lineRule="exact"/>
      <w:jc w:val="center"/>
    </w:pPr>
    <w:rPr>
      <w:rFonts w:ascii="Arial Narrow" w:hAnsi="Arial Narrow"/>
      <w:b/>
      <w:color w:val="FFFFFF"/>
    </w:rPr>
  </w:style>
  <w:style w:type="paragraph" w:customStyle="1" w:styleId="MoreInfo">
    <w:name w:val="More Info"/>
    <w:basedOn w:val="Normal"/>
    <w:rsid w:val="00836D67"/>
    <w:pPr>
      <w:spacing w:before="240"/>
      <w:jc w:val="center"/>
    </w:pPr>
    <w:rPr>
      <w:b/>
      <w:i/>
    </w:rPr>
  </w:style>
  <w:style w:type="paragraph" w:customStyle="1" w:styleId="Note">
    <w:name w:val="Note"/>
    <w:link w:val="NoteChar"/>
    <w:rsid w:val="0005295A"/>
    <w:pPr>
      <w:spacing w:before="120"/>
    </w:pPr>
    <w:rPr>
      <w:rFonts w:ascii="Arial" w:hAnsi="Arial"/>
      <w:i/>
      <w:szCs w:val="24"/>
    </w:rPr>
  </w:style>
  <w:style w:type="paragraph" w:customStyle="1" w:styleId="StdIndent3">
    <w:name w:val="Std Indent 3"/>
    <w:basedOn w:val="StdIndent2"/>
    <w:rsid w:val="00836D67"/>
    <w:pPr>
      <w:ind w:left="4046"/>
    </w:pPr>
  </w:style>
  <w:style w:type="paragraph" w:customStyle="1" w:styleId="TableText">
    <w:name w:val="Table Text"/>
    <w:link w:val="TableTextChar"/>
    <w:rsid w:val="0005295A"/>
    <w:pPr>
      <w:spacing w:before="40" w:after="40" w:line="200" w:lineRule="exact"/>
    </w:pPr>
    <w:rPr>
      <w:rFonts w:ascii="Arial Narrow" w:hAnsi="Arial Narrow"/>
      <w:szCs w:val="19"/>
    </w:rPr>
  </w:style>
  <w:style w:type="paragraph" w:customStyle="1" w:styleId="StdIndent4">
    <w:name w:val="Std Indent 4"/>
    <w:basedOn w:val="StdIndent3"/>
    <w:rsid w:val="00836D67"/>
    <w:pPr>
      <w:ind w:left="5400" w:hanging="1354"/>
    </w:pPr>
  </w:style>
  <w:style w:type="paragraph" w:customStyle="1" w:styleId="IndentBullet">
    <w:name w:val="Indent Bullet"/>
    <w:basedOn w:val="Body"/>
    <w:rsid w:val="00836D67"/>
    <w:pPr>
      <w:tabs>
        <w:tab w:val="num" w:pos="360"/>
      </w:tabs>
      <w:spacing w:before="20" w:after="20"/>
      <w:ind w:left="993" w:hanging="187"/>
    </w:pPr>
  </w:style>
  <w:style w:type="paragraph" w:customStyle="1" w:styleId="TableBullet">
    <w:name w:val="Table Bullet"/>
    <w:link w:val="TableBulletChar"/>
    <w:rsid w:val="00217CD7"/>
    <w:pPr>
      <w:numPr>
        <w:numId w:val="3"/>
      </w:numPr>
      <w:tabs>
        <w:tab w:val="clear" w:pos="306"/>
      </w:tabs>
      <w:spacing w:before="40" w:after="40" w:line="200" w:lineRule="exact"/>
      <w:ind w:left="158" w:hanging="158"/>
    </w:pPr>
    <w:rPr>
      <w:rFonts w:ascii="Arial Narrow" w:hAnsi="Arial Narrow"/>
      <w:szCs w:val="24"/>
    </w:rPr>
  </w:style>
  <w:style w:type="character" w:styleId="Hyperlink">
    <w:name w:val="Hyperlink"/>
    <w:basedOn w:val="DefaultParagraphFont"/>
    <w:uiPriority w:val="99"/>
    <w:rsid w:val="000B554F"/>
    <w:rPr>
      <w:color w:val="0000FF"/>
      <w:u w:val="single"/>
    </w:rPr>
  </w:style>
  <w:style w:type="paragraph" w:customStyle="1" w:styleId="IndentNormal">
    <w:name w:val="Indent Normal"/>
    <w:basedOn w:val="Normal"/>
    <w:next w:val="Normal"/>
    <w:rsid w:val="00836D67"/>
    <w:pPr>
      <w:spacing w:before="60" w:after="60"/>
    </w:pPr>
  </w:style>
  <w:style w:type="character" w:styleId="FootnoteReference">
    <w:name w:val="footnote reference"/>
    <w:basedOn w:val="DefaultParagraphFont"/>
    <w:rsid w:val="00836D67"/>
    <w:rPr>
      <w:vertAlign w:val="superscript"/>
    </w:rPr>
  </w:style>
  <w:style w:type="paragraph" w:styleId="TOC1">
    <w:name w:val="toc 1"/>
    <w:basedOn w:val="Normal"/>
    <w:next w:val="Normal"/>
    <w:autoRedefine/>
    <w:uiPriority w:val="39"/>
    <w:rsid w:val="002300AB"/>
    <w:pPr>
      <w:tabs>
        <w:tab w:val="right" w:leader="dot" w:pos="9710"/>
      </w:tabs>
      <w:spacing w:before="120"/>
    </w:pPr>
  </w:style>
  <w:style w:type="paragraph" w:styleId="FootnoteText">
    <w:name w:val="footnote text"/>
    <w:aliases w:val="F1"/>
    <w:basedOn w:val="Normal"/>
    <w:link w:val="FootnoteTextChar"/>
    <w:rsid w:val="00836D67"/>
    <w:rPr>
      <w:rFonts w:ascii="CG Times" w:hAnsi="CG Times"/>
    </w:rPr>
  </w:style>
  <w:style w:type="paragraph" w:customStyle="1" w:styleId="StyleMarginSubheadItalic">
    <w:name w:val="Style Margin Subhead + Italic"/>
    <w:basedOn w:val="MarginSubhead"/>
    <w:rsid w:val="00836D67"/>
    <w:pPr>
      <w:ind w:left="0"/>
    </w:pPr>
    <w:rPr>
      <w:bCs/>
      <w:i/>
      <w:iCs/>
    </w:rPr>
  </w:style>
  <w:style w:type="paragraph" w:customStyle="1" w:styleId="MarginSubhead">
    <w:name w:val="Margin Subhead"/>
    <w:rsid w:val="0005295A"/>
    <w:pPr>
      <w:spacing w:before="180"/>
      <w:ind w:left="216"/>
    </w:pPr>
    <w:rPr>
      <w:rFonts w:ascii="Arial" w:hAnsi="Arial"/>
      <w:b/>
      <w:szCs w:val="24"/>
    </w:rPr>
  </w:style>
  <w:style w:type="paragraph" w:customStyle="1" w:styleId="Footnote">
    <w:name w:val="Footnote"/>
    <w:basedOn w:val="Normal"/>
    <w:rsid w:val="00836D67"/>
    <w:pPr>
      <w:spacing w:line="220" w:lineRule="exact"/>
      <w:jc w:val="center"/>
    </w:pPr>
    <w:rPr>
      <w:rFonts w:ascii="Arial Narrow Bold" w:hAnsi="Arial Narrow Bold"/>
      <w:b/>
      <w:color w:val="FFFFFF"/>
    </w:rPr>
  </w:style>
  <w:style w:type="paragraph" w:customStyle="1" w:styleId="MarginHead">
    <w:name w:val="Margin Head"/>
    <w:rsid w:val="0005295A"/>
    <w:pPr>
      <w:spacing w:before="180"/>
    </w:pPr>
    <w:rPr>
      <w:rFonts w:ascii="Arial" w:hAnsi="Arial"/>
      <w:b/>
      <w:sz w:val="22"/>
      <w:szCs w:val="24"/>
    </w:rPr>
  </w:style>
  <w:style w:type="paragraph" w:styleId="MessageHeader">
    <w:name w:val="Message Header"/>
    <w:basedOn w:val="Normal"/>
    <w:rsid w:val="00836D67"/>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styleId="LineNumber">
    <w:name w:val="line number"/>
    <w:basedOn w:val="DefaultParagraphFont"/>
    <w:rsid w:val="00836D67"/>
  </w:style>
  <w:style w:type="paragraph" w:styleId="BodyText">
    <w:name w:val="Body Text"/>
    <w:basedOn w:val="Normal"/>
    <w:link w:val="BodyTextChar"/>
    <w:rsid w:val="00836D67"/>
    <w:rPr>
      <w:b/>
      <w:sz w:val="40"/>
    </w:rPr>
  </w:style>
  <w:style w:type="character" w:styleId="FollowedHyperlink">
    <w:name w:val="FollowedHyperlink"/>
    <w:basedOn w:val="DefaultParagraphFont"/>
    <w:rsid w:val="00836D67"/>
    <w:rPr>
      <w:color w:val="800080"/>
      <w:u w:val="single"/>
    </w:rPr>
  </w:style>
  <w:style w:type="paragraph" w:customStyle="1" w:styleId="ElementNumber">
    <w:name w:val="Element Number"/>
    <w:basedOn w:val="Body"/>
    <w:rsid w:val="00836D67"/>
    <w:pPr>
      <w:ind w:left="720" w:hanging="360"/>
    </w:pPr>
    <w:rPr>
      <w:b/>
    </w:rPr>
  </w:style>
  <w:style w:type="paragraph" w:customStyle="1" w:styleId="Question">
    <w:name w:val="Question"/>
    <w:basedOn w:val="Normal"/>
    <w:rsid w:val="00836D67"/>
    <w:pPr>
      <w:widowControl w:val="0"/>
      <w:tabs>
        <w:tab w:val="left" w:pos="547"/>
      </w:tabs>
      <w:spacing w:before="240" w:after="120"/>
      <w:ind w:left="547" w:hanging="547"/>
    </w:pPr>
    <w:rPr>
      <w:b/>
    </w:rPr>
  </w:style>
  <w:style w:type="paragraph" w:customStyle="1" w:styleId="QuestionText">
    <w:name w:val="Question Text"/>
    <w:basedOn w:val="Question"/>
    <w:rsid w:val="00836D67"/>
    <w:pPr>
      <w:spacing w:before="120" w:after="0"/>
      <w:ind w:left="0" w:firstLine="0"/>
    </w:pPr>
  </w:style>
  <w:style w:type="paragraph" w:customStyle="1" w:styleId="ColumnHead">
    <w:name w:val="Column Head"/>
    <w:basedOn w:val="Normal"/>
    <w:rsid w:val="00836D67"/>
    <w:pPr>
      <w:pBdr>
        <w:bottom w:val="single" w:sz="12" w:space="1" w:color="auto"/>
      </w:pBdr>
      <w:jc w:val="center"/>
    </w:pPr>
    <w:rPr>
      <w:b/>
      <w:sz w:val="26"/>
    </w:rPr>
  </w:style>
  <w:style w:type="paragraph" w:customStyle="1" w:styleId="SUbhead0">
    <w:name w:val="SUbhead"/>
    <w:basedOn w:val="Note"/>
    <w:rsid w:val="00836D67"/>
    <w:rPr>
      <w:b/>
    </w:rPr>
  </w:style>
  <w:style w:type="paragraph" w:styleId="BodyTextIndent">
    <w:name w:val="Body Text Indent"/>
    <w:basedOn w:val="Normal"/>
    <w:link w:val="BodyTextIndentChar"/>
    <w:rsid w:val="00836D67"/>
    <w:pPr>
      <w:tabs>
        <w:tab w:val="right" w:leader="dot" w:pos="9720"/>
      </w:tabs>
      <w:ind w:left="1260" w:hanging="180"/>
    </w:pPr>
  </w:style>
  <w:style w:type="paragraph" w:customStyle="1" w:styleId="TableDash">
    <w:name w:val="Table Dash"/>
    <w:rsid w:val="0005295A"/>
    <w:pPr>
      <w:numPr>
        <w:numId w:val="4"/>
      </w:numPr>
      <w:tabs>
        <w:tab w:val="clear" w:pos="432"/>
      </w:tabs>
      <w:ind w:left="374" w:hanging="158"/>
    </w:pPr>
    <w:rPr>
      <w:rFonts w:ascii="Arial Narrow" w:hAnsi="Arial Narrow"/>
      <w:szCs w:val="24"/>
    </w:rPr>
  </w:style>
  <w:style w:type="paragraph" w:customStyle="1" w:styleId="TOCtext">
    <w:name w:val="TOC text"/>
    <w:basedOn w:val="Normal"/>
    <w:rsid w:val="00836D67"/>
    <w:pPr>
      <w:tabs>
        <w:tab w:val="right" w:leader="dot" w:pos="9720"/>
      </w:tabs>
      <w:ind w:left="540"/>
    </w:pPr>
  </w:style>
  <w:style w:type="character" w:customStyle="1" w:styleId="StyleMarginSubheadItalicChar">
    <w:name w:val="Style Margin Subhead + Italic Char"/>
    <w:basedOn w:val="DefaultParagraphFont"/>
    <w:rsid w:val="00836D67"/>
    <w:rPr>
      <w:rFonts w:ascii="Arial" w:hAnsi="Arial"/>
      <w:b/>
      <w:bCs/>
      <w:i/>
      <w:iCs/>
      <w:noProof w:val="0"/>
      <w:sz w:val="22"/>
      <w:lang w:val="en-US" w:eastAsia="en-US" w:bidi="ar-SA"/>
    </w:rPr>
  </w:style>
  <w:style w:type="paragraph" w:customStyle="1" w:styleId="StyleMarginHeadBefore0pt">
    <w:name w:val="Style Margin Head + Before:  0 pt"/>
    <w:basedOn w:val="MarginHead"/>
    <w:rsid w:val="00836D67"/>
    <w:pPr>
      <w:spacing w:before="0"/>
    </w:pPr>
    <w:rPr>
      <w:bCs/>
    </w:rPr>
  </w:style>
  <w:style w:type="paragraph" w:customStyle="1" w:styleId="StyleTableBullet11">
    <w:name w:val="Style Table Bullet + 11"/>
    <w:basedOn w:val="TableBullet"/>
    <w:rsid w:val="0086582E"/>
    <w:pPr>
      <w:numPr>
        <w:numId w:val="0"/>
      </w:numPr>
      <w:spacing w:line="220" w:lineRule="exact"/>
    </w:pPr>
    <w:rPr>
      <w:sz w:val="22"/>
    </w:rPr>
  </w:style>
  <w:style w:type="character" w:styleId="PageNumber">
    <w:name w:val="page number"/>
    <w:basedOn w:val="DefaultParagraphFont"/>
    <w:rsid w:val="00836D67"/>
  </w:style>
  <w:style w:type="paragraph" w:styleId="BalloonText">
    <w:name w:val="Balloon Text"/>
    <w:basedOn w:val="Normal"/>
    <w:link w:val="BalloonTextChar"/>
    <w:semiHidden/>
    <w:rsid w:val="00836D67"/>
    <w:rPr>
      <w:rFonts w:ascii="Tahoma" w:hAnsi="Tahoma" w:cs="Tahoma"/>
      <w:sz w:val="16"/>
      <w:szCs w:val="16"/>
    </w:rPr>
  </w:style>
  <w:style w:type="paragraph" w:styleId="CommentText">
    <w:name w:val="annotation text"/>
    <w:basedOn w:val="Normal"/>
    <w:link w:val="CommentTextChar"/>
    <w:rsid w:val="00836D67"/>
  </w:style>
  <w:style w:type="character" w:styleId="CommentReference">
    <w:name w:val="annotation reference"/>
    <w:basedOn w:val="DefaultParagraphFont"/>
    <w:uiPriority w:val="99"/>
    <w:semiHidden/>
    <w:rsid w:val="00836D67"/>
    <w:rPr>
      <w:sz w:val="16"/>
      <w:szCs w:val="16"/>
    </w:rPr>
  </w:style>
  <w:style w:type="character" w:customStyle="1" w:styleId="BodyChar">
    <w:name w:val="Body Char"/>
    <w:basedOn w:val="DefaultParagraphFont"/>
    <w:rsid w:val="00836D67"/>
    <w:rPr>
      <w:rFonts w:ascii="Arial" w:hAnsi="Arial"/>
      <w:szCs w:val="24"/>
      <w:lang w:val="en-US" w:eastAsia="en-US" w:bidi="ar-SA"/>
    </w:rPr>
  </w:style>
  <w:style w:type="paragraph" w:styleId="CommentSubject">
    <w:name w:val="annotation subject"/>
    <w:basedOn w:val="CommentText"/>
    <w:next w:val="CommentText"/>
    <w:link w:val="CommentSubjectChar"/>
    <w:semiHidden/>
    <w:rsid w:val="00836D67"/>
    <w:rPr>
      <w:b/>
      <w:bCs/>
      <w:szCs w:val="20"/>
    </w:rPr>
  </w:style>
  <w:style w:type="table" w:styleId="TableGrid">
    <w:name w:val="Table Grid"/>
    <w:basedOn w:val="TableNormal"/>
    <w:rsid w:val="00EE6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basedOn w:val="DefaultParagraphFont"/>
    <w:link w:val="TableText"/>
    <w:rsid w:val="003845BE"/>
    <w:rPr>
      <w:rFonts w:ascii="Arial Narrow" w:hAnsi="Arial Narrow"/>
      <w:szCs w:val="19"/>
    </w:rPr>
  </w:style>
  <w:style w:type="character" w:customStyle="1" w:styleId="NoteChar">
    <w:name w:val="Note Char"/>
    <w:basedOn w:val="DefaultParagraphFont"/>
    <w:link w:val="Note"/>
    <w:rsid w:val="00405E0F"/>
    <w:rPr>
      <w:rFonts w:ascii="Arial" w:hAnsi="Arial"/>
      <w:i/>
      <w:szCs w:val="24"/>
    </w:rPr>
  </w:style>
  <w:style w:type="character" w:customStyle="1" w:styleId="BulletChar">
    <w:name w:val="Bullet Char"/>
    <w:basedOn w:val="DefaultParagraphFont"/>
    <w:link w:val="Bullet"/>
    <w:rsid w:val="0022566A"/>
    <w:rPr>
      <w:rFonts w:ascii="Arial" w:hAnsi="Arial"/>
      <w:szCs w:val="24"/>
    </w:rPr>
  </w:style>
  <w:style w:type="character" w:customStyle="1" w:styleId="ProcessBulletChar">
    <w:name w:val="Process Bullet Char"/>
    <w:basedOn w:val="DefaultParagraphFont"/>
    <w:link w:val="ProcessBullet"/>
    <w:rsid w:val="0022566A"/>
    <w:rPr>
      <w:rFonts w:ascii="Arial" w:hAnsi="Arial"/>
      <w:szCs w:val="24"/>
    </w:rPr>
  </w:style>
  <w:style w:type="character" w:customStyle="1" w:styleId="BodyChar1">
    <w:name w:val="Body Char1"/>
    <w:basedOn w:val="DefaultParagraphFont"/>
    <w:link w:val="Body"/>
    <w:rsid w:val="006B256D"/>
    <w:rPr>
      <w:rFonts w:ascii="Arial" w:hAnsi="Arial"/>
      <w:szCs w:val="24"/>
    </w:rPr>
  </w:style>
  <w:style w:type="paragraph" w:customStyle="1" w:styleId="StyleTableHeadArialNarrow">
    <w:name w:val="Style Table Head + Arial Narrow"/>
    <w:basedOn w:val="TableHead"/>
    <w:link w:val="StyleTableHeadArialNarrowChar"/>
    <w:rsid w:val="008411EF"/>
    <w:rPr>
      <w:bCs/>
    </w:rPr>
  </w:style>
  <w:style w:type="paragraph" w:styleId="Date">
    <w:name w:val="Date"/>
    <w:basedOn w:val="Normal"/>
    <w:next w:val="Normal"/>
    <w:link w:val="DateChar"/>
    <w:rsid w:val="009D7272"/>
  </w:style>
  <w:style w:type="character" w:customStyle="1" w:styleId="StyleTableHeadArialNarrowChar">
    <w:name w:val="Style Table Head + Arial Narrow Char"/>
    <w:basedOn w:val="DefaultParagraphFont"/>
    <w:link w:val="StyleTableHeadArialNarrow"/>
    <w:rsid w:val="008411EF"/>
    <w:rPr>
      <w:rFonts w:ascii="Arial Narrow" w:hAnsi="Arial Narrow"/>
      <w:b/>
      <w:bCs/>
      <w:color w:val="FFFFFF"/>
      <w:lang w:val="en-US" w:eastAsia="en-US" w:bidi="ar-SA"/>
    </w:rPr>
  </w:style>
  <w:style w:type="character" w:customStyle="1" w:styleId="TableHeadChar">
    <w:name w:val="Table Head Char"/>
    <w:basedOn w:val="DefaultParagraphFont"/>
    <w:link w:val="TableHead"/>
    <w:rsid w:val="008411EF"/>
    <w:rPr>
      <w:rFonts w:ascii="Arial Narrow" w:hAnsi="Arial Narrow"/>
      <w:b/>
      <w:color w:val="FFFFFF"/>
    </w:rPr>
  </w:style>
  <w:style w:type="character" w:customStyle="1" w:styleId="TableBulletChar">
    <w:name w:val="Table Bullet Char"/>
    <w:basedOn w:val="DefaultParagraphFont"/>
    <w:link w:val="TableBullet"/>
    <w:rsid w:val="00217CD7"/>
    <w:rPr>
      <w:rFonts w:ascii="Arial Narrow" w:hAnsi="Arial Narrow"/>
      <w:szCs w:val="24"/>
    </w:rPr>
  </w:style>
  <w:style w:type="paragraph" w:styleId="ListParagraph">
    <w:name w:val="List Paragraph"/>
    <w:basedOn w:val="Normal"/>
    <w:uiPriority w:val="34"/>
    <w:qFormat/>
    <w:rsid w:val="00A0280B"/>
    <w:pPr>
      <w:ind w:left="720"/>
    </w:pPr>
  </w:style>
  <w:style w:type="character" w:customStyle="1" w:styleId="BodyTextChar">
    <w:name w:val="Body Text Char"/>
    <w:basedOn w:val="DefaultParagraphFont"/>
    <w:link w:val="BodyText"/>
    <w:rsid w:val="00187F6D"/>
    <w:rPr>
      <w:b/>
      <w:sz w:val="40"/>
      <w:szCs w:val="24"/>
    </w:rPr>
  </w:style>
  <w:style w:type="character" w:customStyle="1" w:styleId="BodyTextIndentChar">
    <w:name w:val="Body Text Indent Char"/>
    <w:basedOn w:val="DefaultParagraphFont"/>
    <w:link w:val="BodyTextIndent"/>
    <w:rsid w:val="00187F6D"/>
    <w:rPr>
      <w:sz w:val="22"/>
      <w:szCs w:val="24"/>
    </w:rPr>
  </w:style>
  <w:style w:type="paragraph" w:styleId="Revision">
    <w:name w:val="Revision"/>
    <w:hidden/>
    <w:uiPriority w:val="99"/>
    <w:semiHidden/>
    <w:rsid w:val="00A82E4B"/>
    <w:rPr>
      <w:rFonts w:ascii="Arial" w:hAnsi="Arial"/>
      <w:szCs w:val="24"/>
    </w:rPr>
  </w:style>
  <w:style w:type="character" w:customStyle="1" w:styleId="Heading1Char">
    <w:name w:val="Heading 1 Char"/>
    <w:aliases w:val="A Head Char,H1-Sec.Head Char"/>
    <w:basedOn w:val="DefaultParagraphFont"/>
    <w:link w:val="Heading1"/>
    <w:rsid w:val="0005295A"/>
    <w:rPr>
      <w:rFonts w:ascii="Arial" w:hAnsi="Arial"/>
      <w:b/>
      <w:bCs/>
      <w:kern w:val="32"/>
      <w:sz w:val="32"/>
      <w:szCs w:val="32"/>
    </w:rPr>
  </w:style>
  <w:style w:type="character" w:customStyle="1" w:styleId="Heading3Char">
    <w:name w:val="Heading 3 Char"/>
    <w:aliases w:val="H3-Sec. Head Char"/>
    <w:basedOn w:val="DefaultParagraphFont"/>
    <w:link w:val="Heading3"/>
    <w:rsid w:val="00067E0E"/>
    <w:rPr>
      <w:rFonts w:ascii="Arial" w:hAnsi="Arial" w:cs="Arial"/>
      <w:b/>
      <w:bCs/>
      <w:sz w:val="22"/>
      <w:szCs w:val="26"/>
    </w:rPr>
  </w:style>
  <w:style w:type="character" w:customStyle="1" w:styleId="BodyTextIndent2Char">
    <w:name w:val="Body Text Indent 2 Char"/>
    <w:basedOn w:val="DefaultParagraphFont"/>
    <w:link w:val="BodyTextIndent2"/>
    <w:rsid w:val="003428D6"/>
    <w:rPr>
      <w:rFonts w:ascii="Arial" w:hAnsi="Arial"/>
      <w:snapToGrid w:val="0"/>
      <w:sz w:val="22"/>
      <w:szCs w:val="24"/>
    </w:rPr>
  </w:style>
  <w:style w:type="character" w:customStyle="1" w:styleId="HeaderChar">
    <w:name w:val="Header Char"/>
    <w:basedOn w:val="DefaultParagraphFont"/>
    <w:link w:val="Header"/>
    <w:rsid w:val="003428D6"/>
    <w:rPr>
      <w:rFonts w:ascii="Arial" w:hAnsi="Arial"/>
      <w:b/>
      <w:i/>
      <w:szCs w:val="24"/>
    </w:rPr>
  </w:style>
  <w:style w:type="character" w:customStyle="1" w:styleId="CommentTextChar">
    <w:name w:val="Comment Text Char"/>
    <w:basedOn w:val="DefaultParagraphFont"/>
    <w:link w:val="CommentText"/>
    <w:rsid w:val="003428D6"/>
    <w:rPr>
      <w:rFonts w:ascii="Arial" w:hAnsi="Arial"/>
      <w:szCs w:val="24"/>
    </w:rPr>
  </w:style>
  <w:style w:type="paragraph" w:customStyle="1" w:styleId="Breakpage">
    <w:name w:val="Break page"/>
    <w:basedOn w:val="Body"/>
    <w:link w:val="BreakpageChar"/>
    <w:qFormat/>
    <w:rsid w:val="0005295A"/>
    <w:pPr>
      <w:spacing w:before="0"/>
      <w:jc w:val="right"/>
    </w:pPr>
    <w:rPr>
      <w:b/>
      <w:sz w:val="48"/>
    </w:rPr>
  </w:style>
  <w:style w:type="paragraph" w:customStyle="1" w:styleId="BulletBefore0pt">
    <w:name w:val="Bullet + Before:  0 pt"/>
    <w:basedOn w:val="Bullet"/>
    <w:rsid w:val="00B126EA"/>
    <w:pPr>
      <w:numPr>
        <w:numId w:val="0"/>
      </w:numPr>
      <w:tabs>
        <w:tab w:val="left" w:pos="576"/>
      </w:tabs>
      <w:spacing w:before="0"/>
      <w:ind w:left="576" w:hanging="216"/>
    </w:pPr>
  </w:style>
  <w:style w:type="paragraph" w:styleId="PlainText">
    <w:name w:val="Plain Text"/>
    <w:basedOn w:val="Normal"/>
    <w:link w:val="PlainTextChar"/>
    <w:uiPriority w:val="99"/>
    <w:unhideWhenUsed/>
    <w:rsid w:val="006A5A36"/>
    <w:rPr>
      <w:rFonts w:ascii="Consolas" w:eastAsia="Calibri" w:hAnsi="Consolas"/>
      <w:sz w:val="21"/>
      <w:szCs w:val="21"/>
    </w:rPr>
  </w:style>
  <w:style w:type="character" w:customStyle="1" w:styleId="PlainTextChar">
    <w:name w:val="Plain Text Char"/>
    <w:basedOn w:val="DefaultParagraphFont"/>
    <w:link w:val="PlainText"/>
    <w:uiPriority w:val="99"/>
    <w:rsid w:val="006A5A36"/>
    <w:rPr>
      <w:rFonts w:ascii="Consolas" w:eastAsia="Calibri" w:hAnsi="Consolas"/>
      <w:sz w:val="21"/>
      <w:szCs w:val="21"/>
    </w:rPr>
  </w:style>
  <w:style w:type="paragraph" w:customStyle="1" w:styleId="Memo">
    <w:name w:val="Memo"/>
    <w:basedOn w:val="Body"/>
    <w:rsid w:val="0005295A"/>
    <w:rPr>
      <w:rFonts w:ascii="Times New Roman" w:hAnsi="Times New Roman"/>
      <w:sz w:val="24"/>
    </w:rPr>
  </w:style>
  <w:style w:type="paragraph" w:customStyle="1" w:styleId="Letter">
    <w:name w:val="Letter"/>
    <w:qFormat/>
    <w:rsid w:val="00047AC1"/>
    <w:pPr>
      <w:spacing w:before="180"/>
    </w:pPr>
    <w:rPr>
      <w:sz w:val="24"/>
      <w:szCs w:val="24"/>
    </w:rPr>
  </w:style>
  <w:style w:type="paragraph" w:styleId="NoSpacing">
    <w:name w:val="No Spacing"/>
    <w:uiPriority w:val="1"/>
    <w:qFormat/>
    <w:rsid w:val="0096074B"/>
    <w:rPr>
      <w:sz w:val="24"/>
      <w:szCs w:val="24"/>
    </w:rPr>
  </w:style>
  <w:style w:type="paragraph" w:customStyle="1" w:styleId="Default">
    <w:name w:val="Default"/>
    <w:rsid w:val="00A048C1"/>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rsid w:val="00E16576"/>
    <w:rPr>
      <w:rFonts w:ascii="Arial" w:hAnsi="Arial"/>
      <w:b/>
    </w:rPr>
  </w:style>
  <w:style w:type="paragraph" w:customStyle="1" w:styleId="ElementHead">
    <w:name w:val="Element Head"/>
    <w:basedOn w:val="MainHead"/>
    <w:rsid w:val="002A7B9B"/>
    <w:pPr>
      <w:widowControl/>
      <w:pBdr>
        <w:bottom w:val="none" w:sz="0" w:space="0" w:color="auto"/>
      </w:pBdr>
      <w:spacing w:before="180"/>
    </w:pPr>
    <w:rPr>
      <w:i/>
      <w:sz w:val="20"/>
    </w:rPr>
  </w:style>
  <w:style w:type="paragraph" w:customStyle="1" w:styleId="TableText2">
    <w:name w:val="Table Text 2"/>
    <w:basedOn w:val="Normal"/>
    <w:rsid w:val="002A7B9B"/>
    <w:pPr>
      <w:spacing w:before="40" w:after="40" w:line="200" w:lineRule="exact"/>
    </w:pPr>
    <w:rPr>
      <w:rFonts w:ascii="Arial Narrow" w:hAnsi="Arial Narrow"/>
      <w:sz w:val="19"/>
    </w:rPr>
  </w:style>
  <w:style w:type="paragraph" w:customStyle="1" w:styleId="TableHead2">
    <w:name w:val="Table Head 2"/>
    <w:basedOn w:val="TableText2"/>
    <w:rsid w:val="002A7B9B"/>
    <w:pPr>
      <w:spacing w:before="0" w:after="0" w:line="220" w:lineRule="exact"/>
      <w:jc w:val="center"/>
    </w:pPr>
    <w:rPr>
      <w:rFonts w:ascii="Arial Narrow Bold" w:hAnsi="Arial Narrow Bold"/>
      <w:b/>
      <w:color w:val="FFFFFF"/>
      <w:sz w:val="20"/>
    </w:rPr>
  </w:style>
  <w:style w:type="paragraph" w:customStyle="1" w:styleId="TableBullet2">
    <w:name w:val="Table Bullet 2"/>
    <w:basedOn w:val="TableText2"/>
    <w:rsid w:val="002A7B9B"/>
    <w:pPr>
      <w:ind w:left="158" w:hanging="158"/>
    </w:pPr>
  </w:style>
  <w:style w:type="paragraph" w:customStyle="1" w:styleId="RqtText">
    <w:name w:val="Rqt Text"/>
    <w:basedOn w:val="StdText"/>
    <w:rsid w:val="002A7B9B"/>
  </w:style>
  <w:style w:type="paragraph" w:customStyle="1" w:styleId="RqtBox">
    <w:name w:val="Rqt Box"/>
    <w:basedOn w:val="RqtText"/>
    <w:rsid w:val="002A7B9B"/>
    <w:pPr>
      <w:spacing w:before="120"/>
      <w:ind w:left="1800" w:hanging="360"/>
    </w:pPr>
  </w:style>
  <w:style w:type="paragraph" w:customStyle="1" w:styleId="RqtHead">
    <w:name w:val="Rqt Head"/>
    <w:basedOn w:val="MainHead"/>
    <w:rsid w:val="002A7B9B"/>
    <w:pPr>
      <w:widowControl/>
      <w:tabs>
        <w:tab w:val="right" w:pos="9720"/>
      </w:tabs>
      <w:spacing w:before="360"/>
    </w:pPr>
  </w:style>
  <w:style w:type="paragraph" w:customStyle="1" w:styleId="RqtTitle">
    <w:name w:val="Rqt Title"/>
    <w:basedOn w:val="StandardTitle"/>
    <w:rsid w:val="002A7B9B"/>
    <w:pPr>
      <w:widowControl/>
      <w:tabs>
        <w:tab w:val="right" w:pos="9720"/>
      </w:tabs>
    </w:pPr>
  </w:style>
  <w:style w:type="paragraph" w:customStyle="1" w:styleId="Style1">
    <w:name w:val="Style1"/>
    <w:basedOn w:val="TableBullet2"/>
    <w:rsid w:val="002A7B9B"/>
  </w:style>
  <w:style w:type="paragraph" w:styleId="Caption">
    <w:name w:val="caption"/>
    <w:basedOn w:val="Normal"/>
    <w:next w:val="Normal"/>
    <w:qFormat/>
    <w:rsid w:val="002A7B9B"/>
    <w:pPr>
      <w:spacing w:before="100" w:after="100"/>
      <w:jc w:val="center"/>
    </w:pPr>
    <w:rPr>
      <w:rFonts w:ascii="Arial Narrow" w:hAnsi="Arial Narrow"/>
      <w:b/>
      <w:i/>
      <w:sz w:val="19"/>
    </w:rPr>
  </w:style>
  <w:style w:type="paragraph" w:customStyle="1" w:styleId="Bullet2">
    <w:name w:val="Bullet 2"/>
    <w:basedOn w:val="Normal"/>
    <w:rsid w:val="002A7B9B"/>
    <w:pPr>
      <w:numPr>
        <w:numId w:val="7"/>
      </w:numPr>
    </w:pPr>
  </w:style>
  <w:style w:type="character" w:styleId="Strong">
    <w:name w:val="Strong"/>
    <w:basedOn w:val="DefaultParagraphFont"/>
    <w:uiPriority w:val="22"/>
    <w:qFormat/>
    <w:rsid w:val="002A7B9B"/>
    <w:rPr>
      <w:b/>
    </w:rPr>
  </w:style>
  <w:style w:type="paragraph" w:customStyle="1" w:styleId="TableHeadNotCondensed">
    <w:name w:val="Table Head Not Condensed"/>
    <w:basedOn w:val="Heading3"/>
    <w:rsid w:val="00CB544C"/>
  </w:style>
  <w:style w:type="paragraph" w:styleId="z-TopofForm">
    <w:name w:val="HTML Top of Form"/>
    <w:basedOn w:val="Normal"/>
    <w:next w:val="Normal"/>
    <w:link w:val="z-TopofFormChar"/>
    <w:hidden/>
    <w:rsid w:val="002A7B9B"/>
    <w:pPr>
      <w:pBdr>
        <w:bottom w:val="single" w:sz="6" w:space="1" w:color="auto"/>
      </w:pBdr>
      <w:jc w:val="center"/>
    </w:pPr>
    <w:rPr>
      <w:rFonts w:cs="Arial"/>
      <w:vanish/>
      <w:color w:val="0066CC"/>
      <w:sz w:val="16"/>
      <w:szCs w:val="16"/>
    </w:rPr>
  </w:style>
  <w:style w:type="character" w:customStyle="1" w:styleId="z-TopofFormChar">
    <w:name w:val="z-Top of Form Char"/>
    <w:basedOn w:val="DefaultParagraphFont"/>
    <w:link w:val="z-TopofForm"/>
    <w:rsid w:val="002A7B9B"/>
    <w:rPr>
      <w:rFonts w:ascii="Arial" w:hAnsi="Arial" w:cs="Arial"/>
      <w:vanish/>
      <w:color w:val="0066CC"/>
      <w:sz w:val="16"/>
      <w:szCs w:val="16"/>
    </w:rPr>
  </w:style>
  <w:style w:type="paragraph" w:styleId="z-BottomofForm">
    <w:name w:val="HTML Bottom of Form"/>
    <w:basedOn w:val="Normal"/>
    <w:next w:val="Normal"/>
    <w:link w:val="z-BottomofFormChar"/>
    <w:hidden/>
    <w:rsid w:val="002A7B9B"/>
    <w:pPr>
      <w:pBdr>
        <w:top w:val="single" w:sz="6" w:space="1" w:color="auto"/>
      </w:pBdr>
      <w:jc w:val="center"/>
    </w:pPr>
    <w:rPr>
      <w:rFonts w:cs="Arial"/>
      <w:vanish/>
      <w:color w:val="0066CC"/>
      <w:sz w:val="16"/>
      <w:szCs w:val="16"/>
    </w:rPr>
  </w:style>
  <w:style w:type="character" w:customStyle="1" w:styleId="z-BottomofFormChar">
    <w:name w:val="z-Bottom of Form Char"/>
    <w:basedOn w:val="DefaultParagraphFont"/>
    <w:link w:val="z-BottomofForm"/>
    <w:rsid w:val="002A7B9B"/>
    <w:rPr>
      <w:rFonts w:ascii="Arial" w:hAnsi="Arial" w:cs="Arial"/>
      <w:vanish/>
      <w:color w:val="0066CC"/>
      <w:sz w:val="16"/>
      <w:szCs w:val="16"/>
    </w:rPr>
  </w:style>
  <w:style w:type="character" w:customStyle="1" w:styleId="hcpcscode1">
    <w:name w:val="hcpcscode1"/>
    <w:basedOn w:val="DefaultParagraphFont"/>
    <w:rsid w:val="002A7B9B"/>
    <w:rPr>
      <w:color w:val="3955AD"/>
    </w:rPr>
  </w:style>
  <w:style w:type="character" w:customStyle="1" w:styleId="BulletChar1">
    <w:name w:val="Bullet Char1"/>
    <w:basedOn w:val="DefaultParagraphFont"/>
    <w:rsid w:val="002A7B9B"/>
    <w:rPr>
      <w:rFonts w:ascii="Arial" w:hAnsi="Arial"/>
      <w:szCs w:val="24"/>
    </w:rPr>
  </w:style>
  <w:style w:type="character" w:customStyle="1" w:styleId="BreakpageChar">
    <w:name w:val="Break page Char"/>
    <w:basedOn w:val="DefaultParagraphFont"/>
    <w:link w:val="Breakpage"/>
    <w:rsid w:val="002A7B9B"/>
    <w:rPr>
      <w:rFonts w:ascii="Arial" w:hAnsi="Arial"/>
      <w:b/>
      <w:sz w:val="48"/>
      <w:szCs w:val="24"/>
    </w:rPr>
  </w:style>
  <w:style w:type="paragraph" w:customStyle="1" w:styleId="Reference">
    <w:name w:val="Reference"/>
    <w:basedOn w:val="Normal"/>
    <w:qFormat/>
    <w:rsid w:val="002A7B9B"/>
    <w:pPr>
      <w:spacing w:line="480" w:lineRule="auto"/>
      <w:ind w:left="720" w:hanging="720"/>
    </w:pPr>
    <w:rPr>
      <w:rFonts w:ascii="Times New Roman" w:hAnsi="Times New Roman" w:cs="Arial"/>
      <w:bCs/>
      <w:kern w:val="32"/>
      <w:sz w:val="24"/>
    </w:rPr>
  </w:style>
  <w:style w:type="paragraph" w:customStyle="1" w:styleId="StyleHeading2H2-SecHead11ptNotItalicSmallcapsLeft">
    <w:name w:val="Style Heading 2H2-Sec. Head + 11 pt Not Italic Small caps Left..."/>
    <w:basedOn w:val="Heading2"/>
    <w:rsid w:val="002A7B9B"/>
    <w:pPr>
      <w:pBdr>
        <w:top w:val="single" w:sz="6" w:space="1" w:color="auto"/>
        <w:bottom w:val="single" w:sz="4" w:space="1" w:color="auto"/>
      </w:pBdr>
      <w:spacing w:after="0"/>
      <w:jc w:val="left"/>
    </w:pPr>
    <w:rPr>
      <w:rFonts w:eastAsiaTheme="majorEastAsia" w:cstheme="majorBidi"/>
      <w:bCs/>
      <w:i w:val="0"/>
      <w:iCs/>
      <w:smallCaps/>
      <w:sz w:val="22"/>
      <w:szCs w:val="28"/>
    </w:rPr>
  </w:style>
  <w:style w:type="paragraph" w:customStyle="1" w:styleId="BulletedText">
    <w:name w:val="Bulleted Text"/>
    <w:basedOn w:val="Normal"/>
    <w:rsid w:val="002A7B9B"/>
    <w:pPr>
      <w:numPr>
        <w:numId w:val="11"/>
      </w:numPr>
      <w:spacing w:after="240" w:line="260" w:lineRule="exact"/>
    </w:pPr>
  </w:style>
  <w:style w:type="paragraph" w:customStyle="1" w:styleId="SectionHeadTOC1">
    <w:name w:val="Section Head TOC1"/>
    <w:basedOn w:val="Normal"/>
    <w:rsid w:val="002A7B9B"/>
    <w:pPr>
      <w:keepNext/>
      <w:spacing w:after="240"/>
      <w:jc w:val="center"/>
      <w:outlineLvl w:val="0"/>
    </w:pPr>
    <w:rPr>
      <w:b/>
      <w:kern w:val="28"/>
      <w:sz w:val="32"/>
    </w:rPr>
  </w:style>
  <w:style w:type="paragraph" w:customStyle="1" w:styleId="MarginBullet">
    <w:name w:val="Margin Bullet"/>
    <w:basedOn w:val="Bullet"/>
    <w:rsid w:val="002A7B9B"/>
    <w:pPr>
      <w:numPr>
        <w:numId w:val="14"/>
      </w:numPr>
      <w:tabs>
        <w:tab w:val="clear" w:pos="0"/>
        <w:tab w:val="left" w:pos="576"/>
      </w:tabs>
      <w:spacing w:line="220" w:lineRule="exact"/>
      <w:ind w:left="274"/>
    </w:pPr>
  </w:style>
  <w:style w:type="paragraph" w:customStyle="1" w:styleId="MarginDash">
    <w:name w:val="Margin Dash"/>
    <w:basedOn w:val="Dash"/>
    <w:rsid w:val="002A7B9B"/>
    <w:pPr>
      <w:numPr>
        <w:numId w:val="12"/>
      </w:numPr>
      <w:tabs>
        <w:tab w:val="clear" w:pos="0"/>
      </w:tabs>
      <w:ind w:left="490" w:hanging="216"/>
    </w:pPr>
  </w:style>
  <w:style w:type="paragraph" w:customStyle="1" w:styleId="Bullet3">
    <w:name w:val="Bullet +3"/>
    <w:basedOn w:val="Bullet"/>
    <w:rsid w:val="002A7B9B"/>
    <w:pPr>
      <w:numPr>
        <w:numId w:val="13"/>
      </w:numPr>
      <w:tabs>
        <w:tab w:val="clear" w:pos="360"/>
        <w:tab w:val="left" w:pos="576"/>
      </w:tabs>
      <w:spacing w:before="60"/>
      <w:ind w:hanging="216"/>
    </w:pPr>
  </w:style>
  <w:style w:type="paragraph" w:customStyle="1" w:styleId="ElementText6">
    <w:name w:val="Element Text + 6"/>
    <w:basedOn w:val="ElementText"/>
    <w:rsid w:val="002A7B9B"/>
    <w:pPr>
      <w:spacing w:before="120"/>
    </w:pPr>
  </w:style>
  <w:style w:type="paragraph" w:customStyle="1" w:styleId="ElementText">
    <w:name w:val="Element Text"/>
    <w:basedOn w:val="Body"/>
    <w:rsid w:val="002A7B9B"/>
    <w:pPr>
      <w:spacing w:before="60" w:after="60" w:line="220" w:lineRule="exact"/>
      <w:ind w:left="58" w:right="29"/>
    </w:pPr>
    <w:rPr>
      <w:b/>
    </w:rPr>
  </w:style>
  <w:style w:type="paragraph" w:customStyle="1" w:styleId="FirstParagraph">
    <w:name w:val="First Paragraph"/>
    <w:basedOn w:val="Text"/>
    <w:next w:val="Text"/>
    <w:rsid w:val="002A7B9B"/>
    <w:pPr>
      <w:spacing w:before="200"/>
    </w:pPr>
  </w:style>
  <w:style w:type="paragraph" w:customStyle="1" w:styleId="Text">
    <w:name w:val="Text"/>
    <w:basedOn w:val="Body"/>
    <w:next w:val="Body"/>
    <w:rsid w:val="002A7B9B"/>
    <w:pPr>
      <w:spacing w:before="120" w:line="220" w:lineRule="exact"/>
      <w:ind w:left="58"/>
    </w:pPr>
  </w:style>
  <w:style w:type="paragraph" w:customStyle="1" w:styleId="TextHead">
    <w:name w:val="Text Head"/>
    <w:basedOn w:val="Text"/>
    <w:next w:val="Text"/>
    <w:rsid w:val="002A7B9B"/>
    <w:pPr>
      <w:spacing w:before="200"/>
    </w:pPr>
    <w:rPr>
      <w:b/>
    </w:rPr>
  </w:style>
  <w:style w:type="paragraph" w:customStyle="1" w:styleId="StyleElementHeadLeft004Right004">
    <w:name w:val="Style Element Head + Left:  0.04&quot; Right:  0.04&quot;"/>
    <w:basedOn w:val="Normal"/>
    <w:rsid w:val="002A7B9B"/>
    <w:pPr>
      <w:pBdr>
        <w:top w:val="single" w:sz="6" w:space="2" w:color="auto"/>
        <w:left w:val="single" w:sz="6" w:space="2" w:color="auto"/>
        <w:bottom w:val="single" w:sz="6" w:space="2" w:color="auto"/>
        <w:right w:val="single" w:sz="6" w:space="2" w:color="auto"/>
      </w:pBdr>
      <w:shd w:val="clear" w:color="auto" w:fill="000000"/>
      <w:ind w:right="58"/>
    </w:pPr>
    <w:rPr>
      <w:b/>
      <w:bCs/>
      <w:color w:val="FFFFFF"/>
      <w:sz w:val="22"/>
      <w:szCs w:val="20"/>
    </w:rPr>
  </w:style>
  <w:style w:type="character" w:customStyle="1" w:styleId="Heading2Char">
    <w:name w:val="Heading 2 Char"/>
    <w:aliases w:val="H2-Sec. Head Char"/>
    <w:basedOn w:val="DefaultParagraphFont"/>
    <w:link w:val="Heading2"/>
    <w:rsid w:val="002A7B9B"/>
    <w:rPr>
      <w:rFonts w:ascii="Arial" w:hAnsi="Arial"/>
      <w:b/>
      <w:i/>
      <w:sz w:val="28"/>
      <w:szCs w:val="24"/>
    </w:rPr>
  </w:style>
  <w:style w:type="paragraph" w:customStyle="1" w:styleId="BulletBefore3pt">
    <w:name w:val="Bullet + Before:  3 pt"/>
    <w:basedOn w:val="Bullet"/>
    <w:rsid w:val="002A7B9B"/>
    <w:pPr>
      <w:numPr>
        <w:numId w:val="0"/>
      </w:numPr>
      <w:tabs>
        <w:tab w:val="num" w:pos="532"/>
        <w:tab w:val="left" w:pos="576"/>
      </w:tabs>
      <w:spacing w:before="60"/>
      <w:ind w:left="648" w:hanging="216"/>
    </w:pPr>
  </w:style>
  <w:style w:type="paragraph" w:customStyle="1" w:styleId="ReverseHead">
    <w:name w:val="Reverse Head"/>
    <w:basedOn w:val="StdHead"/>
    <w:next w:val="Body"/>
    <w:rsid w:val="0018566F"/>
  </w:style>
  <w:style w:type="paragraph" w:styleId="TOC2">
    <w:name w:val="toc 2"/>
    <w:basedOn w:val="Normal"/>
    <w:next w:val="Normal"/>
    <w:autoRedefine/>
    <w:uiPriority w:val="39"/>
    <w:unhideWhenUsed/>
    <w:rsid w:val="00DE45E9"/>
    <w:pPr>
      <w:tabs>
        <w:tab w:val="right" w:leader="dot" w:pos="9710"/>
      </w:tabs>
      <w:ind w:left="540" w:hanging="340"/>
    </w:pPr>
  </w:style>
  <w:style w:type="paragraph" w:styleId="TOC3">
    <w:name w:val="toc 3"/>
    <w:basedOn w:val="Normal"/>
    <w:next w:val="Normal"/>
    <w:autoRedefine/>
    <w:uiPriority w:val="39"/>
    <w:unhideWhenUsed/>
    <w:rsid w:val="00DE45E9"/>
    <w:pPr>
      <w:tabs>
        <w:tab w:val="right" w:leader="dot" w:pos="9710"/>
      </w:tabs>
      <w:ind w:left="360"/>
    </w:pPr>
  </w:style>
  <w:style w:type="paragraph" w:styleId="TOC4">
    <w:name w:val="toc 4"/>
    <w:basedOn w:val="Normal"/>
    <w:next w:val="Normal"/>
    <w:autoRedefine/>
    <w:uiPriority w:val="39"/>
    <w:unhideWhenUsed/>
    <w:rsid w:val="002300AB"/>
    <w:pPr>
      <w:tabs>
        <w:tab w:val="right" w:leader="dot" w:pos="9710"/>
      </w:tabs>
      <w:ind w:left="720"/>
    </w:pPr>
  </w:style>
  <w:style w:type="paragraph" w:styleId="TOC5">
    <w:name w:val="toc 5"/>
    <w:basedOn w:val="Normal"/>
    <w:next w:val="Normal"/>
    <w:autoRedefine/>
    <w:uiPriority w:val="39"/>
    <w:unhideWhenUsed/>
    <w:rsid w:val="0018566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8566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8566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8566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8566F"/>
    <w:pPr>
      <w:spacing w:after="100" w:line="259" w:lineRule="auto"/>
      <w:ind w:left="1760"/>
    </w:pPr>
    <w:rPr>
      <w:rFonts w:asciiTheme="minorHAnsi" w:eastAsiaTheme="minorEastAsia" w:hAnsiTheme="minorHAnsi" w:cstheme="minorBidi"/>
      <w:sz w:val="22"/>
      <w:szCs w:val="22"/>
    </w:rPr>
  </w:style>
  <w:style w:type="paragraph" w:customStyle="1" w:styleId="Subhead2">
    <w:name w:val="Subhead 2"/>
    <w:basedOn w:val="SubHead"/>
    <w:next w:val="Body"/>
    <w:rsid w:val="0018566F"/>
  </w:style>
  <w:style w:type="paragraph" w:customStyle="1" w:styleId="SOC">
    <w:name w:val="SOC"/>
    <w:basedOn w:val="Heading2"/>
    <w:next w:val="ProcessBullet"/>
    <w:rsid w:val="0018566F"/>
    <w:pPr>
      <w:pBdr>
        <w:top w:val="single" w:sz="6" w:space="1" w:color="auto"/>
        <w:bottom w:val="single" w:sz="6" w:space="1" w:color="auto"/>
      </w:pBdr>
      <w:spacing w:after="0"/>
      <w:jc w:val="left"/>
    </w:pPr>
    <w:rPr>
      <w:i w:val="0"/>
      <w:smallCaps/>
      <w:sz w:val="22"/>
    </w:rPr>
  </w:style>
  <w:style w:type="paragraph" w:customStyle="1" w:styleId="SubHead20">
    <w:name w:val="Sub Head 2"/>
    <w:basedOn w:val="SubHead"/>
    <w:rsid w:val="00CB544C"/>
  </w:style>
  <w:style w:type="character" w:customStyle="1" w:styleId="SubHeadChar">
    <w:name w:val="Sub Head Char"/>
    <w:basedOn w:val="DefaultParagraphFont"/>
    <w:rsid w:val="00420FDE"/>
    <w:rPr>
      <w:rFonts w:ascii="Arial" w:hAnsi="Arial"/>
      <w:b/>
      <w:sz w:val="22"/>
      <w:szCs w:val="24"/>
      <w:lang w:val="en-US" w:eastAsia="en-US" w:bidi="ar-SA"/>
    </w:rPr>
  </w:style>
  <w:style w:type="character" w:customStyle="1" w:styleId="Heading7Char">
    <w:name w:val="Heading 7 Char"/>
    <w:basedOn w:val="DefaultParagraphFont"/>
    <w:link w:val="Heading7"/>
    <w:rsid w:val="00420FDE"/>
    <w:rPr>
      <w:rFonts w:ascii="Arial" w:hAnsi="Arial"/>
      <w:b/>
      <w:i/>
      <w:smallCaps/>
      <w:sz w:val="48"/>
      <w:szCs w:val="24"/>
    </w:rPr>
  </w:style>
  <w:style w:type="character" w:customStyle="1" w:styleId="DateChar">
    <w:name w:val="Date Char"/>
    <w:basedOn w:val="DefaultParagraphFont"/>
    <w:link w:val="Date"/>
    <w:rsid w:val="00420FDE"/>
    <w:rPr>
      <w:rFonts w:ascii="Arial" w:hAnsi="Arial"/>
      <w:szCs w:val="24"/>
    </w:rPr>
  </w:style>
  <w:style w:type="character" w:customStyle="1" w:styleId="CommentSubjectChar">
    <w:name w:val="Comment Subject Char"/>
    <w:basedOn w:val="CommentTextChar"/>
    <w:link w:val="CommentSubject"/>
    <w:uiPriority w:val="99"/>
    <w:semiHidden/>
    <w:rsid w:val="00420FDE"/>
    <w:rPr>
      <w:rFonts w:ascii="Arial" w:hAnsi="Arial"/>
      <w:b/>
      <w:bCs/>
      <w:szCs w:val="24"/>
    </w:rPr>
  </w:style>
  <w:style w:type="character" w:customStyle="1" w:styleId="BalloonTextChar">
    <w:name w:val="Balloon Text Char"/>
    <w:basedOn w:val="DefaultParagraphFont"/>
    <w:link w:val="BalloonText"/>
    <w:uiPriority w:val="99"/>
    <w:semiHidden/>
    <w:rsid w:val="00420FDE"/>
    <w:rPr>
      <w:rFonts w:ascii="Tahoma" w:hAnsi="Tahoma" w:cs="Tahoma"/>
      <w:sz w:val="16"/>
      <w:szCs w:val="16"/>
    </w:rPr>
  </w:style>
  <w:style w:type="character" w:customStyle="1" w:styleId="FootnoteTextChar">
    <w:name w:val="Footnote Text Char"/>
    <w:aliases w:val="F1 Char"/>
    <w:basedOn w:val="DefaultParagraphFont"/>
    <w:link w:val="FootnoteText"/>
    <w:rsid w:val="00420FDE"/>
    <w:rPr>
      <w:rFonts w:ascii="CG Times" w:hAnsi="CG Times"/>
      <w:szCs w:val="24"/>
    </w:rPr>
  </w:style>
  <w:style w:type="paragraph" w:styleId="BodyText3">
    <w:name w:val="Body Text 3"/>
    <w:basedOn w:val="Normal"/>
    <w:link w:val="BodyText3Char"/>
    <w:rsid w:val="00B852BD"/>
    <w:pPr>
      <w:spacing w:after="120"/>
    </w:pPr>
    <w:rPr>
      <w:sz w:val="16"/>
      <w:szCs w:val="16"/>
    </w:rPr>
  </w:style>
  <w:style w:type="character" w:customStyle="1" w:styleId="BodyText3Char">
    <w:name w:val="Body Text 3 Char"/>
    <w:basedOn w:val="DefaultParagraphFont"/>
    <w:link w:val="BodyText3"/>
    <w:rsid w:val="00B852BD"/>
    <w:rPr>
      <w:rFonts w:ascii="Arial" w:hAnsi="Arial"/>
      <w:sz w:val="16"/>
      <w:szCs w:val="16"/>
    </w:rPr>
  </w:style>
  <w:style w:type="paragraph" w:styleId="EndnoteText">
    <w:name w:val="endnote text"/>
    <w:basedOn w:val="Normal"/>
    <w:link w:val="EndnoteTextChar"/>
    <w:rsid w:val="00B852BD"/>
  </w:style>
  <w:style w:type="character" w:customStyle="1" w:styleId="EndnoteTextChar">
    <w:name w:val="Endnote Text Char"/>
    <w:basedOn w:val="DefaultParagraphFont"/>
    <w:link w:val="EndnoteText"/>
    <w:rsid w:val="00B852BD"/>
    <w:rPr>
      <w:rFonts w:ascii="Arial" w:hAnsi="Arial"/>
      <w:szCs w:val="24"/>
    </w:rPr>
  </w:style>
  <w:style w:type="character" w:styleId="EndnoteReference">
    <w:name w:val="endnote reference"/>
    <w:basedOn w:val="DefaultParagraphFont"/>
    <w:semiHidden/>
    <w:rsid w:val="00B852BD"/>
    <w:rPr>
      <w:vertAlign w:val="superscript"/>
    </w:rPr>
  </w:style>
  <w:style w:type="character" w:customStyle="1" w:styleId="MarginSubheadChar">
    <w:name w:val="Margin Subhead Char"/>
    <w:basedOn w:val="DefaultParagraphFont"/>
    <w:rsid w:val="00B852BD"/>
    <w:rPr>
      <w:rFonts w:ascii="Arial" w:hAnsi="Arial"/>
      <w:b/>
      <w:szCs w:val="24"/>
      <w:lang w:val="en-US" w:eastAsia="en-US" w:bidi="ar-SA"/>
    </w:rPr>
  </w:style>
  <w:style w:type="paragraph" w:customStyle="1" w:styleId="answertext0">
    <w:name w:val="answertext"/>
    <w:basedOn w:val="Normal"/>
    <w:rsid w:val="00B852BD"/>
    <w:pPr>
      <w:tabs>
        <w:tab w:val="num" w:pos="792"/>
      </w:tabs>
      <w:ind w:left="792" w:hanging="216"/>
    </w:pPr>
  </w:style>
  <w:style w:type="paragraph" w:customStyle="1" w:styleId="StyleHeading1AHeadH1-SecHead16ptCenteredBefore0pt">
    <w:name w:val="Style Heading 1A HeadH1-Sec.Head + 16 pt Centered Before:  0 pt..."/>
    <w:basedOn w:val="Heading1"/>
    <w:rsid w:val="00B852BD"/>
    <w:pPr>
      <w:spacing w:line="276" w:lineRule="auto"/>
    </w:pPr>
    <w:rPr>
      <w:rFonts w:asciiTheme="minorHAnsi" w:hAnsiTheme="minorHAnsi"/>
      <w:szCs w:val="20"/>
    </w:rPr>
  </w:style>
  <w:style w:type="paragraph" w:customStyle="1" w:styleId="Marginbullet1">
    <w:name w:val="Margin bullet"/>
    <w:basedOn w:val="Normal"/>
    <w:link w:val="MarginbulletChar"/>
    <w:rsid w:val="00B852BD"/>
    <w:pPr>
      <w:spacing w:after="200" w:line="220" w:lineRule="exact"/>
    </w:pPr>
    <w:rPr>
      <w:rFonts w:asciiTheme="minorHAnsi" w:eastAsiaTheme="minorHAnsi" w:hAnsiTheme="minorHAnsi" w:cstheme="minorBidi"/>
      <w:sz w:val="22"/>
      <w:szCs w:val="22"/>
    </w:rPr>
  </w:style>
  <w:style w:type="character" w:customStyle="1" w:styleId="MarginbulletChar">
    <w:name w:val="Margin bullet Char"/>
    <w:basedOn w:val="DefaultParagraphFont"/>
    <w:link w:val="Marginbullet1"/>
    <w:rsid w:val="00B852BD"/>
    <w:rPr>
      <w:rFonts w:asciiTheme="minorHAnsi" w:eastAsiaTheme="minorHAnsi" w:hAnsiTheme="minorHAnsi" w:cstheme="minorBidi"/>
      <w:sz w:val="22"/>
      <w:szCs w:val="22"/>
    </w:rPr>
  </w:style>
  <w:style w:type="paragraph" w:customStyle="1" w:styleId="DocuBullet">
    <w:name w:val="Docu Bullet"/>
    <w:basedOn w:val="Normal"/>
    <w:link w:val="DocuBulletChar"/>
    <w:rsid w:val="00B852BD"/>
    <w:pPr>
      <w:numPr>
        <w:numId w:val="21"/>
      </w:numPr>
      <w:spacing w:before="60" w:after="200" w:line="220" w:lineRule="exact"/>
    </w:pPr>
    <w:rPr>
      <w:rFonts w:asciiTheme="minorHAnsi" w:eastAsiaTheme="minorHAnsi" w:hAnsiTheme="minorHAnsi" w:cstheme="minorBidi"/>
      <w:sz w:val="22"/>
      <w:szCs w:val="22"/>
    </w:rPr>
  </w:style>
  <w:style w:type="character" w:customStyle="1" w:styleId="DocuBulletChar">
    <w:name w:val="Docu Bullet Char"/>
    <w:basedOn w:val="DefaultParagraphFont"/>
    <w:link w:val="DocuBullet"/>
    <w:rsid w:val="00B852BD"/>
    <w:rPr>
      <w:rFonts w:asciiTheme="minorHAnsi" w:eastAsiaTheme="minorHAnsi" w:hAnsiTheme="minorHAnsi" w:cstheme="minorBidi"/>
      <w:sz w:val="22"/>
      <w:szCs w:val="22"/>
    </w:rPr>
  </w:style>
  <w:style w:type="paragraph" w:customStyle="1" w:styleId="marginbullet0">
    <w:name w:val="margin bullet"/>
    <w:basedOn w:val="DocuBullet"/>
    <w:link w:val="marginbulletChar0"/>
    <w:rsid w:val="00B852BD"/>
    <w:pPr>
      <w:numPr>
        <w:numId w:val="22"/>
      </w:numPr>
      <w:spacing w:before="120"/>
    </w:pPr>
  </w:style>
  <w:style w:type="character" w:customStyle="1" w:styleId="marginbulletChar0">
    <w:name w:val="margin bullet Char"/>
    <w:basedOn w:val="DocuBulletChar"/>
    <w:link w:val="marginbullet0"/>
    <w:rsid w:val="00B852BD"/>
    <w:rPr>
      <w:rFonts w:asciiTheme="minorHAnsi" w:eastAsiaTheme="minorHAnsi" w:hAnsiTheme="minorHAnsi" w:cstheme="minorBidi"/>
      <w:sz w:val="22"/>
      <w:szCs w:val="22"/>
    </w:rPr>
  </w:style>
  <w:style w:type="character" w:customStyle="1" w:styleId="i9tabularcodedesc1">
    <w:name w:val="i9tabularcodedesc1"/>
    <w:basedOn w:val="DefaultParagraphFont"/>
    <w:rsid w:val="007304CF"/>
    <w:rPr>
      <w:b/>
      <w:bCs/>
    </w:rPr>
  </w:style>
  <w:style w:type="character" w:styleId="Emphasis">
    <w:name w:val="Emphasis"/>
    <w:basedOn w:val="DefaultParagraphFont"/>
    <w:uiPriority w:val="20"/>
    <w:qFormat/>
    <w:rsid w:val="00835D81"/>
    <w:rPr>
      <w:b/>
      <w:bCs/>
      <w:i w:val="0"/>
      <w:iCs w:val="0"/>
    </w:rPr>
  </w:style>
  <w:style w:type="paragraph" w:styleId="DocumentMap">
    <w:name w:val="Document Map"/>
    <w:basedOn w:val="Normal"/>
    <w:link w:val="DocumentMapChar"/>
    <w:semiHidden/>
    <w:rsid w:val="006A4B6D"/>
    <w:pPr>
      <w:shd w:val="clear" w:color="auto" w:fill="000080"/>
    </w:pPr>
    <w:rPr>
      <w:rFonts w:ascii="Tahoma" w:hAnsi="Tahoma"/>
    </w:rPr>
  </w:style>
  <w:style w:type="character" w:customStyle="1" w:styleId="DocumentMapChar">
    <w:name w:val="Document Map Char"/>
    <w:basedOn w:val="DefaultParagraphFont"/>
    <w:link w:val="DocumentMap"/>
    <w:semiHidden/>
    <w:rsid w:val="006A4B6D"/>
    <w:rPr>
      <w:rFonts w:ascii="Tahoma" w:hAnsi="Tahoma"/>
      <w:szCs w:val="24"/>
      <w:shd w:val="clear" w:color="auto" w:fill="000080"/>
    </w:rPr>
  </w:style>
  <w:style w:type="character" w:customStyle="1" w:styleId="TableTextCharChar1">
    <w:name w:val="Table Text Char Char1"/>
    <w:basedOn w:val="DefaultParagraphFont"/>
    <w:rsid w:val="006A4B6D"/>
    <w:rPr>
      <w:rFonts w:ascii="Arial Narrow" w:hAnsi="Arial Narrow"/>
      <w:sz w:val="19"/>
      <w:szCs w:val="19"/>
    </w:rPr>
  </w:style>
  <w:style w:type="character" w:customStyle="1" w:styleId="Style">
    <w:name w:val="Style"/>
    <w:basedOn w:val="CommentReference"/>
    <w:rsid w:val="006A4B6D"/>
    <w:rPr>
      <w:rFonts w:ascii="Arial" w:hAnsi="Arial"/>
      <w:sz w:val="16"/>
      <w:szCs w:val="16"/>
    </w:rPr>
  </w:style>
  <w:style w:type="character" w:styleId="PlaceholderText">
    <w:name w:val="Placeholder Text"/>
    <w:basedOn w:val="DefaultParagraphFont"/>
    <w:uiPriority w:val="99"/>
    <w:semiHidden/>
    <w:rsid w:val="006A4B6D"/>
    <w:rPr>
      <w:color w:val="808080"/>
    </w:rPr>
  </w:style>
  <w:style w:type="character" w:customStyle="1" w:styleId="Heading8Char">
    <w:name w:val="Heading 8 Char"/>
    <w:basedOn w:val="DefaultParagraphFont"/>
    <w:link w:val="Heading8"/>
    <w:rsid w:val="00BF3DF9"/>
    <w:rPr>
      <w:rFonts w:ascii="Arial" w:hAnsi="Arial"/>
      <w:i/>
      <w:szCs w:val="24"/>
    </w:rPr>
  </w:style>
  <w:style w:type="paragraph" w:styleId="BodyText2">
    <w:name w:val="Body Text 2"/>
    <w:basedOn w:val="Normal"/>
    <w:link w:val="BodyText2Char"/>
    <w:rsid w:val="00BF3DF9"/>
    <w:pPr>
      <w:tabs>
        <w:tab w:val="left" w:pos="960"/>
      </w:tabs>
      <w:spacing w:after="240" w:line="260" w:lineRule="exact"/>
      <w:ind w:left="965" w:hanging="360"/>
    </w:pPr>
  </w:style>
  <w:style w:type="character" w:customStyle="1" w:styleId="BodyText2Char">
    <w:name w:val="Body Text 2 Char"/>
    <w:basedOn w:val="DefaultParagraphFont"/>
    <w:link w:val="BodyText2"/>
    <w:rsid w:val="00BF3DF9"/>
    <w:rPr>
      <w:rFonts w:ascii="Arial" w:hAnsi="Arial"/>
      <w:szCs w:val="24"/>
    </w:rPr>
  </w:style>
  <w:style w:type="paragraph" w:customStyle="1" w:styleId="BodyText0">
    <w:name w:val="BodyText"/>
    <w:basedOn w:val="Normal"/>
    <w:rsid w:val="00BF3DF9"/>
    <w:pPr>
      <w:spacing w:before="60" w:after="60"/>
    </w:pPr>
  </w:style>
  <w:style w:type="paragraph" w:customStyle="1" w:styleId="marginsubhead0">
    <w:name w:val="marginsubhead"/>
    <w:basedOn w:val="Normal"/>
    <w:rsid w:val="00BF3DF9"/>
    <w:pPr>
      <w:spacing w:before="180"/>
      <w:ind w:left="216"/>
    </w:pPr>
    <w:rPr>
      <w:b/>
      <w:bCs/>
    </w:rPr>
  </w:style>
  <w:style w:type="paragraph" w:customStyle="1" w:styleId="a">
    <w:name w:val="_______"/>
    <w:basedOn w:val="TableText"/>
    <w:rsid w:val="00BF3DF9"/>
    <w:pPr>
      <w:jc w:val="center"/>
    </w:pPr>
  </w:style>
  <w:style w:type="paragraph" w:styleId="NormalWeb">
    <w:name w:val="Normal (Web)"/>
    <w:basedOn w:val="Normal"/>
    <w:unhideWhenUsed/>
    <w:rsid w:val="00BF3DF9"/>
    <w:pPr>
      <w:spacing w:before="100" w:beforeAutospacing="1" w:after="100" w:afterAutospacing="1"/>
    </w:pPr>
    <w:rPr>
      <w:rFonts w:ascii="Times New Roman" w:hAnsi="Times New Roman"/>
      <w:sz w:val="24"/>
    </w:rPr>
  </w:style>
  <w:style w:type="character" w:customStyle="1" w:styleId="hilite1">
    <w:name w:val="hilite1"/>
    <w:basedOn w:val="DefaultParagraphFont"/>
    <w:rsid w:val="008046A2"/>
    <w:rPr>
      <w:b/>
      <w:bCs/>
      <w:color w:val="CC0000"/>
    </w:rPr>
  </w:style>
  <w:style w:type="paragraph" w:customStyle="1" w:styleId="FootnoteTxt">
    <w:name w:val="Footnote Txt"/>
    <w:basedOn w:val="Note"/>
    <w:rsid w:val="00463667"/>
    <w:rPr>
      <w:i w:val="0"/>
    </w:rPr>
  </w:style>
  <w:style w:type="character" w:customStyle="1" w:styleId="searchcriteria">
    <w:name w:val="searchcriteria"/>
    <w:basedOn w:val="DefaultParagraphFont"/>
    <w:rsid w:val="00463667"/>
  </w:style>
  <w:style w:type="paragraph" w:customStyle="1" w:styleId="a10">
    <w:name w:val="a10"/>
    <w:basedOn w:val="Normal"/>
    <w:rsid w:val="00463667"/>
    <w:pPr>
      <w:spacing w:before="100" w:beforeAutospacing="1" w:after="100" w:afterAutospacing="1"/>
    </w:pPr>
    <w:rPr>
      <w:rFonts w:eastAsia="Arial Unicode MS" w:cs="Arial"/>
    </w:rPr>
  </w:style>
  <w:style w:type="paragraph" w:styleId="Subtitle">
    <w:name w:val="Subtitle"/>
    <w:basedOn w:val="Normal"/>
    <w:link w:val="SubtitleChar"/>
    <w:qFormat/>
    <w:rsid w:val="00463667"/>
    <w:pPr>
      <w:jc w:val="center"/>
    </w:pPr>
    <w:rPr>
      <w:b/>
      <w:caps/>
    </w:rPr>
  </w:style>
  <w:style w:type="character" w:customStyle="1" w:styleId="SubtitleChar">
    <w:name w:val="Subtitle Char"/>
    <w:basedOn w:val="DefaultParagraphFont"/>
    <w:link w:val="Subtitle"/>
    <w:rsid w:val="00463667"/>
    <w:rPr>
      <w:rFonts w:ascii="Arial" w:hAnsi="Arial"/>
      <w:b/>
      <w:caps/>
      <w:szCs w:val="24"/>
    </w:rPr>
  </w:style>
  <w:style w:type="paragraph" w:styleId="HTMLPreformatted">
    <w:name w:val="HTML Preformatted"/>
    <w:basedOn w:val="Normal"/>
    <w:link w:val="HTMLPreformattedChar"/>
    <w:rsid w:val="0046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463667"/>
    <w:rPr>
      <w:rFonts w:ascii="Courier New" w:hAnsi="Courier New" w:cs="Courier New"/>
    </w:rPr>
  </w:style>
  <w:style w:type="character" w:styleId="HTMLCite">
    <w:name w:val="HTML Cite"/>
    <w:basedOn w:val="DefaultParagraphFont"/>
    <w:rsid w:val="00463667"/>
    <w:rPr>
      <w:i/>
      <w:iCs/>
    </w:rPr>
  </w:style>
  <w:style w:type="paragraph" w:customStyle="1" w:styleId="Informal2">
    <w:name w:val="Informal2"/>
    <w:basedOn w:val="Normal"/>
    <w:rsid w:val="00463667"/>
    <w:pPr>
      <w:spacing w:before="60" w:after="60"/>
    </w:pPr>
    <w:rPr>
      <w:b/>
      <w:noProof/>
      <w:szCs w:val="20"/>
    </w:rPr>
  </w:style>
  <w:style w:type="paragraph" w:customStyle="1" w:styleId="Pa36">
    <w:name w:val="Pa36"/>
    <w:basedOn w:val="Normal"/>
    <w:next w:val="Normal"/>
    <w:uiPriority w:val="99"/>
    <w:rsid w:val="00463667"/>
    <w:pPr>
      <w:autoSpaceDE w:val="0"/>
      <w:autoSpaceDN w:val="0"/>
      <w:adjustRightInd w:val="0"/>
      <w:spacing w:line="241" w:lineRule="atLeast"/>
    </w:pPr>
    <w:rPr>
      <w:rFonts w:ascii="Times" w:hAnsi="Times"/>
      <w:sz w:val="24"/>
    </w:rPr>
  </w:style>
  <w:style w:type="paragraph" w:customStyle="1" w:styleId="size2">
    <w:name w:val="size2"/>
    <w:basedOn w:val="Normal"/>
    <w:rsid w:val="00463667"/>
    <w:pPr>
      <w:spacing w:before="100" w:beforeAutospacing="1" w:after="100" w:afterAutospacing="1"/>
    </w:pPr>
    <w:rPr>
      <w:rFonts w:ascii="Times" w:eastAsiaTheme="minorEastAsia" w:hAnsi="Times" w:cstheme="minorBidi"/>
      <w:szCs w:val="20"/>
    </w:rPr>
  </w:style>
  <w:style w:type="paragraph" w:customStyle="1" w:styleId="Heading2NOTOC">
    <w:name w:val="Heading2NOTOC"/>
    <w:basedOn w:val="Heading2"/>
    <w:rsid w:val="00463667"/>
  </w:style>
  <w:style w:type="paragraph" w:customStyle="1" w:styleId="FrontPage">
    <w:name w:val="Front Page"/>
    <w:qFormat/>
    <w:rsid w:val="009B1DEB"/>
    <w:pPr>
      <w:widowControl w:val="0"/>
      <w:pBdr>
        <w:bottom w:val="single" w:sz="4" w:space="1" w:color="auto"/>
      </w:pBdr>
      <w:tabs>
        <w:tab w:val="right" w:pos="9720"/>
      </w:tabs>
    </w:pPr>
    <w:rPr>
      <w:rFonts w:ascii="Arial Narrow" w:hAnsi="Arial Narrow"/>
      <w:i/>
      <w:sz w:val="4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6948">
      <w:bodyDiv w:val="1"/>
      <w:marLeft w:val="0"/>
      <w:marRight w:val="0"/>
      <w:marTop w:val="0"/>
      <w:marBottom w:val="0"/>
      <w:divBdr>
        <w:top w:val="none" w:sz="0" w:space="0" w:color="auto"/>
        <w:left w:val="none" w:sz="0" w:space="0" w:color="auto"/>
        <w:bottom w:val="none" w:sz="0" w:space="0" w:color="auto"/>
        <w:right w:val="none" w:sz="0" w:space="0" w:color="auto"/>
      </w:divBdr>
    </w:div>
    <w:div w:id="206379257">
      <w:bodyDiv w:val="1"/>
      <w:marLeft w:val="0"/>
      <w:marRight w:val="0"/>
      <w:marTop w:val="0"/>
      <w:marBottom w:val="0"/>
      <w:divBdr>
        <w:top w:val="none" w:sz="0" w:space="0" w:color="auto"/>
        <w:left w:val="none" w:sz="0" w:space="0" w:color="auto"/>
        <w:bottom w:val="none" w:sz="0" w:space="0" w:color="auto"/>
        <w:right w:val="none" w:sz="0" w:space="0" w:color="auto"/>
      </w:divBdr>
    </w:div>
    <w:div w:id="222912740">
      <w:bodyDiv w:val="1"/>
      <w:marLeft w:val="0"/>
      <w:marRight w:val="0"/>
      <w:marTop w:val="0"/>
      <w:marBottom w:val="0"/>
      <w:divBdr>
        <w:top w:val="none" w:sz="0" w:space="0" w:color="auto"/>
        <w:left w:val="none" w:sz="0" w:space="0" w:color="auto"/>
        <w:bottom w:val="none" w:sz="0" w:space="0" w:color="auto"/>
        <w:right w:val="none" w:sz="0" w:space="0" w:color="auto"/>
      </w:divBdr>
    </w:div>
    <w:div w:id="313533253">
      <w:bodyDiv w:val="1"/>
      <w:marLeft w:val="0"/>
      <w:marRight w:val="360"/>
      <w:marTop w:val="0"/>
      <w:marBottom w:val="0"/>
      <w:divBdr>
        <w:top w:val="none" w:sz="0" w:space="0" w:color="auto"/>
        <w:left w:val="none" w:sz="0" w:space="0" w:color="auto"/>
        <w:bottom w:val="none" w:sz="0" w:space="0" w:color="auto"/>
        <w:right w:val="none" w:sz="0" w:space="0" w:color="auto"/>
      </w:divBdr>
      <w:divsChild>
        <w:div w:id="667055913">
          <w:marLeft w:val="240"/>
          <w:marRight w:val="240"/>
          <w:marTop w:val="0"/>
          <w:marBottom w:val="0"/>
          <w:divBdr>
            <w:top w:val="none" w:sz="0" w:space="0" w:color="auto"/>
            <w:left w:val="none" w:sz="0" w:space="0" w:color="auto"/>
            <w:bottom w:val="none" w:sz="0" w:space="0" w:color="auto"/>
            <w:right w:val="none" w:sz="0" w:space="0" w:color="auto"/>
          </w:divBdr>
          <w:divsChild>
            <w:div w:id="233011313">
              <w:marLeft w:val="0"/>
              <w:marRight w:val="0"/>
              <w:marTop w:val="0"/>
              <w:marBottom w:val="0"/>
              <w:divBdr>
                <w:top w:val="none" w:sz="0" w:space="0" w:color="auto"/>
                <w:left w:val="none" w:sz="0" w:space="0" w:color="auto"/>
                <w:bottom w:val="none" w:sz="0" w:space="0" w:color="auto"/>
                <w:right w:val="none" w:sz="0" w:space="0" w:color="auto"/>
              </w:divBdr>
              <w:divsChild>
                <w:div w:id="1093237475">
                  <w:marLeft w:val="240"/>
                  <w:marRight w:val="240"/>
                  <w:marTop w:val="0"/>
                  <w:marBottom w:val="0"/>
                  <w:divBdr>
                    <w:top w:val="none" w:sz="0" w:space="0" w:color="auto"/>
                    <w:left w:val="none" w:sz="0" w:space="0" w:color="auto"/>
                    <w:bottom w:val="none" w:sz="0" w:space="0" w:color="auto"/>
                    <w:right w:val="none" w:sz="0" w:space="0" w:color="auto"/>
                  </w:divBdr>
                  <w:divsChild>
                    <w:div w:id="598804235">
                      <w:marLeft w:val="0"/>
                      <w:marRight w:val="0"/>
                      <w:marTop w:val="0"/>
                      <w:marBottom w:val="0"/>
                      <w:divBdr>
                        <w:top w:val="none" w:sz="0" w:space="0" w:color="auto"/>
                        <w:left w:val="none" w:sz="0" w:space="0" w:color="auto"/>
                        <w:bottom w:val="none" w:sz="0" w:space="0" w:color="auto"/>
                        <w:right w:val="none" w:sz="0" w:space="0" w:color="auto"/>
                      </w:divBdr>
                      <w:divsChild>
                        <w:div w:id="121848491">
                          <w:marLeft w:val="240"/>
                          <w:marRight w:val="240"/>
                          <w:marTop w:val="0"/>
                          <w:marBottom w:val="0"/>
                          <w:divBdr>
                            <w:top w:val="none" w:sz="0" w:space="0" w:color="auto"/>
                            <w:left w:val="none" w:sz="0" w:space="0" w:color="auto"/>
                            <w:bottom w:val="none" w:sz="0" w:space="0" w:color="auto"/>
                            <w:right w:val="none" w:sz="0" w:space="0" w:color="auto"/>
                          </w:divBdr>
                          <w:divsChild>
                            <w:div w:id="1479299034">
                              <w:marLeft w:val="0"/>
                              <w:marRight w:val="0"/>
                              <w:marTop w:val="0"/>
                              <w:marBottom w:val="0"/>
                              <w:divBdr>
                                <w:top w:val="none" w:sz="0" w:space="0" w:color="auto"/>
                                <w:left w:val="none" w:sz="0" w:space="0" w:color="auto"/>
                                <w:bottom w:val="none" w:sz="0" w:space="0" w:color="auto"/>
                                <w:right w:val="none" w:sz="0" w:space="0" w:color="auto"/>
                              </w:divBdr>
                              <w:divsChild>
                                <w:div w:id="1782530398">
                                  <w:marLeft w:val="240"/>
                                  <w:marRight w:val="240"/>
                                  <w:marTop w:val="0"/>
                                  <w:marBottom w:val="0"/>
                                  <w:divBdr>
                                    <w:top w:val="none" w:sz="0" w:space="0" w:color="auto"/>
                                    <w:left w:val="none" w:sz="0" w:space="0" w:color="auto"/>
                                    <w:bottom w:val="none" w:sz="0" w:space="0" w:color="auto"/>
                                    <w:right w:val="none" w:sz="0" w:space="0" w:color="auto"/>
                                  </w:divBdr>
                                  <w:divsChild>
                                    <w:div w:id="1091389011">
                                      <w:marLeft w:val="0"/>
                                      <w:marRight w:val="0"/>
                                      <w:marTop w:val="0"/>
                                      <w:marBottom w:val="0"/>
                                      <w:divBdr>
                                        <w:top w:val="none" w:sz="0" w:space="0" w:color="auto"/>
                                        <w:left w:val="none" w:sz="0" w:space="0" w:color="auto"/>
                                        <w:bottom w:val="none" w:sz="0" w:space="0" w:color="auto"/>
                                        <w:right w:val="none" w:sz="0" w:space="0" w:color="auto"/>
                                      </w:divBdr>
                                      <w:divsChild>
                                        <w:div w:id="1116370030">
                                          <w:marLeft w:val="240"/>
                                          <w:marRight w:val="240"/>
                                          <w:marTop w:val="0"/>
                                          <w:marBottom w:val="0"/>
                                          <w:divBdr>
                                            <w:top w:val="none" w:sz="0" w:space="0" w:color="auto"/>
                                            <w:left w:val="none" w:sz="0" w:space="0" w:color="auto"/>
                                            <w:bottom w:val="none" w:sz="0" w:space="0" w:color="auto"/>
                                            <w:right w:val="none" w:sz="0" w:space="0" w:color="auto"/>
                                          </w:divBdr>
                                          <w:divsChild>
                                            <w:div w:id="581598929">
                                              <w:marLeft w:val="0"/>
                                              <w:marRight w:val="0"/>
                                              <w:marTop w:val="0"/>
                                              <w:marBottom w:val="0"/>
                                              <w:divBdr>
                                                <w:top w:val="none" w:sz="0" w:space="0" w:color="auto"/>
                                                <w:left w:val="none" w:sz="0" w:space="0" w:color="auto"/>
                                                <w:bottom w:val="none" w:sz="0" w:space="0" w:color="auto"/>
                                                <w:right w:val="none" w:sz="0" w:space="0" w:color="auto"/>
                                              </w:divBdr>
                                              <w:divsChild>
                                                <w:div w:id="1164473727">
                                                  <w:marLeft w:val="240"/>
                                                  <w:marRight w:val="240"/>
                                                  <w:marTop w:val="0"/>
                                                  <w:marBottom w:val="0"/>
                                                  <w:divBdr>
                                                    <w:top w:val="none" w:sz="0" w:space="0" w:color="auto"/>
                                                    <w:left w:val="none" w:sz="0" w:space="0" w:color="auto"/>
                                                    <w:bottom w:val="none" w:sz="0" w:space="0" w:color="auto"/>
                                                    <w:right w:val="none" w:sz="0" w:space="0" w:color="auto"/>
                                                  </w:divBdr>
                                                  <w:divsChild>
                                                    <w:div w:id="1400707512">
                                                      <w:marLeft w:val="240"/>
                                                      <w:marRight w:val="0"/>
                                                      <w:marTop w:val="0"/>
                                                      <w:marBottom w:val="0"/>
                                                      <w:divBdr>
                                                        <w:top w:val="none" w:sz="0" w:space="0" w:color="auto"/>
                                                        <w:left w:val="none" w:sz="0" w:space="0" w:color="auto"/>
                                                        <w:bottom w:val="none" w:sz="0" w:space="0" w:color="auto"/>
                                                        <w:right w:val="none" w:sz="0" w:space="0" w:color="auto"/>
                                                      </w:divBdr>
                                                    </w:div>
                                                    <w:div w:id="1535196883">
                                                      <w:marLeft w:val="0"/>
                                                      <w:marRight w:val="0"/>
                                                      <w:marTop w:val="0"/>
                                                      <w:marBottom w:val="0"/>
                                                      <w:divBdr>
                                                        <w:top w:val="none" w:sz="0" w:space="0" w:color="auto"/>
                                                        <w:left w:val="none" w:sz="0" w:space="0" w:color="auto"/>
                                                        <w:bottom w:val="none" w:sz="0" w:space="0" w:color="auto"/>
                                                        <w:right w:val="none" w:sz="0" w:space="0" w:color="auto"/>
                                                      </w:divBdr>
                                                      <w:divsChild>
                                                        <w:div w:id="79066920">
                                                          <w:marLeft w:val="240"/>
                                                          <w:marRight w:val="240"/>
                                                          <w:marTop w:val="0"/>
                                                          <w:marBottom w:val="0"/>
                                                          <w:divBdr>
                                                            <w:top w:val="none" w:sz="0" w:space="0" w:color="auto"/>
                                                            <w:left w:val="none" w:sz="0" w:space="0" w:color="auto"/>
                                                            <w:bottom w:val="none" w:sz="0" w:space="0" w:color="auto"/>
                                                            <w:right w:val="none" w:sz="0" w:space="0" w:color="auto"/>
                                                          </w:divBdr>
                                                          <w:divsChild>
                                                            <w:div w:id="1004090015">
                                                              <w:marLeft w:val="0"/>
                                                              <w:marRight w:val="0"/>
                                                              <w:marTop w:val="0"/>
                                                              <w:marBottom w:val="0"/>
                                                              <w:divBdr>
                                                                <w:top w:val="none" w:sz="0" w:space="0" w:color="auto"/>
                                                                <w:left w:val="none" w:sz="0" w:space="0" w:color="auto"/>
                                                                <w:bottom w:val="none" w:sz="0" w:space="0" w:color="auto"/>
                                                                <w:right w:val="none" w:sz="0" w:space="0" w:color="auto"/>
                                                              </w:divBdr>
                                                              <w:divsChild>
                                                                <w:div w:id="357852676">
                                                                  <w:marLeft w:val="0"/>
                                                                  <w:marRight w:val="0"/>
                                                                  <w:marTop w:val="0"/>
                                                                  <w:marBottom w:val="0"/>
                                                                  <w:divBdr>
                                                                    <w:top w:val="none" w:sz="0" w:space="0" w:color="auto"/>
                                                                    <w:left w:val="none" w:sz="0" w:space="0" w:color="auto"/>
                                                                    <w:bottom w:val="none" w:sz="0" w:space="0" w:color="auto"/>
                                                                    <w:right w:val="none" w:sz="0" w:space="0" w:color="auto"/>
                                                                  </w:divBdr>
                                                                </w:div>
                                                                <w:div w:id="1619414579">
                                                                  <w:marLeft w:val="240"/>
                                                                  <w:marRight w:val="240"/>
                                                                  <w:marTop w:val="0"/>
                                                                  <w:marBottom w:val="0"/>
                                                                  <w:divBdr>
                                                                    <w:top w:val="none" w:sz="0" w:space="0" w:color="auto"/>
                                                                    <w:left w:val="none" w:sz="0" w:space="0" w:color="auto"/>
                                                                    <w:bottom w:val="none" w:sz="0" w:space="0" w:color="auto"/>
                                                                    <w:right w:val="none" w:sz="0" w:space="0" w:color="auto"/>
                                                                  </w:divBdr>
                                                                  <w:divsChild>
                                                                    <w:div w:id="1447236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2334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51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1863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228538">
      <w:bodyDiv w:val="1"/>
      <w:marLeft w:val="0"/>
      <w:marRight w:val="0"/>
      <w:marTop w:val="0"/>
      <w:marBottom w:val="0"/>
      <w:divBdr>
        <w:top w:val="none" w:sz="0" w:space="0" w:color="auto"/>
        <w:left w:val="none" w:sz="0" w:space="0" w:color="auto"/>
        <w:bottom w:val="none" w:sz="0" w:space="0" w:color="auto"/>
        <w:right w:val="none" w:sz="0" w:space="0" w:color="auto"/>
      </w:divBdr>
    </w:div>
    <w:div w:id="449783743">
      <w:bodyDiv w:val="1"/>
      <w:marLeft w:val="0"/>
      <w:marRight w:val="0"/>
      <w:marTop w:val="0"/>
      <w:marBottom w:val="0"/>
      <w:divBdr>
        <w:top w:val="none" w:sz="0" w:space="0" w:color="auto"/>
        <w:left w:val="none" w:sz="0" w:space="0" w:color="auto"/>
        <w:bottom w:val="none" w:sz="0" w:space="0" w:color="auto"/>
        <w:right w:val="none" w:sz="0" w:space="0" w:color="auto"/>
      </w:divBdr>
    </w:div>
    <w:div w:id="467286295">
      <w:bodyDiv w:val="1"/>
      <w:marLeft w:val="0"/>
      <w:marRight w:val="0"/>
      <w:marTop w:val="0"/>
      <w:marBottom w:val="0"/>
      <w:divBdr>
        <w:top w:val="none" w:sz="0" w:space="0" w:color="auto"/>
        <w:left w:val="none" w:sz="0" w:space="0" w:color="auto"/>
        <w:bottom w:val="none" w:sz="0" w:space="0" w:color="auto"/>
        <w:right w:val="none" w:sz="0" w:space="0" w:color="auto"/>
      </w:divBdr>
    </w:div>
    <w:div w:id="546571623">
      <w:bodyDiv w:val="1"/>
      <w:marLeft w:val="0"/>
      <w:marRight w:val="0"/>
      <w:marTop w:val="0"/>
      <w:marBottom w:val="0"/>
      <w:divBdr>
        <w:top w:val="none" w:sz="0" w:space="0" w:color="auto"/>
        <w:left w:val="none" w:sz="0" w:space="0" w:color="auto"/>
        <w:bottom w:val="none" w:sz="0" w:space="0" w:color="auto"/>
        <w:right w:val="none" w:sz="0" w:space="0" w:color="auto"/>
      </w:divBdr>
    </w:div>
    <w:div w:id="577599246">
      <w:bodyDiv w:val="1"/>
      <w:marLeft w:val="0"/>
      <w:marRight w:val="0"/>
      <w:marTop w:val="0"/>
      <w:marBottom w:val="0"/>
      <w:divBdr>
        <w:top w:val="none" w:sz="0" w:space="0" w:color="auto"/>
        <w:left w:val="none" w:sz="0" w:space="0" w:color="auto"/>
        <w:bottom w:val="none" w:sz="0" w:space="0" w:color="auto"/>
        <w:right w:val="none" w:sz="0" w:space="0" w:color="auto"/>
      </w:divBdr>
    </w:div>
    <w:div w:id="577862983">
      <w:bodyDiv w:val="1"/>
      <w:marLeft w:val="0"/>
      <w:marRight w:val="0"/>
      <w:marTop w:val="0"/>
      <w:marBottom w:val="0"/>
      <w:divBdr>
        <w:top w:val="none" w:sz="0" w:space="0" w:color="auto"/>
        <w:left w:val="none" w:sz="0" w:space="0" w:color="auto"/>
        <w:bottom w:val="none" w:sz="0" w:space="0" w:color="auto"/>
        <w:right w:val="none" w:sz="0" w:space="0" w:color="auto"/>
      </w:divBdr>
    </w:div>
    <w:div w:id="626280830">
      <w:bodyDiv w:val="1"/>
      <w:marLeft w:val="0"/>
      <w:marRight w:val="0"/>
      <w:marTop w:val="0"/>
      <w:marBottom w:val="0"/>
      <w:divBdr>
        <w:top w:val="none" w:sz="0" w:space="0" w:color="auto"/>
        <w:left w:val="none" w:sz="0" w:space="0" w:color="auto"/>
        <w:bottom w:val="none" w:sz="0" w:space="0" w:color="auto"/>
        <w:right w:val="none" w:sz="0" w:space="0" w:color="auto"/>
      </w:divBdr>
    </w:div>
    <w:div w:id="658845464">
      <w:bodyDiv w:val="1"/>
      <w:marLeft w:val="0"/>
      <w:marRight w:val="0"/>
      <w:marTop w:val="0"/>
      <w:marBottom w:val="0"/>
      <w:divBdr>
        <w:top w:val="none" w:sz="0" w:space="0" w:color="auto"/>
        <w:left w:val="none" w:sz="0" w:space="0" w:color="auto"/>
        <w:bottom w:val="none" w:sz="0" w:space="0" w:color="auto"/>
        <w:right w:val="none" w:sz="0" w:space="0" w:color="auto"/>
      </w:divBdr>
    </w:div>
    <w:div w:id="701128877">
      <w:bodyDiv w:val="1"/>
      <w:marLeft w:val="0"/>
      <w:marRight w:val="0"/>
      <w:marTop w:val="0"/>
      <w:marBottom w:val="0"/>
      <w:divBdr>
        <w:top w:val="none" w:sz="0" w:space="0" w:color="auto"/>
        <w:left w:val="none" w:sz="0" w:space="0" w:color="auto"/>
        <w:bottom w:val="none" w:sz="0" w:space="0" w:color="auto"/>
        <w:right w:val="none" w:sz="0" w:space="0" w:color="auto"/>
      </w:divBdr>
    </w:div>
    <w:div w:id="726028096">
      <w:bodyDiv w:val="1"/>
      <w:marLeft w:val="0"/>
      <w:marRight w:val="0"/>
      <w:marTop w:val="0"/>
      <w:marBottom w:val="0"/>
      <w:divBdr>
        <w:top w:val="none" w:sz="0" w:space="0" w:color="auto"/>
        <w:left w:val="none" w:sz="0" w:space="0" w:color="auto"/>
        <w:bottom w:val="none" w:sz="0" w:space="0" w:color="auto"/>
        <w:right w:val="none" w:sz="0" w:space="0" w:color="auto"/>
      </w:divBdr>
    </w:div>
    <w:div w:id="832262422">
      <w:bodyDiv w:val="1"/>
      <w:marLeft w:val="0"/>
      <w:marRight w:val="0"/>
      <w:marTop w:val="0"/>
      <w:marBottom w:val="0"/>
      <w:divBdr>
        <w:top w:val="none" w:sz="0" w:space="0" w:color="auto"/>
        <w:left w:val="none" w:sz="0" w:space="0" w:color="auto"/>
        <w:bottom w:val="none" w:sz="0" w:space="0" w:color="auto"/>
        <w:right w:val="none" w:sz="0" w:space="0" w:color="auto"/>
      </w:divBdr>
    </w:div>
    <w:div w:id="844439159">
      <w:bodyDiv w:val="1"/>
      <w:marLeft w:val="0"/>
      <w:marRight w:val="0"/>
      <w:marTop w:val="0"/>
      <w:marBottom w:val="0"/>
      <w:divBdr>
        <w:top w:val="none" w:sz="0" w:space="0" w:color="auto"/>
        <w:left w:val="none" w:sz="0" w:space="0" w:color="auto"/>
        <w:bottom w:val="none" w:sz="0" w:space="0" w:color="auto"/>
        <w:right w:val="none" w:sz="0" w:space="0" w:color="auto"/>
      </w:divBdr>
    </w:div>
    <w:div w:id="847214460">
      <w:bodyDiv w:val="1"/>
      <w:marLeft w:val="0"/>
      <w:marRight w:val="0"/>
      <w:marTop w:val="0"/>
      <w:marBottom w:val="0"/>
      <w:divBdr>
        <w:top w:val="none" w:sz="0" w:space="0" w:color="auto"/>
        <w:left w:val="none" w:sz="0" w:space="0" w:color="auto"/>
        <w:bottom w:val="none" w:sz="0" w:space="0" w:color="auto"/>
        <w:right w:val="none" w:sz="0" w:space="0" w:color="auto"/>
      </w:divBdr>
    </w:div>
    <w:div w:id="917442999">
      <w:bodyDiv w:val="1"/>
      <w:marLeft w:val="0"/>
      <w:marRight w:val="0"/>
      <w:marTop w:val="0"/>
      <w:marBottom w:val="0"/>
      <w:divBdr>
        <w:top w:val="none" w:sz="0" w:space="0" w:color="auto"/>
        <w:left w:val="none" w:sz="0" w:space="0" w:color="auto"/>
        <w:bottom w:val="none" w:sz="0" w:space="0" w:color="auto"/>
        <w:right w:val="none" w:sz="0" w:space="0" w:color="auto"/>
      </w:divBdr>
    </w:div>
    <w:div w:id="965354901">
      <w:bodyDiv w:val="1"/>
      <w:marLeft w:val="0"/>
      <w:marRight w:val="0"/>
      <w:marTop w:val="0"/>
      <w:marBottom w:val="0"/>
      <w:divBdr>
        <w:top w:val="none" w:sz="0" w:space="0" w:color="auto"/>
        <w:left w:val="none" w:sz="0" w:space="0" w:color="auto"/>
        <w:bottom w:val="none" w:sz="0" w:space="0" w:color="auto"/>
        <w:right w:val="none" w:sz="0" w:space="0" w:color="auto"/>
      </w:divBdr>
    </w:div>
    <w:div w:id="1058476479">
      <w:bodyDiv w:val="1"/>
      <w:marLeft w:val="0"/>
      <w:marRight w:val="0"/>
      <w:marTop w:val="0"/>
      <w:marBottom w:val="0"/>
      <w:divBdr>
        <w:top w:val="none" w:sz="0" w:space="0" w:color="auto"/>
        <w:left w:val="none" w:sz="0" w:space="0" w:color="auto"/>
        <w:bottom w:val="none" w:sz="0" w:space="0" w:color="auto"/>
        <w:right w:val="none" w:sz="0" w:space="0" w:color="auto"/>
      </w:divBdr>
    </w:div>
    <w:div w:id="1131285939">
      <w:bodyDiv w:val="1"/>
      <w:marLeft w:val="0"/>
      <w:marRight w:val="0"/>
      <w:marTop w:val="0"/>
      <w:marBottom w:val="0"/>
      <w:divBdr>
        <w:top w:val="none" w:sz="0" w:space="0" w:color="auto"/>
        <w:left w:val="none" w:sz="0" w:space="0" w:color="auto"/>
        <w:bottom w:val="none" w:sz="0" w:space="0" w:color="auto"/>
        <w:right w:val="none" w:sz="0" w:space="0" w:color="auto"/>
      </w:divBdr>
    </w:div>
    <w:div w:id="1177231867">
      <w:bodyDiv w:val="1"/>
      <w:marLeft w:val="0"/>
      <w:marRight w:val="0"/>
      <w:marTop w:val="0"/>
      <w:marBottom w:val="0"/>
      <w:divBdr>
        <w:top w:val="none" w:sz="0" w:space="0" w:color="auto"/>
        <w:left w:val="none" w:sz="0" w:space="0" w:color="auto"/>
        <w:bottom w:val="none" w:sz="0" w:space="0" w:color="auto"/>
        <w:right w:val="none" w:sz="0" w:space="0" w:color="auto"/>
      </w:divBdr>
    </w:div>
    <w:div w:id="1216431337">
      <w:bodyDiv w:val="1"/>
      <w:marLeft w:val="0"/>
      <w:marRight w:val="0"/>
      <w:marTop w:val="0"/>
      <w:marBottom w:val="0"/>
      <w:divBdr>
        <w:top w:val="none" w:sz="0" w:space="0" w:color="auto"/>
        <w:left w:val="none" w:sz="0" w:space="0" w:color="auto"/>
        <w:bottom w:val="none" w:sz="0" w:space="0" w:color="auto"/>
        <w:right w:val="none" w:sz="0" w:space="0" w:color="auto"/>
      </w:divBdr>
    </w:div>
    <w:div w:id="1220165510">
      <w:bodyDiv w:val="1"/>
      <w:marLeft w:val="0"/>
      <w:marRight w:val="0"/>
      <w:marTop w:val="0"/>
      <w:marBottom w:val="0"/>
      <w:divBdr>
        <w:top w:val="none" w:sz="0" w:space="0" w:color="auto"/>
        <w:left w:val="none" w:sz="0" w:space="0" w:color="auto"/>
        <w:bottom w:val="none" w:sz="0" w:space="0" w:color="auto"/>
        <w:right w:val="none" w:sz="0" w:space="0" w:color="auto"/>
      </w:divBdr>
    </w:div>
    <w:div w:id="1229458557">
      <w:bodyDiv w:val="1"/>
      <w:marLeft w:val="0"/>
      <w:marRight w:val="0"/>
      <w:marTop w:val="0"/>
      <w:marBottom w:val="0"/>
      <w:divBdr>
        <w:top w:val="none" w:sz="0" w:space="0" w:color="auto"/>
        <w:left w:val="none" w:sz="0" w:space="0" w:color="auto"/>
        <w:bottom w:val="none" w:sz="0" w:space="0" w:color="auto"/>
        <w:right w:val="none" w:sz="0" w:space="0" w:color="auto"/>
      </w:divBdr>
      <w:divsChild>
        <w:div w:id="244416503">
          <w:marLeft w:val="0"/>
          <w:marRight w:val="0"/>
          <w:marTop w:val="0"/>
          <w:marBottom w:val="0"/>
          <w:divBdr>
            <w:top w:val="none" w:sz="0" w:space="0" w:color="auto"/>
            <w:left w:val="none" w:sz="0" w:space="0" w:color="auto"/>
            <w:bottom w:val="none" w:sz="0" w:space="0" w:color="auto"/>
            <w:right w:val="none" w:sz="0" w:space="0" w:color="auto"/>
          </w:divBdr>
        </w:div>
      </w:divsChild>
    </w:div>
    <w:div w:id="1353529741">
      <w:bodyDiv w:val="1"/>
      <w:marLeft w:val="0"/>
      <w:marRight w:val="0"/>
      <w:marTop w:val="0"/>
      <w:marBottom w:val="0"/>
      <w:divBdr>
        <w:top w:val="none" w:sz="0" w:space="0" w:color="auto"/>
        <w:left w:val="none" w:sz="0" w:space="0" w:color="auto"/>
        <w:bottom w:val="none" w:sz="0" w:space="0" w:color="auto"/>
        <w:right w:val="none" w:sz="0" w:space="0" w:color="auto"/>
      </w:divBdr>
    </w:div>
    <w:div w:id="1399547196">
      <w:bodyDiv w:val="1"/>
      <w:marLeft w:val="0"/>
      <w:marRight w:val="0"/>
      <w:marTop w:val="0"/>
      <w:marBottom w:val="0"/>
      <w:divBdr>
        <w:top w:val="none" w:sz="0" w:space="0" w:color="auto"/>
        <w:left w:val="none" w:sz="0" w:space="0" w:color="auto"/>
        <w:bottom w:val="none" w:sz="0" w:space="0" w:color="auto"/>
        <w:right w:val="none" w:sz="0" w:space="0" w:color="auto"/>
      </w:divBdr>
    </w:div>
    <w:div w:id="1539977034">
      <w:bodyDiv w:val="1"/>
      <w:marLeft w:val="0"/>
      <w:marRight w:val="0"/>
      <w:marTop w:val="0"/>
      <w:marBottom w:val="0"/>
      <w:divBdr>
        <w:top w:val="none" w:sz="0" w:space="0" w:color="auto"/>
        <w:left w:val="none" w:sz="0" w:space="0" w:color="auto"/>
        <w:bottom w:val="none" w:sz="0" w:space="0" w:color="auto"/>
        <w:right w:val="none" w:sz="0" w:space="0" w:color="auto"/>
      </w:divBdr>
    </w:div>
    <w:div w:id="1594975456">
      <w:bodyDiv w:val="1"/>
      <w:marLeft w:val="0"/>
      <w:marRight w:val="0"/>
      <w:marTop w:val="0"/>
      <w:marBottom w:val="0"/>
      <w:divBdr>
        <w:top w:val="none" w:sz="0" w:space="0" w:color="auto"/>
        <w:left w:val="none" w:sz="0" w:space="0" w:color="auto"/>
        <w:bottom w:val="none" w:sz="0" w:space="0" w:color="auto"/>
        <w:right w:val="none" w:sz="0" w:space="0" w:color="auto"/>
      </w:divBdr>
    </w:div>
    <w:div w:id="1725257868">
      <w:bodyDiv w:val="1"/>
      <w:marLeft w:val="0"/>
      <w:marRight w:val="0"/>
      <w:marTop w:val="0"/>
      <w:marBottom w:val="0"/>
      <w:divBdr>
        <w:top w:val="none" w:sz="0" w:space="0" w:color="auto"/>
        <w:left w:val="none" w:sz="0" w:space="0" w:color="auto"/>
        <w:bottom w:val="none" w:sz="0" w:space="0" w:color="auto"/>
        <w:right w:val="none" w:sz="0" w:space="0" w:color="auto"/>
      </w:divBdr>
    </w:div>
    <w:div w:id="1805804128">
      <w:bodyDiv w:val="1"/>
      <w:marLeft w:val="0"/>
      <w:marRight w:val="0"/>
      <w:marTop w:val="0"/>
      <w:marBottom w:val="0"/>
      <w:divBdr>
        <w:top w:val="none" w:sz="0" w:space="0" w:color="auto"/>
        <w:left w:val="none" w:sz="0" w:space="0" w:color="auto"/>
        <w:bottom w:val="none" w:sz="0" w:space="0" w:color="auto"/>
        <w:right w:val="none" w:sz="0" w:space="0" w:color="auto"/>
      </w:divBdr>
    </w:div>
    <w:div w:id="1828672442">
      <w:bodyDiv w:val="1"/>
      <w:marLeft w:val="0"/>
      <w:marRight w:val="0"/>
      <w:marTop w:val="0"/>
      <w:marBottom w:val="0"/>
      <w:divBdr>
        <w:top w:val="none" w:sz="0" w:space="0" w:color="auto"/>
        <w:left w:val="none" w:sz="0" w:space="0" w:color="auto"/>
        <w:bottom w:val="none" w:sz="0" w:space="0" w:color="auto"/>
        <w:right w:val="none" w:sz="0" w:space="0" w:color="auto"/>
      </w:divBdr>
    </w:div>
    <w:div w:id="1844053529">
      <w:bodyDiv w:val="1"/>
      <w:marLeft w:val="0"/>
      <w:marRight w:val="0"/>
      <w:marTop w:val="0"/>
      <w:marBottom w:val="0"/>
      <w:divBdr>
        <w:top w:val="none" w:sz="0" w:space="0" w:color="auto"/>
        <w:left w:val="none" w:sz="0" w:space="0" w:color="auto"/>
        <w:bottom w:val="none" w:sz="0" w:space="0" w:color="auto"/>
        <w:right w:val="none" w:sz="0" w:space="0" w:color="auto"/>
      </w:divBdr>
    </w:div>
    <w:div w:id="1858078783">
      <w:bodyDiv w:val="1"/>
      <w:marLeft w:val="0"/>
      <w:marRight w:val="0"/>
      <w:marTop w:val="0"/>
      <w:marBottom w:val="0"/>
      <w:divBdr>
        <w:top w:val="none" w:sz="0" w:space="0" w:color="auto"/>
        <w:left w:val="none" w:sz="0" w:space="0" w:color="auto"/>
        <w:bottom w:val="none" w:sz="0" w:space="0" w:color="auto"/>
        <w:right w:val="none" w:sz="0" w:space="0" w:color="auto"/>
      </w:divBdr>
    </w:div>
    <w:div w:id="1950232750">
      <w:bodyDiv w:val="1"/>
      <w:marLeft w:val="0"/>
      <w:marRight w:val="0"/>
      <w:marTop w:val="0"/>
      <w:marBottom w:val="0"/>
      <w:divBdr>
        <w:top w:val="none" w:sz="0" w:space="0" w:color="auto"/>
        <w:left w:val="none" w:sz="0" w:space="0" w:color="auto"/>
        <w:bottom w:val="none" w:sz="0" w:space="0" w:color="auto"/>
        <w:right w:val="none" w:sz="0" w:space="0" w:color="auto"/>
      </w:divBdr>
    </w:div>
    <w:div w:id="21180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footer" Target="footer4.xml"/><Relationship Id="rId42" Type="http://schemas.openxmlformats.org/officeDocument/2006/relationships/header" Target="header11.xml"/><Relationship Id="rId47" Type="http://schemas.openxmlformats.org/officeDocument/2006/relationships/header" Target="header15.xml"/><Relationship Id="rId63" Type="http://schemas.openxmlformats.org/officeDocument/2006/relationships/header" Target="header31.xml"/><Relationship Id="rId68" Type="http://schemas.openxmlformats.org/officeDocument/2006/relationships/fontTable" Target="fontTable.xml"/><Relationship Id="rId7" Type="http://schemas.openxmlformats.org/officeDocument/2006/relationships/customXml" Target="../customXml/item6.xml"/><Relationship Id="rId2" Type="http://schemas.openxmlformats.org/officeDocument/2006/relationships/customXml" Target="../customXml/item1.xml"/><Relationship Id="rId16" Type="http://schemas.openxmlformats.org/officeDocument/2006/relationships/header" Target="header2.xml"/><Relationship Id="rId29" Type="http://schemas.openxmlformats.org/officeDocument/2006/relationships/hyperlink" Target="http://www.ncqa.org/rru" TargetMode="External"/><Relationship Id="rId11" Type="http://schemas.openxmlformats.org/officeDocument/2006/relationships/webSettings" Target="webSettings.xml"/><Relationship Id="rId24" Type="http://schemas.openxmlformats.org/officeDocument/2006/relationships/header" Target="header6.xml"/><Relationship Id="rId32" Type="http://schemas.openxmlformats.org/officeDocument/2006/relationships/footer" Target="footer6.xml"/><Relationship Id="rId37" Type="http://schemas.openxmlformats.org/officeDocument/2006/relationships/hyperlink" Target="http://www.ncqa.org" TargetMode="External"/><Relationship Id="rId40" Type="http://schemas.openxmlformats.org/officeDocument/2006/relationships/hyperlink" Target="http://www.ncqa.org" TargetMode="External"/><Relationship Id="rId45" Type="http://schemas.openxmlformats.org/officeDocument/2006/relationships/header" Target="header13.xml"/><Relationship Id="rId53" Type="http://schemas.openxmlformats.org/officeDocument/2006/relationships/header" Target="header21.xml"/><Relationship Id="rId58" Type="http://schemas.openxmlformats.org/officeDocument/2006/relationships/header" Target="header26.xml"/><Relationship Id="rId66" Type="http://schemas.openxmlformats.org/officeDocument/2006/relationships/header" Target="header34.xml"/><Relationship Id="rId5" Type="http://schemas.openxmlformats.org/officeDocument/2006/relationships/customXml" Target="../customXml/item4.xml"/><Relationship Id="rId61" Type="http://schemas.openxmlformats.org/officeDocument/2006/relationships/header" Target="header29.xml"/><Relationship Id="rId19" Type="http://schemas.openxmlformats.org/officeDocument/2006/relationships/header" Target="header4.xml"/><Relationship Id="rId14" Type="http://schemas.openxmlformats.org/officeDocument/2006/relationships/header" Target="header1.xml"/><Relationship Id="rId22" Type="http://schemas.openxmlformats.org/officeDocument/2006/relationships/hyperlink" Target="http://www.ncqa.org" TargetMode="External"/><Relationship Id="rId27" Type="http://schemas.openxmlformats.org/officeDocument/2006/relationships/hyperlink" Target="http://www.ncqa.org" TargetMode="External"/><Relationship Id="rId30" Type="http://schemas.openxmlformats.org/officeDocument/2006/relationships/header" Target="header8.xml"/><Relationship Id="rId35" Type="http://schemas.openxmlformats.org/officeDocument/2006/relationships/header" Target="header10.xml"/><Relationship Id="rId43" Type="http://schemas.openxmlformats.org/officeDocument/2006/relationships/footer" Target="footer10.xml"/><Relationship Id="rId48" Type="http://schemas.openxmlformats.org/officeDocument/2006/relationships/header" Target="header16.xml"/><Relationship Id="rId56" Type="http://schemas.openxmlformats.org/officeDocument/2006/relationships/header" Target="header24.xml"/><Relationship Id="rId64" Type="http://schemas.openxmlformats.org/officeDocument/2006/relationships/header" Target="header32.xml"/><Relationship Id="rId69" Type="http://schemas.openxmlformats.org/officeDocument/2006/relationships/theme" Target="theme/theme1.xml"/><Relationship Id="rId8" Type="http://schemas.openxmlformats.org/officeDocument/2006/relationships/numbering" Target="numbering.xml"/><Relationship Id="rId51" Type="http://schemas.openxmlformats.org/officeDocument/2006/relationships/header" Target="header19.xml"/><Relationship Id="rId3" Type="http://schemas.openxmlformats.org/officeDocument/2006/relationships/customXml" Target="../customXml/item2.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7.xml"/><Relationship Id="rId38" Type="http://schemas.openxmlformats.org/officeDocument/2006/relationships/hyperlink" Target="http://www.ncqa.org" TargetMode="External"/><Relationship Id="rId46" Type="http://schemas.openxmlformats.org/officeDocument/2006/relationships/header" Target="header14.xml"/><Relationship Id="rId59" Type="http://schemas.openxmlformats.org/officeDocument/2006/relationships/header" Target="header27.xml"/><Relationship Id="rId67" Type="http://schemas.openxmlformats.org/officeDocument/2006/relationships/header" Target="header35.xml"/><Relationship Id="rId20" Type="http://schemas.openxmlformats.org/officeDocument/2006/relationships/footer" Target="footer3.xml"/><Relationship Id="rId41" Type="http://schemas.openxmlformats.org/officeDocument/2006/relationships/hyperlink" Target="http://www.ncqa.org" TargetMode="External"/><Relationship Id="rId54" Type="http://schemas.openxmlformats.org/officeDocument/2006/relationships/header" Target="header22.xml"/><Relationship Id="rId62" Type="http://schemas.openxmlformats.org/officeDocument/2006/relationships/header" Target="header30.xml"/><Relationship Id="rId1" Type="http://schemas.microsoft.com/office/2006/relationships/keyMapCustomizations" Target="customizations.xml"/><Relationship Id="rId6"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hyperlink" Target="http://www.ncqa.org" TargetMode="External"/><Relationship Id="rId36" Type="http://schemas.openxmlformats.org/officeDocument/2006/relationships/footer" Target="footer9.xml"/><Relationship Id="rId49" Type="http://schemas.openxmlformats.org/officeDocument/2006/relationships/header" Target="header17.xml"/><Relationship Id="rId57" Type="http://schemas.openxmlformats.org/officeDocument/2006/relationships/header" Target="header25.xml"/><Relationship Id="rId10" Type="http://schemas.openxmlformats.org/officeDocument/2006/relationships/settings" Target="settings.xml"/><Relationship Id="rId31" Type="http://schemas.openxmlformats.org/officeDocument/2006/relationships/header" Target="header9.xml"/><Relationship Id="rId44" Type="http://schemas.openxmlformats.org/officeDocument/2006/relationships/header" Target="header12.xml"/><Relationship Id="rId52" Type="http://schemas.openxmlformats.org/officeDocument/2006/relationships/header" Target="header20.xml"/><Relationship Id="rId60" Type="http://schemas.openxmlformats.org/officeDocument/2006/relationships/header" Target="header28.xml"/><Relationship Id="rId65" Type="http://schemas.openxmlformats.org/officeDocument/2006/relationships/header" Target="header33.xml"/><Relationship Id="rId4" Type="http://schemas.openxmlformats.org/officeDocument/2006/relationships/customXml" Target="../customXml/item3.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9" Type="http://schemas.openxmlformats.org/officeDocument/2006/relationships/hyperlink" Target="http://www.ncqa.org" TargetMode="External"/><Relationship Id="rId34" Type="http://schemas.openxmlformats.org/officeDocument/2006/relationships/footer" Target="footer8.xml"/><Relationship Id="rId50" Type="http://schemas.openxmlformats.org/officeDocument/2006/relationships/header" Target="header18.xml"/><Relationship Id="rId5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E95EDCDDB71B4A976398AAECCAAC99" ma:contentTypeVersion="12" ma:contentTypeDescription="Create a new document." ma:contentTypeScope="" ma:versionID="f34f3f0c0af1e9bb9dab317f274c8d54">
  <xsd:schema xmlns:xsd="http://www.w3.org/2001/XMLSchema" xmlns:xs="http://www.w3.org/2001/XMLSchema" xmlns:p="http://schemas.microsoft.com/office/2006/metadata/properties" xmlns:ns2="64615f93-1352-4a7e-b7a8-3b07e39b2009" targetNamespace="http://schemas.microsoft.com/office/2006/metadata/properties" ma:root="true" ma:fieldsID="66b4066c5de3fcaf967e6fb2eefd6a83" ns2:_="">
    <xsd:import namespace="64615f93-1352-4a7e-b7a8-3b07e39b200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15f93-1352-4a7e-b7a8-3b07e39b20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haredWithUsers xmlns="64615f93-1352-4a7e-b7a8-3b07e39b200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86B87-F3CF-4A53-894A-CE67306583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15f93-1352-4a7e-b7a8-3b07e39b2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43F494-0407-43EB-98DF-2FFA76894078}">
  <ds:schemaRefs>
    <ds:schemaRef ds:uri="http://schemas.microsoft.com/sharepoint/v3/contenttype/forms"/>
  </ds:schemaRefs>
</ds:datastoreItem>
</file>

<file path=customXml/itemProps3.xml><?xml version="1.0" encoding="utf-8"?>
<ds:datastoreItem xmlns:ds="http://schemas.openxmlformats.org/officeDocument/2006/customXml" ds:itemID="{F151ECD0-AF98-48F0-91A3-B8C7B958EE0F}">
  <ds:schemaRefs>
    <ds:schemaRef ds:uri="http://schemas.openxmlformats.org/package/2006/metadata/core-properties"/>
    <ds:schemaRef ds:uri="http://purl.org/dc/elements/1.1/"/>
    <ds:schemaRef ds:uri="http://schemas.microsoft.com/office/2006/metadata/properties"/>
    <ds:schemaRef ds:uri="http://purl.org/dc/terms/"/>
    <ds:schemaRef ds:uri="http://purl.org/dc/dcmitype/"/>
    <ds:schemaRef ds:uri="http://schemas.microsoft.com/office/2006/documentManagement/types"/>
    <ds:schemaRef ds:uri="http://schemas.microsoft.com/office/infopath/2007/PartnerControls"/>
    <ds:schemaRef ds:uri="64615f93-1352-4a7e-b7a8-3b07e39b2009"/>
    <ds:schemaRef ds:uri="http://www.w3.org/XML/1998/namespace"/>
  </ds:schemaRefs>
</ds:datastoreItem>
</file>

<file path=customXml/itemProps4.xml><?xml version="1.0" encoding="utf-8"?>
<ds:datastoreItem xmlns:ds="http://schemas.openxmlformats.org/officeDocument/2006/customXml" ds:itemID="{4BDC3B6D-9DAD-44DF-8F47-26F53BEBE6C7}">
  <ds:schemaRefs>
    <ds:schemaRef ds:uri="http://schemas.openxmlformats.org/officeDocument/2006/bibliography"/>
  </ds:schemaRefs>
</ds:datastoreItem>
</file>

<file path=customXml/itemProps5.xml><?xml version="1.0" encoding="utf-8"?>
<ds:datastoreItem xmlns:ds="http://schemas.openxmlformats.org/officeDocument/2006/customXml" ds:itemID="{60999726-E407-40CC-A2D4-CBB8019AC36E}">
  <ds:schemaRefs>
    <ds:schemaRef ds:uri="http://schemas.openxmlformats.org/officeDocument/2006/bibliography"/>
  </ds:schemaRefs>
</ds:datastoreItem>
</file>

<file path=customXml/itemProps6.xml><?xml version="1.0" encoding="utf-8"?>
<ds:datastoreItem xmlns:ds="http://schemas.openxmlformats.org/officeDocument/2006/customXml" ds:itemID="{B9BFA51C-6E68-4DB5-AF96-A55AA55EA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52</Pages>
  <Words>15721</Words>
  <Characters>89615</Characters>
  <Application>Microsoft Office Word</Application>
  <DocSecurity>2</DocSecurity>
  <Lines>746</Lines>
  <Paragraphs>210</Paragraphs>
  <ScaleCrop>false</ScaleCrop>
  <HeadingPairs>
    <vt:vector size="2" baseType="variant">
      <vt:variant>
        <vt:lpstr>Title</vt:lpstr>
      </vt:variant>
      <vt:variant>
        <vt:i4>1</vt:i4>
      </vt:variant>
    </vt:vector>
  </HeadingPairs>
  <TitlesOfParts>
    <vt:vector size="1" baseType="lpstr">
      <vt:lpstr>HEDIS®</vt:lpstr>
    </vt:vector>
  </TitlesOfParts>
  <Company>NCQA</Company>
  <LinksUpToDate>false</LinksUpToDate>
  <CharactersWithSpaces>105126</CharactersWithSpaces>
  <SharedDoc>false</SharedDoc>
  <HLinks>
    <vt:vector size="102" baseType="variant">
      <vt:variant>
        <vt:i4>2359338</vt:i4>
      </vt:variant>
      <vt:variant>
        <vt:i4>72</vt:i4>
      </vt:variant>
      <vt:variant>
        <vt:i4>0</vt:i4>
      </vt:variant>
      <vt:variant>
        <vt:i4>5</vt:i4>
      </vt:variant>
      <vt:variant>
        <vt:lpwstr>http://www.ncqa.org/pcs</vt:lpwstr>
      </vt:variant>
      <vt:variant>
        <vt:lpwstr/>
      </vt:variant>
      <vt:variant>
        <vt:i4>2359338</vt:i4>
      </vt:variant>
      <vt:variant>
        <vt:i4>69</vt:i4>
      </vt:variant>
      <vt:variant>
        <vt:i4>0</vt:i4>
      </vt:variant>
      <vt:variant>
        <vt:i4>5</vt:i4>
      </vt:variant>
      <vt:variant>
        <vt:lpwstr>http://www.ncqa.org/pcs</vt:lpwstr>
      </vt:variant>
      <vt:variant>
        <vt:lpwstr/>
      </vt:variant>
      <vt:variant>
        <vt:i4>2359338</vt:i4>
      </vt:variant>
      <vt:variant>
        <vt:i4>48</vt:i4>
      </vt:variant>
      <vt:variant>
        <vt:i4>0</vt:i4>
      </vt:variant>
      <vt:variant>
        <vt:i4>5</vt:i4>
      </vt:variant>
      <vt:variant>
        <vt:lpwstr>http://www.ncqa.org/pcs</vt:lpwstr>
      </vt:variant>
      <vt:variant>
        <vt:lpwstr/>
      </vt:variant>
      <vt:variant>
        <vt:i4>4653146</vt:i4>
      </vt:variant>
      <vt:variant>
        <vt:i4>45</vt:i4>
      </vt:variant>
      <vt:variant>
        <vt:i4>0</vt:i4>
      </vt:variant>
      <vt:variant>
        <vt:i4>5</vt:i4>
      </vt:variant>
      <vt:variant>
        <vt:lpwstr>http://www.ncqa.org/</vt:lpwstr>
      </vt:variant>
      <vt:variant>
        <vt:lpwstr/>
      </vt:variant>
      <vt:variant>
        <vt:i4>5570679</vt:i4>
      </vt:variant>
      <vt:variant>
        <vt:i4>42</vt:i4>
      </vt:variant>
      <vt:variant>
        <vt:i4>0</vt:i4>
      </vt:variant>
      <vt:variant>
        <vt:i4>5</vt:i4>
      </vt:variant>
      <vt:variant>
        <vt:lpwstr>mailto:marketing@ncqa.org</vt:lpwstr>
      </vt:variant>
      <vt:variant>
        <vt:lpwstr/>
      </vt:variant>
      <vt:variant>
        <vt:i4>4653146</vt:i4>
      </vt:variant>
      <vt:variant>
        <vt:i4>39</vt:i4>
      </vt:variant>
      <vt:variant>
        <vt:i4>0</vt:i4>
      </vt:variant>
      <vt:variant>
        <vt:i4>5</vt:i4>
      </vt:variant>
      <vt:variant>
        <vt:lpwstr>http://www.ncqa.org/</vt:lpwstr>
      </vt:variant>
      <vt:variant>
        <vt:lpwstr/>
      </vt:variant>
      <vt:variant>
        <vt:i4>8257594</vt:i4>
      </vt:variant>
      <vt:variant>
        <vt:i4>36</vt:i4>
      </vt:variant>
      <vt:variant>
        <vt:i4>0</vt:i4>
      </vt:variant>
      <vt:variant>
        <vt:i4>5</vt:i4>
      </vt:variant>
      <vt:variant>
        <vt:lpwstr>http://www.ncqa.org/audit.aspx</vt:lpwstr>
      </vt:variant>
      <vt:variant>
        <vt:lpwstr/>
      </vt:variant>
      <vt:variant>
        <vt:i4>4653146</vt:i4>
      </vt:variant>
      <vt:variant>
        <vt:i4>33</vt:i4>
      </vt:variant>
      <vt:variant>
        <vt:i4>0</vt:i4>
      </vt:variant>
      <vt:variant>
        <vt:i4>5</vt:i4>
      </vt:variant>
      <vt:variant>
        <vt:lpwstr>http://www.ncqa.org/</vt:lpwstr>
      </vt:variant>
      <vt:variant>
        <vt:lpwstr/>
      </vt:variant>
      <vt:variant>
        <vt:i4>5898249</vt:i4>
      </vt:variant>
      <vt:variant>
        <vt:i4>30</vt:i4>
      </vt:variant>
      <vt:variant>
        <vt:i4>0</vt:i4>
      </vt:variant>
      <vt:variant>
        <vt:i4>5</vt:i4>
      </vt:variant>
      <vt:variant>
        <vt:lpwstr>http://visit/</vt:lpwstr>
      </vt:variant>
      <vt:variant>
        <vt:lpwstr/>
      </vt:variant>
      <vt:variant>
        <vt:i4>2359338</vt:i4>
      </vt:variant>
      <vt:variant>
        <vt:i4>27</vt:i4>
      </vt:variant>
      <vt:variant>
        <vt:i4>0</vt:i4>
      </vt:variant>
      <vt:variant>
        <vt:i4>5</vt:i4>
      </vt:variant>
      <vt:variant>
        <vt:lpwstr>http://www.ncqa.org/pcs</vt:lpwstr>
      </vt:variant>
      <vt:variant>
        <vt:lpwstr/>
      </vt:variant>
      <vt:variant>
        <vt:i4>2359338</vt:i4>
      </vt:variant>
      <vt:variant>
        <vt:i4>21</vt:i4>
      </vt:variant>
      <vt:variant>
        <vt:i4>0</vt:i4>
      </vt:variant>
      <vt:variant>
        <vt:i4>5</vt:i4>
      </vt:variant>
      <vt:variant>
        <vt:lpwstr>http://www.ncqa.org/pcs</vt:lpwstr>
      </vt:variant>
      <vt:variant>
        <vt:lpwstr/>
      </vt:variant>
      <vt:variant>
        <vt:i4>7602220</vt:i4>
      </vt:variant>
      <vt:variant>
        <vt:i4>18</vt:i4>
      </vt:variant>
      <vt:variant>
        <vt:i4>0</vt:i4>
      </vt:variant>
      <vt:variant>
        <vt:i4>5</vt:i4>
      </vt:variant>
      <vt:variant>
        <vt:lpwstr>http://www.ncqa.org/education/</vt:lpwstr>
      </vt:variant>
      <vt:variant>
        <vt:lpwstr/>
      </vt:variant>
      <vt:variant>
        <vt:i4>5570631</vt:i4>
      </vt:variant>
      <vt:variant>
        <vt:i4>15</vt:i4>
      </vt:variant>
      <vt:variant>
        <vt:i4>0</vt:i4>
      </vt:variant>
      <vt:variant>
        <vt:i4>5</vt:i4>
      </vt:variant>
      <vt:variant>
        <vt:lpwstr>http://www.ncqa.org/publications</vt:lpwstr>
      </vt:variant>
      <vt:variant>
        <vt:lpwstr/>
      </vt:variant>
      <vt:variant>
        <vt:i4>2359338</vt:i4>
      </vt:variant>
      <vt:variant>
        <vt:i4>9</vt:i4>
      </vt:variant>
      <vt:variant>
        <vt:i4>0</vt:i4>
      </vt:variant>
      <vt:variant>
        <vt:i4>5</vt:i4>
      </vt:variant>
      <vt:variant>
        <vt:lpwstr>http://www.ncqa.org/pcs</vt:lpwstr>
      </vt:variant>
      <vt:variant>
        <vt:lpwstr/>
      </vt:variant>
      <vt:variant>
        <vt:i4>4653146</vt:i4>
      </vt:variant>
      <vt:variant>
        <vt:i4>6</vt:i4>
      </vt:variant>
      <vt:variant>
        <vt:i4>0</vt:i4>
      </vt:variant>
      <vt:variant>
        <vt:i4>5</vt:i4>
      </vt:variant>
      <vt:variant>
        <vt:lpwstr>http://www.ncqa.org/</vt:lpwstr>
      </vt:variant>
      <vt:variant>
        <vt:lpwstr/>
      </vt:variant>
      <vt:variant>
        <vt:i4>2359338</vt:i4>
      </vt:variant>
      <vt:variant>
        <vt:i4>3</vt:i4>
      </vt:variant>
      <vt:variant>
        <vt:i4>0</vt:i4>
      </vt:variant>
      <vt:variant>
        <vt:i4>5</vt:i4>
      </vt:variant>
      <vt:variant>
        <vt:lpwstr>http://www.ncqa.org/pcs</vt:lpwstr>
      </vt:variant>
      <vt:variant>
        <vt:lpwstr/>
      </vt:variant>
      <vt:variant>
        <vt:i4>4653146</vt:i4>
      </vt:variant>
      <vt:variant>
        <vt:i4>0</vt:i4>
      </vt:variant>
      <vt:variant>
        <vt:i4>0</vt:i4>
      </vt:variant>
      <vt:variant>
        <vt:i4>5</vt:i4>
      </vt:variant>
      <vt:variant>
        <vt:lpwstr>http://www.ncqa.org/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dc:title>
  <dc:creator>Judy Lacourciere</dc:creator>
  <cp:lastModifiedBy>Judy</cp:lastModifiedBy>
  <cp:revision>5</cp:revision>
  <cp:lastPrinted>2014-06-12T17:59:00Z</cp:lastPrinted>
  <dcterms:created xsi:type="dcterms:W3CDTF">2015-06-03T15:04:00Z</dcterms:created>
  <dcterms:modified xsi:type="dcterms:W3CDTF">2015-06-08T14:55:00Z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0x010100F5E95EDCDDB71B4A976398AAECCAAC99</vt:lpwstr>
  </property>
</Properties>
</file>